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Bürgerliches Gesetzbuch (BGB)</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18.08.1896</w:t>
      </w:r>
    </w:p>
    <w:p>
      <w:pPr>
        <w:pStyle w:val="Stand"/>
      </w:pPr>
      <w:r>
        <w:rPr>
          <w:b/>
        </w:rPr>
        <w:t xml:space="preserve">Letzte Änderung: </w:t>
      </w:r>
      <w:r>
        <w:t>Art. 6 G v. 23.07.2026 I Nr. 226</w:t>
      </w:r>
    </w:p>
    <w:p>
      <w:pPr>
        <w:pStyle w:val="Stand"/>
      </w:pPr>
      <w:r>
        <w:rPr>
          <w:b/>
        </w:rPr>
        <w:t xml:space="preserve">Neufassung: </w:t>
      </w:r>
      <w:r>
        <w:t>Bek. v. 02.01.2002 I 42, 2909; 2003, 738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Buch 1 Allgemeiner Teil</w:t>
        </w:r>
      </w:hyperlink>
    </w:p>
    <w:p>
      <w:pPr>
        <w:pStyle w:val="Übersicht"/>
        <w:ind w:left="340"/>
      </w:pPr>
      <w:hyperlink w:anchor="b1" w:history="1">
        <w:r>
          <w:rPr>
            <w:b/>
            <w:color w:val="0A3A8C"/>
            <w:u w:val="single"/>
          </w:rPr>
          <w:t xml:space="preserve">Abschnitt 1 Personen</w:t>
        </w:r>
      </w:hyperlink>
    </w:p>
    <w:p>
      <w:pPr>
        <w:pStyle w:val="Übersicht"/>
        <w:ind w:left="680"/>
      </w:pPr>
      <w:hyperlink w:anchor="b2" w:history="1">
        <w:r>
          <w:rPr>
            <w:b/>
            <w:color w:val="0A3A8C"/>
            <w:u w:val="single"/>
          </w:rPr>
          <w:t xml:space="preserve">Titel 1 Natürliche Personen, Verbraucher, Unternehmer</w:t>
        </w:r>
      </w:hyperlink>
    </w:p>
    <w:p>
      <w:pPr>
        <w:pStyle w:val="Übersicht"/>
        <w:ind w:left="1020"/>
      </w:pPr>
      <w:hyperlink w:anchor="b3" w:history="1">
        <w:r>
          <w:rPr>
            <w:color w:val="0A3A8C"/>
            <w:u w:val="single"/>
          </w:rPr>
          <w:t xml:space="preserve">§ 1 Beginn der Rechtsfähigkeit</w:t>
        </w:r>
      </w:hyperlink>
    </w:p>
    <w:p>
      <w:pPr>
        <w:pStyle w:val="Übersicht"/>
        <w:ind w:left="1020"/>
      </w:pPr>
      <w:hyperlink w:anchor="b4" w:history="1">
        <w:r>
          <w:rPr>
            <w:color w:val="0A3A8C"/>
            <w:u w:val="single"/>
          </w:rPr>
          <w:t xml:space="preserve">§ 2 Eintritt der Volljährigkeit</w:t>
        </w:r>
      </w:hyperlink>
    </w:p>
    <w:p>
      <w:pPr>
        <w:pStyle w:val="Übersicht"/>
        <w:ind w:left="1020"/>
      </w:pPr>
      <w:hyperlink w:anchor="b5" w:history="1">
        <w:r>
          <w:rPr>
            <w:color w:val="0A3A8C"/>
            <w:u w:val="single"/>
          </w:rPr>
          <w:t xml:space="preserve">§§ 3 bis 6 (weggefallen)</w:t>
        </w:r>
      </w:hyperlink>
    </w:p>
    <w:p>
      <w:pPr>
        <w:pStyle w:val="Übersicht"/>
        <w:ind w:left="1020"/>
      </w:pPr>
      <w:hyperlink w:anchor="b6" w:history="1">
        <w:r>
          <w:rPr>
            <w:color w:val="0A3A8C"/>
            <w:u w:val="single"/>
          </w:rPr>
          <w:t xml:space="preserve">§ 7 Wohnsitz; Begründung und Aufhebung</w:t>
        </w:r>
      </w:hyperlink>
    </w:p>
    <w:p>
      <w:pPr>
        <w:pStyle w:val="Übersicht"/>
        <w:ind w:left="1020"/>
      </w:pPr>
      <w:hyperlink w:anchor="b7" w:history="1">
        <w:r>
          <w:rPr>
            <w:color w:val="0A3A8C"/>
            <w:u w:val="single"/>
          </w:rPr>
          <w:t xml:space="preserve">§ 8 Wohnsitz nicht voll Geschäftsfähiger</w:t>
        </w:r>
      </w:hyperlink>
    </w:p>
    <w:p>
      <w:pPr>
        <w:pStyle w:val="Übersicht"/>
        <w:ind w:left="1020"/>
      </w:pPr>
      <w:hyperlink w:anchor="b8" w:history="1">
        <w:r>
          <w:rPr>
            <w:color w:val="0A3A8C"/>
            <w:u w:val="single"/>
          </w:rPr>
          <w:t xml:space="preserve">§ 9 Wohnsitz eines Soldaten</w:t>
        </w:r>
      </w:hyperlink>
    </w:p>
    <w:p>
      <w:pPr>
        <w:pStyle w:val="Übersicht"/>
        <w:ind w:left="1020"/>
      </w:pPr>
      <w:hyperlink w:anchor="b9" w:history="1">
        <w:r>
          <w:rPr>
            <w:color w:val="0A3A8C"/>
            <w:u w:val="single"/>
          </w:rPr>
          <w:t xml:space="preserve">§ 10 (weggefallen)</w:t>
        </w:r>
      </w:hyperlink>
    </w:p>
    <w:p>
      <w:pPr>
        <w:pStyle w:val="Übersicht"/>
        <w:ind w:left="1020"/>
      </w:pPr>
      <w:hyperlink w:anchor="b10" w:history="1">
        <w:r>
          <w:rPr>
            <w:color w:val="0A3A8C"/>
            <w:u w:val="single"/>
          </w:rPr>
          <w:t xml:space="preserve">§ 11 Wohnsitz des Kindes</w:t>
        </w:r>
      </w:hyperlink>
    </w:p>
    <w:p>
      <w:pPr>
        <w:pStyle w:val="Übersicht"/>
        <w:ind w:left="1020"/>
      </w:pPr>
      <w:hyperlink w:anchor="b11" w:history="1">
        <w:r>
          <w:rPr>
            <w:color w:val="0A3A8C"/>
            <w:u w:val="single"/>
          </w:rPr>
          <w:t xml:space="preserve">§ 12 Namensrecht</w:t>
        </w:r>
      </w:hyperlink>
    </w:p>
    <w:p>
      <w:pPr>
        <w:pStyle w:val="Übersicht"/>
        <w:ind w:left="1020"/>
      </w:pPr>
      <w:hyperlink w:anchor="b12" w:history="1">
        <w:r>
          <w:rPr>
            <w:color w:val="0A3A8C"/>
            <w:u w:val="single"/>
          </w:rPr>
          <w:t xml:space="preserve">§ 13 Verbraucher</w:t>
        </w:r>
      </w:hyperlink>
    </w:p>
    <w:p>
      <w:pPr>
        <w:pStyle w:val="Übersicht"/>
        <w:ind w:left="1020"/>
      </w:pPr>
      <w:hyperlink w:anchor="b13" w:history="1">
        <w:r>
          <w:rPr>
            <w:color w:val="0A3A8C"/>
            <w:u w:val="single"/>
          </w:rPr>
          <w:t xml:space="preserve">§ 14 Unternehmer</w:t>
        </w:r>
      </w:hyperlink>
    </w:p>
    <w:p>
      <w:pPr>
        <w:pStyle w:val="Übersicht"/>
        <w:ind w:left="1020"/>
      </w:pPr>
      <w:hyperlink w:anchor="b14" w:history="1">
        <w:r>
          <w:rPr>
            <w:color w:val="0A3A8C"/>
            <w:u w:val="single"/>
          </w:rPr>
          <w:t xml:space="preserve">§§ 15 bis 20 (weggefallen)</w:t>
        </w:r>
      </w:hyperlink>
    </w:p>
    <w:p>
      <w:pPr>
        <w:pStyle w:val="Übersicht"/>
        <w:ind w:left="680"/>
      </w:pPr>
      <w:hyperlink w:anchor="b15" w:history="1">
        <w:r>
          <w:rPr>
            <w:b/>
            <w:color w:val="0A3A8C"/>
            <w:u w:val="single"/>
          </w:rPr>
          <w:t xml:space="preserve">Titel 2 Juristische Personen</w:t>
        </w:r>
      </w:hyperlink>
    </w:p>
    <w:p>
      <w:pPr>
        <w:pStyle w:val="Übersicht"/>
        <w:ind w:left="1020"/>
      </w:pPr>
      <w:hyperlink w:anchor="b16" w:history="1">
        <w:r>
          <w:rPr>
            <w:b/>
            <w:color w:val="0A3A8C"/>
            <w:u w:val="single"/>
          </w:rPr>
          <w:t xml:space="preserve">Untertitel 1 Vereine</w:t>
        </w:r>
      </w:hyperlink>
    </w:p>
    <w:p>
      <w:pPr>
        <w:pStyle w:val="Übersicht"/>
        <w:ind w:left="1361"/>
      </w:pPr>
      <w:hyperlink w:anchor="b17" w:history="1">
        <w:r>
          <w:rPr>
            <w:b/>
            <w:color w:val="0A3A8C"/>
            <w:u w:val="single"/>
          </w:rPr>
          <w:t xml:space="preserve">Kapitel 1 Allgemeine Vorschriften</w:t>
        </w:r>
      </w:hyperlink>
    </w:p>
    <w:p>
      <w:pPr>
        <w:pStyle w:val="Übersicht"/>
        <w:ind w:left="1701"/>
      </w:pPr>
      <w:hyperlink w:anchor="b18" w:history="1">
        <w:r>
          <w:rPr>
            <w:color w:val="0A3A8C"/>
            <w:u w:val="single"/>
          </w:rPr>
          <w:t xml:space="preserve">§ 21 Nicht wirtschaftlicher Verein</w:t>
        </w:r>
      </w:hyperlink>
    </w:p>
    <w:p>
      <w:pPr>
        <w:pStyle w:val="Übersicht"/>
        <w:ind w:left="1701"/>
      </w:pPr>
      <w:hyperlink w:anchor="b19" w:history="1">
        <w:r>
          <w:rPr>
            <w:color w:val="0A3A8C"/>
            <w:u w:val="single"/>
          </w:rPr>
          <w:t xml:space="preserve">§ 22 Wirtschaftlicher Verein</w:t>
        </w:r>
      </w:hyperlink>
    </w:p>
    <w:p>
      <w:pPr>
        <w:pStyle w:val="Übersicht"/>
        <w:ind w:left="1701"/>
      </w:pPr>
      <w:hyperlink w:anchor="b20" w:history="1">
        <w:r>
          <w:rPr>
            <w:color w:val="0A3A8C"/>
            <w:u w:val="single"/>
          </w:rPr>
          <w:t xml:space="preserve">§ 23 (weggefallen)</w:t>
        </w:r>
      </w:hyperlink>
    </w:p>
    <w:p>
      <w:pPr>
        <w:pStyle w:val="Übersicht"/>
        <w:ind w:left="1701"/>
      </w:pPr>
      <w:hyperlink w:anchor="b21" w:history="1">
        <w:r>
          <w:rPr>
            <w:color w:val="0A3A8C"/>
            <w:u w:val="single"/>
          </w:rPr>
          <w:t xml:space="preserve">§ 24 Sitz</w:t>
        </w:r>
      </w:hyperlink>
    </w:p>
    <w:p>
      <w:pPr>
        <w:pStyle w:val="Übersicht"/>
        <w:ind w:left="1701"/>
      </w:pPr>
      <w:hyperlink w:anchor="b22" w:history="1">
        <w:r>
          <w:rPr>
            <w:color w:val="0A3A8C"/>
            <w:u w:val="single"/>
          </w:rPr>
          <w:t xml:space="preserve">§ 25 Verfassung</w:t>
        </w:r>
      </w:hyperlink>
    </w:p>
    <w:p>
      <w:pPr>
        <w:pStyle w:val="Übersicht"/>
        <w:ind w:left="1701"/>
      </w:pPr>
      <w:hyperlink w:anchor="b23" w:history="1">
        <w:r>
          <w:rPr>
            <w:color w:val="0A3A8C"/>
            <w:u w:val="single"/>
          </w:rPr>
          <w:t xml:space="preserve">§ 26 Vorstand und Vertretung</w:t>
        </w:r>
      </w:hyperlink>
    </w:p>
    <w:p>
      <w:pPr>
        <w:pStyle w:val="Übersicht"/>
        <w:ind w:left="1701"/>
      </w:pPr>
      <w:hyperlink w:anchor="b24" w:history="1">
        <w:r>
          <w:rPr>
            <w:color w:val="0A3A8C"/>
            <w:u w:val="single"/>
          </w:rPr>
          <w:t xml:space="preserve">§ 27 Bestellung und Geschäftsführung des Vorstands</w:t>
        </w:r>
      </w:hyperlink>
    </w:p>
    <w:p>
      <w:pPr>
        <w:pStyle w:val="Übersicht"/>
        <w:ind w:left="1701"/>
      </w:pPr>
      <w:hyperlink w:anchor="b25" w:history="1">
        <w:r>
          <w:rPr>
            <w:color w:val="0A3A8C"/>
            <w:u w:val="single"/>
          </w:rPr>
          <w:t xml:space="preserve">§ 28 Beschlussfassung des Vorstands</w:t>
        </w:r>
      </w:hyperlink>
    </w:p>
    <w:p>
      <w:pPr>
        <w:pStyle w:val="Übersicht"/>
        <w:ind w:left="1701"/>
      </w:pPr>
      <w:hyperlink w:anchor="b26" w:history="1">
        <w:r>
          <w:rPr>
            <w:color w:val="0A3A8C"/>
            <w:u w:val="single"/>
          </w:rPr>
          <w:t xml:space="preserve">§ 29 Notbestellung durch Amtsgericht</w:t>
        </w:r>
      </w:hyperlink>
    </w:p>
    <w:p>
      <w:pPr>
        <w:pStyle w:val="Übersicht"/>
        <w:ind w:left="1701"/>
      </w:pPr>
      <w:hyperlink w:anchor="b27" w:history="1">
        <w:r>
          <w:rPr>
            <w:color w:val="0A3A8C"/>
            <w:u w:val="single"/>
          </w:rPr>
          <w:t xml:space="preserve">§ 30 Besondere Vertreter</w:t>
        </w:r>
      </w:hyperlink>
    </w:p>
    <w:p>
      <w:pPr>
        <w:pStyle w:val="Übersicht"/>
        <w:ind w:left="1701"/>
      </w:pPr>
      <w:hyperlink w:anchor="b28" w:history="1">
        <w:r>
          <w:rPr>
            <w:color w:val="0A3A8C"/>
            <w:u w:val="single"/>
          </w:rPr>
          <w:t xml:space="preserve">§ 31 Haftung des Vereins für Organe</w:t>
        </w:r>
      </w:hyperlink>
    </w:p>
    <w:p>
      <w:pPr>
        <w:pStyle w:val="Übersicht"/>
        <w:ind w:left="1701"/>
      </w:pPr>
      <w:hyperlink w:anchor="b29" w:history="1">
        <w:r>
          <w:rPr>
            <w:color w:val="0A3A8C"/>
            <w:u w:val="single"/>
          </w:rPr>
          <w:t xml:space="preserve">§ 31a Haftung von Organmitgliedern und besonderen Vertretern</w:t>
        </w:r>
      </w:hyperlink>
    </w:p>
    <w:p>
      <w:pPr>
        <w:pStyle w:val="Übersicht"/>
        <w:ind w:left="1701"/>
      </w:pPr>
      <w:hyperlink w:anchor="b30" w:history="1">
        <w:r>
          <w:rPr>
            <w:color w:val="0A3A8C"/>
            <w:u w:val="single"/>
          </w:rPr>
          <w:t xml:space="preserve">§ 31b Haftung von Vereinsmitgliedern</w:t>
        </w:r>
      </w:hyperlink>
    </w:p>
    <w:p>
      <w:pPr>
        <w:pStyle w:val="Übersicht"/>
        <w:ind w:left="1701"/>
      </w:pPr>
      <w:hyperlink w:anchor="b31" w:history="1">
        <w:r>
          <w:rPr>
            <w:color w:val="0A3A8C"/>
            <w:u w:val="single"/>
          </w:rPr>
          <w:t xml:space="preserve">§ 32 Mitgliederversammlung; Beschlussfassung</w:t>
        </w:r>
      </w:hyperlink>
    </w:p>
    <w:p>
      <w:pPr>
        <w:pStyle w:val="Übersicht"/>
        <w:ind w:left="1701"/>
      </w:pPr>
      <w:hyperlink w:anchor="b32" w:history="1">
        <w:r>
          <w:rPr>
            <w:color w:val="0A3A8C"/>
            <w:u w:val="single"/>
          </w:rPr>
          <w:t xml:space="preserve">§ 33 Satzungsänderung</w:t>
        </w:r>
      </w:hyperlink>
    </w:p>
    <w:p>
      <w:pPr>
        <w:pStyle w:val="Übersicht"/>
        <w:ind w:left="1701"/>
      </w:pPr>
      <w:hyperlink w:anchor="b33" w:history="1">
        <w:r>
          <w:rPr>
            <w:color w:val="0A3A8C"/>
            <w:u w:val="single"/>
          </w:rPr>
          <w:t xml:space="preserve">§ 34 Ausschluss vom Stimmrecht</w:t>
        </w:r>
      </w:hyperlink>
    </w:p>
    <w:p>
      <w:pPr>
        <w:pStyle w:val="Übersicht"/>
        <w:ind w:left="1701"/>
      </w:pPr>
      <w:hyperlink w:anchor="b34" w:history="1">
        <w:r>
          <w:rPr>
            <w:color w:val="0A3A8C"/>
            <w:u w:val="single"/>
          </w:rPr>
          <w:t xml:space="preserve">§ 35 Sonderrechte</w:t>
        </w:r>
      </w:hyperlink>
    </w:p>
    <w:p>
      <w:pPr>
        <w:pStyle w:val="Übersicht"/>
        <w:ind w:left="1701"/>
      </w:pPr>
      <w:hyperlink w:anchor="b35" w:history="1">
        <w:r>
          <w:rPr>
            <w:color w:val="0A3A8C"/>
            <w:u w:val="single"/>
          </w:rPr>
          <w:t xml:space="preserve">§ 36 Berufung der Mitgliederversammlung</w:t>
        </w:r>
      </w:hyperlink>
    </w:p>
    <w:p>
      <w:pPr>
        <w:pStyle w:val="Übersicht"/>
        <w:ind w:left="1701"/>
      </w:pPr>
      <w:hyperlink w:anchor="b36" w:history="1">
        <w:r>
          <w:rPr>
            <w:color w:val="0A3A8C"/>
            <w:u w:val="single"/>
          </w:rPr>
          <w:t xml:space="preserve">§ 37 Berufung auf Verlangen einer Minderheit</w:t>
        </w:r>
      </w:hyperlink>
    </w:p>
    <w:p>
      <w:pPr>
        <w:pStyle w:val="Übersicht"/>
        <w:ind w:left="1701"/>
      </w:pPr>
      <w:hyperlink w:anchor="b37" w:history="1">
        <w:r>
          <w:rPr>
            <w:color w:val="0A3A8C"/>
            <w:u w:val="single"/>
          </w:rPr>
          <w:t xml:space="preserve">§ 38 Mitgliedschaft</w:t>
        </w:r>
      </w:hyperlink>
    </w:p>
    <w:p>
      <w:pPr>
        <w:pStyle w:val="Übersicht"/>
        <w:ind w:left="1701"/>
      </w:pPr>
      <w:hyperlink w:anchor="b38" w:history="1">
        <w:r>
          <w:rPr>
            <w:color w:val="0A3A8C"/>
            <w:u w:val="single"/>
          </w:rPr>
          <w:t xml:space="preserve">§ 39 Austritt aus dem Verein</w:t>
        </w:r>
      </w:hyperlink>
    </w:p>
    <w:p>
      <w:pPr>
        <w:pStyle w:val="Übersicht"/>
        <w:ind w:left="1701"/>
      </w:pPr>
      <w:hyperlink w:anchor="b39" w:history="1">
        <w:r>
          <w:rPr>
            <w:color w:val="0A3A8C"/>
            <w:u w:val="single"/>
          </w:rPr>
          <w:t xml:space="preserve">§ 40 Nachgiebige Vorschriften</w:t>
        </w:r>
      </w:hyperlink>
    </w:p>
    <w:p>
      <w:pPr>
        <w:pStyle w:val="Übersicht"/>
        <w:ind w:left="1701"/>
      </w:pPr>
      <w:hyperlink w:anchor="b40" w:history="1">
        <w:r>
          <w:rPr>
            <w:color w:val="0A3A8C"/>
            <w:u w:val="single"/>
          </w:rPr>
          <w:t xml:space="preserve">§ 41 Auflösung des Vereins</w:t>
        </w:r>
      </w:hyperlink>
    </w:p>
    <w:p>
      <w:pPr>
        <w:pStyle w:val="Übersicht"/>
        <w:ind w:left="1701"/>
      </w:pPr>
      <w:hyperlink w:anchor="b41" w:history="1">
        <w:r>
          <w:rPr>
            <w:color w:val="0A3A8C"/>
            <w:u w:val="single"/>
          </w:rPr>
          <w:t xml:space="preserve">§ 42 Insolvenz</w:t>
        </w:r>
      </w:hyperlink>
    </w:p>
    <w:p>
      <w:pPr>
        <w:pStyle w:val="Übersicht"/>
        <w:ind w:left="1701"/>
      </w:pPr>
      <w:hyperlink w:anchor="b42" w:history="1">
        <w:r>
          <w:rPr>
            <w:color w:val="0A3A8C"/>
            <w:u w:val="single"/>
          </w:rPr>
          <w:t xml:space="preserve">§ 43 Entziehung der Rechtsfähigkeit</w:t>
        </w:r>
      </w:hyperlink>
    </w:p>
    <w:p>
      <w:pPr>
        <w:pStyle w:val="Übersicht"/>
        <w:ind w:left="1701"/>
      </w:pPr>
      <w:hyperlink w:anchor="b43" w:history="1">
        <w:r>
          <w:rPr>
            <w:color w:val="0A3A8C"/>
            <w:u w:val="single"/>
          </w:rPr>
          <w:t xml:space="preserve">§ 44 Zuständigkeit und Verfahren</w:t>
        </w:r>
      </w:hyperlink>
    </w:p>
    <w:p>
      <w:pPr>
        <w:pStyle w:val="Übersicht"/>
        <w:ind w:left="1701"/>
      </w:pPr>
      <w:hyperlink w:anchor="b44" w:history="1">
        <w:r>
          <w:rPr>
            <w:color w:val="0A3A8C"/>
            <w:u w:val="single"/>
          </w:rPr>
          <w:t xml:space="preserve">§ 45 Anfall des Vereinsvermögens</w:t>
        </w:r>
      </w:hyperlink>
    </w:p>
    <w:p>
      <w:pPr>
        <w:pStyle w:val="Übersicht"/>
        <w:ind w:left="1701"/>
      </w:pPr>
      <w:hyperlink w:anchor="b45" w:history="1">
        <w:r>
          <w:rPr>
            <w:color w:val="0A3A8C"/>
            <w:u w:val="single"/>
          </w:rPr>
          <w:t xml:space="preserve">§ 46 Anfall an den Fiskus</w:t>
        </w:r>
      </w:hyperlink>
    </w:p>
    <w:p>
      <w:pPr>
        <w:pStyle w:val="Übersicht"/>
        <w:ind w:left="1701"/>
      </w:pPr>
      <w:hyperlink w:anchor="b46" w:history="1">
        <w:r>
          <w:rPr>
            <w:color w:val="0A3A8C"/>
            <w:u w:val="single"/>
          </w:rPr>
          <w:t xml:space="preserve">§ 47 Liquidation</w:t>
        </w:r>
      </w:hyperlink>
    </w:p>
    <w:p>
      <w:pPr>
        <w:pStyle w:val="Übersicht"/>
        <w:ind w:left="1701"/>
      </w:pPr>
      <w:hyperlink w:anchor="b47" w:history="1">
        <w:r>
          <w:rPr>
            <w:color w:val="0A3A8C"/>
            <w:u w:val="single"/>
          </w:rPr>
          <w:t xml:space="preserve">§ 48 Liquidatoren</w:t>
        </w:r>
      </w:hyperlink>
    </w:p>
    <w:p>
      <w:pPr>
        <w:pStyle w:val="Übersicht"/>
        <w:ind w:left="1701"/>
      </w:pPr>
      <w:hyperlink w:anchor="b48" w:history="1">
        <w:r>
          <w:rPr>
            <w:color w:val="0A3A8C"/>
            <w:u w:val="single"/>
          </w:rPr>
          <w:t xml:space="preserve">§ 49 Aufgaben der Liquidatoren</w:t>
        </w:r>
      </w:hyperlink>
    </w:p>
    <w:p>
      <w:pPr>
        <w:pStyle w:val="Übersicht"/>
        <w:ind w:left="1701"/>
      </w:pPr>
      <w:hyperlink w:anchor="b49" w:history="1">
        <w:r>
          <w:rPr>
            <w:color w:val="0A3A8C"/>
            <w:u w:val="single"/>
          </w:rPr>
          <w:t xml:space="preserve">§ 50 Bekanntmachung des Vereins in Liquidation</w:t>
        </w:r>
      </w:hyperlink>
    </w:p>
    <w:p>
      <w:pPr>
        <w:pStyle w:val="Übersicht"/>
        <w:ind w:left="1701"/>
      </w:pPr>
      <w:hyperlink w:anchor="b50" w:history="1">
        <w:r>
          <w:rPr>
            <w:color w:val="0A3A8C"/>
            <w:u w:val="single"/>
          </w:rPr>
          <w:t xml:space="preserve">§ 50a Bekanntmachungsblatt</w:t>
        </w:r>
      </w:hyperlink>
    </w:p>
    <w:p>
      <w:pPr>
        <w:pStyle w:val="Übersicht"/>
        <w:ind w:left="1701"/>
      </w:pPr>
      <w:hyperlink w:anchor="b51" w:history="1">
        <w:r>
          <w:rPr>
            <w:color w:val="0A3A8C"/>
            <w:u w:val="single"/>
          </w:rPr>
          <w:t xml:space="preserve">§ 51 Sperrjahr</w:t>
        </w:r>
      </w:hyperlink>
    </w:p>
    <w:p>
      <w:pPr>
        <w:pStyle w:val="Übersicht"/>
        <w:ind w:left="1701"/>
      </w:pPr>
      <w:hyperlink w:anchor="b52" w:history="1">
        <w:r>
          <w:rPr>
            <w:color w:val="0A3A8C"/>
            <w:u w:val="single"/>
          </w:rPr>
          <w:t xml:space="preserve">§ 52 Sicherung für Gläubiger</w:t>
        </w:r>
      </w:hyperlink>
    </w:p>
    <w:p>
      <w:pPr>
        <w:pStyle w:val="Übersicht"/>
        <w:ind w:left="1701"/>
      </w:pPr>
      <w:hyperlink w:anchor="b53" w:history="1">
        <w:r>
          <w:rPr>
            <w:color w:val="0A3A8C"/>
            <w:u w:val="single"/>
          </w:rPr>
          <w:t xml:space="preserve">§ 53 Schadensersatzpflicht der Liquidatoren</w:t>
        </w:r>
      </w:hyperlink>
    </w:p>
    <w:p>
      <w:pPr>
        <w:pStyle w:val="Übersicht"/>
        <w:ind w:left="1701"/>
      </w:pPr>
      <w:hyperlink w:anchor="b54" w:history="1">
        <w:r>
          <w:rPr>
            <w:color w:val="0A3A8C"/>
            <w:u w:val="single"/>
          </w:rPr>
          <w:t xml:space="preserve">§ 54 Vereine ohne Rechtspersönlichkeit</w:t>
        </w:r>
      </w:hyperlink>
    </w:p>
    <w:p>
      <w:pPr>
        <w:pStyle w:val="Übersicht"/>
        <w:ind w:left="1361"/>
      </w:pPr>
      <w:hyperlink w:anchor="b55" w:history="1">
        <w:r>
          <w:rPr>
            <w:b/>
            <w:color w:val="0A3A8C"/>
            <w:u w:val="single"/>
          </w:rPr>
          <w:t xml:space="preserve">Kapitel 2 Eingetragene Vereine</w:t>
        </w:r>
      </w:hyperlink>
    </w:p>
    <w:p>
      <w:pPr>
        <w:pStyle w:val="Übersicht"/>
        <w:ind w:left="1701"/>
      </w:pPr>
      <w:hyperlink w:anchor="b56" w:history="1">
        <w:r>
          <w:rPr>
            <w:color w:val="0A3A8C"/>
            <w:u w:val="single"/>
          </w:rPr>
          <w:t xml:space="preserve">§ 55 Zuständigkeit für die Registereintragung</w:t>
        </w:r>
      </w:hyperlink>
    </w:p>
    <w:p>
      <w:pPr>
        <w:pStyle w:val="Übersicht"/>
        <w:ind w:left="1701"/>
      </w:pPr>
      <w:hyperlink w:anchor="b57" w:history="1">
        <w:r>
          <w:rPr>
            <w:color w:val="0A3A8C"/>
            <w:u w:val="single"/>
          </w:rPr>
          <w:t xml:space="preserve">§ 55a Elektronisches Vereinsregister</w:t>
        </w:r>
      </w:hyperlink>
    </w:p>
    <w:p>
      <w:pPr>
        <w:pStyle w:val="Übersicht"/>
        <w:ind w:left="1701"/>
      </w:pPr>
      <w:hyperlink w:anchor="b58" w:history="1">
        <w:r>
          <w:rPr>
            <w:color w:val="0A3A8C"/>
            <w:u w:val="single"/>
          </w:rPr>
          <w:t xml:space="preserve">§ 56 Mindestmitgliederzahl des Vereins</w:t>
        </w:r>
      </w:hyperlink>
    </w:p>
    <w:p>
      <w:pPr>
        <w:pStyle w:val="Übersicht"/>
        <w:ind w:left="1701"/>
      </w:pPr>
      <w:hyperlink w:anchor="b59" w:history="1">
        <w:r>
          <w:rPr>
            <w:color w:val="0A3A8C"/>
            <w:u w:val="single"/>
          </w:rPr>
          <w:t xml:space="preserve">§ 57 Mindesterfordernisse an die Vereinssatzung</w:t>
        </w:r>
      </w:hyperlink>
    </w:p>
    <w:p>
      <w:pPr>
        <w:pStyle w:val="Übersicht"/>
        <w:ind w:left="1701"/>
      </w:pPr>
      <w:hyperlink w:anchor="b60" w:history="1">
        <w:r>
          <w:rPr>
            <w:color w:val="0A3A8C"/>
            <w:u w:val="single"/>
          </w:rPr>
          <w:t xml:space="preserve">§ 58 Sollinhalt der Vereinssatzung</w:t>
        </w:r>
      </w:hyperlink>
    </w:p>
    <w:p>
      <w:pPr>
        <w:pStyle w:val="Übersicht"/>
        <w:ind w:left="1701"/>
      </w:pPr>
      <w:hyperlink w:anchor="b61" w:history="1">
        <w:r>
          <w:rPr>
            <w:color w:val="0A3A8C"/>
            <w:u w:val="single"/>
          </w:rPr>
          <w:t xml:space="preserve">§ 59 Anmeldung zur Eintragung</w:t>
        </w:r>
      </w:hyperlink>
    </w:p>
    <w:p>
      <w:pPr>
        <w:pStyle w:val="Übersicht"/>
        <w:ind w:left="1701"/>
      </w:pPr>
      <w:hyperlink w:anchor="b62" w:history="1">
        <w:r>
          <w:rPr>
            <w:color w:val="0A3A8C"/>
            <w:u w:val="single"/>
          </w:rPr>
          <w:t xml:space="preserve">§ 60 Zurückweisung der Anmeldung</w:t>
        </w:r>
      </w:hyperlink>
    </w:p>
    <w:p>
      <w:pPr>
        <w:pStyle w:val="Übersicht"/>
        <w:ind w:left="1701"/>
      </w:pPr>
      <w:hyperlink w:anchor="b63" w:history="1">
        <w:r>
          <w:rPr>
            <w:color w:val="0A3A8C"/>
            <w:u w:val="single"/>
          </w:rPr>
          <w:t xml:space="preserve">§§ 61 bis 63 (weggefallen)</w:t>
        </w:r>
      </w:hyperlink>
    </w:p>
    <w:p>
      <w:pPr>
        <w:pStyle w:val="Übersicht"/>
        <w:ind w:left="1701"/>
      </w:pPr>
      <w:hyperlink w:anchor="b64" w:history="1">
        <w:r>
          <w:rPr>
            <w:color w:val="0A3A8C"/>
            <w:u w:val="single"/>
          </w:rPr>
          <w:t xml:space="preserve">§ 64 Inhalt der Vereinsregistereintragung</w:t>
        </w:r>
      </w:hyperlink>
    </w:p>
    <w:p>
      <w:pPr>
        <w:pStyle w:val="Übersicht"/>
        <w:ind w:left="1701"/>
      </w:pPr>
      <w:hyperlink w:anchor="b65" w:history="1">
        <w:r>
          <w:rPr>
            <w:color w:val="0A3A8C"/>
            <w:u w:val="single"/>
          </w:rPr>
          <w:t xml:space="preserve">§ 65 Namenszusatz</w:t>
        </w:r>
      </w:hyperlink>
    </w:p>
    <w:p>
      <w:pPr>
        <w:pStyle w:val="Übersicht"/>
        <w:ind w:left="1701"/>
      </w:pPr>
      <w:hyperlink w:anchor="b66" w:history="1">
        <w:r>
          <w:rPr>
            <w:color w:val="0A3A8C"/>
            <w:u w:val="single"/>
          </w:rPr>
          <w:t xml:space="preserve">§ 66 Aufbewahrung von Dokumenten</w:t>
        </w:r>
      </w:hyperlink>
    </w:p>
    <w:p>
      <w:pPr>
        <w:pStyle w:val="Übersicht"/>
        <w:ind w:left="1701"/>
      </w:pPr>
      <w:hyperlink w:anchor="b67" w:history="1">
        <w:r>
          <w:rPr>
            <w:color w:val="0A3A8C"/>
            <w:u w:val="single"/>
          </w:rPr>
          <w:t xml:space="preserve">§ 67 Änderung des Vorstands</w:t>
        </w:r>
      </w:hyperlink>
    </w:p>
    <w:p>
      <w:pPr>
        <w:pStyle w:val="Übersicht"/>
        <w:ind w:left="1701"/>
      </w:pPr>
      <w:hyperlink w:anchor="b68" w:history="1">
        <w:r>
          <w:rPr>
            <w:color w:val="0A3A8C"/>
            <w:u w:val="single"/>
          </w:rPr>
          <w:t xml:space="preserve">§ 68 Vertrauensschutz durch Vereinsregister</w:t>
        </w:r>
      </w:hyperlink>
    </w:p>
    <w:p>
      <w:pPr>
        <w:pStyle w:val="Übersicht"/>
        <w:ind w:left="1701"/>
      </w:pPr>
      <w:hyperlink w:anchor="b69" w:history="1">
        <w:r>
          <w:rPr>
            <w:color w:val="0A3A8C"/>
            <w:u w:val="single"/>
          </w:rPr>
          <w:t xml:space="preserve">§ 69 Nachweis des Vereinsvorstands</w:t>
        </w:r>
      </w:hyperlink>
    </w:p>
    <w:p>
      <w:pPr>
        <w:pStyle w:val="Übersicht"/>
        <w:ind w:left="1701"/>
      </w:pPr>
      <w:hyperlink w:anchor="b70" w:history="1">
        <w:r>
          <w:rPr>
            <w:color w:val="0A3A8C"/>
            <w:u w:val="single"/>
          </w:rPr>
          <w:t xml:space="preserve">§ 70 Vertrauensschutz bei Eintragungen zur Vertretungsmacht</w:t>
        </w:r>
      </w:hyperlink>
    </w:p>
    <w:p>
      <w:pPr>
        <w:pStyle w:val="Übersicht"/>
        <w:ind w:left="1701"/>
      </w:pPr>
      <w:hyperlink w:anchor="b71" w:history="1">
        <w:r>
          <w:rPr>
            <w:color w:val="0A3A8C"/>
            <w:u w:val="single"/>
          </w:rPr>
          <w:t xml:space="preserve">§ 71 Änderungen der Satzung</w:t>
        </w:r>
      </w:hyperlink>
    </w:p>
    <w:p>
      <w:pPr>
        <w:pStyle w:val="Übersicht"/>
        <w:ind w:left="1701"/>
      </w:pPr>
      <w:hyperlink w:anchor="b72" w:history="1">
        <w:r>
          <w:rPr>
            <w:color w:val="0A3A8C"/>
            <w:u w:val="single"/>
          </w:rPr>
          <w:t xml:space="preserve">§ 72 Bescheinigung der Mitgliederzahl</w:t>
        </w:r>
      </w:hyperlink>
    </w:p>
    <w:p>
      <w:pPr>
        <w:pStyle w:val="Übersicht"/>
        <w:ind w:left="1701"/>
      </w:pPr>
      <w:hyperlink w:anchor="b73" w:history="1">
        <w:r>
          <w:rPr>
            <w:color w:val="0A3A8C"/>
            <w:u w:val="single"/>
          </w:rPr>
          <w:t xml:space="preserve">§ 73 Unterschreiten der Mindestmitgliederzahl</w:t>
        </w:r>
      </w:hyperlink>
    </w:p>
    <w:p>
      <w:pPr>
        <w:pStyle w:val="Übersicht"/>
        <w:ind w:left="1701"/>
      </w:pPr>
      <w:hyperlink w:anchor="b74" w:history="1">
        <w:r>
          <w:rPr>
            <w:color w:val="0A3A8C"/>
            <w:u w:val="single"/>
          </w:rPr>
          <w:t xml:space="preserve">§ 74 Auflösung</w:t>
        </w:r>
      </w:hyperlink>
    </w:p>
    <w:p>
      <w:pPr>
        <w:pStyle w:val="Übersicht"/>
        <w:ind w:left="1701"/>
      </w:pPr>
      <w:hyperlink w:anchor="b75" w:history="1">
        <w:r>
          <w:rPr>
            <w:color w:val="0A3A8C"/>
            <w:u w:val="single"/>
          </w:rPr>
          <w:t xml:space="preserve">§ 75 Eintragungen bei Insolvenz</w:t>
        </w:r>
      </w:hyperlink>
    </w:p>
    <w:p>
      <w:pPr>
        <w:pStyle w:val="Übersicht"/>
        <w:ind w:left="1701"/>
      </w:pPr>
      <w:hyperlink w:anchor="b76" w:history="1">
        <w:r>
          <w:rPr>
            <w:color w:val="0A3A8C"/>
            <w:u w:val="single"/>
          </w:rPr>
          <w:t xml:space="preserve">§ 76 Eintragungen bei Liquidation</w:t>
        </w:r>
      </w:hyperlink>
    </w:p>
    <w:p>
      <w:pPr>
        <w:pStyle w:val="Übersicht"/>
        <w:ind w:left="1701"/>
      </w:pPr>
      <w:hyperlink w:anchor="b77" w:history="1">
        <w:r>
          <w:rPr>
            <w:color w:val="0A3A8C"/>
            <w:u w:val="single"/>
          </w:rPr>
          <w:t xml:space="preserve">§ 77 Anmeldepflichtige und Form der Anmeldungen</w:t>
        </w:r>
      </w:hyperlink>
    </w:p>
    <w:p>
      <w:pPr>
        <w:pStyle w:val="Übersicht"/>
        <w:ind w:left="1701"/>
      </w:pPr>
      <w:hyperlink w:anchor="b78" w:history="1">
        <w:r>
          <w:rPr>
            <w:color w:val="0A3A8C"/>
            <w:u w:val="single"/>
          </w:rPr>
          <w:t xml:space="preserve">§ 78 Festsetzung von Zwangsgeld</w:t>
        </w:r>
      </w:hyperlink>
    </w:p>
    <w:p>
      <w:pPr>
        <w:pStyle w:val="Übersicht"/>
        <w:ind w:left="1701"/>
      </w:pPr>
      <w:hyperlink w:anchor="b79" w:history="1">
        <w:r>
          <w:rPr>
            <w:color w:val="0A3A8C"/>
            <w:u w:val="single"/>
          </w:rPr>
          <w:t xml:space="preserve">§ 79 Einsicht in das Vereinsregister</w:t>
        </w:r>
      </w:hyperlink>
    </w:p>
    <w:p>
      <w:pPr>
        <w:pStyle w:val="Übersicht"/>
        <w:ind w:left="1701"/>
      </w:pPr>
      <w:hyperlink w:anchor="b80" w:history="1">
        <w:r>
          <w:rPr>
            <w:color w:val="0A3A8C"/>
            <w:u w:val="single"/>
          </w:rPr>
          <w:t xml:space="preserve">§ 79a Anwendung der Verordnung (EU) 2016/679 im Registerverfahren</w:t>
        </w:r>
      </w:hyperlink>
    </w:p>
    <w:p>
      <w:pPr>
        <w:pStyle w:val="Übersicht"/>
        <w:ind w:left="1020"/>
      </w:pPr>
      <w:hyperlink w:anchor="b81" w:history="1">
        <w:r>
          <w:rPr>
            <w:b/>
            <w:color w:val="0A3A8C"/>
            <w:u w:val="single"/>
          </w:rPr>
          <w:t xml:space="preserve">Untertitel 2 Rechtsfähige Stiftungen</w:t>
        </w:r>
      </w:hyperlink>
    </w:p>
    <w:p>
      <w:pPr>
        <w:pStyle w:val="Übersicht"/>
        <w:ind w:left="1361"/>
      </w:pPr>
      <w:hyperlink w:anchor="b82" w:history="1">
        <w:r>
          <w:rPr>
            <w:color w:val="0A3A8C"/>
            <w:u w:val="single"/>
          </w:rPr>
          <w:t xml:space="preserve">§ 80 Ausgestaltung und Entstehung der Stiftung</w:t>
        </w:r>
      </w:hyperlink>
    </w:p>
    <w:p>
      <w:pPr>
        <w:pStyle w:val="Übersicht"/>
        <w:ind w:left="1361"/>
      </w:pPr>
      <w:hyperlink w:anchor="b83" w:history="1">
        <w:r>
          <w:rPr>
            <w:color w:val="0A3A8C"/>
            <w:u w:val="single"/>
          </w:rPr>
          <w:t xml:space="preserve">§ 81 Stiftungsgeschäft</w:t>
        </w:r>
      </w:hyperlink>
    </w:p>
    <w:p>
      <w:pPr>
        <w:pStyle w:val="Übersicht"/>
        <w:ind w:left="1361"/>
      </w:pPr>
      <w:hyperlink w:anchor="b84" w:history="1">
        <w:r>
          <w:rPr>
            <w:color w:val="0A3A8C"/>
            <w:u w:val="single"/>
          </w:rPr>
          <w:t xml:space="preserve">§ 81a Widerruf des Stiftungsgeschäfts</w:t>
        </w:r>
      </w:hyperlink>
    </w:p>
    <w:p>
      <w:pPr>
        <w:pStyle w:val="Übersicht"/>
        <w:ind w:left="1361"/>
      </w:pPr>
      <w:hyperlink w:anchor="b85" w:history="1">
        <w:r>
          <w:rPr>
            <w:color w:val="0A3A8C"/>
            <w:u w:val="single"/>
          </w:rPr>
          <w:t xml:space="preserve">§ 82 Anerkennung der Stiftung</w:t>
        </w:r>
      </w:hyperlink>
    </w:p>
    <w:p>
      <w:pPr>
        <w:pStyle w:val="Übersicht"/>
        <w:ind w:left="1361"/>
      </w:pPr>
      <w:hyperlink w:anchor="b86" w:history="1">
        <w:r>
          <w:rPr>
            <w:color w:val="0A3A8C"/>
            <w:u w:val="single"/>
          </w:rPr>
          <w:t xml:space="preserve">§ 82a Übertragung und Übergang des gewidmeten Vermögens</w:t>
        </w:r>
      </w:hyperlink>
    </w:p>
    <w:p>
      <w:pPr>
        <w:pStyle w:val="Übersicht"/>
        <w:ind w:left="1361"/>
      </w:pPr>
      <w:hyperlink w:anchor="b87" w:history="1">
        <w:r>
          <w:rPr>
            <w:color w:val="0A3A8C"/>
            <w:u w:val="single"/>
          </w:rPr>
          <w:t xml:space="preserve">§ 83 Stiftungsverfassung und Stifterwille</w:t>
        </w:r>
      </w:hyperlink>
    </w:p>
    <w:p>
      <w:pPr>
        <w:pStyle w:val="Übersicht"/>
        <w:ind w:left="1361"/>
      </w:pPr>
      <w:hyperlink w:anchor="b88" w:history="1">
        <w:r>
          <w:rPr>
            <w:color w:val="0A3A8C"/>
            <w:u w:val="single"/>
          </w:rPr>
          <w:t xml:space="preserve">§ 83a Verwaltungssitz der Stiftung</w:t>
        </w:r>
      </w:hyperlink>
    </w:p>
    <w:p>
      <w:pPr>
        <w:pStyle w:val="Übersicht"/>
        <w:ind w:left="1361"/>
      </w:pPr>
      <w:hyperlink w:anchor="b89" w:history="1">
        <w:r>
          <w:rPr>
            <w:color w:val="0A3A8C"/>
            <w:u w:val="single"/>
          </w:rPr>
          <w:t xml:space="preserve">§ 83b Stiftungsvermögen</w:t>
        </w:r>
      </w:hyperlink>
    </w:p>
    <w:p>
      <w:pPr>
        <w:pStyle w:val="Übersicht"/>
        <w:ind w:left="1361"/>
      </w:pPr>
      <w:hyperlink w:anchor="b90" w:history="1">
        <w:r>
          <w:rPr>
            <w:color w:val="0A3A8C"/>
            <w:u w:val="single"/>
          </w:rPr>
          <w:t xml:space="preserve">§ 83c Verwaltung des Grundstockvermögens</w:t>
        </w:r>
      </w:hyperlink>
    </w:p>
    <w:p>
      <w:pPr>
        <w:pStyle w:val="Übersicht"/>
        <w:ind w:left="1361"/>
      </w:pPr>
      <w:hyperlink w:anchor="b91" w:history="1">
        <w:r>
          <w:rPr>
            <w:color w:val="0A3A8C"/>
            <w:u w:val="single"/>
          </w:rPr>
          <w:t xml:space="preserve">§ 84 Stiftungsorgane</w:t>
        </w:r>
      </w:hyperlink>
    </w:p>
    <w:p>
      <w:pPr>
        <w:pStyle w:val="Übersicht"/>
        <w:ind w:left="1361"/>
      </w:pPr>
      <w:hyperlink w:anchor="b92" w:history="1">
        <w:r>
          <w:rPr>
            <w:color w:val="0A3A8C"/>
            <w:u w:val="single"/>
          </w:rPr>
          <w:t xml:space="preserve">§ 84a Rechte und Pflichten der Organmitglieder</w:t>
        </w:r>
      </w:hyperlink>
    </w:p>
    <w:p>
      <w:pPr>
        <w:pStyle w:val="Übersicht"/>
        <w:ind w:left="1361"/>
      </w:pPr>
      <w:hyperlink w:anchor="b93" w:history="1">
        <w:r>
          <w:rPr>
            <w:color w:val="0A3A8C"/>
            <w:u w:val="single"/>
          </w:rPr>
          <w:t xml:space="preserve">§ 84b Beschlussfassung der Organe</w:t>
        </w:r>
      </w:hyperlink>
    </w:p>
    <w:p>
      <w:pPr>
        <w:pStyle w:val="Übersicht"/>
        <w:ind w:left="1361"/>
      </w:pPr>
      <w:hyperlink w:anchor="b94" w:history="1">
        <w:r>
          <w:rPr>
            <w:color w:val="0A3A8C"/>
            <w:u w:val="single"/>
          </w:rPr>
          <w:t xml:space="preserve">§ 84c Notmaßnahmen bei fehlenden Organmitgliedern</w:t>
        </w:r>
      </w:hyperlink>
    </w:p>
    <w:p>
      <w:pPr>
        <w:pStyle w:val="Übersicht"/>
        <w:ind w:left="1361"/>
      </w:pPr>
      <w:hyperlink w:anchor="b95" w:history="1">
        <w:r>
          <w:rPr>
            <w:color w:val="0A3A8C"/>
            <w:u w:val="single"/>
          </w:rPr>
          <w:t xml:space="preserve">§ 85 Voraussetzungen für Satzungsänderungen</w:t>
        </w:r>
      </w:hyperlink>
    </w:p>
    <w:p>
      <w:pPr>
        <w:pStyle w:val="Übersicht"/>
        <w:ind w:left="1361"/>
      </w:pPr>
      <w:hyperlink w:anchor="b96" w:history="1">
        <w:r>
          <w:rPr>
            <w:color w:val="0A3A8C"/>
            <w:u w:val="single"/>
          </w:rPr>
          <w:t xml:space="preserve">§ 85a Verfahren bei Satzungsänderungen</w:t>
        </w:r>
      </w:hyperlink>
    </w:p>
    <w:p>
      <w:pPr>
        <w:pStyle w:val="Übersicht"/>
        <w:ind w:left="1361"/>
      </w:pPr>
      <w:hyperlink w:anchor="b97" w:history="1">
        <w:r>
          <w:rPr>
            <w:color w:val="0A3A8C"/>
            <w:u w:val="single"/>
          </w:rPr>
          <w:t xml:space="preserve">§ 86 Voraussetzungen für die Zulegung</w:t>
        </w:r>
      </w:hyperlink>
    </w:p>
    <w:p>
      <w:pPr>
        <w:pStyle w:val="Übersicht"/>
        <w:ind w:left="1361"/>
      </w:pPr>
      <w:hyperlink w:anchor="b98" w:history="1">
        <w:r>
          <w:rPr>
            <w:color w:val="0A3A8C"/>
            <w:u w:val="single"/>
          </w:rPr>
          <w:t xml:space="preserve">§ 86a Voraussetzungen für die Zusammenlegung</w:t>
        </w:r>
      </w:hyperlink>
    </w:p>
    <w:p>
      <w:pPr>
        <w:pStyle w:val="Übersicht"/>
        <w:ind w:left="1361"/>
      </w:pPr>
      <w:hyperlink w:anchor="b99" w:history="1">
        <w:r>
          <w:rPr>
            <w:color w:val="0A3A8C"/>
            <w:u w:val="single"/>
          </w:rPr>
          <w:t xml:space="preserve">§ 86b Verfahren der Zulegung und der Zusammenlegung</w:t>
        </w:r>
      </w:hyperlink>
    </w:p>
    <w:p>
      <w:pPr>
        <w:pStyle w:val="Übersicht"/>
        <w:ind w:left="1361"/>
      </w:pPr>
      <w:hyperlink w:anchor="b100" w:history="1">
        <w:r>
          <w:rPr>
            <w:color w:val="0A3A8C"/>
            <w:u w:val="single"/>
          </w:rPr>
          <w:t xml:space="preserve">§ 86c Zulegungsvertrag und Zusammenlegungsvertrag</w:t>
        </w:r>
      </w:hyperlink>
    </w:p>
    <w:p>
      <w:pPr>
        <w:pStyle w:val="Übersicht"/>
        <w:ind w:left="1361"/>
      </w:pPr>
      <w:hyperlink w:anchor="b101" w:history="1">
        <w:r>
          <w:rPr>
            <w:color w:val="0A3A8C"/>
            <w:u w:val="single"/>
          </w:rPr>
          <w:t xml:space="preserve">§ 86d Form des Zulegungsvertrags und des Zusammenlegungsvertrags</w:t>
        </w:r>
      </w:hyperlink>
    </w:p>
    <w:p>
      <w:pPr>
        <w:pStyle w:val="Übersicht"/>
        <w:ind w:left="1361"/>
      </w:pPr>
      <w:hyperlink w:anchor="b102" w:history="1">
        <w:r>
          <w:rPr>
            <w:color w:val="0A3A8C"/>
            <w:u w:val="single"/>
          </w:rPr>
          <w:t xml:space="preserve">§ 86e Behördliche Zulegungsentscheidung und Zusammenlegungsentscheidung</w:t>
        </w:r>
      </w:hyperlink>
    </w:p>
    <w:p>
      <w:pPr>
        <w:pStyle w:val="Übersicht"/>
        <w:ind w:left="1361"/>
      </w:pPr>
      <w:hyperlink w:anchor="b103" w:history="1">
        <w:r>
          <w:rPr>
            <w:color w:val="0A3A8C"/>
            <w:u w:val="single"/>
          </w:rPr>
          <w:t xml:space="preserve">§ 86f Wirkungen der Zulegung und der Zusammenlegung</w:t>
        </w:r>
      </w:hyperlink>
    </w:p>
    <w:p>
      <w:pPr>
        <w:pStyle w:val="Übersicht"/>
        <w:ind w:left="1361"/>
      </w:pPr>
      <w:hyperlink w:anchor="b104" w:history="1">
        <w:r>
          <w:rPr>
            <w:color w:val="0A3A8C"/>
            <w:u w:val="single"/>
          </w:rPr>
          <w:t xml:space="preserve">§ 86g Bekanntmachung der Zulegung und der Zusammenlegung</w:t>
        </w:r>
      </w:hyperlink>
    </w:p>
    <w:p>
      <w:pPr>
        <w:pStyle w:val="Übersicht"/>
        <w:ind w:left="1361"/>
      </w:pPr>
      <w:hyperlink w:anchor="b105" w:history="1">
        <w:r>
          <w:rPr>
            <w:color w:val="0A3A8C"/>
            <w:u w:val="single"/>
          </w:rPr>
          <w:t xml:space="preserve">§ 86h Gläubigerschutz</w:t>
        </w:r>
      </w:hyperlink>
    </w:p>
    <w:p>
      <w:pPr>
        <w:pStyle w:val="Übersicht"/>
        <w:ind w:left="1361"/>
      </w:pPr>
      <w:hyperlink w:anchor="b106" w:history="1">
        <w:r>
          <w:rPr>
            <w:color w:val="0A3A8C"/>
            <w:u w:val="single"/>
          </w:rPr>
          <w:t xml:space="preserve">§ 87 Auflösung der Stiftung durch die Stiftungsorgane</w:t>
        </w:r>
      </w:hyperlink>
    </w:p>
    <w:p>
      <w:pPr>
        <w:pStyle w:val="Übersicht"/>
        <w:ind w:left="1361"/>
      </w:pPr>
      <w:hyperlink w:anchor="b107" w:history="1">
        <w:r>
          <w:rPr>
            <w:color w:val="0A3A8C"/>
            <w:u w:val="single"/>
          </w:rPr>
          <w:t xml:space="preserve">§ 87a Aufhebung der Stiftung</w:t>
        </w:r>
      </w:hyperlink>
    </w:p>
    <w:p>
      <w:pPr>
        <w:pStyle w:val="Übersicht"/>
        <w:ind w:left="1361"/>
      </w:pPr>
      <w:hyperlink w:anchor="b108" w:history="1">
        <w:r>
          <w:rPr>
            <w:color w:val="0A3A8C"/>
            <w:u w:val="single"/>
          </w:rPr>
          <w:t xml:space="preserve">§ 87b Auflösung der Stiftung bei Insolvenz</w:t>
        </w:r>
      </w:hyperlink>
    </w:p>
    <w:p>
      <w:pPr>
        <w:pStyle w:val="Übersicht"/>
        <w:ind w:left="1361"/>
      </w:pPr>
      <w:hyperlink w:anchor="b109" w:history="1">
        <w:r>
          <w:rPr>
            <w:color w:val="0A3A8C"/>
            <w:u w:val="single"/>
          </w:rPr>
          <w:t xml:space="preserve">§ 87c Vermögensanfall und Liquidation</w:t>
        </w:r>
      </w:hyperlink>
    </w:p>
    <w:p>
      <w:pPr>
        <w:pStyle w:val="Übersicht"/>
        <w:ind w:left="1361"/>
      </w:pPr>
      <w:hyperlink w:anchor="b110" w:history="1">
        <w:r>
          <w:rPr>
            <w:color w:val="0A3A8C"/>
            <w:u w:val="single"/>
          </w:rPr>
          <w:t xml:space="preserve">§ 88 Kirchliche Stiftungen</w:t>
        </w:r>
      </w:hyperlink>
    </w:p>
    <w:p>
      <w:pPr>
        <w:pStyle w:val="Übersicht"/>
        <w:ind w:left="1020"/>
      </w:pPr>
      <w:hyperlink w:anchor="b111" w:history="1">
        <w:r>
          <w:rPr>
            <w:b/>
            <w:color w:val="0A3A8C"/>
            <w:u w:val="single"/>
          </w:rPr>
          <w:t xml:space="preserve">Untertitel 3 Juristische Personen des
öffentlichen Rechts</w:t>
        </w:r>
      </w:hyperlink>
    </w:p>
    <w:p>
      <w:pPr>
        <w:pStyle w:val="Übersicht"/>
        <w:ind w:left="1361"/>
      </w:pPr>
      <w:hyperlink w:anchor="b112" w:history="1">
        <w:r>
          <w:rPr>
            <w:color w:val="0A3A8C"/>
            <w:u w:val="single"/>
          </w:rPr>
          <w:t xml:space="preserve">§ 89 Haftung für Organe; Insolvenz</w:t>
        </w:r>
      </w:hyperlink>
    </w:p>
    <w:p>
      <w:pPr>
        <w:pStyle w:val="Übersicht"/>
        <w:ind w:left="340"/>
      </w:pPr>
      <w:hyperlink w:anchor="b113" w:history="1">
        <w:r>
          <w:rPr>
            <w:b/>
            <w:color w:val="0A3A8C"/>
            <w:u w:val="single"/>
          </w:rPr>
          <w:t xml:space="preserve">Abschnitt 2 Sachen und Tiere</w:t>
        </w:r>
      </w:hyperlink>
    </w:p>
    <w:p>
      <w:pPr>
        <w:pStyle w:val="Übersicht"/>
        <w:ind w:left="680"/>
      </w:pPr>
      <w:hyperlink w:anchor="b114" w:history="1">
        <w:r>
          <w:rPr>
            <w:color w:val="0A3A8C"/>
            <w:u w:val="single"/>
          </w:rPr>
          <w:t xml:space="preserve">§ 90 Begriff der Sache</w:t>
        </w:r>
      </w:hyperlink>
    </w:p>
    <w:p>
      <w:pPr>
        <w:pStyle w:val="Übersicht"/>
        <w:ind w:left="680"/>
      </w:pPr>
      <w:hyperlink w:anchor="b115" w:history="1">
        <w:r>
          <w:rPr>
            <w:color w:val="0A3A8C"/>
            <w:u w:val="single"/>
          </w:rPr>
          <w:t xml:space="preserve">§ 90a Tiere</w:t>
        </w:r>
      </w:hyperlink>
    </w:p>
    <w:p>
      <w:pPr>
        <w:pStyle w:val="Übersicht"/>
        <w:ind w:left="680"/>
      </w:pPr>
      <w:hyperlink w:anchor="b116" w:history="1">
        <w:r>
          <w:rPr>
            <w:color w:val="0A3A8C"/>
            <w:u w:val="single"/>
          </w:rPr>
          <w:t xml:space="preserve">§ 91 Vertretbare Sachen</w:t>
        </w:r>
      </w:hyperlink>
    </w:p>
    <w:p>
      <w:pPr>
        <w:pStyle w:val="Übersicht"/>
        <w:ind w:left="680"/>
      </w:pPr>
      <w:hyperlink w:anchor="b117" w:history="1">
        <w:r>
          <w:rPr>
            <w:color w:val="0A3A8C"/>
            <w:u w:val="single"/>
          </w:rPr>
          <w:t xml:space="preserve">§ 92 Verbrauchbare Sachen</w:t>
        </w:r>
      </w:hyperlink>
    </w:p>
    <w:p>
      <w:pPr>
        <w:pStyle w:val="Übersicht"/>
        <w:ind w:left="680"/>
      </w:pPr>
      <w:hyperlink w:anchor="b118" w:history="1">
        <w:r>
          <w:rPr>
            <w:color w:val="0A3A8C"/>
            <w:u w:val="single"/>
          </w:rPr>
          <w:t xml:space="preserve">§ 93 Wesentliche Bestandteile einer Sache</w:t>
        </w:r>
      </w:hyperlink>
    </w:p>
    <w:p>
      <w:pPr>
        <w:pStyle w:val="Übersicht"/>
        <w:ind w:left="680"/>
      </w:pPr>
      <w:hyperlink w:anchor="b119" w:history="1">
        <w:r>
          <w:rPr>
            <w:color w:val="0A3A8C"/>
            <w:u w:val="single"/>
          </w:rPr>
          <w:t xml:space="preserve">§ 94 Wesentliche Bestandteile eines Grundstücks oder Gebäudes</w:t>
        </w:r>
      </w:hyperlink>
    </w:p>
    <w:p>
      <w:pPr>
        <w:pStyle w:val="Übersicht"/>
        <w:ind w:left="680"/>
      </w:pPr>
      <w:hyperlink w:anchor="b120" w:history="1">
        <w:r>
          <w:rPr>
            <w:color w:val="0A3A8C"/>
            <w:u w:val="single"/>
          </w:rPr>
          <w:t xml:space="preserve">§ 95 Nur vorübergehender Zweck</w:t>
        </w:r>
      </w:hyperlink>
    </w:p>
    <w:p>
      <w:pPr>
        <w:pStyle w:val="Übersicht"/>
        <w:ind w:left="680"/>
      </w:pPr>
      <w:hyperlink w:anchor="b121" w:history="1">
        <w:r>
          <w:rPr>
            <w:color w:val="0A3A8C"/>
            <w:u w:val="single"/>
          </w:rPr>
          <w:t xml:space="preserve">§ 96 Rechte als Bestandteile eines Grundstücks</w:t>
        </w:r>
      </w:hyperlink>
    </w:p>
    <w:p>
      <w:pPr>
        <w:pStyle w:val="Übersicht"/>
        <w:ind w:left="680"/>
      </w:pPr>
      <w:hyperlink w:anchor="b122" w:history="1">
        <w:r>
          <w:rPr>
            <w:color w:val="0A3A8C"/>
            <w:u w:val="single"/>
          </w:rPr>
          <w:t xml:space="preserve">§ 97 Zubehör</w:t>
        </w:r>
      </w:hyperlink>
    </w:p>
    <w:p>
      <w:pPr>
        <w:pStyle w:val="Übersicht"/>
        <w:ind w:left="680"/>
      </w:pPr>
      <w:hyperlink w:anchor="b123" w:history="1">
        <w:r>
          <w:rPr>
            <w:color w:val="0A3A8C"/>
            <w:u w:val="single"/>
          </w:rPr>
          <w:t xml:space="preserve">§ 98 Gewerbliches und landwirtschaftliches Inventar</w:t>
        </w:r>
      </w:hyperlink>
    </w:p>
    <w:p>
      <w:pPr>
        <w:pStyle w:val="Übersicht"/>
        <w:ind w:left="680"/>
      </w:pPr>
      <w:hyperlink w:anchor="b124" w:history="1">
        <w:r>
          <w:rPr>
            <w:color w:val="0A3A8C"/>
            <w:u w:val="single"/>
          </w:rPr>
          <w:t xml:space="preserve">§ 99 Früchte</w:t>
        </w:r>
      </w:hyperlink>
    </w:p>
    <w:p>
      <w:pPr>
        <w:pStyle w:val="Übersicht"/>
        <w:ind w:left="680"/>
      </w:pPr>
      <w:hyperlink w:anchor="b125" w:history="1">
        <w:r>
          <w:rPr>
            <w:color w:val="0A3A8C"/>
            <w:u w:val="single"/>
          </w:rPr>
          <w:t xml:space="preserve">§ 100 Nutzungen</w:t>
        </w:r>
      </w:hyperlink>
    </w:p>
    <w:p>
      <w:pPr>
        <w:pStyle w:val="Übersicht"/>
        <w:ind w:left="680"/>
      </w:pPr>
      <w:hyperlink w:anchor="b126" w:history="1">
        <w:r>
          <w:rPr>
            <w:color w:val="0A3A8C"/>
            <w:u w:val="single"/>
          </w:rPr>
          <w:t xml:space="preserve">§ 101 Verteilung der Früchte</w:t>
        </w:r>
      </w:hyperlink>
    </w:p>
    <w:p>
      <w:pPr>
        <w:pStyle w:val="Übersicht"/>
        <w:ind w:left="680"/>
      </w:pPr>
      <w:hyperlink w:anchor="b127" w:history="1">
        <w:r>
          <w:rPr>
            <w:color w:val="0A3A8C"/>
            <w:u w:val="single"/>
          </w:rPr>
          <w:t xml:space="preserve">§ 102 Ersatz der Gewinnungskosten</w:t>
        </w:r>
      </w:hyperlink>
    </w:p>
    <w:p>
      <w:pPr>
        <w:pStyle w:val="Übersicht"/>
        <w:ind w:left="680"/>
      </w:pPr>
      <w:hyperlink w:anchor="b128" w:history="1">
        <w:r>
          <w:rPr>
            <w:color w:val="0A3A8C"/>
            <w:u w:val="single"/>
          </w:rPr>
          <w:t xml:space="preserve">§ 103 Verteilung der Lasten</w:t>
        </w:r>
      </w:hyperlink>
    </w:p>
    <w:p>
      <w:pPr>
        <w:pStyle w:val="Übersicht"/>
        <w:ind w:left="340"/>
      </w:pPr>
      <w:hyperlink w:anchor="b129" w:history="1">
        <w:r>
          <w:rPr>
            <w:b/>
            <w:color w:val="0A3A8C"/>
            <w:u w:val="single"/>
          </w:rPr>
          <w:t xml:space="preserve">Abschnitt 3 Rechtsgeschäfte</w:t>
        </w:r>
      </w:hyperlink>
    </w:p>
    <w:p>
      <w:pPr>
        <w:pStyle w:val="Übersicht"/>
        <w:ind w:left="680"/>
      </w:pPr>
      <w:hyperlink w:anchor="b130" w:history="1">
        <w:r>
          <w:rPr>
            <w:b/>
            <w:color w:val="0A3A8C"/>
            <w:u w:val="single"/>
          </w:rPr>
          <w:t xml:space="preserve">Titel 1 Geschäftsfähigkeit</w:t>
        </w:r>
      </w:hyperlink>
    </w:p>
    <w:p>
      <w:pPr>
        <w:pStyle w:val="Übersicht"/>
        <w:ind w:left="1020"/>
      </w:pPr>
      <w:hyperlink w:anchor="b131" w:history="1">
        <w:r>
          <w:rPr>
            <w:color w:val="0A3A8C"/>
            <w:u w:val="single"/>
          </w:rPr>
          <w:t xml:space="preserve">§ 104 Geschäftsunfähigkeit</w:t>
        </w:r>
      </w:hyperlink>
    </w:p>
    <w:p>
      <w:pPr>
        <w:pStyle w:val="Übersicht"/>
        <w:ind w:left="1020"/>
      </w:pPr>
      <w:hyperlink w:anchor="b132" w:history="1">
        <w:r>
          <w:rPr>
            <w:color w:val="0A3A8C"/>
            <w:u w:val="single"/>
          </w:rPr>
          <w:t xml:space="preserve">§ 105 Nichtigkeit der Willenserklärung</w:t>
        </w:r>
      </w:hyperlink>
    </w:p>
    <w:p>
      <w:pPr>
        <w:pStyle w:val="Übersicht"/>
        <w:ind w:left="1020"/>
      </w:pPr>
      <w:hyperlink w:anchor="b133" w:history="1">
        <w:r>
          <w:rPr>
            <w:color w:val="0A3A8C"/>
            <w:u w:val="single"/>
          </w:rPr>
          <w:t xml:space="preserve">§ 105a Geschäfte des täglichen Lebens</w:t>
        </w:r>
      </w:hyperlink>
    </w:p>
    <w:p>
      <w:pPr>
        <w:pStyle w:val="Übersicht"/>
        <w:ind w:left="1020"/>
      </w:pPr>
      <w:hyperlink w:anchor="b134" w:history="1">
        <w:r>
          <w:rPr>
            <w:color w:val="0A3A8C"/>
            <w:u w:val="single"/>
          </w:rPr>
          <w:t xml:space="preserve">§ 106 Beschränkte Geschäftsfähigkeit Minderjähriger</w:t>
        </w:r>
      </w:hyperlink>
    </w:p>
    <w:p>
      <w:pPr>
        <w:pStyle w:val="Übersicht"/>
        <w:ind w:left="1020"/>
      </w:pPr>
      <w:hyperlink w:anchor="b135" w:history="1">
        <w:r>
          <w:rPr>
            <w:color w:val="0A3A8C"/>
            <w:u w:val="single"/>
          </w:rPr>
          <w:t xml:space="preserve">§ 107 Einwilligung des gesetzlichen Vertreters</w:t>
        </w:r>
      </w:hyperlink>
    </w:p>
    <w:p>
      <w:pPr>
        <w:pStyle w:val="Übersicht"/>
        <w:ind w:left="1020"/>
      </w:pPr>
      <w:hyperlink w:anchor="b136" w:history="1">
        <w:r>
          <w:rPr>
            <w:color w:val="0A3A8C"/>
            <w:u w:val="single"/>
          </w:rPr>
          <w:t xml:space="preserve">§ 108 Vertragsschluss ohne Einwilligung</w:t>
        </w:r>
      </w:hyperlink>
    </w:p>
    <w:p>
      <w:pPr>
        <w:pStyle w:val="Übersicht"/>
        <w:ind w:left="1020"/>
      </w:pPr>
      <w:hyperlink w:anchor="b137" w:history="1">
        <w:r>
          <w:rPr>
            <w:color w:val="0A3A8C"/>
            <w:u w:val="single"/>
          </w:rPr>
          <w:t xml:space="preserve">§ 109 Widerrufsrecht des anderen Teils</w:t>
        </w:r>
      </w:hyperlink>
    </w:p>
    <w:p>
      <w:pPr>
        <w:pStyle w:val="Übersicht"/>
        <w:ind w:left="1020"/>
      </w:pPr>
      <w:hyperlink w:anchor="b138" w:history="1">
        <w:r>
          <w:rPr>
            <w:color w:val="0A3A8C"/>
            <w:u w:val="single"/>
          </w:rPr>
          <w:t xml:space="preserve">§ 110 Bewirken der Leistung mit eigenen Mitteln</w:t>
        </w:r>
      </w:hyperlink>
    </w:p>
    <w:p>
      <w:pPr>
        <w:pStyle w:val="Übersicht"/>
        <w:ind w:left="1020"/>
      </w:pPr>
      <w:hyperlink w:anchor="b139" w:history="1">
        <w:r>
          <w:rPr>
            <w:color w:val="0A3A8C"/>
            <w:u w:val="single"/>
          </w:rPr>
          <w:t xml:space="preserve">§ 111 Einseitige Rechtsgeschäfte</w:t>
        </w:r>
      </w:hyperlink>
    </w:p>
    <w:p>
      <w:pPr>
        <w:pStyle w:val="Übersicht"/>
        <w:ind w:left="1020"/>
      </w:pPr>
      <w:hyperlink w:anchor="b140" w:history="1">
        <w:r>
          <w:rPr>
            <w:color w:val="0A3A8C"/>
            <w:u w:val="single"/>
          </w:rPr>
          <w:t xml:space="preserve">§ 112 Selbständiger Betrieb eines Erwerbsgeschäfts</w:t>
        </w:r>
      </w:hyperlink>
    </w:p>
    <w:p>
      <w:pPr>
        <w:pStyle w:val="Übersicht"/>
        <w:ind w:left="1020"/>
      </w:pPr>
      <w:hyperlink w:anchor="b141" w:history="1">
        <w:r>
          <w:rPr>
            <w:color w:val="0A3A8C"/>
            <w:u w:val="single"/>
          </w:rPr>
          <w:t xml:space="preserve">§ 113 Dienst- oder Arbeitsverhältnis</w:t>
        </w:r>
      </w:hyperlink>
    </w:p>
    <w:p>
      <w:pPr>
        <w:pStyle w:val="Übersicht"/>
        <w:ind w:left="1020"/>
      </w:pPr>
      <w:hyperlink w:anchor="b142" w:history="1">
        <w:r>
          <w:rPr>
            <w:color w:val="0A3A8C"/>
            <w:u w:val="single"/>
          </w:rPr>
          <w:t xml:space="preserve">§§ 114 und 115 (weggefallen)</w:t>
        </w:r>
      </w:hyperlink>
    </w:p>
    <w:p>
      <w:pPr>
        <w:pStyle w:val="Übersicht"/>
        <w:ind w:left="680"/>
      </w:pPr>
      <w:hyperlink w:anchor="b143" w:history="1">
        <w:r>
          <w:rPr>
            <w:b/>
            <w:color w:val="0A3A8C"/>
            <w:u w:val="single"/>
          </w:rPr>
          <w:t xml:space="preserve">Titel 2 Willenserklärung</w:t>
        </w:r>
      </w:hyperlink>
    </w:p>
    <w:p>
      <w:pPr>
        <w:pStyle w:val="Übersicht"/>
        <w:ind w:left="1020"/>
      </w:pPr>
      <w:hyperlink w:anchor="b144" w:history="1">
        <w:r>
          <w:rPr>
            <w:color w:val="0A3A8C"/>
            <w:u w:val="single"/>
          </w:rPr>
          <w:t xml:space="preserve">§ 116 Geheimer Vorbehalt</w:t>
        </w:r>
      </w:hyperlink>
    </w:p>
    <w:p>
      <w:pPr>
        <w:pStyle w:val="Übersicht"/>
        <w:ind w:left="1020"/>
      </w:pPr>
      <w:hyperlink w:anchor="b145" w:history="1">
        <w:r>
          <w:rPr>
            <w:color w:val="0A3A8C"/>
            <w:u w:val="single"/>
          </w:rPr>
          <w:t xml:space="preserve">§ 117 Scheingeschäft</w:t>
        </w:r>
      </w:hyperlink>
    </w:p>
    <w:p>
      <w:pPr>
        <w:pStyle w:val="Übersicht"/>
        <w:ind w:left="1020"/>
      </w:pPr>
      <w:hyperlink w:anchor="b146" w:history="1">
        <w:r>
          <w:rPr>
            <w:color w:val="0A3A8C"/>
            <w:u w:val="single"/>
          </w:rPr>
          <w:t xml:space="preserve">§ 118 Mangel der Ernstlichkeit</w:t>
        </w:r>
      </w:hyperlink>
    </w:p>
    <w:p>
      <w:pPr>
        <w:pStyle w:val="Übersicht"/>
        <w:ind w:left="1020"/>
      </w:pPr>
      <w:hyperlink w:anchor="b147" w:history="1">
        <w:r>
          <w:rPr>
            <w:color w:val="0A3A8C"/>
            <w:u w:val="single"/>
          </w:rPr>
          <w:t xml:space="preserve">§ 119 Anfechtbarkeit wegen Irrtums</w:t>
        </w:r>
      </w:hyperlink>
    </w:p>
    <w:p>
      <w:pPr>
        <w:pStyle w:val="Übersicht"/>
        <w:ind w:left="1020"/>
      </w:pPr>
      <w:hyperlink w:anchor="b148" w:history="1">
        <w:r>
          <w:rPr>
            <w:color w:val="0A3A8C"/>
            <w:u w:val="single"/>
          </w:rPr>
          <w:t xml:space="preserve">§ 120 Anfechtbarkeit wegen falscher Übermittlung</w:t>
        </w:r>
      </w:hyperlink>
    </w:p>
    <w:p>
      <w:pPr>
        <w:pStyle w:val="Übersicht"/>
        <w:ind w:left="1020"/>
      </w:pPr>
      <w:hyperlink w:anchor="b149" w:history="1">
        <w:r>
          <w:rPr>
            <w:color w:val="0A3A8C"/>
            <w:u w:val="single"/>
          </w:rPr>
          <w:t xml:space="preserve">§ 121 Anfechtungsfrist</w:t>
        </w:r>
      </w:hyperlink>
    </w:p>
    <w:p>
      <w:pPr>
        <w:pStyle w:val="Übersicht"/>
        <w:ind w:left="1020"/>
      </w:pPr>
      <w:hyperlink w:anchor="b150" w:history="1">
        <w:r>
          <w:rPr>
            <w:color w:val="0A3A8C"/>
            <w:u w:val="single"/>
          </w:rPr>
          <w:t xml:space="preserve">§ 122 Schadensersatzpflicht des Anfechtenden</w:t>
        </w:r>
      </w:hyperlink>
    </w:p>
    <w:p>
      <w:pPr>
        <w:pStyle w:val="Übersicht"/>
        <w:ind w:left="1020"/>
      </w:pPr>
      <w:hyperlink w:anchor="b151" w:history="1">
        <w:r>
          <w:rPr>
            <w:color w:val="0A3A8C"/>
            <w:u w:val="single"/>
          </w:rPr>
          <w:t xml:space="preserve">§ 123 Anfechtbarkeit wegen Täuschung oder Drohung</w:t>
        </w:r>
      </w:hyperlink>
    </w:p>
    <w:p>
      <w:pPr>
        <w:pStyle w:val="Übersicht"/>
        <w:ind w:left="1020"/>
      </w:pPr>
      <w:hyperlink w:anchor="b152" w:history="1">
        <w:r>
          <w:rPr>
            <w:color w:val="0A3A8C"/>
            <w:u w:val="single"/>
          </w:rPr>
          <w:t xml:space="preserve">§ 124 Anfechtungsfrist</w:t>
        </w:r>
      </w:hyperlink>
    </w:p>
    <w:p>
      <w:pPr>
        <w:pStyle w:val="Übersicht"/>
        <w:ind w:left="1020"/>
      </w:pPr>
      <w:hyperlink w:anchor="b153" w:history="1">
        <w:r>
          <w:rPr>
            <w:color w:val="0A3A8C"/>
            <w:u w:val="single"/>
          </w:rPr>
          <w:t xml:space="preserve">§ 125 Nichtigkeit wegen Formmangels</w:t>
        </w:r>
      </w:hyperlink>
    </w:p>
    <w:p>
      <w:pPr>
        <w:pStyle w:val="Übersicht"/>
        <w:ind w:left="1020"/>
      </w:pPr>
      <w:hyperlink w:anchor="b154" w:history="1">
        <w:r>
          <w:rPr>
            <w:color w:val="0A3A8C"/>
            <w:u w:val="single"/>
          </w:rPr>
          <w:t xml:space="preserve">§ 126 Schriftform</w:t>
        </w:r>
      </w:hyperlink>
    </w:p>
    <w:p>
      <w:pPr>
        <w:pStyle w:val="Übersicht"/>
        <w:ind w:left="1020"/>
      </w:pPr>
      <w:hyperlink w:anchor="b155" w:history="1">
        <w:r>
          <w:rPr>
            <w:color w:val="0A3A8C"/>
            <w:u w:val="single"/>
          </w:rPr>
          <w:t xml:space="preserve">§ 126a Elektronische Form</w:t>
        </w:r>
      </w:hyperlink>
    </w:p>
    <w:p>
      <w:pPr>
        <w:pStyle w:val="Übersicht"/>
        <w:ind w:left="1020"/>
      </w:pPr>
      <w:hyperlink w:anchor="b156" w:history="1">
        <w:r>
          <w:rPr>
            <w:color w:val="0A3A8C"/>
            <w:u w:val="single"/>
          </w:rPr>
          <w:t xml:space="preserve">§ 126b Textform</w:t>
        </w:r>
      </w:hyperlink>
    </w:p>
    <w:p>
      <w:pPr>
        <w:pStyle w:val="Übersicht"/>
        <w:ind w:left="1020"/>
      </w:pPr>
      <w:hyperlink w:anchor="b157" w:history="1">
        <w:r>
          <w:rPr>
            <w:color w:val="0A3A8C"/>
            <w:u w:val="single"/>
          </w:rPr>
          <w:t xml:space="preserve">§ 127 Vereinbarte Form</w:t>
        </w:r>
      </w:hyperlink>
    </w:p>
    <w:p>
      <w:pPr>
        <w:pStyle w:val="Übersicht"/>
        <w:ind w:left="1020"/>
      </w:pPr>
      <w:hyperlink w:anchor="b158" w:history="1">
        <w:r>
          <w:rPr>
            <w:color w:val="0A3A8C"/>
            <w:u w:val="single"/>
          </w:rPr>
          <w:t xml:space="preserve">§ 127a Gerichtlicher Vergleich</w:t>
        </w:r>
      </w:hyperlink>
    </w:p>
    <w:p>
      <w:pPr>
        <w:pStyle w:val="Übersicht"/>
        <w:ind w:left="1020"/>
      </w:pPr>
      <w:hyperlink w:anchor="b159" w:history="1">
        <w:r>
          <w:rPr>
            <w:color w:val="0A3A8C"/>
            <w:u w:val="single"/>
          </w:rPr>
          <w:t xml:space="preserve">§ 128 Notarielle Beurkundung</w:t>
        </w:r>
      </w:hyperlink>
    </w:p>
    <w:p>
      <w:pPr>
        <w:pStyle w:val="Übersicht"/>
        <w:ind w:left="1020"/>
      </w:pPr>
      <w:hyperlink w:anchor="b160" w:history="1">
        <w:r>
          <w:rPr>
            <w:color w:val="0A3A8C"/>
            <w:u w:val="single"/>
          </w:rPr>
          <w:t xml:space="preserve">§ 129 Öffentliche Beglaubigung</w:t>
        </w:r>
      </w:hyperlink>
    </w:p>
    <w:p>
      <w:pPr>
        <w:pStyle w:val="Übersicht"/>
        <w:ind w:left="1020"/>
      </w:pPr>
      <w:hyperlink w:anchor="b161" w:history="1">
        <w:r>
          <w:rPr>
            <w:color w:val="0A3A8C"/>
            <w:u w:val="single"/>
          </w:rPr>
          <w:t xml:space="preserve">§ 130 Wirksamwerden der Willenserklärung gegenüber Abwesenden</w:t>
        </w:r>
      </w:hyperlink>
    </w:p>
    <w:p>
      <w:pPr>
        <w:pStyle w:val="Übersicht"/>
        <w:ind w:left="1020"/>
      </w:pPr>
      <w:hyperlink w:anchor="b162" w:history="1">
        <w:r>
          <w:rPr>
            <w:color w:val="0A3A8C"/>
            <w:u w:val="single"/>
          </w:rPr>
          <w:t xml:space="preserve">§ 131 Wirksamwerden gegenüber nicht voll Geschäftsfähigen</w:t>
        </w:r>
      </w:hyperlink>
    </w:p>
    <w:p>
      <w:pPr>
        <w:pStyle w:val="Übersicht"/>
        <w:ind w:left="1020"/>
      </w:pPr>
      <w:hyperlink w:anchor="b163" w:history="1">
        <w:r>
          <w:rPr>
            <w:color w:val="0A3A8C"/>
            <w:u w:val="single"/>
          </w:rPr>
          <w:t xml:space="preserve">§ 132 Ersatz des Zugehens durch Zustellung</w:t>
        </w:r>
      </w:hyperlink>
    </w:p>
    <w:p>
      <w:pPr>
        <w:pStyle w:val="Übersicht"/>
        <w:ind w:left="1020"/>
      </w:pPr>
      <w:hyperlink w:anchor="b164" w:history="1">
        <w:r>
          <w:rPr>
            <w:color w:val="0A3A8C"/>
            <w:u w:val="single"/>
          </w:rPr>
          <w:t xml:space="preserve">§ 133 Auslegung einer Willenserklärung</w:t>
        </w:r>
      </w:hyperlink>
    </w:p>
    <w:p>
      <w:pPr>
        <w:pStyle w:val="Übersicht"/>
        <w:ind w:left="1020"/>
      </w:pPr>
      <w:hyperlink w:anchor="b165" w:history="1">
        <w:r>
          <w:rPr>
            <w:color w:val="0A3A8C"/>
            <w:u w:val="single"/>
          </w:rPr>
          <w:t xml:space="preserve">§ 134 Gesetzliches Verbot</w:t>
        </w:r>
      </w:hyperlink>
    </w:p>
    <w:p>
      <w:pPr>
        <w:pStyle w:val="Übersicht"/>
        <w:ind w:left="1020"/>
      </w:pPr>
      <w:hyperlink w:anchor="b166" w:history="1">
        <w:r>
          <w:rPr>
            <w:color w:val="0A3A8C"/>
            <w:u w:val="single"/>
          </w:rPr>
          <w:t xml:space="preserve">§ 135 Gesetzliches Veräußerungsverbot</w:t>
        </w:r>
      </w:hyperlink>
    </w:p>
    <w:p>
      <w:pPr>
        <w:pStyle w:val="Übersicht"/>
        <w:ind w:left="1020"/>
      </w:pPr>
      <w:hyperlink w:anchor="b167" w:history="1">
        <w:r>
          <w:rPr>
            <w:color w:val="0A3A8C"/>
            <w:u w:val="single"/>
          </w:rPr>
          <w:t xml:space="preserve">§ 136 Behördliches Veräußerungsverbot</w:t>
        </w:r>
      </w:hyperlink>
    </w:p>
    <w:p>
      <w:pPr>
        <w:pStyle w:val="Übersicht"/>
        <w:ind w:left="1020"/>
      </w:pPr>
      <w:hyperlink w:anchor="b168" w:history="1">
        <w:r>
          <w:rPr>
            <w:color w:val="0A3A8C"/>
            <w:u w:val="single"/>
          </w:rPr>
          <w:t xml:space="preserve">§ 137 Rechtsgeschäftliches Verfügungsverbot</w:t>
        </w:r>
      </w:hyperlink>
    </w:p>
    <w:p>
      <w:pPr>
        <w:pStyle w:val="Übersicht"/>
        <w:ind w:left="1020"/>
      </w:pPr>
      <w:hyperlink w:anchor="b169" w:history="1">
        <w:r>
          <w:rPr>
            <w:color w:val="0A3A8C"/>
            <w:u w:val="single"/>
          </w:rPr>
          <w:t xml:space="preserve">§ 138 Sittenwidriges Rechtsgeschäft; Wucher</w:t>
        </w:r>
      </w:hyperlink>
    </w:p>
    <w:p>
      <w:pPr>
        <w:pStyle w:val="Übersicht"/>
        <w:ind w:left="1020"/>
      </w:pPr>
      <w:hyperlink w:anchor="b170" w:history="1">
        <w:r>
          <w:rPr>
            <w:color w:val="0A3A8C"/>
            <w:u w:val="single"/>
          </w:rPr>
          <w:t xml:space="preserve">§ 139 Teilnichtigkeit</w:t>
        </w:r>
      </w:hyperlink>
    </w:p>
    <w:p>
      <w:pPr>
        <w:pStyle w:val="Übersicht"/>
        <w:ind w:left="1020"/>
      </w:pPr>
      <w:hyperlink w:anchor="b171" w:history="1">
        <w:r>
          <w:rPr>
            <w:color w:val="0A3A8C"/>
            <w:u w:val="single"/>
          </w:rPr>
          <w:t xml:space="preserve">§ 140 Umdeutung</w:t>
        </w:r>
      </w:hyperlink>
    </w:p>
    <w:p>
      <w:pPr>
        <w:pStyle w:val="Übersicht"/>
        <w:ind w:left="1020"/>
      </w:pPr>
      <w:hyperlink w:anchor="b172" w:history="1">
        <w:r>
          <w:rPr>
            <w:color w:val="0A3A8C"/>
            <w:u w:val="single"/>
          </w:rPr>
          <w:t xml:space="preserve">§ 141 Bestätigung des nichtigen Rechtsgeschäfts</w:t>
        </w:r>
      </w:hyperlink>
    </w:p>
    <w:p>
      <w:pPr>
        <w:pStyle w:val="Übersicht"/>
        <w:ind w:left="1020"/>
      </w:pPr>
      <w:hyperlink w:anchor="b173" w:history="1">
        <w:r>
          <w:rPr>
            <w:color w:val="0A3A8C"/>
            <w:u w:val="single"/>
          </w:rPr>
          <w:t xml:space="preserve">§ 142 Wirkung der Anfechtung</w:t>
        </w:r>
      </w:hyperlink>
    </w:p>
    <w:p>
      <w:pPr>
        <w:pStyle w:val="Übersicht"/>
        <w:ind w:left="1020"/>
      </w:pPr>
      <w:hyperlink w:anchor="b174" w:history="1">
        <w:r>
          <w:rPr>
            <w:color w:val="0A3A8C"/>
            <w:u w:val="single"/>
          </w:rPr>
          <w:t xml:space="preserve">§ 143 Anfechtungserklärung</w:t>
        </w:r>
      </w:hyperlink>
    </w:p>
    <w:p>
      <w:pPr>
        <w:pStyle w:val="Übersicht"/>
        <w:ind w:left="1020"/>
      </w:pPr>
      <w:hyperlink w:anchor="b175" w:history="1">
        <w:r>
          <w:rPr>
            <w:color w:val="0A3A8C"/>
            <w:u w:val="single"/>
          </w:rPr>
          <w:t xml:space="preserve">§ 144 Bestätigung des anfechtbaren Rechtsgeschäfts</w:t>
        </w:r>
      </w:hyperlink>
    </w:p>
    <w:p>
      <w:pPr>
        <w:pStyle w:val="Übersicht"/>
        <w:ind w:left="680"/>
      </w:pPr>
      <w:hyperlink w:anchor="b176" w:history="1">
        <w:r>
          <w:rPr>
            <w:b/>
            <w:color w:val="0A3A8C"/>
            <w:u w:val="single"/>
          </w:rPr>
          <w:t xml:space="preserve">Titel 3 Vertrag</w:t>
        </w:r>
      </w:hyperlink>
    </w:p>
    <w:p>
      <w:pPr>
        <w:pStyle w:val="Übersicht"/>
        <w:ind w:left="1020"/>
      </w:pPr>
      <w:hyperlink w:anchor="b177" w:history="1">
        <w:r>
          <w:rPr>
            <w:color w:val="0A3A8C"/>
            <w:u w:val="single"/>
          </w:rPr>
          <w:t xml:space="preserve">§ 145 Bindung an den Antrag</w:t>
        </w:r>
      </w:hyperlink>
    </w:p>
    <w:p>
      <w:pPr>
        <w:pStyle w:val="Übersicht"/>
        <w:ind w:left="1020"/>
      </w:pPr>
      <w:hyperlink w:anchor="b178" w:history="1">
        <w:r>
          <w:rPr>
            <w:color w:val="0A3A8C"/>
            <w:u w:val="single"/>
          </w:rPr>
          <w:t xml:space="preserve">§ 146 Erlöschen des Antrags</w:t>
        </w:r>
      </w:hyperlink>
    </w:p>
    <w:p>
      <w:pPr>
        <w:pStyle w:val="Übersicht"/>
        <w:ind w:left="1020"/>
      </w:pPr>
      <w:hyperlink w:anchor="b179" w:history="1">
        <w:r>
          <w:rPr>
            <w:color w:val="0A3A8C"/>
            <w:u w:val="single"/>
          </w:rPr>
          <w:t xml:space="preserve">§ 147 Annahmefrist</w:t>
        </w:r>
      </w:hyperlink>
    </w:p>
    <w:p>
      <w:pPr>
        <w:pStyle w:val="Übersicht"/>
        <w:ind w:left="1020"/>
      </w:pPr>
      <w:hyperlink w:anchor="b180" w:history="1">
        <w:r>
          <w:rPr>
            <w:color w:val="0A3A8C"/>
            <w:u w:val="single"/>
          </w:rPr>
          <w:t xml:space="preserve">§ 148 Bestimmung einer Annahmefrist</w:t>
        </w:r>
      </w:hyperlink>
    </w:p>
    <w:p>
      <w:pPr>
        <w:pStyle w:val="Übersicht"/>
        <w:ind w:left="1020"/>
      </w:pPr>
      <w:hyperlink w:anchor="b181" w:history="1">
        <w:r>
          <w:rPr>
            <w:color w:val="0A3A8C"/>
            <w:u w:val="single"/>
          </w:rPr>
          <w:t xml:space="preserve">§ 149 Verspätet zugegangene Annahmeerklärung</w:t>
        </w:r>
      </w:hyperlink>
    </w:p>
    <w:p>
      <w:pPr>
        <w:pStyle w:val="Übersicht"/>
        <w:ind w:left="1020"/>
      </w:pPr>
      <w:hyperlink w:anchor="b182" w:history="1">
        <w:r>
          <w:rPr>
            <w:color w:val="0A3A8C"/>
            <w:u w:val="single"/>
          </w:rPr>
          <w:t xml:space="preserve">§ 150 Verspätete und abändernde Annahme</w:t>
        </w:r>
      </w:hyperlink>
    </w:p>
    <w:p>
      <w:pPr>
        <w:pStyle w:val="Übersicht"/>
        <w:ind w:left="1020"/>
      </w:pPr>
      <w:hyperlink w:anchor="b183" w:history="1">
        <w:r>
          <w:rPr>
            <w:color w:val="0A3A8C"/>
            <w:u w:val="single"/>
          </w:rPr>
          <w:t xml:space="preserve">§ 151 Annahme ohne Erklärung gegenüber dem Antragenden</w:t>
        </w:r>
      </w:hyperlink>
    </w:p>
    <w:p>
      <w:pPr>
        <w:pStyle w:val="Übersicht"/>
        <w:ind w:left="1020"/>
      </w:pPr>
      <w:hyperlink w:anchor="b184" w:history="1">
        <w:r>
          <w:rPr>
            <w:color w:val="0A3A8C"/>
            <w:u w:val="single"/>
          </w:rPr>
          <w:t xml:space="preserve">§ 152 Annahme bei notarieller Beurkundung</w:t>
        </w:r>
      </w:hyperlink>
    </w:p>
    <w:p>
      <w:pPr>
        <w:pStyle w:val="Übersicht"/>
        <w:ind w:left="1020"/>
      </w:pPr>
      <w:hyperlink w:anchor="b185" w:history="1">
        <w:r>
          <w:rPr>
            <w:color w:val="0A3A8C"/>
            <w:u w:val="single"/>
          </w:rPr>
          <w:t xml:space="preserve">§ 153 Tod oder Geschäftsunfähigkeit des Antragenden</w:t>
        </w:r>
      </w:hyperlink>
    </w:p>
    <w:p>
      <w:pPr>
        <w:pStyle w:val="Übersicht"/>
        <w:ind w:left="1020"/>
      </w:pPr>
      <w:hyperlink w:anchor="b186" w:history="1">
        <w:r>
          <w:rPr>
            <w:color w:val="0A3A8C"/>
            <w:u w:val="single"/>
          </w:rPr>
          <w:t xml:space="preserve">§ 154 Offener Einigungsmangel; fehlende Beurkundung</w:t>
        </w:r>
      </w:hyperlink>
    </w:p>
    <w:p>
      <w:pPr>
        <w:pStyle w:val="Übersicht"/>
        <w:ind w:left="1020"/>
      </w:pPr>
      <w:hyperlink w:anchor="b187" w:history="1">
        <w:r>
          <w:rPr>
            <w:color w:val="0A3A8C"/>
            <w:u w:val="single"/>
          </w:rPr>
          <w:t xml:space="preserve">§ 155 Versteckter Einigungsmangel</w:t>
        </w:r>
      </w:hyperlink>
    </w:p>
    <w:p>
      <w:pPr>
        <w:pStyle w:val="Übersicht"/>
        <w:ind w:left="1020"/>
      </w:pPr>
      <w:hyperlink w:anchor="b188" w:history="1">
        <w:r>
          <w:rPr>
            <w:color w:val="0A3A8C"/>
            <w:u w:val="single"/>
          </w:rPr>
          <w:t xml:space="preserve">§ 156 Vertragsschluss bei Versteigerung</w:t>
        </w:r>
      </w:hyperlink>
    </w:p>
    <w:p>
      <w:pPr>
        <w:pStyle w:val="Übersicht"/>
        <w:ind w:left="1020"/>
      </w:pPr>
      <w:hyperlink w:anchor="b189" w:history="1">
        <w:r>
          <w:rPr>
            <w:color w:val="0A3A8C"/>
            <w:u w:val="single"/>
          </w:rPr>
          <w:t xml:space="preserve">§ 157 Auslegung von Verträgen</w:t>
        </w:r>
      </w:hyperlink>
    </w:p>
    <w:p>
      <w:pPr>
        <w:pStyle w:val="Übersicht"/>
        <w:ind w:left="680"/>
      </w:pPr>
      <w:hyperlink w:anchor="b190" w:history="1">
        <w:r>
          <w:rPr>
            <w:b/>
            <w:color w:val="0A3A8C"/>
            <w:u w:val="single"/>
          </w:rPr>
          <w:t xml:space="preserve">Titel 4 Bedingung und Zeitbestimmung</w:t>
        </w:r>
      </w:hyperlink>
    </w:p>
    <w:p>
      <w:pPr>
        <w:pStyle w:val="Übersicht"/>
        <w:ind w:left="1020"/>
      </w:pPr>
      <w:hyperlink w:anchor="b191" w:history="1">
        <w:r>
          <w:rPr>
            <w:color w:val="0A3A8C"/>
            <w:u w:val="single"/>
          </w:rPr>
          <w:t xml:space="preserve">§ 158 Aufschiebende und auflösende Bedingung</w:t>
        </w:r>
      </w:hyperlink>
    </w:p>
    <w:p>
      <w:pPr>
        <w:pStyle w:val="Übersicht"/>
        <w:ind w:left="1020"/>
      </w:pPr>
      <w:hyperlink w:anchor="b192" w:history="1">
        <w:r>
          <w:rPr>
            <w:color w:val="0A3A8C"/>
            <w:u w:val="single"/>
          </w:rPr>
          <w:t xml:space="preserve">§ 159 Rückbeziehung</w:t>
        </w:r>
      </w:hyperlink>
    </w:p>
    <w:p>
      <w:pPr>
        <w:pStyle w:val="Übersicht"/>
        <w:ind w:left="1020"/>
      </w:pPr>
      <w:hyperlink w:anchor="b193" w:history="1">
        <w:r>
          <w:rPr>
            <w:color w:val="0A3A8C"/>
            <w:u w:val="single"/>
          </w:rPr>
          <w:t xml:space="preserve">§ 160 Haftung während der Schwebezeit</w:t>
        </w:r>
      </w:hyperlink>
    </w:p>
    <w:p>
      <w:pPr>
        <w:pStyle w:val="Übersicht"/>
        <w:ind w:left="1020"/>
      </w:pPr>
      <w:hyperlink w:anchor="b194" w:history="1">
        <w:r>
          <w:rPr>
            <w:color w:val="0A3A8C"/>
            <w:u w:val="single"/>
          </w:rPr>
          <w:t xml:space="preserve">§ 161 Unwirksamkeit von Verfügungen während der Schwebezeit</w:t>
        </w:r>
      </w:hyperlink>
    </w:p>
    <w:p>
      <w:pPr>
        <w:pStyle w:val="Übersicht"/>
        <w:ind w:left="1020"/>
      </w:pPr>
      <w:hyperlink w:anchor="b195" w:history="1">
        <w:r>
          <w:rPr>
            <w:color w:val="0A3A8C"/>
            <w:u w:val="single"/>
          </w:rPr>
          <w:t xml:space="preserve">§ 162 Verhinderung oder Herbeiführung des Bedingungseintritts</w:t>
        </w:r>
      </w:hyperlink>
    </w:p>
    <w:p>
      <w:pPr>
        <w:pStyle w:val="Übersicht"/>
        <w:ind w:left="1020"/>
      </w:pPr>
      <w:hyperlink w:anchor="b196" w:history="1">
        <w:r>
          <w:rPr>
            <w:color w:val="0A3A8C"/>
            <w:u w:val="single"/>
          </w:rPr>
          <w:t xml:space="preserve">§ 163 Zeitbestimmung</w:t>
        </w:r>
      </w:hyperlink>
    </w:p>
    <w:p>
      <w:pPr>
        <w:pStyle w:val="Übersicht"/>
        <w:ind w:left="680"/>
      </w:pPr>
      <w:hyperlink w:anchor="b197" w:history="1">
        <w:r>
          <w:rPr>
            <w:b/>
            <w:color w:val="0A3A8C"/>
            <w:u w:val="single"/>
          </w:rPr>
          <w:t xml:space="preserve">Titel 5 Vertretung und Vollmacht</w:t>
        </w:r>
      </w:hyperlink>
    </w:p>
    <w:p>
      <w:pPr>
        <w:pStyle w:val="Übersicht"/>
        <w:ind w:left="1020"/>
      </w:pPr>
      <w:hyperlink w:anchor="b198" w:history="1">
        <w:r>
          <w:rPr>
            <w:color w:val="0A3A8C"/>
            <w:u w:val="single"/>
          </w:rPr>
          <w:t xml:space="preserve">§ 164 Wirkung der Erklärung des Vertreters</w:t>
        </w:r>
      </w:hyperlink>
    </w:p>
    <w:p>
      <w:pPr>
        <w:pStyle w:val="Übersicht"/>
        <w:ind w:left="1020"/>
      </w:pPr>
      <w:hyperlink w:anchor="b199" w:history="1">
        <w:r>
          <w:rPr>
            <w:color w:val="0A3A8C"/>
            <w:u w:val="single"/>
          </w:rPr>
          <w:t xml:space="preserve">§ 165 Beschränkt geschäftsfähiger Vertreter</w:t>
        </w:r>
      </w:hyperlink>
    </w:p>
    <w:p>
      <w:pPr>
        <w:pStyle w:val="Übersicht"/>
        <w:ind w:left="1020"/>
      </w:pPr>
      <w:hyperlink w:anchor="b200" w:history="1">
        <w:r>
          <w:rPr>
            <w:color w:val="0A3A8C"/>
            <w:u w:val="single"/>
          </w:rPr>
          <w:t xml:space="preserve">§ 166 Willensmängel; Wissenszurechnung</w:t>
        </w:r>
      </w:hyperlink>
    </w:p>
    <w:p>
      <w:pPr>
        <w:pStyle w:val="Übersicht"/>
        <w:ind w:left="1020"/>
      </w:pPr>
      <w:hyperlink w:anchor="b201" w:history="1">
        <w:r>
          <w:rPr>
            <w:color w:val="0A3A8C"/>
            <w:u w:val="single"/>
          </w:rPr>
          <w:t xml:space="preserve">§ 167 Erteilung der Vollmacht</w:t>
        </w:r>
      </w:hyperlink>
    </w:p>
    <w:p>
      <w:pPr>
        <w:pStyle w:val="Übersicht"/>
        <w:ind w:left="1020"/>
      </w:pPr>
      <w:hyperlink w:anchor="b202" w:history="1">
        <w:r>
          <w:rPr>
            <w:color w:val="0A3A8C"/>
            <w:u w:val="single"/>
          </w:rPr>
          <w:t xml:space="preserve">§ 168 Erlöschen der Vollmacht</w:t>
        </w:r>
      </w:hyperlink>
    </w:p>
    <w:p>
      <w:pPr>
        <w:pStyle w:val="Übersicht"/>
        <w:ind w:left="1020"/>
      </w:pPr>
      <w:hyperlink w:anchor="b203" w:history="1">
        <w:r>
          <w:rPr>
            <w:color w:val="0A3A8C"/>
            <w:u w:val="single"/>
          </w:rPr>
          <w:t xml:space="preserve">§ 169 Vollmacht des Beauftragten und des geschäftsführenden Gesellschafters</w:t>
        </w:r>
      </w:hyperlink>
    </w:p>
    <w:p>
      <w:pPr>
        <w:pStyle w:val="Übersicht"/>
        <w:ind w:left="1020"/>
      </w:pPr>
      <w:hyperlink w:anchor="b204" w:history="1">
        <w:r>
          <w:rPr>
            <w:color w:val="0A3A8C"/>
            <w:u w:val="single"/>
          </w:rPr>
          <w:t xml:space="preserve">§ 170 Wirkungsdauer der Vollmacht</w:t>
        </w:r>
      </w:hyperlink>
    </w:p>
    <w:p>
      <w:pPr>
        <w:pStyle w:val="Übersicht"/>
        <w:ind w:left="1020"/>
      </w:pPr>
      <w:hyperlink w:anchor="b205" w:history="1">
        <w:r>
          <w:rPr>
            <w:color w:val="0A3A8C"/>
            <w:u w:val="single"/>
          </w:rPr>
          <w:t xml:space="preserve">§ 171 Wirkungsdauer bei Kundgebung</w:t>
        </w:r>
      </w:hyperlink>
    </w:p>
    <w:p>
      <w:pPr>
        <w:pStyle w:val="Übersicht"/>
        <w:ind w:left="1020"/>
      </w:pPr>
      <w:hyperlink w:anchor="b206" w:history="1">
        <w:r>
          <w:rPr>
            <w:color w:val="0A3A8C"/>
            <w:u w:val="single"/>
          </w:rPr>
          <w:t xml:space="preserve">§ 172 Vollmachtsurkunde</w:t>
        </w:r>
      </w:hyperlink>
    </w:p>
    <w:p>
      <w:pPr>
        <w:pStyle w:val="Übersicht"/>
        <w:ind w:left="1020"/>
      </w:pPr>
      <w:hyperlink w:anchor="b207" w:history="1">
        <w:r>
          <w:rPr>
            <w:color w:val="0A3A8C"/>
            <w:u w:val="single"/>
          </w:rPr>
          <w:t xml:space="preserve">§ 173 Wirkungsdauer bei Kenntnis und fahrlässiger Unkenntnis</w:t>
        </w:r>
      </w:hyperlink>
    </w:p>
    <w:p>
      <w:pPr>
        <w:pStyle w:val="Übersicht"/>
        <w:ind w:left="1020"/>
      </w:pPr>
      <w:hyperlink w:anchor="b208" w:history="1">
        <w:r>
          <w:rPr>
            <w:color w:val="0A3A8C"/>
            <w:u w:val="single"/>
          </w:rPr>
          <w:t xml:space="preserve">§ 174 Einseitiges Rechtsgeschäft eines Bevollmächtigten</w:t>
        </w:r>
      </w:hyperlink>
    </w:p>
    <w:p>
      <w:pPr>
        <w:pStyle w:val="Übersicht"/>
        <w:ind w:left="1020"/>
      </w:pPr>
      <w:hyperlink w:anchor="b209" w:history="1">
        <w:r>
          <w:rPr>
            <w:color w:val="0A3A8C"/>
            <w:u w:val="single"/>
          </w:rPr>
          <w:t xml:space="preserve">§ 175 Rückgabe der Vollmachtsurkunde</w:t>
        </w:r>
      </w:hyperlink>
    </w:p>
    <w:p>
      <w:pPr>
        <w:pStyle w:val="Übersicht"/>
        <w:ind w:left="1020"/>
      </w:pPr>
      <w:hyperlink w:anchor="b210" w:history="1">
        <w:r>
          <w:rPr>
            <w:color w:val="0A3A8C"/>
            <w:u w:val="single"/>
          </w:rPr>
          <w:t xml:space="preserve">§ 176 Kraftloserklärung der Vollmachtsurkunde</w:t>
        </w:r>
      </w:hyperlink>
    </w:p>
    <w:p>
      <w:pPr>
        <w:pStyle w:val="Übersicht"/>
        <w:ind w:left="1020"/>
      </w:pPr>
      <w:hyperlink w:anchor="b211" w:history="1">
        <w:r>
          <w:rPr>
            <w:color w:val="0A3A8C"/>
            <w:u w:val="single"/>
          </w:rPr>
          <w:t xml:space="preserve">§ 177 Vertragsschluss durch Vertreter ohne Vertretungsmacht</w:t>
        </w:r>
      </w:hyperlink>
    </w:p>
    <w:p>
      <w:pPr>
        <w:pStyle w:val="Übersicht"/>
        <w:ind w:left="1020"/>
      </w:pPr>
      <w:hyperlink w:anchor="b212" w:history="1">
        <w:r>
          <w:rPr>
            <w:color w:val="0A3A8C"/>
            <w:u w:val="single"/>
          </w:rPr>
          <w:t xml:space="preserve">§ 178 Widerrufsrecht des anderen Teils</w:t>
        </w:r>
      </w:hyperlink>
    </w:p>
    <w:p>
      <w:pPr>
        <w:pStyle w:val="Übersicht"/>
        <w:ind w:left="1020"/>
      </w:pPr>
      <w:hyperlink w:anchor="b213" w:history="1">
        <w:r>
          <w:rPr>
            <w:color w:val="0A3A8C"/>
            <w:u w:val="single"/>
          </w:rPr>
          <w:t xml:space="preserve">§ 179 Haftung des Vertreters ohne Vertretungsmacht</w:t>
        </w:r>
      </w:hyperlink>
    </w:p>
    <w:p>
      <w:pPr>
        <w:pStyle w:val="Übersicht"/>
        <w:ind w:left="1020"/>
      </w:pPr>
      <w:hyperlink w:anchor="b214" w:history="1">
        <w:r>
          <w:rPr>
            <w:color w:val="0A3A8C"/>
            <w:u w:val="single"/>
          </w:rPr>
          <w:t xml:space="preserve">§ 180 Einseitiges Rechtsgeschäft</w:t>
        </w:r>
      </w:hyperlink>
    </w:p>
    <w:p>
      <w:pPr>
        <w:pStyle w:val="Übersicht"/>
        <w:ind w:left="1020"/>
      </w:pPr>
      <w:hyperlink w:anchor="b215" w:history="1">
        <w:r>
          <w:rPr>
            <w:color w:val="0A3A8C"/>
            <w:u w:val="single"/>
          </w:rPr>
          <w:t xml:space="preserve">§ 181 Insichgeschäft</w:t>
        </w:r>
      </w:hyperlink>
    </w:p>
    <w:p>
      <w:pPr>
        <w:pStyle w:val="Übersicht"/>
        <w:ind w:left="680"/>
      </w:pPr>
      <w:hyperlink w:anchor="b216" w:history="1">
        <w:r>
          <w:rPr>
            <w:b/>
            <w:color w:val="0A3A8C"/>
            <w:u w:val="single"/>
          </w:rPr>
          <w:t xml:space="preserve">Titel 6 Einwilligung und Genehmigung</w:t>
        </w:r>
      </w:hyperlink>
    </w:p>
    <w:p>
      <w:pPr>
        <w:pStyle w:val="Übersicht"/>
        <w:ind w:left="1020"/>
      </w:pPr>
      <w:hyperlink w:anchor="b217" w:history="1">
        <w:r>
          <w:rPr>
            <w:color w:val="0A3A8C"/>
            <w:u w:val="single"/>
          </w:rPr>
          <w:t xml:space="preserve">§ 182 Zustimmung</w:t>
        </w:r>
      </w:hyperlink>
    </w:p>
    <w:p>
      <w:pPr>
        <w:pStyle w:val="Übersicht"/>
        <w:ind w:left="1020"/>
      </w:pPr>
      <w:hyperlink w:anchor="b218" w:history="1">
        <w:r>
          <w:rPr>
            <w:color w:val="0A3A8C"/>
            <w:u w:val="single"/>
          </w:rPr>
          <w:t xml:space="preserve">§ 183 Widerruflichkeit der Einwilligung</w:t>
        </w:r>
      </w:hyperlink>
    </w:p>
    <w:p>
      <w:pPr>
        <w:pStyle w:val="Übersicht"/>
        <w:ind w:left="1020"/>
      </w:pPr>
      <w:hyperlink w:anchor="b219" w:history="1">
        <w:r>
          <w:rPr>
            <w:color w:val="0A3A8C"/>
            <w:u w:val="single"/>
          </w:rPr>
          <w:t xml:space="preserve">§ 184 Rückwirkung der Genehmigung</w:t>
        </w:r>
      </w:hyperlink>
    </w:p>
    <w:p>
      <w:pPr>
        <w:pStyle w:val="Übersicht"/>
        <w:ind w:left="1020"/>
      </w:pPr>
      <w:hyperlink w:anchor="b220" w:history="1">
        <w:r>
          <w:rPr>
            <w:color w:val="0A3A8C"/>
            <w:u w:val="single"/>
          </w:rPr>
          <w:t xml:space="preserve">§ 185 Verfügung eines Nichtberechtigten</w:t>
        </w:r>
      </w:hyperlink>
    </w:p>
    <w:p>
      <w:pPr>
        <w:pStyle w:val="Übersicht"/>
        <w:ind w:left="340"/>
      </w:pPr>
      <w:hyperlink w:anchor="b221" w:history="1">
        <w:r>
          <w:rPr>
            <w:b/>
            <w:color w:val="0A3A8C"/>
            <w:u w:val="single"/>
          </w:rPr>
          <w:t xml:space="preserve">Abschnitt 4 Fristen, Termine</w:t>
        </w:r>
      </w:hyperlink>
    </w:p>
    <w:p>
      <w:pPr>
        <w:pStyle w:val="Übersicht"/>
        <w:ind w:left="680"/>
      </w:pPr>
      <w:hyperlink w:anchor="b222" w:history="1">
        <w:r>
          <w:rPr>
            <w:color w:val="0A3A8C"/>
            <w:u w:val="single"/>
          </w:rPr>
          <w:t xml:space="preserve">§ 186 Geltungsbereich</w:t>
        </w:r>
      </w:hyperlink>
    </w:p>
    <w:p>
      <w:pPr>
        <w:pStyle w:val="Übersicht"/>
        <w:ind w:left="680"/>
      </w:pPr>
      <w:hyperlink w:anchor="b223" w:history="1">
        <w:r>
          <w:rPr>
            <w:color w:val="0A3A8C"/>
            <w:u w:val="single"/>
          </w:rPr>
          <w:t xml:space="preserve">§ 187 Fristbeginn</w:t>
        </w:r>
      </w:hyperlink>
    </w:p>
    <w:p>
      <w:pPr>
        <w:pStyle w:val="Übersicht"/>
        <w:ind w:left="680"/>
      </w:pPr>
      <w:hyperlink w:anchor="b224" w:history="1">
        <w:r>
          <w:rPr>
            <w:color w:val="0A3A8C"/>
            <w:u w:val="single"/>
          </w:rPr>
          <w:t xml:space="preserve">§ 188 Fristende</w:t>
        </w:r>
      </w:hyperlink>
    </w:p>
    <w:p>
      <w:pPr>
        <w:pStyle w:val="Übersicht"/>
        <w:ind w:left="680"/>
      </w:pPr>
      <w:hyperlink w:anchor="b225" w:history="1">
        <w:r>
          <w:rPr>
            <w:color w:val="0A3A8C"/>
            <w:u w:val="single"/>
          </w:rPr>
          <w:t xml:space="preserve">§ 189 Berechnung einzelner Fristen</w:t>
        </w:r>
      </w:hyperlink>
    </w:p>
    <w:p>
      <w:pPr>
        <w:pStyle w:val="Übersicht"/>
        <w:ind w:left="680"/>
      </w:pPr>
      <w:hyperlink w:anchor="b226" w:history="1">
        <w:r>
          <w:rPr>
            <w:color w:val="0A3A8C"/>
            <w:u w:val="single"/>
          </w:rPr>
          <w:t xml:space="preserve">§ 190 Fristverlängerung</w:t>
        </w:r>
      </w:hyperlink>
    </w:p>
    <w:p>
      <w:pPr>
        <w:pStyle w:val="Übersicht"/>
        <w:ind w:left="680"/>
      </w:pPr>
      <w:hyperlink w:anchor="b227" w:history="1">
        <w:r>
          <w:rPr>
            <w:color w:val="0A3A8C"/>
            <w:u w:val="single"/>
          </w:rPr>
          <w:t xml:space="preserve">§ 191 Berechnung von Zeiträumen</w:t>
        </w:r>
      </w:hyperlink>
    </w:p>
    <w:p>
      <w:pPr>
        <w:pStyle w:val="Übersicht"/>
        <w:ind w:left="680"/>
      </w:pPr>
      <w:hyperlink w:anchor="b228" w:history="1">
        <w:r>
          <w:rPr>
            <w:color w:val="0A3A8C"/>
            <w:u w:val="single"/>
          </w:rPr>
          <w:t xml:space="preserve">§ 192 Anfang, Mitte, Ende des Monats</w:t>
        </w:r>
      </w:hyperlink>
    </w:p>
    <w:p>
      <w:pPr>
        <w:pStyle w:val="Übersicht"/>
        <w:ind w:left="680"/>
      </w:pPr>
      <w:hyperlink w:anchor="b229" w:history="1">
        <w:r>
          <w:rPr>
            <w:color w:val="0A3A8C"/>
            <w:u w:val="single"/>
          </w:rPr>
          <w:t xml:space="preserve">§ 193 Sonn- und Feiertag; Sonnabend</w:t>
        </w:r>
      </w:hyperlink>
    </w:p>
    <w:p>
      <w:pPr>
        <w:pStyle w:val="Übersicht"/>
        <w:ind w:left="340"/>
      </w:pPr>
      <w:hyperlink w:anchor="b230" w:history="1">
        <w:r>
          <w:rPr>
            <w:b/>
            <w:color w:val="0A3A8C"/>
            <w:u w:val="single"/>
          </w:rPr>
          <w:t xml:space="preserve">Abschnitt 5 Verjährung</w:t>
        </w:r>
      </w:hyperlink>
    </w:p>
    <w:p>
      <w:pPr>
        <w:pStyle w:val="Übersicht"/>
        <w:ind w:left="680"/>
      </w:pPr>
      <w:hyperlink w:anchor="b231" w:history="1">
        <w:r>
          <w:rPr>
            <w:b/>
            <w:color w:val="0A3A8C"/>
            <w:u w:val="single"/>
          </w:rPr>
          <w:t xml:space="preserve">Titel 1 Gegenstand und Dauer der Verjährung</w:t>
        </w:r>
      </w:hyperlink>
    </w:p>
    <w:p>
      <w:pPr>
        <w:pStyle w:val="Übersicht"/>
        <w:ind w:left="1020"/>
      </w:pPr>
      <w:hyperlink w:anchor="b232" w:history="1">
        <w:r>
          <w:rPr>
            <w:color w:val="0A3A8C"/>
            <w:u w:val="single"/>
          </w:rPr>
          <w:t xml:space="preserve">§ 194 Gegenstand der Verjährung</w:t>
        </w:r>
      </w:hyperlink>
    </w:p>
    <w:p>
      <w:pPr>
        <w:pStyle w:val="Übersicht"/>
        <w:ind w:left="1020"/>
      </w:pPr>
      <w:hyperlink w:anchor="b233" w:history="1">
        <w:r>
          <w:rPr>
            <w:color w:val="0A3A8C"/>
            <w:u w:val="single"/>
          </w:rPr>
          <w:t xml:space="preserve">§ 195 Regelmäßige Verjährungsfrist</w:t>
        </w:r>
      </w:hyperlink>
    </w:p>
    <w:p>
      <w:pPr>
        <w:pStyle w:val="Übersicht"/>
        <w:ind w:left="1020"/>
      </w:pPr>
      <w:hyperlink w:anchor="b234" w:history="1">
        <w:r>
          <w:rPr>
            <w:color w:val="0A3A8C"/>
            <w:u w:val="single"/>
          </w:rPr>
          <w:t xml:space="preserve">§ 196 Verjährungsfrist bei Rechten an einem Grundstück</w:t>
        </w:r>
      </w:hyperlink>
    </w:p>
    <w:p>
      <w:pPr>
        <w:pStyle w:val="Übersicht"/>
        <w:ind w:left="1020"/>
      </w:pPr>
      <w:hyperlink w:anchor="b235" w:history="1">
        <w:r>
          <w:rPr>
            <w:color w:val="0A3A8C"/>
            <w:u w:val="single"/>
          </w:rPr>
          <w:t xml:space="preserve">§ 197 Dreißigjährige Verjährungsfrist</w:t>
        </w:r>
      </w:hyperlink>
    </w:p>
    <w:p>
      <w:pPr>
        <w:pStyle w:val="Übersicht"/>
        <w:ind w:left="1020"/>
      </w:pPr>
      <w:hyperlink w:anchor="b236" w:history="1">
        <w:r>
          <w:rPr>
            <w:color w:val="0A3A8C"/>
            <w:u w:val="single"/>
          </w:rPr>
          <w:t xml:space="preserve">§ 198 Verjährung bei Rechtsnachfolge</w:t>
        </w:r>
      </w:hyperlink>
    </w:p>
    <w:p>
      <w:pPr>
        <w:pStyle w:val="Übersicht"/>
        <w:ind w:left="1020"/>
      </w:pPr>
      <w:hyperlink w:anchor="b237" w:history="1">
        <w:r>
          <w:rPr>
            <w:color w:val="0A3A8C"/>
            <w:u w:val="single"/>
          </w:rPr>
          <w:t xml:space="preserve">§ 199 Beginn der regelmäßigen Verjährungsfrist und Verjährungshöchstfristen</w:t>
        </w:r>
      </w:hyperlink>
    </w:p>
    <w:p>
      <w:pPr>
        <w:pStyle w:val="Übersicht"/>
        <w:ind w:left="1020"/>
      </w:pPr>
      <w:hyperlink w:anchor="b238" w:history="1">
        <w:r>
          <w:rPr>
            <w:color w:val="0A3A8C"/>
            <w:u w:val="single"/>
          </w:rPr>
          <w:t xml:space="preserve">§ 200 Beginn anderer Verjährungsfristen</w:t>
        </w:r>
      </w:hyperlink>
    </w:p>
    <w:p>
      <w:pPr>
        <w:pStyle w:val="Übersicht"/>
        <w:ind w:left="1020"/>
      </w:pPr>
      <w:hyperlink w:anchor="b239" w:history="1">
        <w:r>
          <w:rPr>
            <w:color w:val="0A3A8C"/>
            <w:u w:val="single"/>
          </w:rPr>
          <w:t xml:space="preserve">§ 201 Beginn der Verjährungsfrist von festgestellten Ansprüchen</w:t>
        </w:r>
      </w:hyperlink>
    </w:p>
    <w:p>
      <w:pPr>
        <w:pStyle w:val="Übersicht"/>
        <w:ind w:left="1020"/>
      </w:pPr>
      <w:hyperlink w:anchor="b240" w:history="1">
        <w:r>
          <w:rPr>
            <w:color w:val="0A3A8C"/>
            <w:u w:val="single"/>
          </w:rPr>
          <w:t xml:space="preserve">§ 202 Unzulässigkeit von Vereinbarungen über die Verjährung</w:t>
        </w:r>
      </w:hyperlink>
    </w:p>
    <w:p>
      <w:pPr>
        <w:pStyle w:val="Übersicht"/>
        <w:ind w:left="680"/>
      </w:pPr>
      <w:hyperlink w:anchor="b241" w:history="1">
        <w:r>
          <w:rPr>
            <w:b/>
            <w:color w:val="0A3A8C"/>
            <w:u w:val="single"/>
          </w:rPr>
          <w:t xml:space="preserve">Titel 2 Hemmung, Ablaufhemmung und Neubeginn
der Verjährung</w:t>
        </w:r>
      </w:hyperlink>
    </w:p>
    <w:p>
      <w:pPr>
        <w:pStyle w:val="Übersicht"/>
        <w:ind w:left="1020"/>
      </w:pPr>
      <w:hyperlink w:anchor="b242" w:history="1">
        <w:r>
          <w:rPr>
            <w:color w:val="0A3A8C"/>
            <w:u w:val="single"/>
          </w:rPr>
          <w:t xml:space="preserve">§ 203 Hemmung der Verjährung bei Verhandlungen</w:t>
        </w:r>
      </w:hyperlink>
    </w:p>
    <w:p>
      <w:pPr>
        <w:pStyle w:val="Übersicht"/>
        <w:ind w:left="1020"/>
      </w:pPr>
      <w:hyperlink w:anchor="b243" w:history="1">
        <w:r>
          <w:rPr>
            <w:color w:val="0A3A8C"/>
            <w:u w:val="single"/>
          </w:rPr>
          <w:t xml:space="preserve">§ 204 Hemmung der Verjährung durch Rechtsverfolgung</w:t>
        </w:r>
      </w:hyperlink>
    </w:p>
    <w:p>
      <w:pPr>
        <w:pStyle w:val="Übersicht"/>
        <w:ind w:left="1020"/>
      </w:pPr>
      <w:hyperlink w:anchor="b244" w:history="1">
        <w:r>
          <w:rPr>
            <w:color w:val="0A3A8C"/>
            <w:u w:val="single"/>
          </w:rPr>
          <w:t xml:space="preserve">§ 204a Hemmung der Verjährung von Ansprüchen von Verbrauchern durch Klagen von qualifizierten Verbraucherverbänden oder qualifizierten Einrichtungen</w:t>
        </w:r>
      </w:hyperlink>
    </w:p>
    <w:p>
      <w:pPr>
        <w:pStyle w:val="Übersicht"/>
        <w:ind w:left="1020"/>
      </w:pPr>
      <w:hyperlink w:anchor="b245" w:history="1">
        <w:r>
          <w:rPr>
            <w:color w:val="0A3A8C"/>
            <w:u w:val="single"/>
          </w:rPr>
          <w:t xml:space="preserve">§ 205 Hemmung der Verjährung bei Leistungsverweigerungsrecht</w:t>
        </w:r>
      </w:hyperlink>
    </w:p>
    <w:p>
      <w:pPr>
        <w:pStyle w:val="Übersicht"/>
        <w:ind w:left="1020"/>
      </w:pPr>
      <w:hyperlink w:anchor="b246" w:history="1">
        <w:r>
          <w:rPr>
            <w:color w:val="0A3A8C"/>
            <w:u w:val="single"/>
          </w:rPr>
          <w:t xml:space="preserve">§ 206 Hemmung der Verjährung bei höherer Gewalt</w:t>
        </w:r>
      </w:hyperlink>
    </w:p>
    <w:p>
      <w:pPr>
        <w:pStyle w:val="Übersicht"/>
        <w:ind w:left="1020"/>
      </w:pPr>
      <w:hyperlink w:anchor="b247" w:history="1">
        <w:r>
          <w:rPr>
            <w:color w:val="0A3A8C"/>
            <w:u w:val="single"/>
          </w:rPr>
          <w:t xml:space="preserve">§ 207 Hemmung der Verjährung aus familiären und ähnlichen Gründen</w:t>
        </w:r>
      </w:hyperlink>
    </w:p>
    <w:p>
      <w:pPr>
        <w:pStyle w:val="Übersicht"/>
        <w:ind w:left="1020"/>
      </w:pPr>
      <w:hyperlink w:anchor="b248" w:history="1">
        <w:r>
          <w:rPr>
            <w:color w:val="0A3A8C"/>
            <w:u w:val="single"/>
          </w:rPr>
          <w:t xml:space="preserve">§ 208 Hemmung der Verjährung bei Ansprüchen wegen Verletzung der sexuellen
Selbstbestimmung</w:t>
        </w:r>
      </w:hyperlink>
    </w:p>
    <w:p>
      <w:pPr>
        <w:pStyle w:val="Übersicht"/>
        <w:ind w:left="1020"/>
      </w:pPr>
      <w:hyperlink w:anchor="b249" w:history="1">
        <w:r>
          <w:rPr>
            <w:color w:val="0A3A8C"/>
            <w:u w:val="single"/>
          </w:rPr>
          <w:t xml:space="preserve">§ 209 Wirkung der Hemmung</w:t>
        </w:r>
      </w:hyperlink>
    </w:p>
    <w:p>
      <w:pPr>
        <w:pStyle w:val="Übersicht"/>
        <w:ind w:left="1020"/>
      </w:pPr>
      <w:hyperlink w:anchor="b250" w:history="1">
        <w:r>
          <w:rPr>
            <w:color w:val="0A3A8C"/>
            <w:u w:val="single"/>
          </w:rPr>
          <w:t xml:space="preserve">§ 210 Ablaufhemmung bei nicht voll Geschäftsfähigen</w:t>
        </w:r>
      </w:hyperlink>
    </w:p>
    <w:p>
      <w:pPr>
        <w:pStyle w:val="Übersicht"/>
        <w:ind w:left="1020"/>
      </w:pPr>
      <w:hyperlink w:anchor="b251" w:history="1">
        <w:r>
          <w:rPr>
            <w:color w:val="0A3A8C"/>
            <w:u w:val="single"/>
          </w:rPr>
          <w:t xml:space="preserve">§ 211 Ablaufhemmung in Nachlassfällen</w:t>
        </w:r>
      </w:hyperlink>
    </w:p>
    <w:p>
      <w:pPr>
        <w:pStyle w:val="Übersicht"/>
        <w:ind w:left="1020"/>
      </w:pPr>
      <w:hyperlink w:anchor="b252" w:history="1">
        <w:r>
          <w:rPr>
            <w:color w:val="0A3A8C"/>
            <w:u w:val="single"/>
          </w:rPr>
          <w:t xml:space="preserve">§ 212 Neubeginn der Verjährung</w:t>
        </w:r>
      </w:hyperlink>
    </w:p>
    <w:p>
      <w:pPr>
        <w:pStyle w:val="Übersicht"/>
        <w:ind w:left="1020"/>
      </w:pPr>
      <w:hyperlink w:anchor="b253" w:history="1">
        <w:r>
          <w:rPr>
            <w:color w:val="0A3A8C"/>
            <w:u w:val="single"/>
          </w:rPr>
          <w:t xml:space="preserve">§ 213 Hemmung, Ablaufhemmung und erneuter Beginn der Verjährung bei anderen
Ansprüchen</w:t>
        </w:r>
      </w:hyperlink>
    </w:p>
    <w:p>
      <w:pPr>
        <w:pStyle w:val="Übersicht"/>
        <w:ind w:left="680"/>
      </w:pPr>
      <w:hyperlink w:anchor="b254" w:history="1">
        <w:r>
          <w:rPr>
            <w:b/>
            <w:color w:val="0A3A8C"/>
            <w:u w:val="single"/>
          </w:rPr>
          <w:t xml:space="preserve">Titel 3 Rechtsfolgen der Verjährung</w:t>
        </w:r>
      </w:hyperlink>
    </w:p>
    <w:p>
      <w:pPr>
        <w:pStyle w:val="Übersicht"/>
        <w:ind w:left="1020"/>
      </w:pPr>
      <w:hyperlink w:anchor="b255" w:history="1">
        <w:r>
          <w:rPr>
            <w:color w:val="0A3A8C"/>
            <w:u w:val="single"/>
          </w:rPr>
          <w:t xml:space="preserve">§ 214 Wirkung der Verjährung</w:t>
        </w:r>
      </w:hyperlink>
    </w:p>
    <w:p>
      <w:pPr>
        <w:pStyle w:val="Übersicht"/>
        <w:ind w:left="1020"/>
      </w:pPr>
      <w:hyperlink w:anchor="b256" w:history="1">
        <w:r>
          <w:rPr>
            <w:color w:val="0A3A8C"/>
            <w:u w:val="single"/>
          </w:rPr>
          <w:t xml:space="preserve">§ 215 Aufrechnung und Zurückbehaltungsrecht nach Eintritt der Verjährung</w:t>
        </w:r>
      </w:hyperlink>
    </w:p>
    <w:p>
      <w:pPr>
        <w:pStyle w:val="Übersicht"/>
        <w:ind w:left="1020"/>
      </w:pPr>
      <w:hyperlink w:anchor="b257" w:history="1">
        <w:r>
          <w:rPr>
            <w:color w:val="0A3A8C"/>
            <w:u w:val="single"/>
          </w:rPr>
          <w:t xml:space="preserve">§ 216 Wirkung der Verjährung bei gesicherten Ansprüchen</w:t>
        </w:r>
      </w:hyperlink>
    </w:p>
    <w:p>
      <w:pPr>
        <w:pStyle w:val="Übersicht"/>
        <w:ind w:left="1020"/>
      </w:pPr>
      <w:hyperlink w:anchor="b258" w:history="1">
        <w:r>
          <w:rPr>
            <w:color w:val="0A3A8C"/>
            <w:u w:val="single"/>
          </w:rPr>
          <w:t xml:space="preserve">§ 217 Verjährung von Nebenleistungen</w:t>
        </w:r>
      </w:hyperlink>
    </w:p>
    <w:p>
      <w:pPr>
        <w:pStyle w:val="Übersicht"/>
        <w:ind w:left="1020"/>
      </w:pPr>
      <w:hyperlink w:anchor="b259" w:history="1">
        <w:r>
          <w:rPr>
            <w:color w:val="0A3A8C"/>
            <w:u w:val="single"/>
          </w:rPr>
          <w:t xml:space="preserve">§ 218 Unwirksamkeit des Rücktritts</w:t>
        </w:r>
      </w:hyperlink>
    </w:p>
    <w:p>
      <w:pPr>
        <w:pStyle w:val="Übersicht"/>
        <w:ind w:left="1020"/>
      </w:pPr>
      <w:hyperlink w:anchor="b260" w:history="1">
        <w:r>
          <w:rPr>
            <w:color w:val="0A3A8C"/>
            <w:u w:val="single"/>
          </w:rPr>
          <w:t xml:space="preserve">§§ 219 bis 225 (weggefallen)</w:t>
        </w:r>
      </w:hyperlink>
    </w:p>
    <w:p>
      <w:pPr>
        <w:pStyle w:val="Übersicht"/>
        <w:ind w:left="340"/>
      </w:pPr>
      <w:hyperlink w:anchor="b261" w:history="1">
        <w:r>
          <w:rPr>
            <w:b/>
            <w:color w:val="0A3A8C"/>
            <w:u w:val="single"/>
          </w:rPr>
          <w:t xml:space="preserve">Abschnitt 6 Ausübung der Rechte,
Selbstverteidigung, Selbsthilfe</w:t>
        </w:r>
      </w:hyperlink>
    </w:p>
    <w:p>
      <w:pPr>
        <w:pStyle w:val="Übersicht"/>
        <w:ind w:left="680"/>
      </w:pPr>
      <w:hyperlink w:anchor="b262" w:history="1">
        <w:r>
          <w:rPr>
            <w:color w:val="0A3A8C"/>
            <w:u w:val="single"/>
          </w:rPr>
          <w:t xml:space="preserve">§ 226 Schikaneverbot</w:t>
        </w:r>
      </w:hyperlink>
    </w:p>
    <w:p>
      <w:pPr>
        <w:pStyle w:val="Übersicht"/>
        <w:ind w:left="680"/>
      </w:pPr>
      <w:hyperlink w:anchor="b263" w:history="1">
        <w:r>
          <w:rPr>
            <w:color w:val="0A3A8C"/>
            <w:u w:val="single"/>
          </w:rPr>
          <w:t xml:space="preserve">§ 227 Notwehr</w:t>
        </w:r>
      </w:hyperlink>
    </w:p>
    <w:p>
      <w:pPr>
        <w:pStyle w:val="Übersicht"/>
        <w:ind w:left="680"/>
      </w:pPr>
      <w:hyperlink w:anchor="b264" w:history="1">
        <w:r>
          <w:rPr>
            <w:color w:val="0A3A8C"/>
            <w:u w:val="single"/>
          </w:rPr>
          <w:t xml:space="preserve">§ 228 Notstand</w:t>
        </w:r>
      </w:hyperlink>
    </w:p>
    <w:p>
      <w:pPr>
        <w:pStyle w:val="Übersicht"/>
        <w:ind w:left="680"/>
      </w:pPr>
      <w:hyperlink w:anchor="b265" w:history="1">
        <w:r>
          <w:rPr>
            <w:color w:val="0A3A8C"/>
            <w:u w:val="single"/>
          </w:rPr>
          <w:t xml:space="preserve">§ 229 Selbsthilfe</w:t>
        </w:r>
      </w:hyperlink>
    </w:p>
    <w:p>
      <w:pPr>
        <w:pStyle w:val="Übersicht"/>
        <w:ind w:left="680"/>
      </w:pPr>
      <w:hyperlink w:anchor="b266" w:history="1">
        <w:r>
          <w:rPr>
            <w:color w:val="0A3A8C"/>
            <w:u w:val="single"/>
          </w:rPr>
          <w:t xml:space="preserve">§ 230 Grenzen der Selbsthilfe</w:t>
        </w:r>
      </w:hyperlink>
    </w:p>
    <w:p>
      <w:pPr>
        <w:pStyle w:val="Übersicht"/>
        <w:ind w:left="680"/>
      </w:pPr>
      <w:hyperlink w:anchor="b267" w:history="1">
        <w:r>
          <w:rPr>
            <w:color w:val="0A3A8C"/>
            <w:u w:val="single"/>
          </w:rPr>
          <w:t xml:space="preserve">§ 231 Irrtümliche Selbsthilfe</w:t>
        </w:r>
      </w:hyperlink>
    </w:p>
    <w:p>
      <w:pPr>
        <w:pStyle w:val="Übersicht"/>
        <w:ind w:left="340"/>
      </w:pPr>
      <w:hyperlink w:anchor="b268" w:history="1">
        <w:r>
          <w:rPr>
            <w:b/>
            <w:color w:val="0A3A8C"/>
            <w:u w:val="single"/>
          </w:rPr>
          <w:t xml:space="preserve">Abschnitt 7 Sicherheitsleistung</w:t>
        </w:r>
      </w:hyperlink>
    </w:p>
    <w:p>
      <w:pPr>
        <w:pStyle w:val="Übersicht"/>
        <w:ind w:left="680"/>
      </w:pPr>
      <w:hyperlink w:anchor="b269" w:history="1">
        <w:r>
          <w:rPr>
            <w:color w:val="0A3A8C"/>
            <w:u w:val="single"/>
          </w:rPr>
          <w:t xml:space="preserve">§ 232 Arten</w:t>
        </w:r>
      </w:hyperlink>
    </w:p>
    <w:p>
      <w:pPr>
        <w:pStyle w:val="Übersicht"/>
        <w:ind w:left="680"/>
      </w:pPr>
      <w:hyperlink w:anchor="b270" w:history="1">
        <w:r>
          <w:rPr>
            <w:color w:val="0A3A8C"/>
            <w:u w:val="single"/>
          </w:rPr>
          <w:t xml:space="preserve">§ 233 Wirkung der Hinterlegung</w:t>
        </w:r>
      </w:hyperlink>
    </w:p>
    <w:p>
      <w:pPr>
        <w:pStyle w:val="Übersicht"/>
        <w:ind w:left="680"/>
      </w:pPr>
      <w:hyperlink w:anchor="b271" w:history="1">
        <w:r>
          <w:rPr>
            <w:color w:val="0A3A8C"/>
            <w:u w:val="single"/>
          </w:rPr>
          <w:t xml:space="preserve">§ 234 Geeignete Wertpapiere</w:t>
        </w:r>
      </w:hyperlink>
    </w:p>
    <w:p>
      <w:pPr>
        <w:pStyle w:val="Übersicht"/>
        <w:ind w:left="680"/>
      </w:pPr>
      <w:hyperlink w:anchor="b272" w:history="1">
        <w:r>
          <w:rPr>
            <w:color w:val="0A3A8C"/>
            <w:u w:val="single"/>
          </w:rPr>
          <w:t xml:space="preserve">§ 235 Umtauschrecht</w:t>
        </w:r>
      </w:hyperlink>
    </w:p>
    <w:p>
      <w:pPr>
        <w:pStyle w:val="Übersicht"/>
        <w:ind w:left="680"/>
      </w:pPr>
      <w:hyperlink w:anchor="b273" w:history="1">
        <w:r>
          <w:rPr>
            <w:color w:val="0A3A8C"/>
            <w:u w:val="single"/>
          </w:rPr>
          <w:t xml:space="preserve">§ 236 Buchforderungen</w:t>
        </w:r>
      </w:hyperlink>
    </w:p>
    <w:p>
      <w:pPr>
        <w:pStyle w:val="Übersicht"/>
        <w:ind w:left="680"/>
      </w:pPr>
      <w:hyperlink w:anchor="b274" w:history="1">
        <w:r>
          <w:rPr>
            <w:color w:val="0A3A8C"/>
            <w:u w:val="single"/>
          </w:rPr>
          <w:t xml:space="preserve">§ 237 Bewegliche Sachen</w:t>
        </w:r>
      </w:hyperlink>
    </w:p>
    <w:p>
      <w:pPr>
        <w:pStyle w:val="Übersicht"/>
        <w:ind w:left="680"/>
      </w:pPr>
      <w:hyperlink w:anchor="b275" w:history="1">
        <w:r>
          <w:rPr>
            <w:color w:val="0A3A8C"/>
            <w:u w:val="single"/>
          </w:rPr>
          <w:t xml:space="preserve">§ 238 Hypotheken, Grund- und Rentenschulden</w:t>
        </w:r>
      </w:hyperlink>
    </w:p>
    <w:p>
      <w:pPr>
        <w:pStyle w:val="Übersicht"/>
        <w:ind w:left="680"/>
      </w:pPr>
      <w:hyperlink w:anchor="b276" w:history="1">
        <w:r>
          <w:rPr>
            <w:color w:val="0A3A8C"/>
            <w:u w:val="single"/>
          </w:rPr>
          <w:t xml:space="preserve">§ 239 Bürge</w:t>
        </w:r>
      </w:hyperlink>
    </w:p>
    <w:p>
      <w:pPr>
        <w:pStyle w:val="Übersicht"/>
        <w:ind w:left="680"/>
      </w:pPr>
      <w:hyperlink w:anchor="b277" w:history="1">
        <w:r>
          <w:rPr>
            <w:color w:val="0A3A8C"/>
            <w:u w:val="single"/>
          </w:rPr>
          <w:t xml:space="preserve">§ 240 Ergänzungspflicht</w:t>
        </w:r>
      </w:hyperlink>
    </w:p>
    <w:p>
      <w:pPr>
        <w:pStyle w:val="Übersicht"/>
        <w:ind w:left="680"/>
      </w:pPr>
      <w:hyperlink w:anchor="b278" w:history="1">
        <w:r>
          <w:rPr>
            <w:color w:val="0A3A8C"/>
            <w:u w:val="single"/>
          </w:rPr>
          <w:t xml:space="preserve">§ 240a Verordnungsermächtigung</w:t>
        </w:r>
      </w:hyperlink>
    </w:p>
    <w:p>
      <w:pPr>
        <w:pStyle w:val="Übersicht"/>
        <w:ind w:left="0"/>
      </w:pPr>
      <w:hyperlink w:anchor="b279" w:history="1">
        <w:r>
          <w:rPr>
            <w:b/>
            <w:color w:val="0A3A8C"/>
            <w:u w:val="single"/>
          </w:rPr>
          <w:t xml:space="preserve">Buch 2 Recht der Schuldverhältnisse</w:t>
        </w:r>
      </w:hyperlink>
    </w:p>
    <w:p>
      <w:pPr>
        <w:pStyle w:val="Übersicht"/>
        <w:ind w:left="340"/>
      </w:pPr>
      <w:hyperlink w:anchor="b280" w:history="1">
        <w:r>
          <w:rPr>
            <w:b/>
            <w:color w:val="0A3A8C"/>
            <w:u w:val="single"/>
          </w:rPr>
          <w:t xml:space="preserve">Abschnitt 1 Inhalt der Schuldverhältnisse</w:t>
        </w:r>
      </w:hyperlink>
    </w:p>
    <w:p>
      <w:pPr>
        <w:pStyle w:val="Übersicht"/>
        <w:ind w:left="680"/>
      </w:pPr>
      <w:hyperlink w:anchor="b281" w:history="1">
        <w:r>
          <w:rPr>
            <w:b/>
            <w:color w:val="0A3A8C"/>
            <w:u w:val="single"/>
          </w:rPr>
          <w:t xml:space="preserve">Titel 1 Verpflichtung zur Leistung</w:t>
        </w:r>
      </w:hyperlink>
    </w:p>
    <w:p>
      <w:pPr>
        <w:pStyle w:val="Übersicht"/>
        <w:ind w:left="1020"/>
      </w:pPr>
      <w:hyperlink w:anchor="b282" w:history="1">
        <w:r>
          <w:rPr>
            <w:color w:val="0A3A8C"/>
            <w:u w:val="single"/>
          </w:rPr>
          <w:t xml:space="preserve">§ 241 Pflichten aus dem Schuldverhältnis</w:t>
        </w:r>
      </w:hyperlink>
    </w:p>
    <w:p>
      <w:pPr>
        <w:pStyle w:val="Übersicht"/>
        <w:ind w:left="1020"/>
      </w:pPr>
      <w:hyperlink w:anchor="b283" w:history="1">
        <w:r>
          <w:rPr>
            <w:color w:val="0A3A8C"/>
            <w:u w:val="single"/>
          </w:rPr>
          <w:t xml:space="preserve">§ 241a Unbestellte Leistungen</w:t>
        </w:r>
      </w:hyperlink>
    </w:p>
    <w:p>
      <w:pPr>
        <w:pStyle w:val="Übersicht"/>
        <w:ind w:left="1020"/>
      </w:pPr>
      <w:hyperlink w:anchor="b284" w:history="1">
        <w:r>
          <w:rPr>
            <w:color w:val="0A3A8C"/>
            <w:u w:val="single"/>
          </w:rPr>
          <w:t xml:space="preserve">§ 242 Leistung nach Treu und Glauben</w:t>
        </w:r>
      </w:hyperlink>
    </w:p>
    <w:p>
      <w:pPr>
        <w:pStyle w:val="Übersicht"/>
        <w:ind w:left="1020"/>
      </w:pPr>
      <w:hyperlink w:anchor="b285" w:history="1">
        <w:r>
          <w:rPr>
            <w:color w:val="0A3A8C"/>
            <w:u w:val="single"/>
          </w:rPr>
          <w:t xml:space="preserve">§ 243 Gattungsschuld</w:t>
        </w:r>
      </w:hyperlink>
    </w:p>
    <w:p>
      <w:pPr>
        <w:pStyle w:val="Übersicht"/>
        <w:ind w:left="1020"/>
      </w:pPr>
      <w:hyperlink w:anchor="b286" w:history="1">
        <w:r>
          <w:rPr>
            <w:color w:val="0A3A8C"/>
            <w:u w:val="single"/>
          </w:rPr>
          <w:t xml:space="preserve">§ 244 Fremdwährungsschuld</w:t>
        </w:r>
      </w:hyperlink>
    </w:p>
    <w:p>
      <w:pPr>
        <w:pStyle w:val="Übersicht"/>
        <w:ind w:left="1020"/>
      </w:pPr>
      <w:hyperlink w:anchor="b287" w:history="1">
        <w:r>
          <w:rPr>
            <w:color w:val="0A3A8C"/>
            <w:u w:val="single"/>
          </w:rPr>
          <w:t xml:space="preserve">§ 245 Geldsortenschuld</w:t>
        </w:r>
      </w:hyperlink>
    </w:p>
    <w:p>
      <w:pPr>
        <w:pStyle w:val="Übersicht"/>
        <w:ind w:left="1020"/>
      </w:pPr>
      <w:hyperlink w:anchor="b288" w:history="1">
        <w:r>
          <w:rPr>
            <w:color w:val="0A3A8C"/>
            <w:u w:val="single"/>
          </w:rPr>
          <w:t xml:space="preserve">§ 246 Gesetzlicher Zinssatz</w:t>
        </w:r>
      </w:hyperlink>
    </w:p>
    <w:p>
      <w:pPr>
        <w:pStyle w:val="Übersicht"/>
        <w:ind w:left="1020"/>
      </w:pPr>
      <w:hyperlink w:anchor="b289" w:history="1">
        <w:r>
          <w:rPr>
            <w:color w:val="0A3A8C"/>
            <w:u w:val="single"/>
          </w:rPr>
          <w:t xml:space="preserve">§ 247 Basiszinssatz</w:t>
        </w:r>
      </w:hyperlink>
    </w:p>
    <w:p>
      <w:pPr>
        <w:pStyle w:val="Übersicht"/>
        <w:ind w:left="1020"/>
      </w:pPr>
      <w:hyperlink w:anchor="b290" w:history="1">
        <w:r>
          <w:rPr>
            <w:color w:val="0A3A8C"/>
            <w:u w:val="single"/>
          </w:rPr>
          <w:t xml:space="preserve">§ 248 Zinseszinsen</w:t>
        </w:r>
      </w:hyperlink>
    </w:p>
    <w:p>
      <w:pPr>
        <w:pStyle w:val="Übersicht"/>
        <w:ind w:left="1020"/>
      </w:pPr>
      <w:hyperlink w:anchor="b291" w:history="1">
        <w:r>
          <w:rPr>
            <w:color w:val="0A3A8C"/>
            <w:u w:val="single"/>
          </w:rPr>
          <w:t xml:space="preserve">§ 249 Art und Umfang des Schadensersatzes</w:t>
        </w:r>
      </w:hyperlink>
    </w:p>
    <w:p>
      <w:pPr>
        <w:pStyle w:val="Übersicht"/>
        <w:ind w:left="1020"/>
      </w:pPr>
      <w:hyperlink w:anchor="b292" w:history="1">
        <w:r>
          <w:rPr>
            <w:color w:val="0A3A8C"/>
            <w:u w:val="single"/>
          </w:rPr>
          <w:t xml:space="preserve">§ 250 Schadensersatz in Geld nach Fristsetzung</w:t>
        </w:r>
      </w:hyperlink>
    </w:p>
    <w:p>
      <w:pPr>
        <w:pStyle w:val="Übersicht"/>
        <w:ind w:left="1020"/>
      </w:pPr>
      <w:hyperlink w:anchor="b293" w:history="1">
        <w:r>
          <w:rPr>
            <w:color w:val="0A3A8C"/>
            <w:u w:val="single"/>
          </w:rPr>
          <w:t xml:space="preserve">§ 251 Schadensersatz in Geld ohne Fristsetzung</w:t>
        </w:r>
      </w:hyperlink>
    </w:p>
    <w:p>
      <w:pPr>
        <w:pStyle w:val="Übersicht"/>
        <w:ind w:left="1020"/>
      </w:pPr>
      <w:hyperlink w:anchor="b294" w:history="1">
        <w:r>
          <w:rPr>
            <w:color w:val="0A3A8C"/>
            <w:u w:val="single"/>
          </w:rPr>
          <w:t xml:space="preserve">§ 252 Entgangener Gewinn</w:t>
        </w:r>
      </w:hyperlink>
    </w:p>
    <w:p>
      <w:pPr>
        <w:pStyle w:val="Übersicht"/>
        <w:ind w:left="1020"/>
      </w:pPr>
      <w:hyperlink w:anchor="b295" w:history="1">
        <w:r>
          <w:rPr>
            <w:color w:val="0A3A8C"/>
            <w:u w:val="single"/>
          </w:rPr>
          <w:t xml:space="preserve">§ 253 Immaterieller Schaden</w:t>
        </w:r>
      </w:hyperlink>
    </w:p>
    <w:p>
      <w:pPr>
        <w:pStyle w:val="Übersicht"/>
        <w:ind w:left="1020"/>
      </w:pPr>
      <w:hyperlink w:anchor="b296" w:history="1">
        <w:r>
          <w:rPr>
            <w:color w:val="0A3A8C"/>
            <w:u w:val="single"/>
          </w:rPr>
          <w:t xml:space="preserve">§ 254 Mitverschulden</w:t>
        </w:r>
      </w:hyperlink>
    </w:p>
    <w:p>
      <w:pPr>
        <w:pStyle w:val="Übersicht"/>
        <w:ind w:left="1020"/>
      </w:pPr>
      <w:hyperlink w:anchor="b297" w:history="1">
        <w:r>
          <w:rPr>
            <w:color w:val="0A3A8C"/>
            <w:u w:val="single"/>
          </w:rPr>
          <w:t xml:space="preserve">§ 255 Abtretung der Ersatzansprüche</w:t>
        </w:r>
      </w:hyperlink>
    </w:p>
    <w:p>
      <w:pPr>
        <w:pStyle w:val="Übersicht"/>
        <w:ind w:left="1020"/>
      </w:pPr>
      <w:hyperlink w:anchor="b298" w:history="1">
        <w:r>
          <w:rPr>
            <w:color w:val="0A3A8C"/>
            <w:u w:val="single"/>
          </w:rPr>
          <w:t xml:space="preserve">§ 256 Verzinsung von Aufwendungen</w:t>
        </w:r>
      </w:hyperlink>
    </w:p>
    <w:p>
      <w:pPr>
        <w:pStyle w:val="Übersicht"/>
        <w:ind w:left="1020"/>
      </w:pPr>
      <w:hyperlink w:anchor="b299" w:history="1">
        <w:r>
          <w:rPr>
            <w:color w:val="0A3A8C"/>
            <w:u w:val="single"/>
          </w:rPr>
          <w:t xml:space="preserve">§ 257 Befreiungsanspruch</w:t>
        </w:r>
      </w:hyperlink>
    </w:p>
    <w:p>
      <w:pPr>
        <w:pStyle w:val="Übersicht"/>
        <w:ind w:left="1020"/>
      </w:pPr>
      <w:hyperlink w:anchor="b300" w:history="1">
        <w:r>
          <w:rPr>
            <w:color w:val="0A3A8C"/>
            <w:u w:val="single"/>
          </w:rPr>
          <w:t xml:space="preserve">§ 258 Wegnahmerecht</w:t>
        </w:r>
      </w:hyperlink>
    </w:p>
    <w:p>
      <w:pPr>
        <w:pStyle w:val="Übersicht"/>
        <w:ind w:left="1020"/>
      </w:pPr>
      <w:hyperlink w:anchor="b301" w:history="1">
        <w:r>
          <w:rPr>
            <w:color w:val="0A3A8C"/>
            <w:u w:val="single"/>
          </w:rPr>
          <w:t xml:space="preserve">§ 259 Umfang der Rechenschaftspflicht</w:t>
        </w:r>
      </w:hyperlink>
    </w:p>
    <w:p>
      <w:pPr>
        <w:pStyle w:val="Übersicht"/>
        <w:ind w:left="1020"/>
      </w:pPr>
      <w:hyperlink w:anchor="b302" w:history="1">
        <w:r>
          <w:rPr>
            <w:color w:val="0A3A8C"/>
            <w:u w:val="single"/>
          </w:rPr>
          <w:t xml:space="preserve">§ 260 Pflichten bei Herausgabe oder Auskunft über Inbegriff
von Gegenständen</w:t>
        </w:r>
      </w:hyperlink>
    </w:p>
    <w:p>
      <w:pPr>
        <w:pStyle w:val="Übersicht"/>
        <w:ind w:left="1020"/>
      </w:pPr>
      <w:hyperlink w:anchor="b303" w:history="1">
        <w:r>
          <w:rPr>
            <w:color w:val="0A3A8C"/>
            <w:u w:val="single"/>
          </w:rPr>
          <w:t xml:space="preserve">§ 261 Änderung der eidesstattlichen Versicherung; Kosten</w:t>
        </w:r>
      </w:hyperlink>
    </w:p>
    <w:p>
      <w:pPr>
        <w:pStyle w:val="Übersicht"/>
        <w:ind w:left="1020"/>
      </w:pPr>
      <w:hyperlink w:anchor="b304" w:history="1">
        <w:r>
          <w:rPr>
            <w:color w:val="0A3A8C"/>
            <w:u w:val="single"/>
          </w:rPr>
          <w:t xml:space="preserve">§ 262 Wahlschuld; Wahlrecht</w:t>
        </w:r>
      </w:hyperlink>
    </w:p>
    <w:p>
      <w:pPr>
        <w:pStyle w:val="Übersicht"/>
        <w:ind w:left="1020"/>
      </w:pPr>
      <w:hyperlink w:anchor="b305" w:history="1">
        <w:r>
          <w:rPr>
            <w:color w:val="0A3A8C"/>
            <w:u w:val="single"/>
          </w:rPr>
          <w:t xml:space="preserve">§ 263 Ausübung des Wahlrechts; Wirkung</w:t>
        </w:r>
      </w:hyperlink>
    </w:p>
    <w:p>
      <w:pPr>
        <w:pStyle w:val="Übersicht"/>
        <w:ind w:left="1020"/>
      </w:pPr>
      <w:hyperlink w:anchor="b306" w:history="1">
        <w:r>
          <w:rPr>
            <w:color w:val="0A3A8C"/>
            <w:u w:val="single"/>
          </w:rPr>
          <w:t xml:space="preserve">§ 264 Verzug des Wahlberechtigten</w:t>
        </w:r>
      </w:hyperlink>
    </w:p>
    <w:p>
      <w:pPr>
        <w:pStyle w:val="Übersicht"/>
        <w:ind w:left="1020"/>
      </w:pPr>
      <w:hyperlink w:anchor="b307" w:history="1">
        <w:r>
          <w:rPr>
            <w:color w:val="0A3A8C"/>
            <w:u w:val="single"/>
          </w:rPr>
          <w:t xml:space="preserve">§ 265 Unmöglichkeit bei Wahlschuld</w:t>
        </w:r>
      </w:hyperlink>
    </w:p>
    <w:p>
      <w:pPr>
        <w:pStyle w:val="Übersicht"/>
        <w:ind w:left="1020"/>
      </w:pPr>
      <w:hyperlink w:anchor="b308" w:history="1">
        <w:r>
          <w:rPr>
            <w:color w:val="0A3A8C"/>
            <w:u w:val="single"/>
          </w:rPr>
          <w:t xml:space="preserve">§ 266 Teilleistungen</w:t>
        </w:r>
      </w:hyperlink>
    </w:p>
    <w:p>
      <w:pPr>
        <w:pStyle w:val="Übersicht"/>
        <w:ind w:left="1020"/>
      </w:pPr>
      <w:hyperlink w:anchor="b309" w:history="1">
        <w:r>
          <w:rPr>
            <w:color w:val="0A3A8C"/>
            <w:u w:val="single"/>
          </w:rPr>
          <w:t xml:space="preserve">§ 267 Leistung durch Dritte</w:t>
        </w:r>
      </w:hyperlink>
    </w:p>
    <w:p>
      <w:pPr>
        <w:pStyle w:val="Übersicht"/>
        <w:ind w:left="1020"/>
      </w:pPr>
      <w:hyperlink w:anchor="b310" w:history="1">
        <w:r>
          <w:rPr>
            <w:color w:val="0A3A8C"/>
            <w:u w:val="single"/>
          </w:rPr>
          <w:t xml:space="preserve">§ 268 Ablösungsrecht des Dritten</w:t>
        </w:r>
      </w:hyperlink>
    </w:p>
    <w:p>
      <w:pPr>
        <w:pStyle w:val="Übersicht"/>
        <w:ind w:left="1020"/>
      </w:pPr>
      <w:hyperlink w:anchor="b311" w:history="1">
        <w:r>
          <w:rPr>
            <w:color w:val="0A3A8C"/>
            <w:u w:val="single"/>
          </w:rPr>
          <w:t xml:space="preserve">§ 269 Leistungsort</w:t>
        </w:r>
      </w:hyperlink>
    </w:p>
    <w:p>
      <w:pPr>
        <w:pStyle w:val="Übersicht"/>
        <w:ind w:left="1020"/>
      </w:pPr>
      <w:hyperlink w:anchor="b312" w:history="1">
        <w:r>
          <w:rPr>
            <w:color w:val="0A3A8C"/>
            <w:u w:val="single"/>
          </w:rPr>
          <w:t xml:space="preserve">§ 270 Zahlungsort</w:t>
        </w:r>
      </w:hyperlink>
    </w:p>
    <w:p>
      <w:pPr>
        <w:pStyle w:val="Übersicht"/>
        <w:ind w:left="1020"/>
      </w:pPr>
      <w:hyperlink w:anchor="b313" w:history="1">
        <w:r>
          <w:rPr>
            <w:color w:val="0A3A8C"/>
            <w:u w:val="single"/>
          </w:rPr>
          <w:t xml:space="preserve">§ 270a Vereinbarungen über Entgelte für die Nutzung bargeldloser Zahlungsmittel</w:t>
        </w:r>
      </w:hyperlink>
    </w:p>
    <w:p>
      <w:pPr>
        <w:pStyle w:val="Übersicht"/>
        <w:ind w:left="1020"/>
      </w:pPr>
      <w:hyperlink w:anchor="b314" w:history="1">
        <w:r>
          <w:rPr>
            <w:color w:val="0A3A8C"/>
            <w:u w:val="single"/>
          </w:rPr>
          <w:t xml:space="preserve">§ 271 Leistungszeit</w:t>
        </w:r>
      </w:hyperlink>
    </w:p>
    <w:p>
      <w:pPr>
        <w:pStyle w:val="Übersicht"/>
        <w:ind w:left="1020"/>
      </w:pPr>
      <w:hyperlink w:anchor="b315" w:history="1">
        <w:r>
          <w:rPr>
            <w:color w:val="0A3A8C"/>
            <w:u w:val="single"/>
          </w:rPr>
          <w:t xml:space="preserve">§ 271a Vereinbarungen über Zahlungs-, Überprüfungs- oder Abnahmefristen</w:t>
        </w:r>
      </w:hyperlink>
    </w:p>
    <w:p>
      <w:pPr>
        <w:pStyle w:val="Übersicht"/>
        <w:ind w:left="1020"/>
      </w:pPr>
      <w:hyperlink w:anchor="b316" w:history="1">
        <w:r>
          <w:rPr>
            <w:color w:val="0A3A8C"/>
            <w:u w:val="single"/>
          </w:rPr>
          <w:t xml:space="preserve">§ 272 Zwischenzinsen</w:t>
        </w:r>
      </w:hyperlink>
    </w:p>
    <w:p>
      <w:pPr>
        <w:pStyle w:val="Übersicht"/>
        <w:ind w:left="1020"/>
      </w:pPr>
      <w:hyperlink w:anchor="b317" w:history="1">
        <w:r>
          <w:rPr>
            <w:color w:val="0A3A8C"/>
            <w:u w:val="single"/>
          </w:rPr>
          <w:t xml:space="preserve">§ 273 Zurückbehaltungsrecht</w:t>
        </w:r>
      </w:hyperlink>
    </w:p>
    <w:p>
      <w:pPr>
        <w:pStyle w:val="Übersicht"/>
        <w:ind w:left="1020"/>
      </w:pPr>
      <w:hyperlink w:anchor="b318" w:history="1">
        <w:r>
          <w:rPr>
            <w:color w:val="0A3A8C"/>
            <w:u w:val="single"/>
          </w:rPr>
          <w:t xml:space="preserve">§ 274 Wirkungen des Zurückbehaltungsrechts</w:t>
        </w:r>
      </w:hyperlink>
    </w:p>
    <w:p>
      <w:pPr>
        <w:pStyle w:val="Übersicht"/>
        <w:ind w:left="1020"/>
      </w:pPr>
      <w:hyperlink w:anchor="b319" w:history="1">
        <w:r>
          <w:rPr>
            <w:color w:val="0A3A8C"/>
            <w:u w:val="single"/>
          </w:rPr>
          <w:t xml:space="preserve">§ 275 Ausschluss der Leistungspflicht</w:t>
        </w:r>
      </w:hyperlink>
    </w:p>
    <w:p>
      <w:pPr>
        <w:pStyle w:val="Übersicht"/>
        <w:ind w:left="1020"/>
      </w:pPr>
      <w:hyperlink w:anchor="b320" w:history="1">
        <w:r>
          <w:rPr>
            <w:color w:val="0A3A8C"/>
            <w:u w:val="single"/>
          </w:rPr>
          <w:t xml:space="preserve">§ 276 Verantwortlichkeit des Schuldners</w:t>
        </w:r>
      </w:hyperlink>
    </w:p>
    <w:p>
      <w:pPr>
        <w:pStyle w:val="Übersicht"/>
        <w:ind w:left="1020"/>
      </w:pPr>
      <w:hyperlink w:anchor="b321" w:history="1">
        <w:r>
          <w:rPr>
            <w:color w:val="0A3A8C"/>
            <w:u w:val="single"/>
          </w:rPr>
          <w:t xml:space="preserve">§ 277 Sorgfalt in eigenen Angelegenheiten</w:t>
        </w:r>
      </w:hyperlink>
    </w:p>
    <w:p>
      <w:pPr>
        <w:pStyle w:val="Übersicht"/>
        <w:ind w:left="1020"/>
      </w:pPr>
      <w:hyperlink w:anchor="b322" w:history="1">
        <w:r>
          <w:rPr>
            <w:color w:val="0A3A8C"/>
            <w:u w:val="single"/>
          </w:rPr>
          <w:t xml:space="preserve">§ 278 Verantwortlichkeit des Schuldners für Dritte</w:t>
        </w:r>
      </w:hyperlink>
    </w:p>
    <w:p>
      <w:pPr>
        <w:pStyle w:val="Übersicht"/>
        <w:ind w:left="1020"/>
      </w:pPr>
      <w:hyperlink w:anchor="b323" w:history="1">
        <w:r>
          <w:rPr>
            <w:color w:val="0A3A8C"/>
            <w:u w:val="single"/>
          </w:rPr>
          <w:t xml:space="preserve">§ 279</w:t>
        </w:r>
      </w:hyperlink>
    </w:p>
    <w:p>
      <w:pPr>
        <w:pStyle w:val="Übersicht"/>
        <w:ind w:left="1020"/>
      </w:pPr>
      <w:hyperlink w:anchor="b324" w:history="1">
        <w:r>
          <w:rPr>
            <w:color w:val="0A3A8C"/>
            <w:u w:val="single"/>
          </w:rPr>
          <w:t xml:space="preserve">§ 280 Schadensersatz wegen Pflichtverletzung</w:t>
        </w:r>
      </w:hyperlink>
    </w:p>
    <w:p>
      <w:pPr>
        <w:pStyle w:val="Übersicht"/>
        <w:ind w:left="1020"/>
      </w:pPr>
      <w:hyperlink w:anchor="b325" w:history="1">
        <w:r>
          <w:rPr>
            <w:color w:val="0A3A8C"/>
            <w:u w:val="single"/>
          </w:rPr>
          <w:t xml:space="preserve">§ 281 Schadensersatz statt der Leistung wegen nicht oder nicht wie geschuldet
erbrachter Leistung</w:t>
        </w:r>
      </w:hyperlink>
    </w:p>
    <w:p>
      <w:pPr>
        <w:pStyle w:val="Übersicht"/>
        <w:ind w:left="1020"/>
      </w:pPr>
      <w:hyperlink w:anchor="b326" w:history="1">
        <w:r>
          <w:rPr>
            <w:color w:val="0A3A8C"/>
            <w:u w:val="single"/>
          </w:rPr>
          <w:t xml:space="preserve">§ 282 Schadensersatz statt der Leistung wegen Verletzung einer Pflicht nach §
241 Abs. 2</w:t>
        </w:r>
      </w:hyperlink>
    </w:p>
    <w:p>
      <w:pPr>
        <w:pStyle w:val="Übersicht"/>
        <w:ind w:left="1020"/>
      </w:pPr>
      <w:hyperlink w:anchor="b327" w:history="1">
        <w:r>
          <w:rPr>
            <w:color w:val="0A3A8C"/>
            <w:u w:val="single"/>
          </w:rPr>
          <w:t xml:space="preserve">§ 283 Schadensersatz statt der Leistung bei Ausschluss der Leistungspflicht</w:t>
        </w:r>
      </w:hyperlink>
    </w:p>
    <w:p>
      <w:pPr>
        <w:pStyle w:val="Übersicht"/>
        <w:ind w:left="1020"/>
      </w:pPr>
      <w:hyperlink w:anchor="b328" w:history="1">
        <w:r>
          <w:rPr>
            <w:color w:val="0A3A8C"/>
            <w:u w:val="single"/>
          </w:rPr>
          <w:t xml:space="preserve">§ 284 Ersatz vergeblicher Aufwendungen</w:t>
        </w:r>
      </w:hyperlink>
    </w:p>
    <w:p>
      <w:pPr>
        <w:pStyle w:val="Übersicht"/>
        <w:ind w:left="1020"/>
      </w:pPr>
      <w:hyperlink w:anchor="b329" w:history="1">
        <w:r>
          <w:rPr>
            <w:color w:val="0A3A8C"/>
            <w:u w:val="single"/>
          </w:rPr>
          <w:t xml:space="preserve">§ 285 Herausgabe des Ersatzes</w:t>
        </w:r>
      </w:hyperlink>
    </w:p>
    <w:p>
      <w:pPr>
        <w:pStyle w:val="Übersicht"/>
        <w:ind w:left="1020"/>
      </w:pPr>
      <w:hyperlink w:anchor="b330" w:history="1">
        <w:r>
          <w:rPr>
            <w:color w:val="0A3A8C"/>
            <w:u w:val="single"/>
          </w:rPr>
          <w:t xml:space="preserve">§ 286 Verzug des Schuldners</w:t>
        </w:r>
      </w:hyperlink>
    </w:p>
    <w:p>
      <w:pPr>
        <w:pStyle w:val="Übersicht"/>
        <w:ind w:left="1020"/>
      </w:pPr>
      <w:hyperlink w:anchor="b331" w:history="1">
        <w:r>
          <w:rPr>
            <w:color w:val="0A3A8C"/>
            <w:u w:val="single"/>
          </w:rPr>
          <w:t xml:space="preserve">§ 287 Verantwortlichkeit während des Verzugs</w:t>
        </w:r>
      </w:hyperlink>
    </w:p>
    <w:p>
      <w:pPr>
        <w:pStyle w:val="Übersicht"/>
        <w:ind w:left="1020"/>
      </w:pPr>
      <w:hyperlink w:anchor="b332" w:history="1">
        <w:r>
          <w:rPr>
            <w:color w:val="0A3A8C"/>
            <w:u w:val="single"/>
          </w:rPr>
          <w:t xml:space="preserve">§ 288 Verzugszinsen und sonstiger Verzugsschaden</w:t>
        </w:r>
      </w:hyperlink>
    </w:p>
    <w:p>
      <w:pPr>
        <w:pStyle w:val="Übersicht"/>
        <w:ind w:left="1020"/>
      </w:pPr>
      <w:hyperlink w:anchor="b333" w:history="1">
        <w:r>
          <w:rPr>
            <w:color w:val="0A3A8C"/>
            <w:u w:val="single"/>
          </w:rPr>
          <w:t xml:space="preserve">§ 289 Zinseszinsverbot</w:t>
        </w:r>
      </w:hyperlink>
    </w:p>
    <w:p>
      <w:pPr>
        <w:pStyle w:val="Übersicht"/>
        <w:ind w:left="1020"/>
      </w:pPr>
      <w:hyperlink w:anchor="b334" w:history="1">
        <w:r>
          <w:rPr>
            <w:color w:val="0A3A8C"/>
            <w:u w:val="single"/>
          </w:rPr>
          <w:t xml:space="preserve">§ 290 Verzinsung des Wertersatzes</w:t>
        </w:r>
      </w:hyperlink>
    </w:p>
    <w:p>
      <w:pPr>
        <w:pStyle w:val="Übersicht"/>
        <w:ind w:left="1020"/>
      </w:pPr>
      <w:hyperlink w:anchor="b335" w:history="1">
        <w:r>
          <w:rPr>
            <w:color w:val="0A3A8C"/>
            <w:u w:val="single"/>
          </w:rPr>
          <w:t xml:space="preserve">§ 291 Prozesszinsen</w:t>
        </w:r>
      </w:hyperlink>
    </w:p>
    <w:p>
      <w:pPr>
        <w:pStyle w:val="Übersicht"/>
        <w:ind w:left="1020"/>
      </w:pPr>
      <w:hyperlink w:anchor="b336" w:history="1">
        <w:r>
          <w:rPr>
            <w:color w:val="0A3A8C"/>
            <w:u w:val="single"/>
          </w:rPr>
          <w:t xml:space="preserve">§ 292 Haftung bei Herausgabepflicht</w:t>
        </w:r>
      </w:hyperlink>
    </w:p>
    <w:p>
      <w:pPr>
        <w:pStyle w:val="Übersicht"/>
        <w:ind w:left="680"/>
      </w:pPr>
      <w:hyperlink w:anchor="b337" w:history="1">
        <w:r>
          <w:rPr>
            <w:b/>
            <w:color w:val="0A3A8C"/>
            <w:u w:val="single"/>
          </w:rPr>
          <w:t xml:space="preserve">Titel 2 Verzug des Gläubigers</w:t>
        </w:r>
      </w:hyperlink>
    </w:p>
    <w:p>
      <w:pPr>
        <w:pStyle w:val="Übersicht"/>
        <w:ind w:left="1020"/>
      </w:pPr>
      <w:hyperlink w:anchor="b338" w:history="1">
        <w:r>
          <w:rPr>
            <w:color w:val="0A3A8C"/>
            <w:u w:val="single"/>
          </w:rPr>
          <w:t xml:space="preserve">§ 293 Annahmeverzug</w:t>
        </w:r>
      </w:hyperlink>
    </w:p>
    <w:p>
      <w:pPr>
        <w:pStyle w:val="Übersicht"/>
        <w:ind w:left="1020"/>
      </w:pPr>
      <w:hyperlink w:anchor="b339" w:history="1">
        <w:r>
          <w:rPr>
            <w:color w:val="0A3A8C"/>
            <w:u w:val="single"/>
          </w:rPr>
          <w:t xml:space="preserve">§ 294 Tatsächliches Angebot</w:t>
        </w:r>
      </w:hyperlink>
    </w:p>
    <w:p>
      <w:pPr>
        <w:pStyle w:val="Übersicht"/>
        <w:ind w:left="1020"/>
      </w:pPr>
      <w:hyperlink w:anchor="b340" w:history="1">
        <w:r>
          <w:rPr>
            <w:color w:val="0A3A8C"/>
            <w:u w:val="single"/>
          </w:rPr>
          <w:t xml:space="preserve">§ 295 Wörtliches Angebot</w:t>
        </w:r>
      </w:hyperlink>
    </w:p>
    <w:p>
      <w:pPr>
        <w:pStyle w:val="Übersicht"/>
        <w:ind w:left="1020"/>
      </w:pPr>
      <w:hyperlink w:anchor="b341" w:history="1">
        <w:r>
          <w:rPr>
            <w:color w:val="0A3A8C"/>
            <w:u w:val="single"/>
          </w:rPr>
          <w:t xml:space="preserve">§ 296 Entbehrlichkeit des Angebots</w:t>
        </w:r>
      </w:hyperlink>
    </w:p>
    <w:p>
      <w:pPr>
        <w:pStyle w:val="Übersicht"/>
        <w:ind w:left="1020"/>
      </w:pPr>
      <w:hyperlink w:anchor="b342" w:history="1">
        <w:r>
          <w:rPr>
            <w:color w:val="0A3A8C"/>
            <w:u w:val="single"/>
          </w:rPr>
          <w:t xml:space="preserve">§ 297 Unvermögen des Schuldners</w:t>
        </w:r>
      </w:hyperlink>
    </w:p>
    <w:p>
      <w:pPr>
        <w:pStyle w:val="Übersicht"/>
        <w:ind w:left="1020"/>
      </w:pPr>
      <w:hyperlink w:anchor="b343" w:history="1">
        <w:r>
          <w:rPr>
            <w:color w:val="0A3A8C"/>
            <w:u w:val="single"/>
          </w:rPr>
          <w:t xml:space="preserve">§ 298 Zug-um-Zug-Leistungen</w:t>
        </w:r>
      </w:hyperlink>
    </w:p>
    <w:p>
      <w:pPr>
        <w:pStyle w:val="Übersicht"/>
        <w:ind w:left="1020"/>
      </w:pPr>
      <w:hyperlink w:anchor="b344" w:history="1">
        <w:r>
          <w:rPr>
            <w:color w:val="0A3A8C"/>
            <w:u w:val="single"/>
          </w:rPr>
          <w:t xml:space="preserve">§ 299 Vorübergehende Annahmeverhinderung</w:t>
        </w:r>
      </w:hyperlink>
    </w:p>
    <w:p>
      <w:pPr>
        <w:pStyle w:val="Übersicht"/>
        <w:ind w:left="1020"/>
      </w:pPr>
      <w:hyperlink w:anchor="b345" w:history="1">
        <w:r>
          <w:rPr>
            <w:color w:val="0A3A8C"/>
            <w:u w:val="single"/>
          </w:rPr>
          <w:t xml:space="preserve">§ 300 Wirkungen des Gläubigerverzugs</w:t>
        </w:r>
      </w:hyperlink>
    </w:p>
    <w:p>
      <w:pPr>
        <w:pStyle w:val="Übersicht"/>
        <w:ind w:left="1020"/>
      </w:pPr>
      <w:hyperlink w:anchor="b346" w:history="1">
        <w:r>
          <w:rPr>
            <w:color w:val="0A3A8C"/>
            <w:u w:val="single"/>
          </w:rPr>
          <w:t xml:space="preserve">§ 301 Wegfall der Verzinsung</w:t>
        </w:r>
      </w:hyperlink>
    </w:p>
    <w:p>
      <w:pPr>
        <w:pStyle w:val="Übersicht"/>
        <w:ind w:left="1020"/>
      </w:pPr>
      <w:hyperlink w:anchor="b347" w:history="1">
        <w:r>
          <w:rPr>
            <w:color w:val="0A3A8C"/>
            <w:u w:val="single"/>
          </w:rPr>
          <w:t xml:space="preserve">§ 302 Nutzungen</w:t>
        </w:r>
      </w:hyperlink>
    </w:p>
    <w:p>
      <w:pPr>
        <w:pStyle w:val="Übersicht"/>
        <w:ind w:left="1020"/>
      </w:pPr>
      <w:hyperlink w:anchor="b348" w:history="1">
        <w:r>
          <w:rPr>
            <w:color w:val="0A3A8C"/>
            <w:u w:val="single"/>
          </w:rPr>
          <w:t xml:space="preserve">§ 303 Recht zur Besitzaufgabe</w:t>
        </w:r>
      </w:hyperlink>
    </w:p>
    <w:p>
      <w:pPr>
        <w:pStyle w:val="Übersicht"/>
        <w:ind w:left="1020"/>
      </w:pPr>
      <w:hyperlink w:anchor="b349" w:history="1">
        <w:r>
          <w:rPr>
            <w:color w:val="0A3A8C"/>
            <w:u w:val="single"/>
          </w:rPr>
          <w:t xml:space="preserve">§ 304 Ersatz von Mehraufwendungen</w:t>
        </w:r>
      </w:hyperlink>
    </w:p>
    <w:p>
      <w:pPr>
        <w:pStyle w:val="Übersicht"/>
        <w:ind w:left="340"/>
      </w:pPr>
      <w:hyperlink w:anchor="b350" w:history="1">
        <w:r>
          <w:rPr>
            <w:b/>
            <w:color w:val="0A3A8C"/>
            <w:u w:val="single"/>
          </w:rPr>
          <w:t xml:space="preserve">Abschnitt 2 Gestaltung rechtsgeschäftlicher Schuldverhältnisse durch Allgemeine Geschäftsbedingungen</w:t>
        </w:r>
      </w:hyperlink>
    </w:p>
    <w:p>
      <w:pPr>
        <w:pStyle w:val="Übersicht"/>
        <w:ind w:left="680"/>
      </w:pPr>
      <w:hyperlink w:anchor="b351" w:history="1">
        <w:r>
          <w:rPr>
            <w:color w:val="0A3A8C"/>
            <w:u w:val="single"/>
          </w:rPr>
          <w:t xml:space="preserve">§ 305 Einbeziehung Allgemeiner Geschäftsbedingungen in den Vertrag</w:t>
        </w:r>
      </w:hyperlink>
    </w:p>
    <w:p>
      <w:pPr>
        <w:pStyle w:val="Übersicht"/>
        <w:ind w:left="680"/>
      </w:pPr>
      <w:hyperlink w:anchor="b352" w:history="1">
        <w:r>
          <w:rPr>
            <w:color w:val="0A3A8C"/>
            <w:u w:val="single"/>
          </w:rPr>
          <w:t xml:space="preserve">§ 305a Einbeziehung in besonderen Fällen</w:t>
        </w:r>
      </w:hyperlink>
    </w:p>
    <w:p>
      <w:pPr>
        <w:pStyle w:val="Übersicht"/>
        <w:ind w:left="680"/>
      </w:pPr>
      <w:hyperlink w:anchor="b353" w:history="1">
        <w:r>
          <w:rPr>
            <w:color w:val="0A3A8C"/>
            <w:u w:val="single"/>
          </w:rPr>
          <w:t xml:space="preserve">§ 305b Vorrang der Individualabrede</w:t>
        </w:r>
      </w:hyperlink>
    </w:p>
    <w:p>
      <w:pPr>
        <w:pStyle w:val="Übersicht"/>
        <w:ind w:left="680"/>
      </w:pPr>
      <w:hyperlink w:anchor="b354" w:history="1">
        <w:r>
          <w:rPr>
            <w:color w:val="0A3A8C"/>
            <w:u w:val="single"/>
          </w:rPr>
          <w:t xml:space="preserve">§ 305c Überraschende und mehrdeutige Klauseln</w:t>
        </w:r>
      </w:hyperlink>
    </w:p>
    <w:p>
      <w:pPr>
        <w:pStyle w:val="Übersicht"/>
        <w:ind w:left="680"/>
      </w:pPr>
      <w:hyperlink w:anchor="b355" w:history="1">
        <w:r>
          <w:rPr>
            <w:color w:val="0A3A8C"/>
            <w:u w:val="single"/>
          </w:rPr>
          <w:t xml:space="preserve">§ 306 Rechtsfolgen bei Nichteinbeziehung und Unwirksamkeit</w:t>
        </w:r>
      </w:hyperlink>
    </w:p>
    <w:p>
      <w:pPr>
        <w:pStyle w:val="Übersicht"/>
        <w:ind w:left="680"/>
      </w:pPr>
      <w:hyperlink w:anchor="b356" w:history="1">
        <w:r>
          <w:rPr>
            <w:color w:val="0A3A8C"/>
            <w:u w:val="single"/>
          </w:rPr>
          <w:t xml:space="preserve">§ 306a Umgehungsverbot</w:t>
        </w:r>
      </w:hyperlink>
    </w:p>
    <w:p>
      <w:pPr>
        <w:pStyle w:val="Übersicht"/>
        <w:ind w:left="680"/>
      </w:pPr>
      <w:hyperlink w:anchor="b357" w:history="1">
        <w:r>
          <w:rPr>
            <w:color w:val="0A3A8C"/>
            <w:u w:val="single"/>
          </w:rPr>
          <w:t xml:space="preserve">§ 307 Inhaltskontrolle</w:t>
        </w:r>
      </w:hyperlink>
    </w:p>
    <w:p>
      <w:pPr>
        <w:pStyle w:val="Übersicht"/>
        <w:ind w:left="680"/>
      </w:pPr>
      <w:hyperlink w:anchor="b358" w:history="1">
        <w:r>
          <w:rPr>
            <w:color w:val="0A3A8C"/>
            <w:u w:val="single"/>
          </w:rPr>
          <w:t xml:space="preserve">§ 308 Klauselverbote mit Wertungsmöglichkeit</w:t>
        </w:r>
      </w:hyperlink>
    </w:p>
    <w:p>
      <w:pPr>
        <w:pStyle w:val="Übersicht"/>
        <w:ind w:left="680"/>
      </w:pPr>
      <w:hyperlink w:anchor="b359" w:history="1">
        <w:r>
          <w:rPr>
            <w:color w:val="0A3A8C"/>
            <w:u w:val="single"/>
          </w:rPr>
          <w:t xml:space="preserve">§ 309 Klauselverbote ohne Wertungsmöglichkeit</w:t>
        </w:r>
      </w:hyperlink>
    </w:p>
    <w:p>
      <w:pPr>
        <w:pStyle w:val="Übersicht"/>
        <w:ind w:left="680"/>
      </w:pPr>
      <w:hyperlink w:anchor="b360" w:history="1">
        <w:r>
          <w:rPr>
            <w:color w:val="0A3A8C"/>
            <w:u w:val="single"/>
          </w:rPr>
          <w:t xml:space="preserve">§ 310 Anwendungsbereich</w:t>
        </w:r>
      </w:hyperlink>
    </w:p>
    <w:p>
      <w:pPr>
        <w:pStyle w:val="Übersicht"/>
        <w:ind w:left="340"/>
      </w:pPr>
      <w:hyperlink w:anchor="b361" w:history="1">
        <w:r>
          <w:rPr>
            <w:b/>
            <w:color w:val="0A3A8C"/>
            <w:u w:val="single"/>
          </w:rPr>
          <w:t xml:space="preserve">Abschnitt 3 Schuldverhältnisse aus Verträgen</w:t>
        </w:r>
      </w:hyperlink>
    </w:p>
    <w:p>
      <w:pPr>
        <w:pStyle w:val="Übersicht"/>
        <w:ind w:left="680"/>
      </w:pPr>
      <w:hyperlink w:anchor="b362" w:history="1">
        <w:r>
          <w:rPr>
            <w:b/>
            <w:color w:val="0A3A8C"/>
            <w:u w:val="single"/>
          </w:rPr>
          <w:t xml:space="preserve">Titel 1 Begründung, Inhalt und Beendigung</w:t>
        </w:r>
      </w:hyperlink>
    </w:p>
    <w:p>
      <w:pPr>
        <w:pStyle w:val="Übersicht"/>
        <w:ind w:left="1020"/>
      </w:pPr>
      <w:hyperlink w:anchor="b363" w:history="1">
        <w:r>
          <w:rPr>
            <w:b/>
            <w:color w:val="0A3A8C"/>
            <w:u w:val="single"/>
          </w:rPr>
          <w:t xml:space="preserve">Untertitel 1 Begründung</w:t>
        </w:r>
      </w:hyperlink>
    </w:p>
    <w:p>
      <w:pPr>
        <w:pStyle w:val="Übersicht"/>
        <w:ind w:left="1361"/>
      </w:pPr>
      <w:hyperlink w:anchor="b364" w:history="1">
        <w:r>
          <w:rPr>
            <w:color w:val="0A3A8C"/>
            <w:u w:val="single"/>
          </w:rPr>
          <w:t xml:space="preserve">§ 311 Rechtsgeschäftliche und rechtsgeschäftsähnliche Schuldverhältnisse</w:t>
        </w:r>
      </w:hyperlink>
    </w:p>
    <w:p>
      <w:pPr>
        <w:pStyle w:val="Übersicht"/>
        <w:ind w:left="1361"/>
      </w:pPr>
      <w:hyperlink w:anchor="b365" w:history="1">
        <w:r>
          <w:rPr>
            <w:color w:val="0A3A8C"/>
            <w:u w:val="single"/>
          </w:rPr>
          <w:t xml:space="preserve">§ 311a Leistungshindernis bei Vertragsschluss</w:t>
        </w:r>
      </w:hyperlink>
    </w:p>
    <w:p>
      <w:pPr>
        <w:pStyle w:val="Übersicht"/>
        <w:ind w:left="1361"/>
      </w:pPr>
      <w:hyperlink w:anchor="b366" w:history="1">
        <w:r>
          <w:rPr>
            <w:color w:val="0A3A8C"/>
            <w:u w:val="single"/>
          </w:rPr>
          <w:t xml:space="preserve">§ 311b Verträge über Grundstücke, das Vermögen und den Nachlass</w:t>
        </w:r>
      </w:hyperlink>
    </w:p>
    <w:p>
      <w:pPr>
        <w:pStyle w:val="Übersicht"/>
        <w:ind w:left="1361"/>
      </w:pPr>
      <w:hyperlink w:anchor="b367" w:history="1">
        <w:r>
          <w:rPr>
            <w:color w:val="0A3A8C"/>
            <w:u w:val="single"/>
          </w:rPr>
          <w:t xml:space="preserve">§ 311c Erstreckung auf Zubehör</w:t>
        </w:r>
      </w:hyperlink>
    </w:p>
    <w:p>
      <w:pPr>
        <w:pStyle w:val="Übersicht"/>
        <w:ind w:left="1020"/>
      </w:pPr>
      <w:hyperlink w:anchor="b368" w:history="1">
        <w:r>
          <w:rPr>
            <w:b/>
            <w:color w:val="0A3A8C"/>
            <w:u w:val="single"/>
          </w:rPr>
          <w:t xml:space="preserve">Untertitel 2 Grundsätze bei Verbraucherverträgen und besondere Vertriebsformen</w:t>
        </w:r>
      </w:hyperlink>
    </w:p>
    <w:p>
      <w:pPr>
        <w:pStyle w:val="Übersicht"/>
        <w:ind w:left="1361"/>
      </w:pPr>
      <w:hyperlink w:anchor="b369" w:history="1">
        <w:r>
          <w:rPr>
            <w:b/>
            <w:color w:val="0A3A8C"/>
            <w:u w:val="single"/>
          </w:rPr>
          <w:t xml:space="preserve">Kapitel 1 Anwendungsbereich und Grundsätze bei Verbraucherverträgen</w:t>
        </w:r>
      </w:hyperlink>
    </w:p>
    <w:p>
      <w:pPr>
        <w:pStyle w:val="Übersicht"/>
        <w:ind w:left="1701"/>
      </w:pPr>
      <w:hyperlink w:anchor="b370" w:history="1">
        <w:r>
          <w:rPr>
            <w:color w:val="0A3A8C"/>
            <w:u w:val="single"/>
          </w:rPr>
          <w:t xml:space="preserve">§ 312 Anwendungsbereich</w:t>
        </w:r>
      </w:hyperlink>
    </w:p>
    <w:p>
      <w:pPr>
        <w:pStyle w:val="Übersicht"/>
        <w:ind w:left="1701"/>
      </w:pPr>
      <w:hyperlink w:anchor="b371" w:history="1">
        <w:r>
          <w:rPr>
            <w:color w:val="0A3A8C"/>
            <w:u w:val="single"/>
          </w:rPr>
          <w:t xml:space="preserve">§ 312a Allgemeine Pflichten und Grundsätze bei Verbraucherverträgen; Grenzen der Vereinbarung von Entgelten</w:t>
        </w:r>
      </w:hyperlink>
    </w:p>
    <w:p>
      <w:pPr>
        <w:pStyle w:val="Übersicht"/>
        <w:ind w:left="1361"/>
      </w:pPr>
      <w:hyperlink w:anchor="b372" w:history="1">
        <w:r>
          <w:rPr>
            <w:b/>
            <w:color w:val="0A3A8C"/>
            <w:u w:val="single"/>
          </w:rPr>
          <w:t xml:space="preserve">Kapitel 2 Außerhalb von Geschäftsräumen geschlossene Verträge und Fernabsatzverträge</w:t>
        </w:r>
      </w:hyperlink>
    </w:p>
    <w:p>
      <w:pPr>
        <w:pStyle w:val="Übersicht"/>
        <w:ind w:left="1701"/>
      </w:pPr>
      <w:hyperlink w:anchor="b373" w:history="1">
        <w:r>
          <w:rPr>
            <w:color w:val="0A3A8C"/>
            <w:u w:val="single"/>
          </w:rPr>
          <w:t xml:space="preserve">§ 312b Außerhalb von Geschäftsräumen geschlossene Verträge</w:t>
        </w:r>
      </w:hyperlink>
    </w:p>
    <w:p>
      <w:pPr>
        <w:pStyle w:val="Übersicht"/>
        <w:ind w:left="1701"/>
      </w:pPr>
      <w:hyperlink w:anchor="b374" w:history="1">
        <w:r>
          <w:rPr>
            <w:color w:val="0A3A8C"/>
            <w:u w:val="single"/>
          </w:rPr>
          <w:t xml:space="preserve">§ 312c Fernabsatzverträge</w:t>
        </w:r>
      </w:hyperlink>
    </w:p>
    <w:p>
      <w:pPr>
        <w:pStyle w:val="Übersicht"/>
        <w:ind w:left="1701"/>
      </w:pPr>
      <w:hyperlink w:anchor="b375" w:history="1">
        <w:r>
          <w:rPr>
            <w:color w:val="0A3A8C"/>
            <w:u w:val="single"/>
          </w:rPr>
          <w:t xml:space="preserve">§ 312d Informationspflichten; Gestaltungspflichten bezüglich Online-Benutzeroberflächen</w:t>
        </w:r>
      </w:hyperlink>
    </w:p>
    <w:p>
      <w:pPr>
        <w:pStyle w:val="Übersicht"/>
        <w:ind w:left="1701"/>
      </w:pPr>
      <w:hyperlink w:anchor="b376" w:history="1">
        <w:r>
          <w:rPr>
            <w:color w:val="0A3A8C"/>
            <w:u w:val="single"/>
          </w:rPr>
          <w:t xml:space="preserve">§ 312e Verletzung von Informationspflichten über Kosten</w:t>
        </w:r>
      </w:hyperlink>
    </w:p>
    <w:p>
      <w:pPr>
        <w:pStyle w:val="Übersicht"/>
        <w:ind w:left="1701"/>
      </w:pPr>
      <w:hyperlink w:anchor="b377" w:history="1">
        <w:r>
          <w:rPr>
            <w:color w:val="0A3A8C"/>
            <w:u w:val="single"/>
          </w:rPr>
          <w:t xml:space="preserve">§ 312f Abschriften und Bestätigungen</w:t>
        </w:r>
      </w:hyperlink>
    </w:p>
    <w:p>
      <w:pPr>
        <w:pStyle w:val="Übersicht"/>
        <w:ind w:left="1701"/>
      </w:pPr>
      <w:hyperlink w:anchor="b378" w:history="1">
        <w:r>
          <w:rPr>
            <w:color w:val="0A3A8C"/>
            <w:u w:val="single"/>
          </w:rPr>
          <w:t xml:space="preserve">§ 312g Widerrufsrecht</w:t>
        </w:r>
      </w:hyperlink>
    </w:p>
    <w:p>
      <w:pPr>
        <w:pStyle w:val="Übersicht"/>
        <w:ind w:left="1701"/>
      </w:pPr>
      <w:hyperlink w:anchor="b379" w:history="1">
        <w:r>
          <w:rPr>
            <w:color w:val="0A3A8C"/>
            <w:u w:val="single"/>
          </w:rPr>
          <w:t xml:space="preserve">§ 312h Kündigung und Vollmacht zur Kündigung</w:t>
        </w:r>
      </w:hyperlink>
    </w:p>
    <w:p>
      <w:pPr>
        <w:pStyle w:val="Übersicht"/>
        <w:ind w:left="1361"/>
      </w:pPr>
      <w:hyperlink w:anchor="b380" w:history="1">
        <w:r>
          <w:rPr>
            <w:b/>
            <w:color w:val="0A3A8C"/>
            <w:u w:val="single"/>
          </w:rPr>
          <w:t xml:space="preserve">Kapitel 3 Verträge im elektronischen Geschäftsverkehr; Online-Marktplätze</w:t>
        </w:r>
      </w:hyperlink>
    </w:p>
    <w:p>
      <w:pPr>
        <w:pStyle w:val="Übersicht"/>
        <w:ind w:left="1701"/>
      </w:pPr>
      <w:hyperlink w:anchor="b381" w:history="1">
        <w:r>
          <w:rPr>
            <w:color w:val="0A3A8C"/>
            <w:u w:val="single"/>
          </w:rPr>
          <w:t xml:space="preserve">§ 312i Allgemeine Pflichten im elektronischen Geschäftsverkehr</w:t>
        </w:r>
      </w:hyperlink>
    </w:p>
    <w:p>
      <w:pPr>
        <w:pStyle w:val="Übersicht"/>
        <w:ind w:left="1701"/>
      </w:pPr>
      <w:hyperlink w:anchor="b382" w:history="1">
        <w:r>
          <w:rPr>
            <w:color w:val="0A3A8C"/>
            <w:u w:val="single"/>
          </w:rPr>
          <w:t xml:space="preserve">§ 312j Besondere Pflichten im elektronischen Geschäftsverkehr gegenüber Verbrauchern</w:t>
        </w:r>
      </w:hyperlink>
    </w:p>
    <w:p>
      <w:pPr>
        <w:pStyle w:val="Übersicht"/>
        <w:ind w:left="1701"/>
      </w:pPr>
      <w:hyperlink w:anchor="b383" w:history="1">
        <w:r>
          <w:rPr>
            <w:color w:val="0A3A8C"/>
            <w:u w:val="single"/>
          </w:rPr>
          <w:t xml:space="preserve">§ 312k Kündigung von Verbraucherverträgen im elektronischen Geschäftsverkehr</w:t>
        </w:r>
      </w:hyperlink>
    </w:p>
    <w:p>
      <w:pPr>
        <w:pStyle w:val="Übersicht"/>
        <w:ind w:left="1701"/>
      </w:pPr>
      <w:hyperlink w:anchor="b384" w:history="1">
        <w:r>
          <w:rPr>
            <w:color w:val="0A3A8C"/>
            <w:u w:val="single"/>
          </w:rPr>
          <w:t xml:space="preserve">§ 312l Allgemeine Informationspflichten für Betreiber von Online-Marktplätzen</w:t>
        </w:r>
      </w:hyperlink>
    </w:p>
    <w:p>
      <w:pPr>
        <w:pStyle w:val="Übersicht"/>
        <w:ind w:left="1361"/>
      </w:pPr>
      <w:hyperlink w:anchor="b385" w:history="1">
        <w:r>
          <w:rPr>
            <w:b/>
            <w:color w:val="0A3A8C"/>
            <w:u w:val="single"/>
          </w:rPr>
          <w:t xml:space="preserve">Kapitel 4 Abweichende Vereinbarungen und Beweislast</w:t>
        </w:r>
      </w:hyperlink>
    </w:p>
    <w:p>
      <w:pPr>
        <w:pStyle w:val="Übersicht"/>
        <w:ind w:left="1701"/>
      </w:pPr>
      <w:hyperlink w:anchor="b386" w:history="1">
        <w:r>
          <w:rPr>
            <w:color w:val="0A3A8C"/>
            <w:u w:val="single"/>
          </w:rPr>
          <w:t xml:space="preserve">§ 312m Abweichende Vereinbarungen und Beweislast</w:t>
        </w:r>
      </w:hyperlink>
    </w:p>
    <w:p>
      <w:pPr>
        <w:pStyle w:val="Übersicht"/>
        <w:ind w:left="1020"/>
      </w:pPr>
      <w:hyperlink w:anchor="b387" w:history="1">
        <w:r>
          <w:rPr>
            <w:b/>
            <w:color w:val="0A3A8C"/>
            <w:u w:val="single"/>
          </w:rPr>
          <w:t xml:space="preserve">Untertitel 3 Anpassung und Beendigung von Verträgen</w:t>
        </w:r>
      </w:hyperlink>
    </w:p>
    <w:p>
      <w:pPr>
        <w:pStyle w:val="Übersicht"/>
        <w:ind w:left="1361"/>
      </w:pPr>
      <w:hyperlink w:anchor="b388" w:history="1">
        <w:r>
          <w:rPr>
            <w:color w:val="0A3A8C"/>
            <w:u w:val="single"/>
          </w:rPr>
          <w:t xml:space="preserve">§ 313 Störung der Geschäftsgrundlage</w:t>
        </w:r>
      </w:hyperlink>
    </w:p>
    <w:p>
      <w:pPr>
        <w:pStyle w:val="Übersicht"/>
        <w:ind w:left="1361"/>
      </w:pPr>
      <w:hyperlink w:anchor="b389" w:history="1">
        <w:r>
          <w:rPr>
            <w:color w:val="0A3A8C"/>
            <w:u w:val="single"/>
          </w:rPr>
          <w:t xml:space="preserve">§ 314 Kündigung von Dauerschuldverhältnissen aus wichtigem Grund</w:t>
        </w:r>
      </w:hyperlink>
    </w:p>
    <w:p>
      <w:pPr>
        <w:pStyle w:val="Übersicht"/>
        <w:ind w:left="1020"/>
      </w:pPr>
      <w:hyperlink w:anchor="b390" w:history="1">
        <w:r>
          <w:rPr>
            <w:b/>
            <w:color w:val="0A3A8C"/>
            <w:u w:val="single"/>
          </w:rPr>
          <w:t xml:space="preserve">Untertitel 4 Einseitige Leistungsbestimmungsrechte</w:t>
        </w:r>
      </w:hyperlink>
    </w:p>
    <w:p>
      <w:pPr>
        <w:pStyle w:val="Übersicht"/>
        <w:ind w:left="1361"/>
      </w:pPr>
      <w:hyperlink w:anchor="b391" w:history="1">
        <w:r>
          <w:rPr>
            <w:color w:val="0A3A8C"/>
            <w:u w:val="single"/>
          </w:rPr>
          <w:t xml:space="preserve">§ 315 Bestimmung der Leistung durch eine Partei</w:t>
        </w:r>
      </w:hyperlink>
    </w:p>
    <w:p>
      <w:pPr>
        <w:pStyle w:val="Übersicht"/>
        <w:ind w:left="1361"/>
      </w:pPr>
      <w:hyperlink w:anchor="b392" w:history="1">
        <w:r>
          <w:rPr>
            <w:color w:val="0A3A8C"/>
            <w:u w:val="single"/>
          </w:rPr>
          <w:t xml:space="preserve">§ 316 Bestimmung der Gegenleistung</w:t>
        </w:r>
      </w:hyperlink>
    </w:p>
    <w:p>
      <w:pPr>
        <w:pStyle w:val="Übersicht"/>
        <w:ind w:left="1361"/>
      </w:pPr>
      <w:hyperlink w:anchor="b393" w:history="1">
        <w:r>
          <w:rPr>
            <w:color w:val="0A3A8C"/>
            <w:u w:val="single"/>
          </w:rPr>
          <w:t xml:space="preserve">§ 317 Bestimmung der Leistung durch einen Dritten</w:t>
        </w:r>
      </w:hyperlink>
    </w:p>
    <w:p>
      <w:pPr>
        <w:pStyle w:val="Übersicht"/>
        <w:ind w:left="1361"/>
      </w:pPr>
      <w:hyperlink w:anchor="b394" w:history="1">
        <w:r>
          <w:rPr>
            <w:color w:val="0A3A8C"/>
            <w:u w:val="single"/>
          </w:rPr>
          <w:t xml:space="preserve">§ 318 Anfechtung der Bestimmung</w:t>
        </w:r>
      </w:hyperlink>
    </w:p>
    <w:p>
      <w:pPr>
        <w:pStyle w:val="Übersicht"/>
        <w:ind w:left="1361"/>
      </w:pPr>
      <w:hyperlink w:anchor="b395" w:history="1">
        <w:r>
          <w:rPr>
            <w:color w:val="0A3A8C"/>
            <w:u w:val="single"/>
          </w:rPr>
          <w:t xml:space="preserve">§ 319 Unwirksamkeit der Bestimmung; Ersetzung</w:t>
        </w:r>
      </w:hyperlink>
    </w:p>
    <w:p>
      <w:pPr>
        <w:pStyle w:val="Übersicht"/>
        <w:ind w:left="680"/>
      </w:pPr>
      <w:hyperlink w:anchor="b396" w:history="1">
        <w:r>
          <w:rPr>
            <w:b/>
            <w:color w:val="0A3A8C"/>
            <w:u w:val="single"/>
          </w:rPr>
          <w:t xml:space="preserve">Titel 2 Gegenseitiger Vertrag</w:t>
        </w:r>
      </w:hyperlink>
    </w:p>
    <w:p>
      <w:pPr>
        <w:pStyle w:val="Übersicht"/>
        <w:ind w:left="1020"/>
      </w:pPr>
      <w:hyperlink w:anchor="b397" w:history="1">
        <w:r>
          <w:rPr>
            <w:color w:val="0A3A8C"/>
            <w:u w:val="single"/>
          </w:rPr>
          <w:t xml:space="preserve">§ 320 Einrede des nicht erfüllten Vertrags</w:t>
        </w:r>
      </w:hyperlink>
    </w:p>
    <w:p>
      <w:pPr>
        <w:pStyle w:val="Übersicht"/>
        <w:ind w:left="1020"/>
      </w:pPr>
      <w:hyperlink w:anchor="b398" w:history="1">
        <w:r>
          <w:rPr>
            <w:color w:val="0A3A8C"/>
            <w:u w:val="single"/>
          </w:rPr>
          <w:t xml:space="preserve">§ 321 Unsicherheitseinrede</w:t>
        </w:r>
      </w:hyperlink>
    </w:p>
    <w:p>
      <w:pPr>
        <w:pStyle w:val="Übersicht"/>
        <w:ind w:left="1020"/>
      </w:pPr>
      <w:hyperlink w:anchor="b399" w:history="1">
        <w:r>
          <w:rPr>
            <w:color w:val="0A3A8C"/>
            <w:u w:val="single"/>
          </w:rPr>
          <w:t xml:space="preserve">§ 322 Verurteilung zur Leistung Zug-um-Zug</w:t>
        </w:r>
      </w:hyperlink>
    </w:p>
    <w:p>
      <w:pPr>
        <w:pStyle w:val="Übersicht"/>
        <w:ind w:left="1020"/>
      </w:pPr>
      <w:hyperlink w:anchor="b400" w:history="1">
        <w:r>
          <w:rPr>
            <w:color w:val="0A3A8C"/>
            <w:u w:val="single"/>
          </w:rPr>
          <w:t xml:space="preserve">§ 323 Rücktritt wegen nicht oder nicht vertragsgemäß erbrachter Leistung</w:t>
        </w:r>
      </w:hyperlink>
    </w:p>
    <w:p>
      <w:pPr>
        <w:pStyle w:val="Übersicht"/>
        <w:ind w:left="1020"/>
      </w:pPr>
      <w:hyperlink w:anchor="b401" w:history="1">
        <w:r>
          <w:rPr>
            <w:color w:val="0A3A8C"/>
            <w:u w:val="single"/>
          </w:rPr>
          <w:t xml:space="preserve">§ 324 Rücktritt wegen Verletzung einer Pflicht nach § 241 Abs. 2</w:t>
        </w:r>
      </w:hyperlink>
    </w:p>
    <w:p>
      <w:pPr>
        <w:pStyle w:val="Übersicht"/>
        <w:ind w:left="1020"/>
      </w:pPr>
      <w:hyperlink w:anchor="b402" w:history="1">
        <w:r>
          <w:rPr>
            <w:color w:val="0A3A8C"/>
            <w:u w:val="single"/>
          </w:rPr>
          <w:t xml:space="preserve">§ 325 Schadensersatz und Rücktritt</w:t>
        </w:r>
      </w:hyperlink>
    </w:p>
    <w:p>
      <w:pPr>
        <w:pStyle w:val="Übersicht"/>
        <w:ind w:left="1020"/>
      </w:pPr>
      <w:hyperlink w:anchor="b403" w:history="1">
        <w:r>
          <w:rPr>
            <w:color w:val="0A3A8C"/>
            <w:u w:val="single"/>
          </w:rPr>
          <w:t xml:space="preserve">§ 326 Befreiung von der Gegenleistung und Rücktritt beim Ausschluss der Leistungspflicht</w:t>
        </w:r>
      </w:hyperlink>
    </w:p>
    <w:p>
      <w:pPr>
        <w:pStyle w:val="Übersicht"/>
        <w:ind w:left="680"/>
      </w:pPr>
      <w:hyperlink w:anchor="b404" w:history="1">
        <w:r>
          <w:rPr>
            <w:b/>
            <w:color w:val="0A3A8C"/>
            <w:u w:val="single"/>
          </w:rPr>
          <w:t xml:space="preserve">Titel 2a Verträge über digitale Produkte</w:t>
        </w:r>
      </w:hyperlink>
    </w:p>
    <w:p>
      <w:pPr>
        <w:pStyle w:val="Übersicht"/>
        <w:ind w:left="1020"/>
      </w:pPr>
      <w:hyperlink w:anchor="b405" w:history="1">
        <w:r>
          <w:rPr>
            <w:b/>
            <w:color w:val="0A3A8C"/>
            <w:u w:val="single"/>
          </w:rPr>
          <w:t xml:space="preserve">Untertitel 1 Verbraucherverträge über digitale Produkte</w:t>
        </w:r>
      </w:hyperlink>
    </w:p>
    <w:p>
      <w:pPr>
        <w:pStyle w:val="Übersicht"/>
        <w:ind w:left="1361"/>
      </w:pPr>
      <w:hyperlink w:anchor="b406" w:history="1">
        <w:r>
          <w:rPr>
            <w:color w:val="0A3A8C"/>
            <w:u w:val="single"/>
          </w:rPr>
          <w:t xml:space="preserve">§ 327 Anwendungsbereich</w:t>
        </w:r>
      </w:hyperlink>
    </w:p>
    <w:p>
      <w:pPr>
        <w:pStyle w:val="Übersicht"/>
        <w:ind w:left="1361"/>
      </w:pPr>
      <w:hyperlink w:anchor="b407" w:history="1">
        <w:r>
          <w:rPr>
            <w:color w:val="0A3A8C"/>
            <w:u w:val="single"/>
          </w:rPr>
          <w:t xml:space="preserve">§ 327a Anwendung auf Paketverträge und Verträge über Sachen mit digitalen Elementen</w:t>
        </w:r>
      </w:hyperlink>
    </w:p>
    <w:p>
      <w:pPr>
        <w:pStyle w:val="Übersicht"/>
        <w:ind w:left="1361"/>
      </w:pPr>
      <w:hyperlink w:anchor="b408" w:history="1">
        <w:r>
          <w:rPr>
            <w:color w:val="0A3A8C"/>
            <w:u w:val="single"/>
          </w:rPr>
          <w:t xml:space="preserve">§ 327b Bereitstellung digitaler Produkte</w:t>
        </w:r>
      </w:hyperlink>
    </w:p>
    <w:p>
      <w:pPr>
        <w:pStyle w:val="Übersicht"/>
        <w:ind w:left="1361"/>
      </w:pPr>
      <w:hyperlink w:anchor="b409" w:history="1">
        <w:r>
          <w:rPr>
            <w:color w:val="0A3A8C"/>
            <w:u w:val="single"/>
          </w:rPr>
          <w:t xml:space="preserve">§ 327c Rechte bei unterbliebener Bereitstellung</w:t>
        </w:r>
      </w:hyperlink>
    </w:p>
    <w:p>
      <w:pPr>
        <w:pStyle w:val="Übersicht"/>
        <w:ind w:left="1361"/>
      </w:pPr>
      <w:hyperlink w:anchor="b410" w:history="1">
        <w:r>
          <w:rPr>
            <w:color w:val="0A3A8C"/>
            <w:u w:val="single"/>
          </w:rPr>
          <w:t xml:space="preserve">§ 327d Vertragsmäßigkeit digitaler Produkte</w:t>
        </w:r>
      </w:hyperlink>
    </w:p>
    <w:p>
      <w:pPr>
        <w:pStyle w:val="Übersicht"/>
        <w:ind w:left="1361"/>
      </w:pPr>
      <w:hyperlink w:anchor="b411" w:history="1">
        <w:r>
          <w:rPr>
            <w:color w:val="0A3A8C"/>
            <w:u w:val="single"/>
          </w:rPr>
          <w:t xml:space="preserve">§ 327e Produktmangel</w:t>
        </w:r>
      </w:hyperlink>
    </w:p>
    <w:p>
      <w:pPr>
        <w:pStyle w:val="Übersicht"/>
        <w:ind w:left="1361"/>
      </w:pPr>
      <w:hyperlink w:anchor="b412" w:history="1">
        <w:r>
          <w:rPr>
            <w:color w:val="0A3A8C"/>
            <w:u w:val="single"/>
          </w:rPr>
          <w:t xml:space="preserve">§ 327f Aktualisierungen</w:t>
        </w:r>
      </w:hyperlink>
    </w:p>
    <w:p>
      <w:pPr>
        <w:pStyle w:val="Übersicht"/>
        <w:ind w:left="1361"/>
      </w:pPr>
      <w:hyperlink w:anchor="b413" w:history="1">
        <w:r>
          <w:rPr>
            <w:color w:val="0A3A8C"/>
            <w:u w:val="single"/>
          </w:rPr>
          <w:t xml:space="preserve">§ 327g Rechtsmangel</w:t>
        </w:r>
      </w:hyperlink>
    </w:p>
    <w:p>
      <w:pPr>
        <w:pStyle w:val="Übersicht"/>
        <w:ind w:left="1361"/>
      </w:pPr>
      <w:hyperlink w:anchor="b414" w:history="1">
        <w:r>
          <w:rPr>
            <w:color w:val="0A3A8C"/>
            <w:u w:val="single"/>
          </w:rPr>
          <w:t xml:space="preserve">§ 327h Abweichende Vereinbarungen über Produktmerkmale</w:t>
        </w:r>
      </w:hyperlink>
    </w:p>
    <w:p>
      <w:pPr>
        <w:pStyle w:val="Übersicht"/>
        <w:ind w:left="1361"/>
      </w:pPr>
      <w:hyperlink w:anchor="b415" w:history="1">
        <w:r>
          <w:rPr>
            <w:color w:val="0A3A8C"/>
            <w:u w:val="single"/>
          </w:rPr>
          <w:t xml:space="preserve">§ 327i Rechte des Verbrauchers bei Mängeln</w:t>
        </w:r>
      </w:hyperlink>
    </w:p>
    <w:p>
      <w:pPr>
        <w:pStyle w:val="Übersicht"/>
        <w:ind w:left="1361"/>
      </w:pPr>
      <w:hyperlink w:anchor="b416" w:history="1">
        <w:r>
          <w:rPr>
            <w:color w:val="0A3A8C"/>
            <w:u w:val="single"/>
          </w:rPr>
          <w:t xml:space="preserve">§ 327j Verjährung</w:t>
        </w:r>
      </w:hyperlink>
    </w:p>
    <w:p>
      <w:pPr>
        <w:pStyle w:val="Übersicht"/>
        <w:ind w:left="1361"/>
      </w:pPr>
      <w:hyperlink w:anchor="b417" w:history="1">
        <w:r>
          <w:rPr>
            <w:color w:val="0A3A8C"/>
            <w:u w:val="single"/>
          </w:rPr>
          <w:t xml:space="preserve">§ 327k Beweislastumkehr</w:t>
        </w:r>
      </w:hyperlink>
    </w:p>
    <w:p>
      <w:pPr>
        <w:pStyle w:val="Übersicht"/>
        <w:ind w:left="1361"/>
      </w:pPr>
      <w:hyperlink w:anchor="b418" w:history="1">
        <w:r>
          <w:rPr>
            <w:color w:val="0A3A8C"/>
            <w:u w:val="single"/>
          </w:rPr>
          <w:t xml:space="preserve">§ 327l Nacherfüllung</w:t>
        </w:r>
      </w:hyperlink>
    </w:p>
    <w:p>
      <w:pPr>
        <w:pStyle w:val="Übersicht"/>
        <w:ind w:left="1361"/>
      </w:pPr>
      <w:hyperlink w:anchor="b419" w:history="1">
        <w:r>
          <w:rPr>
            <w:color w:val="0A3A8C"/>
            <w:u w:val="single"/>
          </w:rPr>
          <w:t xml:space="preserve">§ 327m Vertragsbeendigung und Schadensersatz</w:t>
        </w:r>
      </w:hyperlink>
    </w:p>
    <w:p>
      <w:pPr>
        <w:pStyle w:val="Übersicht"/>
        <w:ind w:left="1361"/>
      </w:pPr>
      <w:hyperlink w:anchor="b420" w:history="1">
        <w:r>
          <w:rPr>
            <w:color w:val="0A3A8C"/>
            <w:u w:val="single"/>
          </w:rPr>
          <w:t xml:space="preserve">§ 327n Minderung</w:t>
        </w:r>
      </w:hyperlink>
    </w:p>
    <w:p>
      <w:pPr>
        <w:pStyle w:val="Übersicht"/>
        <w:ind w:left="1361"/>
      </w:pPr>
      <w:hyperlink w:anchor="b421" w:history="1">
        <w:r>
          <w:rPr>
            <w:color w:val="0A3A8C"/>
            <w:u w:val="single"/>
          </w:rPr>
          <w:t xml:space="preserve">§ 327o Erklärung und Rechtsfolgen der Vertragsbeendigung</w:t>
        </w:r>
      </w:hyperlink>
    </w:p>
    <w:p>
      <w:pPr>
        <w:pStyle w:val="Übersicht"/>
        <w:ind w:left="1361"/>
      </w:pPr>
      <w:hyperlink w:anchor="b422" w:history="1">
        <w:r>
          <w:rPr>
            <w:color w:val="0A3A8C"/>
            <w:u w:val="single"/>
          </w:rPr>
          <w:t xml:space="preserve">§ 327p Weitere Nutzung nach Vertragsbeendigung</w:t>
        </w:r>
      </w:hyperlink>
    </w:p>
    <w:p>
      <w:pPr>
        <w:pStyle w:val="Übersicht"/>
        <w:ind w:left="1361"/>
      </w:pPr>
      <w:hyperlink w:anchor="b423" w:history="1">
        <w:r>
          <w:rPr>
            <w:color w:val="0A3A8C"/>
            <w:u w:val="single"/>
          </w:rPr>
          <w:t xml:space="preserve">§ 327q Vertragsrechtliche Folgen datenschutzrechtlicher Erklärungen des Verbrauchers</w:t>
        </w:r>
      </w:hyperlink>
    </w:p>
    <w:p>
      <w:pPr>
        <w:pStyle w:val="Übersicht"/>
        <w:ind w:left="1361"/>
      </w:pPr>
      <w:hyperlink w:anchor="b424" w:history="1">
        <w:r>
          <w:rPr>
            <w:color w:val="0A3A8C"/>
            <w:u w:val="single"/>
          </w:rPr>
          <w:t xml:space="preserve">§ 327r Änderungen an digitalen Produkten</w:t>
        </w:r>
      </w:hyperlink>
    </w:p>
    <w:p>
      <w:pPr>
        <w:pStyle w:val="Übersicht"/>
        <w:ind w:left="1361"/>
      </w:pPr>
      <w:hyperlink w:anchor="b425" w:history="1">
        <w:r>
          <w:rPr>
            <w:color w:val="0A3A8C"/>
            <w:u w:val="single"/>
          </w:rPr>
          <w:t xml:space="preserve">§ 327s Abweichende Vereinbarungen</w:t>
        </w:r>
      </w:hyperlink>
    </w:p>
    <w:p>
      <w:pPr>
        <w:pStyle w:val="Übersicht"/>
        <w:ind w:left="1020"/>
      </w:pPr>
      <w:hyperlink w:anchor="b426" w:history="1">
        <w:r>
          <w:rPr>
            <w:b/>
            <w:color w:val="0A3A8C"/>
            <w:u w:val="single"/>
          </w:rPr>
          <w:t xml:space="preserve">Untertitel 2 Besondere Bestimmungen für Verträge über digitale Produkte zwischen Unternehmern</w:t>
        </w:r>
      </w:hyperlink>
    </w:p>
    <w:p>
      <w:pPr>
        <w:pStyle w:val="Übersicht"/>
        <w:ind w:left="1361"/>
      </w:pPr>
      <w:hyperlink w:anchor="b427" w:history="1">
        <w:r>
          <w:rPr>
            <w:color w:val="0A3A8C"/>
            <w:u w:val="single"/>
          </w:rPr>
          <w:t xml:space="preserve">§ 327t Anwendungsbereich</w:t>
        </w:r>
      </w:hyperlink>
    </w:p>
    <w:p>
      <w:pPr>
        <w:pStyle w:val="Übersicht"/>
        <w:ind w:left="1361"/>
      </w:pPr>
      <w:hyperlink w:anchor="b428" w:history="1">
        <w:r>
          <w:rPr>
            <w:color w:val="0A3A8C"/>
            <w:u w:val="single"/>
          </w:rPr>
          <w:t xml:space="preserve">§ 327u Rückgriff des Unternehmers</w:t>
        </w:r>
      </w:hyperlink>
    </w:p>
    <w:p>
      <w:pPr>
        <w:pStyle w:val="Übersicht"/>
        <w:ind w:left="680"/>
      </w:pPr>
      <w:hyperlink w:anchor="b429" w:history="1">
        <w:r>
          <w:rPr>
            <w:b/>
            <w:color w:val="0A3A8C"/>
            <w:u w:val="single"/>
          </w:rPr>
          <w:t xml:space="preserve">Titel 3 Versprechen der Leistung an einen Dritten</w:t>
        </w:r>
      </w:hyperlink>
    </w:p>
    <w:p>
      <w:pPr>
        <w:pStyle w:val="Übersicht"/>
        <w:ind w:left="1020"/>
      </w:pPr>
      <w:hyperlink w:anchor="b430" w:history="1">
        <w:r>
          <w:rPr>
            <w:color w:val="0A3A8C"/>
            <w:u w:val="single"/>
          </w:rPr>
          <w:t xml:space="preserve">§ 328 Vertrag zugunsten Dritter</w:t>
        </w:r>
      </w:hyperlink>
    </w:p>
    <w:p>
      <w:pPr>
        <w:pStyle w:val="Übersicht"/>
        <w:ind w:left="1020"/>
      </w:pPr>
      <w:hyperlink w:anchor="b431" w:history="1">
        <w:r>
          <w:rPr>
            <w:color w:val="0A3A8C"/>
            <w:u w:val="single"/>
          </w:rPr>
          <w:t xml:space="preserve">§ 329 Auslegungsregel bei Erfüllungsübernahme</w:t>
        </w:r>
      </w:hyperlink>
    </w:p>
    <w:p>
      <w:pPr>
        <w:pStyle w:val="Übersicht"/>
        <w:ind w:left="1020"/>
      </w:pPr>
      <w:hyperlink w:anchor="b432" w:history="1">
        <w:r>
          <w:rPr>
            <w:color w:val="0A3A8C"/>
            <w:u w:val="single"/>
          </w:rPr>
          <w:t xml:space="preserve">§ 330 Auslegungsregel bei Leibrentenvertrag</w:t>
        </w:r>
      </w:hyperlink>
    </w:p>
    <w:p>
      <w:pPr>
        <w:pStyle w:val="Übersicht"/>
        <w:ind w:left="1020"/>
      </w:pPr>
      <w:hyperlink w:anchor="b433" w:history="1">
        <w:r>
          <w:rPr>
            <w:color w:val="0A3A8C"/>
            <w:u w:val="single"/>
          </w:rPr>
          <w:t xml:space="preserve">§ 331 Leistung nach Todesfall</w:t>
        </w:r>
      </w:hyperlink>
    </w:p>
    <w:p>
      <w:pPr>
        <w:pStyle w:val="Übersicht"/>
        <w:ind w:left="1020"/>
      </w:pPr>
      <w:hyperlink w:anchor="b434" w:history="1">
        <w:r>
          <w:rPr>
            <w:color w:val="0A3A8C"/>
            <w:u w:val="single"/>
          </w:rPr>
          <w:t xml:space="preserve">§ 332 Änderung durch Verfügung von Todes wegen bei Vorbehalt</w:t>
        </w:r>
      </w:hyperlink>
    </w:p>
    <w:p>
      <w:pPr>
        <w:pStyle w:val="Übersicht"/>
        <w:ind w:left="1020"/>
      </w:pPr>
      <w:hyperlink w:anchor="b435" w:history="1">
        <w:r>
          <w:rPr>
            <w:color w:val="0A3A8C"/>
            <w:u w:val="single"/>
          </w:rPr>
          <w:t xml:space="preserve">§ 333 Zurückweisung des Rechts durch den Dritten</w:t>
        </w:r>
      </w:hyperlink>
    </w:p>
    <w:p>
      <w:pPr>
        <w:pStyle w:val="Übersicht"/>
        <w:ind w:left="1020"/>
      </w:pPr>
      <w:hyperlink w:anchor="b436" w:history="1">
        <w:r>
          <w:rPr>
            <w:color w:val="0A3A8C"/>
            <w:u w:val="single"/>
          </w:rPr>
          <w:t xml:space="preserve">§ 334 Einwendungen des Schuldners gegenüber dem Dritten</w:t>
        </w:r>
      </w:hyperlink>
    </w:p>
    <w:p>
      <w:pPr>
        <w:pStyle w:val="Übersicht"/>
        <w:ind w:left="1020"/>
      </w:pPr>
      <w:hyperlink w:anchor="b437" w:history="1">
        <w:r>
          <w:rPr>
            <w:color w:val="0A3A8C"/>
            <w:u w:val="single"/>
          </w:rPr>
          <w:t xml:space="preserve">§ 335 Forderungsrecht des Versprechensempfängers</w:t>
        </w:r>
      </w:hyperlink>
    </w:p>
    <w:p>
      <w:pPr>
        <w:pStyle w:val="Übersicht"/>
        <w:ind w:left="680"/>
      </w:pPr>
      <w:hyperlink w:anchor="b438" w:history="1">
        <w:r>
          <w:rPr>
            <w:b/>
            <w:color w:val="0A3A8C"/>
            <w:u w:val="single"/>
          </w:rPr>
          <w:t xml:space="preserve">Titel 4 Draufgabe, Vertragsstrafe</w:t>
        </w:r>
      </w:hyperlink>
    </w:p>
    <w:p>
      <w:pPr>
        <w:pStyle w:val="Übersicht"/>
        <w:ind w:left="1020"/>
      </w:pPr>
      <w:hyperlink w:anchor="b439" w:history="1">
        <w:r>
          <w:rPr>
            <w:color w:val="0A3A8C"/>
            <w:u w:val="single"/>
          </w:rPr>
          <w:t xml:space="preserve">§ 336 Auslegung der Draufgabe</w:t>
        </w:r>
      </w:hyperlink>
    </w:p>
    <w:p>
      <w:pPr>
        <w:pStyle w:val="Übersicht"/>
        <w:ind w:left="1020"/>
      </w:pPr>
      <w:hyperlink w:anchor="b440" w:history="1">
        <w:r>
          <w:rPr>
            <w:color w:val="0A3A8C"/>
            <w:u w:val="single"/>
          </w:rPr>
          <w:t xml:space="preserve">§ 337 Anrechnung oder Rückgabe der Draufgabe</w:t>
        </w:r>
      </w:hyperlink>
    </w:p>
    <w:p>
      <w:pPr>
        <w:pStyle w:val="Übersicht"/>
        <w:ind w:left="1020"/>
      </w:pPr>
      <w:hyperlink w:anchor="b441" w:history="1">
        <w:r>
          <w:rPr>
            <w:color w:val="0A3A8C"/>
            <w:u w:val="single"/>
          </w:rPr>
          <w:t xml:space="preserve">§ 338 Draufgabe bei zu vertretender Unmöglichkeit der Leistung</w:t>
        </w:r>
      </w:hyperlink>
    </w:p>
    <w:p>
      <w:pPr>
        <w:pStyle w:val="Übersicht"/>
        <w:ind w:left="1020"/>
      </w:pPr>
      <w:hyperlink w:anchor="b442" w:history="1">
        <w:r>
          <w:rPr>
            <w:color w:val="0A3A8C"/>
            <w:u w:val="single"/>
          </w:rPr>
          <w:t xml:space="preserve">§ 339 Verwirkung der Vertragsstrafe</w:t>
        </w:r>
      </w:hyperlink>
    </w:p>
    <w:p>
      <w:pPr>
        <w:pStyle w:val="Übersicht"/>
        <w:ind w:left="1020"/>
      </w:pPr>
      <w:hyperlink w:anchor="b443" w:history="1">
        <w:r>
          <w:rPr>
            <w:color w:val="0A3A8C"/>
            <w:u w:val="single"/>
          </w:rPr>
          <w:t xml:space="preserve">§ 340 Strafversprechen für Nichterfüllung</w:t>
        </w:r>
      </w:hyperlink>
    </w:p>
    <w:p>
      <w:pPr>
        <w:pStyle w:val="Übersicht"/>
        <w:ind w:left="1020"/>
      </w:pPr>
      <w:hyperlink w:anchor="b444" w:history="1">
        <w:r>
          <w:rPr>
            <w:color w:val="0A3A8C"/>
            <w:u w:val="single"/>
          </w:rPr>
          <w:t xml:space="preserve">§ 341 Strafversprechen für nicht gehörige Erfüllung</w:t>
        </w:r>
      </w:hyperlink>
    </w:p>
    <w:p>
      <w:pPr>
        <w:pStyle w:val="Übersicht"/>
        <w:ind w:left="1020"/>
      </w:pPr>
      <w:hyperlink w:anchor="b445" w:history="1">
        <w:r>
          <w:rPr>
            <w:color w:val="0A3A8C"/>
            <w:u w:val="single"/>
          </w:rPr>
          <w:t xml:space="preserve">§ 342 Andere als Geldstrafe</w:t>
        </w:r>
      </w:hyperlink>
    </w:p>
    <w:p>
      <w:pPr>
        <w:pStyle w:val="Übersicht"/>
        <w:ind w:left="1020"/>
      </w:pPr>
      <w:hyperlink w:anchor="b446" w:history="1">
        <w:r>
          <w:rPr>
            <w:color w:val="0A3A8C"/>
            <w:u w:val="single"/>
          </w:rPr>
          <w:t xml:space="preserve">§ 343 Herabsetzung der Strafe</w:t>
        </w:r>
      </w:hyperlink>
    </w:p>
    <w:p>
      <w:pPr>
        <w:pStyle w:val="Übersicht"/>
        <w:ind w:left="1020"/>
      </w:pPr>
      <w:hyperlink w:anchor="b447" w:history="1">
        <w:r>
          <w:rPr>
            <w:color w:val="0A3A8C"/>
            <w:u w:val="single"/>
          </w:rPr>
          <w:t xml:space="preserve">§ 344 Unwirksames Strafversprechen</w:t>
        </w:r>
      </w:hyperlink>
    </w:p>
    <w:p>
      <w:pPr>
        <w:pStyle w:val="Übersicht"/>
        <w:ind w:left="1020"/>
      </w:pPr>
      <w:hyperlink w:anchor="b448" w:history="1">
        <w:r>
          <w:rPr>
            <w:color w:val="0A3A8C"/>
            <w:u w:val="single"/>
          </w:rPr>
          <w:t xml:space="preserve">§ 345 Beweislast</w:t>
        </w:r>
      </w:hyperlink>
    </w:p>
    <w:p>
      <w:pPr>
        <w:pStyle w:val="Übersicht"/>
        <w:ind w:left="680"/>
      </w:pPr>
      <w:hyperlink w:anchor="b449" w:history="1">
        <w:r>
          <w:rPr>
            <w:b/>
            <w:color w:val="0A3A8C"/>
            <w:u w:val="single"/>
          </w:rPr>
          <w:t xml:space="preserve">Titel 5 Rücktritt; Widerrufsrecht bei Verbraucherverträgen</w:t>
        </w:r>
      </w:hyperlink>
    </w:p>
    <w:p>
      <w:pPr>
        <w:pStyle w:val="Übersicht"/>
        <w:ind w:left="1020"/>
      </w:pPr>
      <w:hyperlink w:anchor="b450" w:history="1">
        <w:r>
          <w:rPr>
            <w:b/>
            <w:color w:val="0A3A8C"/>
            <w:u w:val="single"/>
          </w:rPr>
          <w:t xml:space="preserve">Untertitel 1 Rücktritt</w:t>
        </w:r>
      </w:hyperlink>
    </w:p>
    <w:p>
      <w:pPr>
        <w:pStyle w:val="Übersicht"/>
        <w:ind w:left="1361"/>
      </w:pPr>
      <w:hyperlink w:anchor="b451" w:history="1">
        <w:r>
          <w:rPr>
            <w:color w:val="0A3A8C"/>
            <w:u w:val="single"/>
          </w:rPr>
          <w:t xml:space="preserve">§ 346 Wirkungen des Rücktritts</w:t>
        </w:r>
      </w:hyperlink>
    </w:p>
    <w:p>
      <w:pPr>
        <w:pStyle w:val="Übersicht"/>
        <w:ind w:left="1361"/>
      </w:pPr>
      <w:hyperlink w:anchor="b452" w:history="1">
        <w:r>
          <w:rPr>
            <w:color w:val="0A3A8C"/>
            <w:u w:val="single"/>
          </w:rPr>
          <w:t xml:space="preserve">§ 347 Nutzungen und Verwendungen nach Rücktritt</w:t>
        </w:r>
      </w:hyperlink>
    </w:p>
    <w:p>
      <w:pPr>
        <w:pStyle w:val="Übersicht"/>
        <w:ind w:left="1361"/>
      </w:pPr>
      <w:hyperlink w:anchor="b453" w:history="1">
        <w:r>
          <w:rPr>
            <w:color w:val="0A3A8C"/>
            <w:u w:val="single"/>
          </w:rPr>
          <w:t xml:space="preserve">§ 348 Erfüllung Zug-um-Zug</w:t>
        </w:r>
      </w:hyperlink>
    </w:p>
    <w:p>
      <w:pPr>
        <w:pStyle w:val="Übersicht"/>
        <w:ind w:left="1361"/>
      </w:pPr>
      <w:hyperlink w:anchor="b454" w:history="1">
        <w:r>
          <w:rPr>
            <w:color w:val="0A3A8C"/>
            <w:u w:val="single"/>
          </w:rPr>
          <w:t xml:space="preserve">§ 349 Erklärung des Rücktritts</w:t>
        </w:r>
      </w:hyperlink>
    </w:p>
    <w:p>
      <w:pPr>
        <w:pStyle w:val="Übersicht"/>
        <w:ind w:left="1361"/>
      </w:pPr>
      <w:hyperlink w:anchor="b455" w:history="1">
        <w:r>
          <w:rPr>
            <w:color w:val="0A3A8C"/>
            <w:u w:val="single"/>
          </w:rPr>
          <w:t xml:space="preserve">§ 350 Erlöschen des Rücktrittsrechts nach Fristsetzung</w:t>
        </w:r>
      </w:hyperlink>
    </w:p>
    <w:p>
      <w:pPr>
        <w:pStyle w:val="Übersicht"/>
        <w:ind w:left="1361"/>
      </w:pPr>
      <w:hyperlink w:anchor="b456" w:history="1">
        <w:r>
          <w:rPr>
            <w:color w:val="0A3A8C"/>
            <w:u w:val="single"/>
          </w:rPr>
          <w:t xml:space="preserve">§ 351 Unteilbarkeit des Rücktrittsrechts</w:t>
        </w:r>
      </w:hyperlink>
    </w:p>
    <w:p>
      <w:pPr>
        <w:pStyle w:val="Übersicht"/>
        <w:ind w:left="1361"/>
      </w:pPr>
      <w:hyperlink w:anchor="b457" w:history="1">
        <w:r>
          <w:rPr>
            <w:color w:val="0A3A8C"/>
            <w:u w:val="single"/>
          </w:rPr>
          <w:t xml:space="preserve">§ 352 Aufrechnung nach Nichterfüllung</w:t>
        </w:r>
      </w:hyperlink>
    </w:p>
    <w:p>
      <w:pPr>
        <w:pStyle w:val="Übersicht"/>
        <w:ind w:left="1361"/>
      </w:pPr>
      <w:hyperlink w:anchor="b458" w:history="1">
        <w:r>
          <w:rPr>
            <w:color w:val="0A3A8C"/>
            <w:u w:val="single"/>
          </w:rPr>
          <w:t xml:space="preserve">§ 353 Rücktritt gegen Reugeld</w:t>
        </w:r>
      </w:hyperlink>
    </w:p>
    <w:p>
      <w:pPr>
        <w:pStyle w:val="Übersicht"/>
        <w:ind w:left="1361"/>
      </w:pPr>
      <w:hyperlink w:anchor="b459" w:history="1">
        <w:r>
          <w:rPr>
            <w:color w:val="0A3A8C"/>
            <w:u w:val="single"/>
          </w:rPr>
          <w:t xml:space="preserve">§ 354 Verwirkungsklausel</w:t>
        </w:r>
      </w:hyperlink>
    </w:p>
    <w:p>
      <w:pPr>
        <w:pStyle w:val="Übersicht"/>
        <w:ind w:left="1020"/>
      </w:pPr>
      <w:hyperlink w:anchor="b460" w:history="1">
        <w:r>
          <w:rPr>
            <w:b/>
            <w:color w:val="0A3A8C"/>
            <w:u w:val="single"/>
          </w:rPr>
          <w:t xml:space="preserve">Untertitel 2 Widerrufsrecht bei Verbraucherverträgen</w:t>
        </w:r>
      </w:hyperlink>
    </w:p>
    <w:p>
      <w:pPr>
        <w:pStyle w:val="Übersicht"/>
        <w:ind w:left="1361"/>
      </w:pPr>
      <w:hyperlink w:anchor="b461" w:history="1">
        <w:r>
          <w:rPr>
            <w:color w:val="0A3A8C"/>
            <w:u w:val="single"/>
          </w:rPr>
          <w:t xml:space="preserve">§ 355 Widerrufsrecht bei Verbraucherverträgen</w:t>
        </w:r>
      </w:hyperlink>
    </w:p>
    <w:p>
      <w:pPr>
        <w:pStyle w:val="Übersicht"/>
        <w:ind w:left="1361"/>
      </w:pPr>
      <w:hyperlink w:anchor="b462" w:history="1">
        <w:r>
          <w:rPr>
            <w:color w:val="0A3A8C"/>
            <w:u w:val="single"/>
          </w:rPr>
          <w:t xml:space="preserve">§ 356 Widerrufsrecht bei außerhalb von Geschäftsräumen geschlossenen Verträgen und Fernabsatzverträgen</w:t>
        </w:r>
      </w:hyperlink>
    </w:p>
    <w:p>
      <w:pPr>
        <w:pStyle w:val="Übersicht"/>
        <w:ind w:left="1361"/>
      </w:pPr>
      <w:hyperlink w:anchor="b463" w:history="1">
        <w:r>
          <w:rPr>
            <w:color w:val="0A3A8C"/>
            <w:u w:val="single"/>
          </w:rPr>
          <w:t xml:space="preserve">§ 356a Elektronische Widerrufsfunktion bei Fernabsatzverträgen</w:t>
        </w:r>
      </w:hyperlink>
    </w:p>
    <w:p>
      <w:pPr>
        <w:pStyle w:val="Übersicht"/>
        <w:ind w:left="1361"/>
      </w:pPr>
      <w:hyperlink w:anchor="b464" w:history="1">
        <w:r>
          <w:rPr>
            <w:color w:val="0A3A8C"/>
            <w:u w:val="single"/>
          </w:rPr>
          <w:t xml:space="preserve">§ 356b Widerrufsrecht bei Verbraucherdarlehensverträgen</w:t>
        </w:r>
      </w:hyperlink>
    </w:p>
    <w:p>
      <w:pPr>
        <w:pStyle w:val="Übersicht"/>
        <w:ind w:left="1361"/>
      </w:pPr>
      <w:hyperlink w:anchor="b465" w:history="1">
        <w:r>
          <w:rPr>
            <w:color w:val="0A3A8C"/>
            <w:u w:val="single"/>
          </w:rPr>
          <w:t xml:space="preserve">§ 356c Widerrufsrecht bei Teilzeit-Wohnrechteverträgen, Verträgen über ein langfristiges Urlaubsprodukt, bei Vermittlungsverträgen und Tauschsystemverträgen</w:t>
        </w:r>
      </w:hyperlink>
    </w:p>
    <w:p>
      <w:pPr>
        <w:pStyle w:val="Übersicht"/>
        <w:ind w:left="1361"/>
      </w:pPr>
      <w:hyperlink w:anchor="b466" w:history="1">
        <w:r>
          <w:rPr>
            <w:color w:val="0A3A8C"/>
            <w:u w:val="single"/>
          </w:rPr>
          <w:t xml:space="preserve">§ 356d Widerrufsrecht bei Ratenlieferungsverträgen</w:t>
        </w:r>
      </w:hyperlink>
    </w:p>
    <w:p>
      <w:pPr>
        <w:pStyle w:val="Übersicht"/>
        <w:ind w:left="1361"/>
      </w:pPr>
      <w:hyperlink w:anchor="b467" w:history="1">
        <w:r>
          <w:rPr>
            <w:color w:val="0A3A8C"/>
            <w:u w:val="single"/>
          </w:rPr>
          <w:t xml:space="preserve">§ 356e Widerrufsrecht bei Verbraucherbauverträgen</w:t>
        </w:r>
      </w:hyperlink>
    </w:p>
    <w:p>
      <w:pPr>
        <w:pStyle w:val="Übersicht"/>
        <w:ind w:left="1361"/>
      </w:pPr>
      <w:hyperlink w:anchor="b468" w:history="1">
        <w:r>
          <w:rPr>
            <w:color w:val="0A3A8C"/>
            <w:u w:val="single"/>
          </w:rPr>
          <w:t xml:space="preserve">§ 356f Widerrufsrecht des Verbrauchers bei unentgeltlichen Darlehensverträgen und unentgeltlichen Finanzierungshilfen</w:t>
        </w:r>
      </w:hyperlink>
    </w:p>
    <w:p>
      <w:pPr>
        <w:pStyle w:val="Übersicht"/>
        <w:ind w:left="1361"/>
      </w:pPr>
      <w:hyperlink w:anchor="b469" w:history="1">
        <w:r>
          <w:rPr>
            <w:color w:val="0A3A8C"/>
            <w:u w:val="single"/>
          </w:rPr>
          <w:t xml:space="preserve">§ 357 Rechtsfolgen des Widerrufs von außerhalb von Geschäftsräumen geschlossenen Verträgen und Fernabsatzverträgen mit Ausnahme von Verträgen über Finanzdienstleistungen</w:t>
        </w:r>
      </w:hyperlink>
    </w:p>
    <w:p>
      <w:pPr>
        <w:pStyle w:val="Übersicht"/>
        <w:ind w:left="1361"/>
      </w:pPr>
      <w:hyperlink w:anchor="b470" w:history="1">
        <w:r>
          <w:rPr>
            <w:color w:val="0A3A8C"/>
            <w:u w:val="single"/>
          </w:rPr>
          <w:t xml:space="preserve">§ 357a Wertersatz als Rechtsfolge des Widerrufs von außerhalb von Geschäftsräumen geschlossenen Verträgen und Fernabsatzverträgen mit Ausnahme von Verträgen über Finanzdienstleistungen</w:t>
        </w:r>
      </w:hyperlink>
    </w:p>
    <w:p>
      <w:pPr>
        <w:pStyle w:val="Übersicht"/>
        <w:ind w:left="1361"/>
      </w:pPr>
      <w:hyperlink w:anchor="b471" w:history="1">
        <w:r>
          <w:rPr>
            <w:color w:val="0A3A8C"/>
            <w:u w:val="single"/>
          </w:rPr>
          <w:t xml:space="preserve">§ 357b Rechtsfolgen des Widerrufs von Verträgen über Finanzdienstleistungen</w:t>
        </w:r>
      </w:hyperlink>
    </w:p>
    <w:p>
      <w:pPr>
        <w:pStyle w:val="Übersicht"/>
        <w:ind w:left="1361"/>
      </w:pPr>
      <w:hyperlink w:anchor="b472" w:history="1">
        <w:r>
          <w:rPr>
            <w:color w:val="0A3A8C"/>
            <w:u w:val="single"/>
          </w:rPr>
          <w:t xml:space="preserve">§ 357c Rechtsfolgen des Widerrufs von Teilzeit-Wohnrechteverträgen, Verträgen über ein langfristiges Urlaubsprodukt, Vermittlungsverträgen und Tauschsystemverträgen</w:t>
        </w:r>
      </w:hyperlink>
    </w:p>
    <w:p>
      <w:pPr>
        <w:pStyle w:val="Übersicht"/>
        <w:ind w:left="1361"/>
      </w:pPr>
      <w:hyperlink w:anchor="b473" w:history="1">
        <w:r>
          <w:rPr>
            <w:color w:val="0A3A8C"/>
            <w:u w:val="single"/>
          </w:rPr>
          <w:t xml:space="preserve">§ 357d Rechtsfolgen des Widerrufs von weder im Fernabsatz noch außerhalb von Geschäftsräumen geschlossenen Ratenlieferungsverträgen</w:t>
        </w:r>
      </w:hyperlink>
    </w:p>
    <w:p>
      <w:pPr>
        <w:pStyle w:val="Übersicht"/>
        <w:ind w:left="1361"/>
      </w:pPr>
      <w:hyperlink w:anchor="b474" w:history="1">
        <w:r>
          <w:rPr>
            <w:color w:val="0A3A8C"/>
            <w:u w:val="single"/>
          </w:rPr>
          <w:t xml:space="preserve">§ 357e Rechtsfolgen des Widerrufs bei Verbraucherbauverträgen</w:t>
        </w:r>
      </w:hyperlink>
    </w:p>
    <w:p>
      <w:pPr>
        <w:pStyle w:val="Übersicht"/>
        <w:ind w:left="1361"/>
      </w:pPr>
      <w:hyperlink w:anchor="b475" w:history="1">
        <w:r>
          <w:rPr>
            <w:color w:val="0A3A8C"/>
            <w:u w:val="single"/>
          </w:rPr>
          <w:t xml:space="preserve">§ 358 Mit dem widerrufenen Vertrag verbundener Vertrag</w:t>
        </w:r>
      </w:hyperlink>
    </w:p>
    <w:p>
      <w:pPr>
        <w:pStyle w:val="Übersicht"/>
        <w:ind w:left="1361"/>
      </w:pPr>
      <w:hyperlink w:anchor="b476" w:history="1">
        <w:r>
          <w:rPr>
            <w:color w:val="0A3A8C"/>
            <w:u w:val="single"/>
          </w:rPr>
          <w:t xml:space="preserve">§ 359 Einwendungen bei verbundenen Verträgen</w:t>
        </w:r>
      </w:hyperlink>
    </w:p>
    <w:p>
      <w:pPr>
        <w:pStyle w:val="Übersicht"/>
        <w:ind w:left="1361"/>
      </w:pPr>
      <w:hyperlink w:anchor="b477" w:history="1">
        <w:r>
          <w:rPr>
            <w:color w:val="0A3A8C"/>
            <w:u w:val="single"/>
          </w:rPr>
          <w:t xml:space="preserve">§ 360 Zusammenhängende Verträge</w:t>
        </w:r>
      </w:hyperlink>
    </w:p>
    <w:p>
      <w:pPr>
        <w:pStyle w:val="Übersicht"/>
        <w:ind w:left="1361"/>
      </w:pPr>
      <w:hyperlink w:anchor="b478" w:history="1">
        <w:r>
          <w:rPr>
            <w:color w:val="0A3A8C"/>
            <w:u w:val="single"/>
          </w:rPr>
          <w:t xml:space="preserve">§ 361 Weitere Ansprüche, abweichende Vereinbarungen und Beweislast</w:t>
        </w:r>
      </w:hyperlink>
    </w:p>
    <w:p>
      <w:pPr>
        <w:pStyle w:val="Übersicht"/>
        <w:ind w:left="340"/>
      </w:pPr>
      <w:hyperlink w:anchor="b479" w:history="1">
        <w:r>
          <w:rPr>
            <w:b/>
            <w:color w:val="0A3A8C"/>
            <w:u w:val="single"/>
          </w:rPr>
          <w:t xml:space="preserve">Abschnitt 4 Erlöschen der Schuldverhältnisse</w:t>
        </w:r>
      </w:hyperlink>
    </w:p>
    <w:p>
      <w:pPr>
        <w:pStyle w:val="Übersicht"/>
        <w:ind w:left="680"/>
      </w:pPr>
      <w:hyperlink w:anchor="b480" w:history="1">
        <w:r>
          <w:rPr>
            <w:b/>
            <w:color w:val="0A3A8C"/>
            <w:u w:val="single"/>
          </w:rPr>
          <w:t xml:space="preserve">Titel 1 Erfüllung</w:t>
        </w:r>
      </w:hyperlink>
    </w:p>
    <w:p>
      <w:pPr>
        <w:pStyle w:val="Übersicht"/>
        <w:ind w:left="1020"/>
      </w:pPr>
      <w:hyperlink w:anchor="b481" w:history="1">
        <w:r>
          <w:rPr>
            <w:color w:val="0A3A8C"/>
            <w:u w:val="single"/>
          </w:rPr>
          <w:t xml:space="preserve">§ 362 Erlöschen durch Leistung</w:t>
        </w:r>
      </w:hyperlink>
    </w:p>
    <w:p>
      <w:pPr>
        <w:pStyle w:val="Übersicht"/>
        <w:ind w:left="1020"/>
      </w:pPr>
      <w:hyperlink w:anchor="b482" w:history="1">
        <w:r>
          <w:rPr>
            <w:color w:val="0A3A8C"/>
            <w:u w:val="single"/>
          </w:rPr>
          <w:t xml:space="preserve">§ 363 Beweislast bei Annahme als Erfüllung</w:t>
        </w:r>
      </w:hyperlink>
    </w:p>
    <w:p>
      <w:pPr>
        <w:pStyle w:val="Übersicht"/>
        <w:ind w:left="1020"/>
      </w:pPr>
      <w:hyperlink w:anchor="b483" w:history="1">
        <w:r>
          <w:rPr>
            <w:color w:val="0A3A8C"/>
            <w:u w:val="single"/>
          </w:rPr>
          <w:t xml:space="preserve">§ 364 Annahme an Erfüllungs statt</w:t>
        </w:r>
      </w:hyperlink>
    </w:p>
    <w:p>
      <w:pPr>
        <w:pStyle w:val="Übersicht"/>
        <w:ind w:left="1020"/>
      </w:pPr>
      <w:hyperlink w:anchor="b484" w:history="1">
        <w:r>
          <w:rPr>
            <w:color w:val="0A3A8C"/>
            <w:u w:val="single"/>
          </w:rPr>
          <w:t xml:space="preserve">§ 365 Gewährleistung bei Hingabe an Erfüllungs statt</w:t>
        </w:r>
      </w:hyperlink>
    </w:p>
    <w:p>
      <w:pPr>
        <w:pStyle w:val="Übersicht"/>
        <w:ind w:left="1020"/>
      </w:pPr>
      <w:hyperlink w:anchor="b485" w:history="1">
        <w:r>
          <w:rPr>
            <w:color w:val="0A3A8C"/>
            <w:u w:val="single"/>
          </w:rPr>
          <w:t xml:space="preserve">§ 366 Anrechnung der Leistung auf mehrere Forderungen</w:t>
        </w:r>
      </w:hyperlink>
    </w:p>
    <w:p>
      <w:pPr>
        <w:pStyle w:val="Übersicht"/>
        <w:ind w:left="1020"/>
      </w:pPr>
      <w:hyperlink w:anchor="b486" w:history="1">
        <w:r>
          <w:rPr>
            <w:color w:val="0A3A8C"/>
            <w:u w:val="single"/>
          </w:rPr>
          <w:t xml:space="preserve">§ 367 Anrechnung auf Zinsen und Kosten</w:t>
        </w:r>
      </w:hyperlink>
    </w:p>
    <w:p>
      <w:pPr>
        <w:pStyle w:val="Übersicht"/>
        <w:ind w:left="1020"/>
      </w:pPr>
      <w:hyperlink w:anchor="b487" w:history="1">
        <w:r>
          <w:rPr>
            <w:color w:val="0A3A8C"/>
            <w:u w:val="single"/>
          </w:rPr>
          <w:t xml:space="preserve">§ 368 Quittung</w:t>
        </w:r>
      </w:hyperlink>
    </w:p>
    <w:p>
      <w:pPr>
        <w:pStyle w:val="Übersicht"/>
        <w:ind w:left="1020"/>
      </w:pPr>
      <w:hyperlink w:anchor="b488" w:history="1">
        <w:r>
          <w:rPr>
            <w:color w:val="0A3A8C"/>
            <w:u w:val="single"/>
          </w:rPr>
          <w:t xml:space="preserve">§ 369 Kosten der Quittung</w:t>
        </w:r>
      </w:hyperlink>
    </w:p>
    <w:p>
      <w:pPr>
        <w:pStyle w:val="Übersicht"/>
        <w:ind w:left="1020"/>
      </w:pPr>
      <w:hyperlink w:anchor="b489" w:history="1">
        <w:r>
          <w:rPr>
            <w:color w:val="0A3A8C"/>
            <w:u w:val="single"/>
          </w:rPr>
          <w:t xml:space="preserve">§ 370 Leistung an den Überbringer der Quittung</w:t>
        </w:r>
      </w:hyperlink>
    </w:p>
    <w:p>
      <w:pPr>
        <w:pStyle w:val="Übersicht"/>
        <w:ind w:left="1020"/>
      </w:pPr>
      <w:hyperlink w:anchor="b490" w:history="1">
        <w:r>
          <w:rPr>
            <w:color w:val="0A3A8C"/>
            <w:u w:val="single"/>
          </w:rPr>
          <w:t xml:space="preserve">§ 371 Rückgabe des Schuldscheins</w:t>
        </w:r>
      </w:hyperlink>
    </w:p>
    <w:p>
      <w:pPr>
        <w:pStyle w:val="Übersicht"/>
        <w:ind w:left="680"/>
      </w:pPr>
      <w:hyperlink w:anchor="b491" w:history="1">
        <w:r>
          <w:rPr>
            <w:b/>
            <w:color w:val="0A3A8C"/>
            <w:u w:val="single"/>
          </w:rPr>
          <w:t xml:space="preserve">Titel 2 Hinterlegung</w:t>
        </w:r>
      </w:hyperlink>
    </w:p>
    <w:p>
      <w:pPr>
        <w:pStyle w:val="Übersicht"/>
        <w:ind w:left="1020"/>
      </w:pPr>
      <w:hyperlink w:anchor="b492" w:history="1">
        <w:r>
          <w:rPr>
            <w:color w:val="0A3A8C"/>
            <w:u w:val="single"/>
          </w:rPr>
          <w:t xml:space="preserve">§ 372 Voraussetzungen</w:t>
        </w:r>
      </w:hyperlink>
    </w:p>
    <w:p>
      <w:pPr>
        <w:pStyle w:val="Übersicht"/>
        <w:ind w:left="1020"/>
      </w:pPr>
      <w:hyperlink w:anchor="b493" w:history="1">
        <w:r>
          <w:rPr>
            <w:color w:val="0A3A8C"/>
            <w:u w:val="single"/>
          </w:rPr>
          <w:t xml:space="preserve">§ 373 Zug-um-Zug-Leistung</w:t>
        </w:r>
      </w:hyperlink>
    </w:p>
    <w:p>
      <w:pPr>
        <w:pStyle w:val="Übersicht"/>
        <w:ind w:left="1020"/>
      </w:pPr>
      <w:hyperlink w:anchor="b494" w:history="1">
        <w:r>
          <w:rPr>
            <w:color w:val="0A3A8C"/>
            <w:u w:val="single"/>
          </w:rPr>
          <w:t xml:space="preserve">§ 374 Hinterlegungsort; Anzeigepflicht</w:t>
        </w:r>
      </w:hyperlink>
    </w:p>
    <w:p>
      <w:pPr>
        <w:pStyle w:val="Übersicht"/>
        <w:ind w:left="1020"/>
      </w:pPr>
      <w:hyperlink w:anchor="b495" w:history="1">
        <w:r>
          <w:rPr>
            <w:color w:val="0A3A8C"/>
            <w:u w:val="single"/>
          </w:rPr>
          <w:t xml:space="preserve">§ 375 Rückwirkung bei Postübersendung</w:t>
        </w:r>
      </w:hyperlink>
    </w:p>
    <w:p>
      <w:pPr>
        <w:pStyle w:val="Übersicht"/>
        <w:ind w:left="1020"/>
      </w:pPr>
      <w:hyperlink w:anchor="b496" w:history="1">
        <w:r>
          <w:rPr>
            <w:color w:val="0A3A8C"/>
            <w:u w:val="single"/>
          </w:rPr>
          <w:t xml:space="preserve">§ 376 Rücknahmerecht</w:t>
        </w:r>
      </w:hyperlink>
    </w:p>
    <w:p>
      <w:pPr>
        <w:pStyle w:val="Übersicht"/>
        <w:ind w:left="1020"/>
      </w:pPr>
      <w:hyperlink w:anchor="b497" w:history="1">
        <w:r>
          <w:rPr>
            <w:color w:val="0A3A8C"/>
            <w:u w:val="single"/>
          </w:rPr>
          <w:t xml:space="preserve">§ 377 Unpfändbarkeit des Rücknahmerechts</w:t>
        </w:r>
      </w:hyperlink>
    </w:p>
    <w:p>
      <w:pPr>
        <w:pStyle w:val="Übersicht"/>
        <w:ind w:left="1020"/>
      </w:pPr>
      <w:hyperlink w:anchor="b498" w:history="1">
        <w:r>
          <w:rPr>
            <w:color w:val="0A3A8C"/>
            <w:u w:val="single"/>
          </w:rPr>
          <w:t xml:space="preserve">§ 378 Wirkung der Hinterlegung bei ausgeschlossener Rücknahme</w:t>
        </w:r>
      </w:hyperlink>
    </w:p>
    <w:p>
      <w:pPr>
        <w:pStyle w:val="Übersicht"/>
        <w:ind w:left="1020"/>
      </w:pPr>
      <w:hyperlink w:anchor="b499" w:history="1">
        <w:r>
          <w:rPr>
            <w:color w:val="0A3A8C"/>
            <w:u w:val="single"/>
          </w:rPr>
          <w:t xml:space="preserve">§ 379 Wirkung der Hinterlegung bei nicht ausgeschlossener Rücknahme</w:t>
        </w:r>
      </w:hyperlink>
    </w:p>
    <w:p>
      <w:pPr>
        <w:pStyle w:val="Übersicht"/>
        <w:ind w:left="1020"/>
      </w:pPr>
      <w:hyperlink w:anchor="b500" w:history="1">
        <w:r>
          <w:rPr>
            <w:color w:val="0A3A8C"/>
            <w:u w:val="single"/>
          </w:rPr>
          <w:t xml:space="preserve">§ 380 Nachweis der Empfangsberechtigung</w:t>
        </w:r>
      </w:hyperlink>
    </w:p>
    <w:p>
      <w:pPr>
        <w:pStyle w:val="Übersicht"/>
        <w:ind w:left="1020"/>
      </w:pPr>
      <w:hyperlink w:anchor="b501" w:history="1">
        <w:r>
          <w:rPr>
            <w:color w:val="0A3A8C"/>
            <w:u w:val="single"/>
          </w:rPr>
          <w:t xml:space="preserve">§ 381 Kosten der Hinterlegung</w:t>
        </w:r>
      </w:hyperlink>
    </w:p>
    <w:p>
      <w:pPr>
        <w:pStyle w:val="Übersicht"/>
        <w:ind w:left="1020"/>
      </w:pPr>
      <w:hyperlink w:anchor="b502" w:history="1">
        <w:r>
          <w:rPr>
            <w:color w:val="0A3A8C"/>
            <w:u w:val="single"/>
          </w:rPr>
          <w:t xml:space="preserve">§ 382 Erlöschen des Gläubigerrechts</w:t>
        </w:r>
      </w:hyperlink>
    </w:p>
    <w:p>
      <w:pPr>
        <w:pStyle w:val="Übersicht"/>
        <w:ind w:left="1020"/>
      </w:pPr>
      <w:hyperlink w:anchor="b503" w:history="1">
        <w:r>
          <w:rPr>
            <w:color w:val="0A3A8C"/>
            <w:u w:val="single"/>
          </w:rPr>
          <w:t xml:space="preserve">§ 383 Versteigerung hinterlegungsunfähiger Sachen</w:t>
        </w:r>
      </w:hyperlink>
    </w:p>
    <w:p>
      <w:pPr>
        <w:pStyle w:val="Übersicht"/>
        <w:ind w:left="1020"/>
      </w:pPr>
      <w:hyperlink w:anchor="b504" w:history="1">
        <w:r>
          <w:rPr>
            <w:color w:val="0A3A8C"/>
            <w:u w:val="single"/>
          </w:rPr>
          <w:t xml:space="preserve">§ 384 Androhung der Versteigerung</w:t>
        </w:r>
      </w:hyperlink>
    </w:p>
    <w:p>
      <w:pPr>
        <w:pStyle w:val="Übersicht"/>
        <w:ind w:left="1020"/>
      </w:pPr>
      <w:hyperlink w:anchor="b505" w:history="1">
        <w:r>
          <w:rPr>
            <w:color w:val="0A3A8C"/>
            <w:u w:val="single"/>
          </w:rPr>
          <w:t xml:space="preserve">§ 385 Freihändiger Verkauf</w:t>
        </w:r>
      </w:hyperlink>
    </w:p>
    <w:p>
      <w:pPr>
        <w:pStyle w:val="Übersicht"/>
        <w:ind w:left="1020"/>
      </w:pPr>
      <w:hyperlink w:anchor="b506" w:history="1">
        <w:r>
          <w:rPr>
            <w:color w:val="0A3A8C"/>
            <w:u w:val="single"/>
          </w:rPr>
          <w:t xml:space="preserve">§ 386 Kosten der Versteigerung</w:t>
        </w:r>
      </w:hyperlink>
    </w:p>
    <w:p>
      <w:pPr>
        <w:pStyle w:val="Übersicht"/>
        <w:ind w:left="680"/>
      </w:pPr>
      <w:hyperlink w:anchor="b507" w:history="1">
        <w:r>
          <w:rPr>
            <w:b/>
            <w:color w:val="0A3A8C"/>
            <w:u w:val="single"/>
          </w:rPr>
          <w:t xml:space="preserve">Titel 3 Aufrechnung</w:t>
        </w:r>
      </w:hyperlink>
    </w:p>
    <w:p>
      <w:pPr>
        <w:pStyle w:val="Übersicht"/>
        <w:ind w:left="1020"/>
      </w:pPr>
      <w:hyperlink w:anchor="b508" w:history="1">
        <w:r>
          <w:rPr>
            <w:color w:val="0A3A8C"/>
            <w:u w:val="single"/>
          </w:rPr>
          <w:t xml:space="preserve">§ 387 Voraussetzungen</w:t>
        </w:r>
      </w:hyperlink>
    </w:p>
    <w:p>
      <w:pPr>
        <w:pStyle w:val="Übersicht"/>
        <w:ind w:left="1020"/>
      </w:pPr>
      <w:hyperlink w:anchor="b509" w:history="1">
        <w:r>
          <w:rPr>
            <w:color w:val="0A3A8C"/>
            <w:u w:val="single"/>
          </w:rPr>
          <w:t xml:space="preserve">§ 388 Erklärung der Aufrechnung</w:t>
        </w:r>
      </w:hyperlink>
    </w:p>
    <w:p>
      <w:pPr>
        <w:pStyle w:val="Übersicht"/>
        <w:ind w:left="1020"/>
      </w:pPr>
      <w:hyperlink w:anchor="b510" w:history="1">
        <w:r>
          <w:rPr>
            <w:color w:val="0A3A8C"/>
            <w:u w:val="single"/>
          </w:rPr>
          <w:t xml:space="preserve">§ 389 Wirkung der Aufrechnung</w:t>
        </w:r>
      </w:hyperlink>
    </w:p>
    <w:p>
      <w:pPr>
        <w:pStyle w:val="Übersicht"/>
        <w:ind w:left="1020"/>
      </w:pPr>
      <w:hyperlink w:anchor="b511" w:history="1">
        <w:r>
          <w:rPr>
            <w:color w:val="0A3A8C"/>
            <w:u w:val="single"/>
          </w:rPr>
          <w:t xml:space="preserve">§ 390 Keine Aufrechnung mit einredebehafteter Forderung</w:t>
        </w:r>
      </w:hyperlink>
    </w:p>
    <w:p>
      <w:pPr>
        <w:pStyle w:val="Übersicht"/>
        <w:ind w:left="1020"/>
      </w:pPr>
      <w:hyperlink w:anchor="b512" w:history="1">
        <w:r>
          <w:rPr>
            <w:color w:val="0A3A8C"/>
            <w:u w:val="single"/>
          </w:rPr>
          <w:t xml:space="preserve">§ 391 Aufrechnung bei Verschiedenheit der Leistungsorte</w:t>
        </w:r>
      </w:hyperlink>
    </w:p>
    <w:p>
      <w:pPr>
        <w:pStyle w:val="Übersicht"/>
        <w:ind w:left="1020"/>
      </w:pPr>
      <w:hyperlink w:anchor="b513" w:history="1">
        <w:r>
          <w:rPr>
            <w:color w:val="0A3A8C"/>
            <w:u w:val="single"/>
          </w:rPr>
          <w:t xml:space="preserve">§ 392 Aufrechnung gegen beschlagnahmte Forderung</w:t>
        </w:r>
      </w:hyperlink>
    </w:p>
    <w:p>
      <w:pPr>
        <w:pStyle w:val="Übersicht"/>
        <w:ind w:left="1020"/>
      </w:pPr>
      <w:hyperlink w:anchor="b514" w:history="1">
        <w:r>
          <w:rPr>
            <w:color w:val="0A3A8C"/>
            <w:u w:val="single"/>
          </w:rPr>
          <w:t xml:space="preserve">§ 393 Keine Aufrechnung gegen Forderung aus unerlaubter Handlung</w:t>
        </w:r>
      </w:hyperlink>
    </w:p>
    <w:p>
      <w:pPr>
        <w:pStyle w:val="Übersicht"/>
        <w:ind w:left="1020"/>
      </w:pPr>
      <w:hyperlink w:anchor="b515" w:history="1">
        <w:r>
          <w:rPr>
            <w:color w:val="0A3A8C"/>
            <w:u w:val="single"/>
          </w:rPr>
          <w:t xml:space="preserve">§ 394 Keine Aufrechnung gegen unpfändbare Forderung</w:t>
        </w:r>
      </w:hyperlink>
    </w:p>
    <w:p>
      <w:pPr>
        <w:pStyle w:val="Übersicht"/>
        <w:ind w:left="1020"/>
      </w:pPr>
      <w:hyperlink w:anchor="b516" w:history="1">
        <w:r>
          <w:rPr>
            <w:color w:val="0A3A8C"/>
            <w:u w:val="single"/>
          </w:rPr>
          <w:t xml:space="preserve">§ 395 Aufrechnung gegen Forderungen öffentlich-rechtlicher Körperschaften</w:t>
        </w:r>
      </w:hyperlink>
    </w:p>
    <w:p>
      <w:pPr>
        <w:pStyle w:val="Übersicht"/>
        <w:ind w:left="1020"/>
      </w:pPr>
      <w:hyperlink w:anchor="b517" w:history="1">
        <w:r>
          <w:rPr>
            <w:color w:val="0A3A8C"/>
            <w:u w:val="single"/>
          </w:rPr>
          <w:t xml:space="preserve">§ 396 Mehrheit von Forderungen</w:t>
        </w:r>
      </w:hyperlink>
    </w:p>
    <w:p>
      <w:pPr>
        <w:pStyle w:val="Übersicht"/>
        <w:ind w:left="680"/>
      </w:pPr>
      <w:hyperlink w:anchor="b518" w:history="1">
        <w:r>
          <w:rPr>
            <w:b/>
            <w:color w:val="0A3A8C"/>
            <w:u w:val="single"/>
          </w:rPr>
          <w:t xml:space="preserve">Titel 4 Erlass</w:t>
        </w:r>
      </w:hyperlink>
    </w:p>
    <w:p>
      <w:pPr>
        <w:pStyle w:val="Übersicht"/>
        <w:ind w:left="1020"/>
      </w:pPr>
      <w:hyperlink w:anchor="b519" w:history="1">
        <w:r>
          <w:rPr>
            <w:color w:val="0A3A8C"/>
            <w:u w:val="single"/>
          </w:rPr>
          <w:t xml:space="preserve">§ 397 Erlassvertrag, negatives Schuldanerkenntnis</w:t>
        </w:r>
      </w:hyperlink>
    </w:p>
    <w:p>
      <w:pPr>
        <w:pStyle w:val="Übersicht"/>
        <w:ind w:left="340"/>
      </w:pPr>
      <w:hyperlink w:anchor="b520" w:history="1">
        <w:r>
          <w:rPr>
            <w:b/>
            <w:color w:val="0A3A8C"/>
            <w:u w:val="single"/>
          </w:rPr>
          <w:t xml:space="preserve">Abschnitt 5 Übertragung einer Forderung</w:t>
        </w:r>
      </w:hyperlink>
    </w:p>
    <w:p>
      <w:pPr>
        <w:pStyle w:val="Übersicht"/>
        <w:ind w:left="680"/>
      </w:pPr>
      <w:hyperlink w:anchor="b521" w:history="1">
        <w:r>
          <w:rPr>
            <w:color w:val="0A3A8C"/>
            <w:u w:val="single"/>
          </w:rPr>
          <w:t xml:space="preserve">§ 398 Abtretung</w:t>
        </w:r>
      </w:hyperlink>
    </w:p>
    <w:p>
      <w:pPr>
        <w:pStyle w:val="Übersicht"/>
        <w:ind w:left="680"/>
      </w:pPr>
      <w:hyperlink w:anchor="b522" w:history="1">
        <w:r>
          <w:rPr>
            <w:color w:val="0A3A8C"/>
            <w:u w:val="single"/>
          </w:rPr>
          <w:t xml:space="preserve">§ 399 Ausschluss der Abtretung bei Inhaltsänderung oder Vereinbarung</w:t>
        </w:r>
      </w:hyperlink>
    </w:p>
    <w:p>
      <w:pPr>
        <w:pStyle w:val="Übersicht"/>
        <w:ind w:left="680"/>
      </w:pPr>
      <w:hyperlink w:anchor="b523" w:history="1">
        <w:r>
          <w:rPr>
            <w:color w:val="0A3A8C"/>
            <w:u w:val="single"/>
          </w:rPr>
          <w:t xml:space="preserve">§ 400 Ausschluss bei unpfändbaren Forderungen</w:t>
        </w:r>
      </w:hyperlink>
    </w:p>
    <w:p>
      <w:pPr>
        <w:pStyle w:val="Übersicht"/>
        <w:ind w:left="680"/>
      </w:pPr>
      <w:hyperlink w:anchor="b524" w:history="1">
        <w:r>
          <w:rPr>
            <w:color w:val="0A3A8C"/>
            <w:u w:val="single"/>
          </w:rPr>
          <w:t xml:space="preserve">§ 401 Übergang der Neben- und Vorzugsrechte</w:t>
        </w:r>
      </w:hyperlink>
    </w:p>
    <w:p>
      <w:pPr>
        <w:pStyle w:val="Übersicht"/>
        <w:ind w:left="680"/>
      </w:pPr>
      <w:hyperlink w:anchor="b525" w:history="1">
        <w:r>
          <w:rPr>
            <w:color w:val="0A3A8C"/>
            <w:u w:val="single"/>
          </w:rPr>
          <w:t xml:space="preserve">§ 402 Auskunftspflicht; Urkundenauslieferung</w:t>
        </w:r>
      </w:hyperlink>
    </w:p>
    <w:p>
      <w:pPr>
        <w:pStyle w:val="Übersicht"/>
        <w:ind w:left="680"/>
      </w:pPr>
      <w:hyperlink w:anchor="b526" w:history="1">
        <w:r>
          <w:rPr>
            <w:color w:val="0A3A8C"/>
            <w:u w:val="single"/>
          </w:rPr>
          <w:t xml:space="preserve">§ 403 Pflicht zur Beurkundung</w:t>
        </w:r>
      </w:hyperlink>
    </w:p>
    <w:p>
      <w:pPr>
        <w:pStyle w:val="Übersicht"/>
        <w:ind w:left="680"/>
      </w:pPr>
      <w:hyperlink w:anchor="b527" w:history="1">
        <w:r>
          <w:rPr>
            <w:color w:val="0A3A8C"/>
            <w:u w:val="single"/>
          </w:rPr>
          <w:t xml:space="preserve">§ 404 Einwendungen des Schuldners</w:t>
        </w:r>
      </w:hyperlink>
    </w:p>
    <w:p>
      <w:pPr>
        <w:pStyle w:val="Übersicht"/>
        <w:ind w:left="680"/>
      </w:pPr>
      <w:hyperlink w:anchor="b528" w:history="1">
        <w:r>
          <w:rPr>
            <w:color w:val="0A3A8C"/>
            <w:u w:val="single"/>
          </w:rPr>
          <w:t xml:space="preserve">§ 405 Abtretung unter Urkundenvorlegung</w:t>
        </w:r>
      </w:hyperlink>
    </w:p>
    <w:p>
      <w:pPr>
        <w:pStyle w:val="Übersicht"/>
        <w:ind w:left="680"/>
      </w:pPr>
      <w:hyperlink w:anchor="b529" w:history="1">
        <w:r>
          <w:rPr>
            <w:color w:val="0A3A8C"/>
            <w:u w:val="single"/>
          </w:rPr>
          <w:t xml:space="preserve">§ 406 Aufrechnung gegenüber dem neuen Gläubiger</w:t>
        </w:r>
      </w:hyperlink>
    </w:p>
    <w:p>
      <w:pPr>
        <w:pStyle w:val="Übersicht"/>
        <w:ind w:left="680"/>
      </w:pPr>
      <w:hyperlink w:anchor="b530" w:history="1">
        <w:r>
          <w:rPr>
            <w:color w:val="0A3A8C"/>
            <w:u w:val="single"/>
          </w:rPr>
          <w:t xml:space="preserve">§ 407 Rechtshandlungen gegenüber dem bisherigen Gläubiger</w:t>
        </w:r>
      </w:hyperlink>
    </w:p>
    <w:p>
      <w:pPr>
        <w:pStyle w:val="Übersicht"/>
        <w:ind w:left="680"/>
      </w:pPr>
      <w:hyperlink w:anchor="b531" w:history="1">
        <w:r>
          <w:rPr>
            <w:color w:val="0A3A8C"/>
            <w:u w:val="single"/>
          </w:rPr>
          <w:t xml:space="preserve">§ 408 Mehrfache Abtretung</w:t>
        </w:r>
      </w:hyperlink>
    </w:p>
    <w:p>
      <w:pPr>
        <w:pStyle w:val="Übersicht"/>
        <w:ind w:left="680"/>
      </w:pPr>
      <w:hyperlink w:anchor="b532" w:history="1">
        <w:r>
          <w:rPr>
            <w:color w:val="0A3A8C"/>
            <w:u w:val="single"/>
          </w:rPr>
          <w:t xml:space="preserve">§ 409 Abtretungsanzeige</w:t>
        </w:r>
      </w:hyperlink>
    </w:p>
    <w:p>
      <w:pPr>
        <w:pStyle w:val="Übersicht"/>
        <w:ind w:left="680"/>
      </w:pPr>
      <w:hyperlink w:anchor="b533" w:history="1">
        <w:r>
          <w:rPr>
            <w:color w:val="0A3A8C"/>
            <w:u w:val="single"/>
          </w:rPr>
          <w:t xml:space="preserve">§ 410 Aushändigung der Abtretungsurkunde</w:t>
        </w:r>
      </w:hyperlink>
    </w:p>
    <w:p>
      <w:pPr>
        <w:pStyle w:val="Übersicht"/>
        <w:ind w:left="680"/>
      </w:pPr>
      <w:hyperlink w:anchor="b534" w:history="1">
        <w:r>
          <w:rPr>
            <w:color w:val="0A3A8C"/>
            <w:u w:val="single"/>
          </w:rPr>
          <w:t xml:space="preserve">§ 411 Gehaltsabtretung</w:t>
        </w:r>
      </w:hyperlink>
    </w:p>
    <w:p>
      <w:pPr>
        <w:pStyle w:val="Übersicht"/>
        <w:ind w:left="680"/>
      </w:pPr>
      <w:hyperlink w:anchor="b535" w:history="1">
        <w:r>
          <w:rPr>
            <w:color w:val="0A3A8C"/>
            <w:u w:val="single"/>
          </w:rPr>
          <w:t xml:space="preserve">§ 412 Gesetzlicher Forderungsübergang</w:t>
        </w:r>
      </w:hyperlink>
    </w:p>
    <w:p>
      <w:pPr>
        <w:pStyle w:val="Übersicht"/>
        <w:ind w:left="680"/>
      </w:pPr>
      <w:hyperlink w:anchor="b536" w:history="1">
        <w:r>
          <w:rPr>
            <w:color w:val="0A3A8C"/>
            <w:u w:val="single"/>
          </w:rPr>
          <w:t xml:space="preserve">§ 413 Übertragung anderer Rechte</w:t>
        </w:r>
      </w:hyperlink>
    </w:p>
    <w:p>
      <w:pPr>
        <w:pStyle w:val="Übersicht"/>
        <w:ind w:left="340"/>
      </w:pPr>
      <w:hyperlink w:anchor="b537" w:history="1">
        <w:r>
          <w:rPr>
            <w:b/>
            <w:color w:val="0A3A8C"/>
            <w:u w:val="single"/>
          </w:rPr>
          <w:t xml:space="preserve">Abschnitt 6 Schuldübernahme</w:t>
        </w:r>
      </w:hyperlink>
    </w:p>
    <w:p>
      <w:pPr>
        <w:pStyle w:val="Übersicht"/>
        <w:ind w:left="680"/>
      </w:pPr>
      <w:hyperlink w:anchor="b538" w:history="1">
        <w:r>
          <w:rPr>
            <w:color w:val="0A3A8C"/>
            <w:u w:val="single"/>
          </w:rPr>
          <w:t xml:space="preserve">§ 414 Vertrag zwischen Gläubiger und Übernehmer</w:t>
        </w:r>
      </w:hyperlink>
    </w:p>
    <w:p>
      <w:pPr>
        <w:pStyle w:val="Übersicht"/>
        <w:ind w:left="680"/>
      </w:pPr>
      <w:hyperlink w:anchor="b539" w:history="1">
        <w:r>
          <w:rPr>
            <w:color w:val="0A3A8C"/>
            <w:u w:val="single"/>
          </w:rPr>
          <w:t xml:space="preserve">§ 415 Vertrag zwischen Schuldner und Übernehmer</w:t>
        </w:r>
      </w:hyperlink>
    </w:p>
    <w:p>
      <w:pPr>
        <w:pStyle w:val="Übersicht"/>
        <w:ind w:left="680"/>
      </w:pPr>
      <w:hyperlink w:anchor="b540" w:history="1">
        <w:r>
          <w:rPr>
            <w:color w:val="0A3A8C"/>
            <w:u w:val="single"/>
          </w:rPr>
          <w:t xml:space="preserve">§ 416 Übernahme einer Hypothekenschuld</w:t>
        </w:r>
      </w:hyperlink>
    </w:p>
    <w:p>
      <w:pPr>
        <w:pStyle w:val="Übersicht"/>
        <w:ind w:left="680"/>
      </w:pPr>
      <w:hyperlink w:anchor="b541" w:history="1">
        <w:r>
          <w:rPr>
            <w:color w:val="0A3A8C"/>
            <w:u w:val="single"/>
          </w:rPr>
          <w:t xml:space="preserve">§ 417 Einwendungen des Übernehmers</w:t>
        </w:r>
      </w:hyperlink>
    </w:p>
    <w:p>
      <w:pPr>
        <w:pStyle w:val="Übersicht"/>
        <w:ind w:left="680"/>
      </w:pPr>
      <w:hyperlink w:anchor="b542" w:history="1">
        <w:r>
          <w:rPr>
            <w:color w:val="0A3A8C"/>
            <w:u w:val="single"/>
          </w:rPr>
          <w:t xml:space="preserve">§ 418 Erlöschen von Sicherungs- und Vorzugsrechten</w:t>
        </w:r>
      </w:hyperlink>
    </w:p>
    <w:p>
      <w:pPr>
        <w:pStyle w:val="Übersicht"/>
        <w:ind w:left="680"/>
      </w:pPr>
      <w:hyperlink w:anchor="b543" w:history="1">
        <w:r>
          <w:rPr>
            <w:color w:val="0A3A8C"/>
            <w:u w:val="single"/>
          </w:rPr>
          <w:t xml:space="preserve">§ 419</w:t>
        </w:r>
      </w:hyperlink>
    </w:p>
    <w:p>
      <w:pPr>
        <w:pStyle w:val="Übersicht"/>
        <w:ind w:left="340"/>
      </w:pPr>
      <w:hyperlink w:anchor="b544" w:history="1">
        <w:r>
          <w:rPr>
            <w:b/>
            <w:color w:val="0A3A8C"/>
            <w:u w:val="single"/>
          </w:rPr>
          <w:t xml:space="preserve">Abschnitt 7 Mehrheit von Schuldnern und Gläubigern</w:t>
        </w:r>
      </w:hyperlink>
    </w:p>
    <w:p>
      <w:pPr>
        <w:pStyle w:val="Übersicht"/>
        <w:ind w:left="680"/>
      </w:pPr>
      <w:hyperlink w:anchor="b545" w:history="1">
        <w:r>
          <w:rPr>
            <w:color w:val="0A3A8C"/>
            <w:u w:val="single"/>
          </w:rPr>
          <w:t xml:space="preserve">§ 420 Teilbare Leistung</w:t>
        </w:r>
      </w:hyperlink>
    </w:p>
    <w:p>
      <w:pPr>
        <w:pStyle w:val="Übersicht"/>
        <w:ind w:left="680"/>
      </w:pPr>
      <w:hyperlink w:anchor="b546" w:history="1">
        <w:r>
          <w:rPr>
            <w:color w:val="0A3A8C"/>
            <w:u w:val="single"/>
          </w:rPr>
          <w:t xml:space="preserve">§ 421 Gesamtschuldner</w:t>
        </w:r>
      </w:hyperlink>
    </w:p>
    <w:p>
      <w:pPr>
        <w:pStyle w:val="Übersicht"/>
        <w:ind w:left="680"/>
      </w:pPr>
      <w:hyperlink w:anchor="b547" w:history="1">
        <w:r>
          <w:rPr>
            <w:color w:val="0A3A8C"/>
            <w:u w:val="single"/>
          </w:rPr>
          <w:t xml:space="preserve">§ 422 Wirkung der Erfüllung</w:t>
        </w:r>
      </w:hyperlink>
    </w:p>
    <w:p>
      <w:pPr>
        <w:pStyle w:val="Übersicht"/>
        <w:ind w:left="680"/>
      </w:pPr>
      <w:hyperlink w:anchor="b548" w:history="1">
        <w:r>
          <w:rPr>
            <w:color w:val="0A3A8C"/>
            <w:u w:val="single"/>
          </w:rPr>
          <w:t xml:space="preserve">§ 423 Wirkung des Erlasses</w:t>
        </w:r>
      </w:hyperlink>
    </w:p>
    <w:p>
      <w:pPr>
        <w:pStyle w:val="Übersicht"/>
        <w:ind w:left="680"/>
      </w:pPr>
      <w:hyperlink w:anchor="b549" w:history="1">
        <w:r>
          <w:rPr>
            <w:color w:val="0A3A8C"/>
            <w:u w:val="single"/>
          </w:rPr>
          <w:t xml:space="preserve">§ 424 Wirkung des Gläubigerverzugs</w:t>
        </w:r>
      </w:hyperlink>
    </w:p>
    <w:p>
      <w:pPr>
        <w:pStyle w:val="Übersicht"/>
        <w:ind w:left="680"/>
      </w:pPr>
      <w:hyperlink w:anchor="b550" w:history="1">
        <w:r>
          <w:rPr>
            <w:color w:val="0A3A8C"/>
            <w:u w:val="single"/>
          </w:rPr>
          <w:t xml:space="preserve">§ 425 Wirkung anderer Tatsachen</w:t>
        </w:r>
      </w:hyperlink>
    </w:p>
    <w:p>
      <w:pPr>
        <w:pStyle w:val="Übersicht"/>
        <w:ind w:left="680"/>
      </w:pPr>
      <w:hyperlink w:anchor="b551" w:history="1">
        <w:r>
          <w:rPr>
            <w:color w:val="0A3A8C"/>
            <w:u w:val="single"/>
          </w:rPr>
          <w:t xml:space="preserve">§ 426 Ausgleichungspflicht, Forderungsübergang</w:t>
        </w:r>
      </w:hyperlink>
    </w:p>
    <w:p>
      <w:pPr>
        <w:pStyle w:val="Übersicht"/>
        <w:ind w:left="680"/>
      </w:pPr>
      <w:hyperlink w:anchor="b552" w:history="1">
        <w:r>
          <w:rPr>
            <w:color w:val="0A3A8C"/>
            <w:u w:val="single"/>
          </w:rPr>
          <w:t xml:space="preserve">§ 427 Gemeinschaftliche vertragliche Verpflichtung</w:t>
        </w:r>
      </w:hyperlink>
    </w:p>
    <w:p>
      <w:pPr>
        <w:pStyle w:val="Übersicht"/>
        <w:ind w:left="680"/>
      </w:pPr>
      <w:hyperlink w:anchor="b553" w:history="1">
        <w:r>
          <w:rPr>
            <w:color w:val="0A3A8C"/>
            <w:u w:val="single"/>
          </w:rPr>
          <w:t xml:space="preserve">§ 428 Gesamtgläubiger</w:t>
        </w:r>
      </w:hyperlink>
    </w:p>
    <w:p>
      <w:pPr>
        <w:pStyle w:val="Übersicht"/>
        <w:ind w:left="680"/>
      </w:pPr>
      <w:hyperlink w:anchor="b554" w:history="1">
        <w:r>
          <w:rPr>
            <w:color w:val="0A3A8C"/>
            <w:u w:val="single"/>
          </w:rPr>
          <w:t xml:space="preserve">§ 429 Wirkung von Veränderungen</w:t>
        </w:r>
      </w:hyperlink>
    </w:p>
    <w:p>
      <w:pPr>
        <w:pStyle w:val="Übersicht"/>
        <w:ind w:left="680"/>
      </w:pPr>
      <w:hyperlink w:anchor="b555" w:history="1">
        <w:r>
          <w:rPr>
            <w:color w:val="0A3A8C"/>
            <w:u w:val="single"/>
          </w:rPr>
          <w:t xml:space="preserve">§ 430 Ausgleichungspflicht der Gesamtgläubiger</w:t>
        </w:r>
      </w:hyperlink>
    </w:p>
    <w:p>
      <w:pPr>
        <w:pStyle w:val="Übersicht"/>
        <w:ind w:left="680"/>
      </w:pPr>
      <w:hyperlink w:anchor="b556" w:history="1">
        <w:r>
          <w:rPr>
            <w:color w:val="0A3A8C"/>
            <w:u w:val="single"/>
          </w:rPr>
          <w:t xml:space="preserve">§ 431 Mehrere Schuldner einer unteilbaren Leistung</w:t>
        </w:r>
      </w:hyperlink>
    </w:p>
    <w:p>
      <w:pPr>
        <w:pStyle w:val="Übersicht"/>
        <w:ind w:left="680"/>
      </w:pPr>
      <w:hyperlink w:anchor="b557" w:history="1">
        <w:r>
          <w:rPr>
            <w:color w:val="0A3A8C"/>
            <w:u w:val="single"/>
          </w:rPr>
          <w:t xml:space="preserve">§ 432 Mehrere Gläubiger einer unteilbaren Leistung</w:t>
        </w:r>
      </w:hyperlink>
    </w:p>
    <w:p>
      <w:pPr>
        <w:pStyle w:val="Übersicht"/>
        <w:ind w:left="340"/>
      </w:pPr>
      <w:hyperlink w:anchor="b558" w:history="1">
        <w:r>
          <w:rPr>
            <w:b/>
            <w:color w:val="0A3A8C"/>
            <w:u w:val="single"/>
          </w:rPr>
          <w:t xml:space="preserve">Abschnitt 8 Einzelne Schuldverhältnisse</w:t>
        </w:r>
      </w:hyperlink>
    </w:p>
    <w:p>
      <w:pPr>
        <w:pStyle w:val="Übersicht"/>
        <w:ind w:left="680"/>
      </w:pPr>
      <w:hyperlink w:anchor="b559" w:history="1">
        <w:r>
          <w:rPr>
            <w:b/>
            <w:color w:val="0A3A8C"/>
            <w:u w:val="single"/>
          </w:rPr>
          <w:t xml:space="preserve">Titel 1 Kauf, Tausch</w:t>
        </w:r>
      </w:hyperlink>
    </w:p>
    <w:p>
      <w:pPr>
        <w:pStyle w:val="Übersicht"/>
        <w:ind w:left="1020"/>
      </w:pPr>
      <w:hyperlink w:anchor="b560" w:history="1">
        <w:r>
          <w:rPr>
            <w:b/>
            <w:color w:val="0A3A8C"/>
            <w:u w:val="single"/>
          </w:rPr>
          <w:t xml:space="preserve">Untertitel 1 Allgemeine Vorschriften</w:t>
        </w:r>
      </w:hyperlink>
    </w:p>
    <w:p>
      <w:pPr>
        <w:pStyle w:val="Übersicht"/>
        <w:ind w:left="1361"/>
      </w:pPr>
      <w:hyperlink w:anchor="b561" w:history="1">
        <w:r>
          <w:rPr>
            <w:color w:val="0A3A8C"/>
            <w:u w:val="single"/>
          </w:rPr>
          <w:t xml:space="preserve">§ 433 Vertragstypische Pflichten beim Kaufvertrag</w:t>
        </w:r>
      </w:hyperlink>
    </w:p>
    <w:p>
      <w:pPr>
        <w:pStyle w:val="Übersicht"/>
        <w:ind w:left="1361"/>
      </w:pPr>
      <w:hyperlink w:anchor="b562" w:history="1">
        <w:r>
          <w:rPr>
            <w:color w:val="0A3A8C"/>
            <w:u w:val="single"/>
          </w:rPr>
          <w:t xml:space="preserve">§ 434 Sachmangel</w:t>
        </w:r>
      </w:hyperlink>
    </w:p>
    <w:p>
      <w:pPr>
        <w:pStyle w:val="Übersicht"/>
        <w:ind w:left="1361"/>
      </w:pPr>
      <w:hyperlink w:anchor="b563" w:history="1">
        <w:r>
          <w:rPr>
            <w:color w:val="0A3A8C"/>
            <w:u w:val="single"/>
          </w:rPr>
          <w:t xml:space="preserve">§ 435 Rechtsmangel</w:t>
        </w:r>
      </w:hyperlink>
    </w:p>
    <w:p>
      <w:pPr>
        <w:pStyle w:val="Übersicht"/>
        <w:ind w:left="1361"/>
      </w:pPr>
      <w:hyperlink w:anchor="b564" w:history="1">
        <w:r>
          <w:rPr>
            <w:color w:val="0A3A8C"/>
            <w:u w:val="single"/>
          </w:rPr>
          <w:t xml:space="preserve">§ 436 Öffentliche Lasten von Grundstücken</w:t>
        </w:r>
      </w:hyperlink>
    </w:p>
    <w:p>
      <w:pPr>
        <w:pStyle w:val="Übersicht"/>
        <w:ind w:left="1361"/>
      </w:pPr>
      <w:hyperlink w:anchor="b565" w:history="1">
        <w:r>
          <w:rPr>
            <w:color w:val="0A3A8C"/>
            <w:u w:val="single"/>
          </w:rPr>
          <w:t xml:space="preserve">§ 437 Rechte des Käufers bei Mängeln</w:t>
        </w:r>
      </w:hyperlink>
    </w:p>
    <w:p>
      <w:pPr>
        <w:pStyle w:val="Übersicht"/>
        <w:ind w:left="1361"/>
      </w:pPr>
      <w:hyperlink w:anchor="b566" w:history="1">
        <w:r>
          <w:rPr>
            <w:color w:val="0A3A8C"/>
            <w:u w:val="single"/>
          </w:rPr>
          <w:t xml:space="preserve">§ 438 Verjährung der Mängelansprüche</w:t>
        </w:r>
      </w:hyperlink>
    </w:p>
    <w:p>
      <w:pPr>
        <w:pStyle w:val="Übersicht"/>
        <w:ind w:left="1361"/>
      </w:pPr>
      <w:hyperlink w:anchor="b567" w:history="1">
        <w:r>
          <w:rPr>
            <w:color w:val="0A3A8C"/>
            <w:u w:val="single"/>
          </w:rPr>
          <w:t xml:space="preserve">§ 439 Nacherfüllung</w:t>
        </w:r>
      </w:hyperlink>
    </w:p>
    <w:p>
      <w:pPr>
        <w:pStyle w:val="Übersicht"/>
        <w:ind w:left="1361"/>
      </w:pPr>
      <w:hyperlink w:anchor="b568" w:history="1">
        <w:r>
          <w:rPr>
            <w:color w:val="0A3A8C"/>
            <w:u w:val="single"/>
          </w:rPr>
          <w:t xml:space="preserve">§ 440 Besondere Bestimmungen für Rücktritt und Schadensersatz</w:t>
        </w:r>
      </w:hyperlink>
    </w:p>
    <w:p>
      <w:pPr>
        <w:pStyle w:val="Übersicht"/>
        <w:ind w:left="1361"/>
      </w:pPr>
      <w:hyperlink w:anchor="b569" w:history="1">
        <w:r>
          <w:rPr>
            <w:color w:val="0A3A8C"/>
            <w:u w:val="single"/>
          </w:rPr>
          <w:t xml:space="preserve">§ 441 Minderung</w:t>
        </w:r>
      </w:hyperlink>
    </w:p>
    <w:p>
      <w:pPr>
        <w:pStyle w:val="Übersicht"/>
        <w:ind w:left="1361"/>
      </w:pPr>
      <w:hyperlink w:anchor="b570" w:history="1">
        <w:r>
          <w:rPr>
            <w:color w:val="0A3A8C"/>
            <w:u w:val="single"/>
          </w:rPr>
          <w:t xml:space="preserve">§ 442 Kenntnis des Käufers</w:t>
        </w:r>
      </w:hyperlink>
    </w:p>
    <w:p>
      <w:pPr>
        <w:pStyle w:val="Übersicht"/>
        <w:ind w:left="1361"/>
      </w:pPr>
      <w:hyperlink w:anchor="b571" w:history="1">
        <w:r>
          <w:rPr>
            <w:color w:val="0A3A8C"/>
            <w:u w:val="single"/>
          </w:rPr>
          <w:t xml:space="preserve">§ 443 Garantie</w:t>
        </w:r>
      </w:hyperlink>
    </w:p>
    <w:p>
      <w:pPr>
        <w:pStyle w:val="Übersicht"/>
        <w:ind w:left="1361"/>
      </w:pPr>
      <w:hyperlink w:anchor="b572" w:history="1">
        <w:r>
          <w:rPr>
            <w:color w:val="0A3A8C"/>
            <w:u w:val="single"/>
          </w:rPr>
          <w:t xml:space="preserve">§ 444 Haftungsausschluss</w:t>
        </w:r>
      </w:hyperlink>
    </w:p>
    <w:p>
      <w:pPr>
        <w:pStyle w:val="Übersicht"/>
        <w:ind w:left="1361"/>
      </w:pPr>
      <w:hyperlink w:anchor="b573" w:history="1">
        <w:r>
          <w:rPr>
            <w:color w:val="0A3A8C"/>
            <w:u w:val="single"/>
          </w:rPr>
          <w:t xml:space="preserve">§ 445 Haftungsbegrenzung bei öffentlichen Versteigerungen</w:t>
        </w:r>
      </w:hyperlink>
    </w:p>
    <w:p>
      <w:pPr>
        <w:pStyle w:val="Übersicht"/>
        <w:ind w:left="1361"/>
      </w:pPr>
      <w:hyperlink w:anchor="b574" w:history="1">
        <w:r>
          <w:rPr>
            <w:color w:val="0A3A8C"/>
            <w:u w:val="single"/>
          </w:rPr>
          <w:t xml:space="preserve">§ 445a Rückgriff des Verkäufers</w:t>
        </w:r>
      </w:hyperlink>
    </w:p>
    <w:p>
      <w:pPr>
        <w:pStyle w:val="Übersicht"/>
        <w:ind w:left="1361"/>
      </w:pPr>
      <w:hyperlink w:anchor="b575" w:history="1">
        <w:r>
          <w:rPr>
            <w:color w:val="0A3A8C"/>
            <w:u w:val="single"/>
          </w:rPr>
          <w:t xml:space="preserve">§ 445b Verjährung von Rückgriffsansprüchen</w:t>
        </w:r>
      </w:hyperlink>
    </w:p>
    <w:p>
      <w:pPr>
        <w:pStyle w:val="Übersicht"/>
        <w:ind w:left="1361"/>
      </w:pPr>
      <w:hyperlink w:anchor="b576" w:history="1">
        <w:r>
          <w:rPr>
            <w:color w:val="0A3A8C"/>
            <w:u w:val="single"/>
          </w:rPr>
          <w:t xml:space="preserve">§ 445c Rückgriff bei Verträgen über digitale Produkte</w:t>
        </w:r>
      </w:hyperlink>
    </w:p>
    <w:p>
      <w:pPr>
        <w:pStyle w:val="Übersicht"/>
        <w:ind w:left="1361"/>
      </w:pPr>
      <w:hyperlink w:anchor="b577" w:history="1">
        <w:r>
          <w:rPr>
            <w:color w:val="0A3A8C"/>
            <w:u w:val="single"/>
          </w:rPr>
          <w:t xml:space="preserve">§ 446 Gefahr- und Lastenübergang</w:t>
        </w:r>
      </w:hyperlink>
    </w:p>
    <w:p>
      <w:pPr>
        <w:pStyle w:val="Übersicht"/>
        <w:ind w:left="1361"/>
      </w:pPr>
      <w:hyperlink w:anchor="b578" w:history="1">
        <w:r>
          <w:rPr>
            <w:color w:val="0A3A8C"/>
            <w:u w:val="single"/>
          </w:rPr>
          <w:t xml:space="preserve">§ 447 Gefahrübergang beim Versendungskauf</w:t>
        </w:r>
      </w:hyperlink>
    </w:p>
    <w:p>
      <w:pPr>
        <w:pStyle w:val="Übersicht"/>
        <w:ind w:left="1361"/>
      </w:pPr>
      <w:hyperlink w:anchor="b579" w:history="1">
        <w:r>
          <w:rPr>
            <w:color w:val="0A3A8C"/>
            <w:u w:val="single"/>
          </w:rPr>
          <w:t xml:space="preserve">§ 448 Kosten der Übergabe und vergleichbare Kosten</w:t>
        </w:r>
      </w:hyperlink>
    </w:p>
    <w:p>
      <w:pPr>
        <w:pStyle w:val="Übersicht"/>
        <w:ind w:left="1361"/>
      </w:pPr>
      <w:hyperlink w:anchor="b580" w:history="1">
        <w:r>
          <w:rPr>
            <w:color w:val="0A3A8C"/>
            <w:u w:val="single"/>
          </w:rPr>
          <w:t xml:space="preserve">§ 449 Eigentumsvorbehalt</w:t>
        </w:r>
      </w:hyperlink>
    </w:p>
    <w:p>
      <w:pPr>
        <w:pStyle w:val="Übersicht"/>
        <w:ind w:left="1361"/>
      </w:pPr>
      <w:hyperlink w:anchor="b581" w:history="1">
        <w:r>
          <w:rPr>
            <w:color w:val="0A3A8C"/>
            <w:u w:val="single"/>
          </w:rPr>
          <w:t xml:space="preserve">§ 450 Ausgeschlossene Käufer bei bestimmten Verkäufen</w:t>
        </w:r>
      </w:hyperlink>
    </w:p>
    <w:p>
      <w:pPr>
        <w:pStyle w:val="Übersicht"/>
        <w:ind w:left="1361"/>
      </w:pPr>
      <w:hyperlink w:anchor="b582" w:history="1">
        <w:r>
          <w:rPr>
            <w:color w:val="0A3A8C"/>
            <w:u w:val="single"/>
          </w:rPr>
          <w:t xml:space="preserve">§ 451 Kauf durch ausgeschlossenen Käufer</w:t>
        </w:r>
      </w:hyperlink>
    </w:p>
    <w:p>
      <w:pPr>
        <w:pStyle w:val="Übersicht"/>
        <w:ind w:left="1361"/>
      </w:pPr>
      <w:hyperlink w:anchor="b583" w:history="1">
        <w:r>
          <w:rPr>
            <w:color w:val="0A3A8C"/>
            <w:u w:val="single"/>
          </w:rPr>
          <w:t xml:space="preserve">§ 452 Schiffskauf</w:t>
        </w:r>
      </w:hyperlink>
    </w:p>
    <w:p>
      <w:pPr>
        <w:pStyle w:val="Übersicht"/>
        <w:ind w:left="1361"/>
      </w:pPr>
      <w:hyperlink w:anchor="b584" w:history="1">
        <w:r>
          <w:rPr>
            <w:color w:val="0A3A8C"/>
            <w:u w:val="single"/>
          </w:rPr>
          <w:t xml:space="preserve">§ 453 Rechtskauf; Verbrauchervertrag über den Kauf digitaler Inhalte</w:t>
        </w:r>
      </w:hyperlink>
    </w:p>
    <w:p>
      <w:pPr>
        <w:pStyle w:val="Übersicht"/>
        <w:ind w:left="1020"/>
      </w:pPr>
      <w:hyperlink w:anchor="b585" w:history="1">
        <w:r>
          <w:rPr>
            <w:b/>
            <w:color w:val="0A3A8C"/>
            <w:u w:val="single"/>
          </w:rPr>
          <w:t xml:space="preserve">Untertitel 2 Besondere Arten des Kaufs</w:t>
        </w:r>
      </w:hyperlink>
    </w:p>
    <w:p>
      <w:pPr>
        <w:pStyle w:val="Übersicht"/>
        <w:ind w:left="1361"/>
      </w:pPr>
      <w:hyperlink w:anchor="b586" w:history="1">
        <w:r>
          <w:rPr>
            <w:b/>
            <w:color w:val="0A3A8C"/>
            <w:u w:val="single"/>
          </w:rPr>
          <w:t xml:space="preserve">Kapitel 1 Kauf auf Probe</w:t>
        </w:r>
      </w:hyperlink>
    </w:p>
    <w:p>
      <w:pPr>
        <w:pStyle w:val="Übersicht"/>
        <w:ind w:left="1701"/>
      </w:pPr>
      <w:hyperlink w:anchor="b587" w:history="1">
        <w:r>
          <w:rPr>
            <w:color w:val="0A3A8C"/>
            <w:u w:val="single"/>
          </w:rPr>
          <w:t xml:space="preserve">§ 454 Zustandekommen des Kaufvertrags</w:t>
        </w:r>
      </w:hyperlink>
    </w:p>
    <w:p>
      <w:pPr>
        <w:pStyle w:val="Übersicht"/>
        <w:ind w:left="1701"/>
      </w:pPr>
      <w:hyperlink w:anchor="b588" w:history="1">
        <w:r>
          <w:rPr>
            <w:color w:val="0A3A8C"/>
            <w:u w:val="single"/>
          </w:rPr>
          <w:t xml:space="preserve">§ 455 Billigungsfrist</w:t>
        </w:r>
      </w:hyperlink>
    </w:p>
    <w:p>
      <w:pPr>
        <w:pStyle w:val="Übersicht"/>
        <w:ind w:left="1361"/>
      </w:pPr>
      <w:hyperlink w:anchor="b589" w:history="1">
        <w:r>
          <w:rPr>
            <w:b/>
            <w:color w:val="0A3A8C"/>
            <w:u w:val="single"/>
          </w:rPr>
          <w:t xml:space="preserve">Kapitel 2 Wiederkauf</w:t>
        </w:r>
      </w:hyperlink>
    </w:p>
    <w:p>
      <w:pPr>
        <w:pStyle w:val="Übersicht"/>
        <w:ind w:left="1701"/>
      </w:pPr>
      <w:hyperlink w:anchor="b590" w:history="1">
        <w:r>
          <w:rPr>
            <w:color w:val="0A3A8C"/>
            <w:u w:val="single"/>
          </w:rPr>
          <w:t xml:space="preserve">§ 456 Zustandekommen des Wiederkaufs</w:t>
        </w:r>
      </w:hyperlink>
    </w:p>
    <w:p>
      <w:pPr>
        <w:pStyle w:val="Übersicht"/>
        <w:ind w:left="1701"/>
      </w:pPr>
      <w:hyperlink w:anchor="b591" w:history="1">
        <w:r>
          <w:rPr>
            <w:color w:val="0A3A8C"/>
            <w:u w:val="single"/>
          </w:rPr>
          <w:t xml:space="preserve">§ 457 Haftung des Wiederverkäufers</w:t>
        </w:r>
      </w:hyperlink>
    </w:p>
    <w:p>
      <w:pPr>
        <w:pStyle w:val="Übersicht"/>
        <w:ind w:left="1701"/>
      </w:pPr>
      <w:hyperlink w:anchor="b592" w:history="1">
        <w:r>
          <w:rPr>
            <w:color w:val="0A3A8C"/>
            <w:u w:val="single"/>
          </w:rPr>
          <w:t xml:space="preserve">§ 458 Beseitigung von Rechten Dritter</w:t>
        </w:r>
      </w:hyperlink>
    </w:p>
    <w:p>
      <w:pPr>
        <w:pStyle w:val="Übersicht"/>
        <w:ind w:left="1701"/>
      </w:pPr>
      <w:hyperlink w:anchor="b593" w:history="1">
        <w:r>
          <w:rPr>
            <w:color w:val="0A3A8C"/>
            <w:u w:val="single"/>
          </w:rPr>
          <w:t xml:space="preserve">§ 459 Ersatz von Verwendungen</w:t>
        </w:r>
      </w:hyperlink>
    </w:p>
    <w:p>
      <w:pPr>
        <w:pStyle w:val="Übersicht"/>
        <w:ind w:left="1701"/>
      </w:pPr>
      <w:hyperlink w:anchor="b594" w:history="1">
        <w:r>
          <w:rPr>
            <w:color w:val="0A3A8C"/>
            <w:u w:val="single"/>
          </w:rPr>
          <w:t xml:space="preserve">§ 460 Wiederkauf zum Schätzungswert</w:t>
        </w:r>
      </w:hyperlink>
    </w:p>
    <w:p>
      <w:pPr>
        <w:pStyle w:val="Übersicht"/>
        <w:ind w:left="1701"/>
      </w:pPr>
      <w:hyperlink w:anchor="b595" w:history="1">
        <w:r>
          <w:rPr>
            <w:color w:val="0A3A8C"/>
            <w:u w:val="single"/>
          </w:rPr>
          <w:t xml:space="preserve">§ 461 Mehrere Wiederkaufsberechtigte</w:t>
        </w:r>
      </w:hyperlink>
    </w:p>
    <w:p>
      <w:pPr>
        <w:pStyle w:val="Übersicht"/>
        <w:ind w:left="1701"/>
      </w:pPr>
      <w:hyperlink w:anchor="b596" w:history="1">
        <w:r>
          <w:rPr>
            <w:color w:val="0A3A8C"/>
            <w:u w:val="single"/>
          </w:rPr>
          <w:t xml:space="preserve">§ 462 Ausschlussfrist</w:t>
        </w:r>
      </w:hyperlink>
    </w:p>
    <w:p>
      <w:pPr>
        <w:pStyle w:val="Übersicht"/>
        <w:ind w:left="1361"/>
      </w:pPr>
      <w:hyperlink w:anchor="b597" w:history="1">
        <w:r>
          <w:rPr>
            <w:b/>
            <w:color w:val="0A3A8C"/>
            <w:u w:val="single"/>
          </w:rPr>
          <w:t xml:space="preserve">Kapitel 3 Vorkauf</w:t>
        </w:r>
      </w:hyperlink>
    </w:p>
    <w:p>
      <w:pPr>
        <w:pStyle w:val="Übersicht"/>
        <w:ind w:left="1701"/>
      </w:pPr>
      <w:hyperlink w:anchor="b598" w:history="1">
        <w:r>
          <w:rPr>
            <w:color w:val="0A3A8C"/>
            <w:u w:val="single"/>
          </w:rPr>
          <w:t xml:space="preserve">§ 463 Voraussetzungen der Ausübung</w:t>
        </w:r>
      </w:hyperlink>
    </w:p>
    <w:p>
      <w:pPr>
        <w:pStyle w:val="Übersicht"/>
        <w:ind w:left="1701"/>
      </w:pPr>
      <w:hyperlink w:anchor="b599" w:history="1">
        <w:r>
          <w:rPr>
            <w:color w:val="0A3A8C"/>
            <w:u w:val="single"/>
          </w:rPr>
          <w:t xml:space="preserve">§ 464 Ausübung des Vorkaufsrechts</w:t>
        </w:r>
      </w:hyperlink>
    </w:p>
    <w:p>
      <w:pPr>
        <w:pStyle w:val="Übersicht"/>
        <w:ind w:left="1701"/>
      </w:pPr>
      <w:hyperlink w:anchor="b600" w:history="1">
        <w:r>
          <w:rPr>
            <w:color w:val="0A3A8C"/>
            <w:u w:val="single"/>
          </w:rPr>
          <w:t xml:space="preserve">§ 465 Unwirksame Vereinbarungen</w:t>
        </w:r>
      </w:hyperlink>
    </w:p>
    <w:p>
      <w:pPr>
        <w:pStyle w:val="Übersicht"/>
        <w:ind w:left="1701"/>
      </w:pPr>
      <w:hyperlink w:anchor="b601" w:history="1">
        <w:r>
          <w:rPr>
            <w:color w:val="0A3A8C"/>
            <w:u w:val="single"/>
          </w:rPr>
          <w:t xml:space="preserve">§ 466 Nebenleistungen</w:t>
        </w:r>
      </w:hyperlink>
    </w:p>
    <w:p>
      <w:pPr>
        <w:pStyle w:val="Übersicht"/>
        <w:ind w:left="1701"/>
      </w:pPr>
      <w:hyperlink w:anchor="b602" w:history="1">
        <w:r>
          <w:rPr>
            <w:color w:val="0A3A8C"/>
            <w:u w:val="single"/>
          </w:rPr>
          <w:t xml:space="preserve">§ 467 Gesamtpreis</w:t>
        </w:r>
      </w:hyperlink>
    </w:p>
    <w:p>
      <w:pPr>
        <w:pStyle w:val="Übersicht"/>
        <w:ind w:left="1701"/>
      </w:pPr>
      <w:hyperlink w:anchor="b603" w:history="1">
        <w:r>
          <w:rPr>
            <w:color w:val="0A3A8C"/>
            <w:u w:val="single"/>
          </w:rPr>
          <w:t xml:space="preserve">§ 468 Stundung des Kaufpreises</w:t>
        </w:r>
      </w:hyperlink>
    </w:p>
    <w:p>
      <w:pPr>
        <w:pStyle w:val="Übersicht"/>
        <w:ind w:left="1701"/>
      </w:pPr>
      <w:hyperlink w:anchor="b604" w:history="1">
        <w:r>
          <w:rPr>
            <w:color w:val="0A3A8C"/>
            <w:u w:val="single"/>
          </w:rPr>
          <w:t xml:space="preserve">§ 469 Mitteilungspflicht, Ausübungsfrist</w:t>
        </w:r>
      </w:hyperlink>
    </w:p>
    <w:p>
      <w:pPr>
        <w:pStyle w:val="Übersicht"/>
        <w:ind w:left="1701"/>
      </w:pPr>
      <w:hyperlink w:anchor="b605" w:history="1">
        <w:r>
          <w:rPr>
            <w:color w:val="0A3A8C"/>
            <w:u w:val="single"/>
          </w:rPr>
          <w:t xml:space="preserve">§ 470 Verkauf an gesetzlichen Erben</w:t>
        </w:r>
      </w:hyperlink>
    </w:p>
    <w:p>
      <w:pPr>
        <w:pStyle w:val="Übersicht"/>
        <w:ind w:left="1701"/>
      </w:pPr>
      <w:hyperlink w:anchor="b606" w:history="1">
        <w:r>
          <w:rPr>
            <w:color w:val="0A3A8C"/>
            <w:u w:val="single"/>
          </w:rPr>
          <w:t xml:space="preserve">§ 471 Verkauf bei Zwangsvollstreckung oder Insolvenz</w:t>
        </w:r>
      </w:hyperlink>
    </w:p>
    <w:p>
      <w:pPr>
        <w:pStyle w:val="Übersicht"/>
        <w:ind w:left="1701"/>
      </w:pPr>
      <w:hyperlink w:anchor="b607" w:history="1">
        <w:r>
          <w:rPr>
            <w:color w:val="0A3A8C"/>
            <w:u w:val="single"/>
          </w:rPr>
          <w:t xml:space="preserve">§ 472 Mehrere Vorkaufsberechtigte</w:t>
        </w:r>
      </w:hyperlink>
    </w:p>
    <w:p>
      <w:pPr>
        <w:pStyle w:val="Übersicht"/>
        <w:ind w:left="1701"/>
      </w:pPr>
      <w:hyperlink w:anchor="b608" w:history="1">
        <w:r>
          <w:rPr>
            <w:color w:val="0A3A8C"/>
            <w:u w:val="single"/>
          </w:rPr>
          <w:t xml:space="preserve">§ 473 Unübertragbarkeit</w:t>
        </w:r>
      </w:hyperlink>
    </w:p>
    <w:p>
      <w:pPr>
        <w:pStyle w:val="Übersicht"/>
        <w:ind w:left="1020"/>
      </w:pPr>
      <w:hyperlink w:anchor="b609" w:history="1">
        <w:r>
          <w:rPr>
            <w:b/>
            <w:color w:val="0A3A8C"/>
            <w:u w:val="single"/>
          </w:rPr>
          <w:t xml:space="preserve">Untertitel 3 Verbrauchsgüterkauf</w:t>
        </w:r>
      </w:hyperlink>
    </w:p>
    <w:p>
      <w:pPr>
        <w:pStyle w:val="Übersicht"/>
        <w:ind w:left="1361"/>
      </w:pPr>
      <w:hyperlink w:anchor="b610" w:history="1">
        <w:r>
          <w:rPr>
            <w:color w:val="0A3A8C"/>
            <w:u w:val="single"/>
          </w:rPr>
          <w:t xml:space="preserve">§ 474 Verbrauchsgüterkauf</w:t>
        </w:r>
      </w:hyperlink>
    </w:p>
    <w:p>
      <w:pPr>
        <w:pStyle w:val="Übersicht"/>
        <w:ind w:left="1361"/>
      </w:pPr>
      <w:hyperlink w:anchor="b611" w:history="1">
        <w:r>
          <w:rPr>
            <w:color w:val="0A3A8C"/>
            <w:u w:val="single"/>
          </w:rPr>
          <w:t xml:space="preserve">§ 475 Anwendbare Vorschriften</w:t>
        </w:r>
      </w:hyperlink>
    </w:p>
    <w:p>
      <w:pPr>
        <w:pStyle w:val="Übersicht"/>
        <w:ind w:left="1361"/>
      </w:pPr>
      <w:hyperlink w:anchor="b612" w:history="1">
        <w:r>
          <w:rPr>
            <w:color w:val="0A3A8C"/>
            <w:u w:val="single"/>
          </w:rPr>
          <w:t xml:space="preserve">§ 475a Verbrauchsgüterkaufvertrag über digitale Produkte</w:t>
        </w:r>
      </w:hyperlink>
    </w:p>
    <w:p>
      <w:pPr>
        <w:pStyle w:val="Übersicht"/>
        <w:ind w:left="1361"/>
      </w:pPr>
      <w:hyperlink w:anchor="b613" w:history="1">
        <w:r>
          <w:rPr>
            <w:color w:val="0A3A8C"/>
            <w:u w:val="single"/>
          </w:rPr>
          <w:t xml:space="preserve">§ 475b Sachmangel einer Ware mit digitalen Elementen</w:t>
        </w:r>
      </w:hyperlink>
    </w:p>
    <w:p>
      <w:pPr>
        <w:pStyle w:val="Übersicht"/>
        <w:ind w:left="1361"/>
      </w:pPr>
      <w:hyperlink w:anchor="b614" w:history="1">
        <w:r>
          <w:rPr>
            <w:color w:val="0A3A8C"/>
            <w:u w:val="single"/>
          </w:rPr>
          <w:t xml:space="preserve">§ 475c Sachmangel einer Ware mit digitalen Elementen bei dauerhafter Bereitstellung der digitalen Elemente</w:t>
        </w:r>
      </w:hyperlink>
    </w:p>
    <w:p>
      <w:pPr>
        <w:pStyle w:val="Übersicht"/>
        <w:ind w:left="1361"/>
      </w:pPr>
      <w:hyperlink w:anchor="b615" w:history="1">
        <w:r>
          <w:rPr>
            <w:color w:val="0A3A8C"/>
            <w:u w:val="single"/>
          </w:rPr>
          <w:t xml:space="preserve">§ 475d Sonderbestimmungen für Rücktritt und Schadensersatz</w:t>
        </w:r>
      </w:hyperlink>
    </w:p>
    <w:p>
      <w:pPr>
        <w:pStyle w:val="Übersicht"/>
        <w:ind w:left="1361"/>
      </w:pPr>
      <w:hyperlink w:anchor="b616" w:history="1">
        <w:r>
          <w:rPr>
            <w:color w:val="0A3A8C"/>
            <w:u w:val="single"/>
          </w:rPr>
          <w:t xml:space="preserve">§ 475e Sonderbestimmungen für die Verjährung</w:t>
        </w:r>
      </w:hyperlink>
    </w:p>
    <w:p>
      <w:pPr>
        <w:pStyle w:val="Übersicht"/>
        <w:ind w:left="1361"/>
      </w:pPr>
      <w:hyperlink w:anchor="b617" w:history="1">
        <w:r>
          <w:rPr>
            <w:color w:val="0A3A8C"/>
            <w:u w:val="single"/>
          </w:rPr>
          <w:t xml:space="preserve">§ 476 Abweichende Vereinbarungen</w:t>
        </w:r>
      </w:hyperlink>
    </w:p>
    <w:p>
      <w:pPr>
        <w:pStyle w:val="Übersicht"/>
        <w:ind w:left="1361"/>
      </w:pPr>
      <w:hyperlink w:anchor="b618" w:history="1">
        <w:r>
          <w:rPr>
            <w:color w:val="0A3A8C"/>
            <w:u w:val="single"/>
          </w:rPr>
          <w:t xml:space="preserve">§ 477 Beweislastumkehr</w:t>
        </w:r>
      </w:hyperlink>
    </w:p>
    <w:p>
      <w:pPr>
        <w:pStyle w:val="Übersicht"/>
        <w:ind w:left="1361"/>
      </w:pPr>
      <w:hyperlink w:anchor="b619" w:history="1">
        <w:r>
          <w:rPr>
            <w:color w:val="0A3A8C"/>
            <w:u w:val="single"/>
          </w:rPr>
          <w:t xml:space="preserve">§ 478 Sonderbestimmungen für den Rückgriff des Unternehmers</w:t>
        </w:r>
      </w:hyperlink>
    </w:p>
    <w:p>
      <w:pPr>
        <w:pStyle w:val="Übersicht"/>
        <w:ind w:left="1361"/>
      </w:pPr>
      <w:hyperlink w:anchor="b620" w:history="1">
        <w:r>
          <w:rPr>
            <w:color w:val="0A3A8C"/>
            <w:u w:val="single"/>
          </w:rPr>
          <w:t xml:space="preserve">§ 479 Sonderbestimmungen für Garantien</w:t>
        </w:r>
      </w:hyperlink>
    </w:p>
    <w:p>
      <w:pPr>
        <w:pStyle w:val="Übersicht"/>
        <w:ind w:left="1020"/>
      </w:pPr>
      <w:hyperlink w:anchor="b621" w:history="1">
        <w:r>
          <w:rPr>
            <w:b/>
            <w:color w:val="0A3A8C"/>
            <w:u w:val="single"/>
          </w:rPr>
          <w:t xml:space="preserve">Untertitel 4 Reparaturverpflichtung des Herstellers</w:t>
        </w:r>
      </w:hyperlink>
    </w:p>
    <w:p>
      <w:pPr>
        <w:pStyle w:val="Übersicht"/>
        <w:ind w:left="1361"/>
      </w:pPr>
      <w:hyperlink w:anchor="b622" w:history="1">
        <w:r>
          <w:rPr>
            <w:color w:val="0A3A8C"/>
            <w:u w:val="single"/>
          </w:rPr>
          <w:t xml:space="preserve">§ 479a Anwendungsbereich</w:t>
        </w:r>
      </w:hyperlink>
    </w:p>
    <w:p>
      <w:pPr>
        <w:pStyle w:val="Übersicht"/>
        <w:ind w:left="1361"/>
      </w:pPr>
      <w:hyperlink w:anchor="b623" w:history="1">
        <w:r>
          <w:rPr>
            <w:color w:val="0A3A8C"/>
            <w:u w:val="single"/>
          </w:rPr>
          <w:t xml:space="preserve">§ 479b Reparaturverpflichtung</w:t>
        </w:r>
      </w:hyperlink>
    </w:p>
    <w:p>
      <w:pPr>
        <w:pStyle w:val="Übersicht"/>
        <w:ind w:left="1361"/>
      </w:pPr>
      <w:hyperlink w:anchor="b624" w:history="1">
        <w:r>
          <w:rPr>
            <w:color w:val="0A3A8C"/>
            <w:u w:val="single"/>
          </w:rPr>
          <w:t xml:space="preserve">§ 479c Ersatzteile und Werkzeuge</w:t>
        </w:r>
      </w:hyperlink>
    </w:p>
    <w:p>
      <w:pPr>
        <w:pStyle w:val="Übersicht"/>
        <w:ind w:left="1361"/>
      </w:pPr>
      <w:hyperlink w:anchor="b625" w:history="1">
        <w:r>
          <w:rPr>
            <w:color w:val="0A3A8C"/>
            <w:u w:val="single"/>
          </w:rPr>
          <w:t xml:space="preserve">§ 479d Information über die Reparaturverpflichtung und Angaben über Richtpreise</w:t>
        </w:r>
      </w:hyperlink>
    </w:p>
    <w:p>
      <w:pPr>
        <w:pStyle w:val="Übersicht"/>
        <w:ind w:left="1361"/>
      </w:pPr>
      <w:hyperlink w:anchor="b626" w:history="1">
        <w:r>
          <w:rPr>
            <w:color w:val="0A3A8C"/>
            <w:u w:val="single"/>
          </w:rPr>
          <w:t xml:space="preserve">§ 479e Unzulässige Handlungen</w:t>
        </w:r>
      </w:hyperlink>
    </w:p>
    <w:p>
      <w:pPr>
        <w:pStyle w:val="Übersicht"/>
        <w:ind w:left="1361"/>
      </w:pPr>
      <w:hyperlink w:anchor="b627" w:history="1">
        <w:r>
          <w:rPr>
            <w:color w:val="0A3A8C"/>
            <w:u w:val="single"/>
          </w:rPr>
          <w:t xml:space="preserve">§ 479f Hersteller mit Sitz außerhalb der Europäischen Union</w:t>
        </w:r>
      </w:hyperlink>
    </w:p>
    <w:p>
      <w:pPr>
        <w:pStyle w:val="Übersicht"/>
        <w:ind w:left="1361"/>
      </w:pPr>
      <w:hyperlink w:anchor="b628" w:history="1">
        <w:r>
          <w:rPr>
            <w:color w:val="0A3A8C"/>
            <w:u w:val="single"/>
          </w:rPr>
          <w:t xml:space="preserve">§ 479g Abweichende Vereinbarungen</w:t>
        </w:r>
      </w:hyperlink>
    </w:p>
    <w:p>
      <w:pPr>
        <w:pStyle w:val="Übersicht"/>
        <w:ind w:left="1020"/>
      </w:pPr>
      <w:hyperlink w:anchor="b629" w:history="1">
        <w:r>
          <w:rPr>
            <w:b/>
            <w:color w:val="0A3A8C"/>
            <w:u w:val="single"/>
          </w:rPr>
          <w:t xml:space="preserve">Untertitel 5 Tausch</w:t>
        </w:r>
      </w:hyperlink>
    </w:p>
    <w:p>
      <w:pPr>
        <w:pStyle w:val="Übersicht"/>
        <w:ind w:left="1361"/>
      </w:pPr>
      <w:hyperlink w:anchor="b630" w:history="1">
        <w:r>
          <w:rPr>
            <w:color w:val="0A3A8C"/>
            <w:u w:val="single"/>
          </w:rPr>
          <w:t xml:space="preserve">§ 480 Tausch</w:t>
        </w:r>
      </w:hyperlink>
    </w:p>
    <w:p>
      <w:pPr>
        <w:pStyle w:val="Übersicht"/>
        <w:ind w:left="680"/>
      </w:pPr>
      <w:hyperlink w:anchor="b631" w:history="1">
        <w:r>
          <w:rPr>
            <w:b/>
            <w:color w:val="0A3A8C"/>
            <w:u w:val="single"/>
          </w:rPr>
          <w:t xml:space="preserve">Titel 2 Teilzeit-Wohnrechteverträge, Verträge über langfristige Urlaubsprodukte, Vermittlungsverträge und Tauschsystemverträge</w:t>
        </w:r>
      </w:hyperlink>
    </w:p>
    <w:p>
      <w:pPr>
        <w:pStyle w:val="Übersicht"/>
        <w:ind w:left="1020"/>
      </w:pPr>
      <w:hyperlink w:anchor="b632" w:history="1">
        <w:r>
          <w:rPr>
            <w:color w:val="0A3A8C"/>
            <w:u w:val="single"/>
          </w:rPr>
          <w:t xml:space="preserve">§ 481 Teilzeit-Wohnrechtevertrag</w:t>
        </w:r>
      </w:hyperlink>
    </w:p>
    <w:p>
      <w:pPr>
        <w:pStyle w:val="Übersicht"/>
        <w:ind w:left="1020"/>
      </w:pPr>
      <w:hyperlink w:anchor="b633" w:history="1">
        <w:r>
          <w:rPr>
            <w:color w:val="0A3A8C"/>
            <w:u w:val="single"/>
          </w:rPr>
          <w:t xml:space="preserve">§ 481a Vertrag über ein langfristiges Urlaubsprodukt</w:t>
        </w:r>
      </w:hyperlink>
    </w:p>
    <w:p>
      <w:pPr>
        <w:pStyle w:val="Übersicht"/>
        <w:ind w:left="1020"/>
      </w:pPr>
      <w:hyperlink w:anchor="b634" w:history="1">
        <w:r>
          <w:rPr>
            <w:color w:val="0A3A8C"/>
            <w:u w:val="single"/>
          </w:rPr>
          <w:t xml:space="preserve">§ 481b Vermittlungsvertrag, Tauschsystemvertrag</w:t>
        </w:r>
      </w:hyperlink>
    </w:p>
    <w:p>
      <w:pPr>
        <w:pStyle w:val="Übersicht"/>
        <w:ind w:left="1020"/>
      </w:pPr>
      <w:hyperlink w:anchor="b635" w:history="1">
        <w:r>
          <w:rPr>
            <w:color w:val="0A3A8C"/>
            <w:u w:val="single"/>
          </w:rPr>
          <w:t xml:space="preserve">§ 482 Vorvertragliche Informationen, Werbung und Verbot des Verkaufs als Geldanlage</w:t>
        </w:r>
      </w:hyperlink>
    </w:p>
    <w:p>
      <w:pPr>
        <w:pStyle w:val="Übersicht"/>
        <w:ind w:left="1020"/>
      </w:pPr>
      <w:hyperlink w:anchor="b636" w:history="1">
        <w:r>
          <w:rPr>
            <w:color w:val="0A3A8C"/>
            <w:u w:val="single"/>
          </w:rPr>
          <w:t xml:space="preserve">§ 482a Widerrufsbelehrung</w:t>
        </w:r>
      </w:hyperlink>
    </w:p>
    <w:p>
      <w:pPr>
        <w:pStyle w:val="Übersicht"/>
        <w:ind w:left="1020"/>
      </w:pPr>
      <w:hyperlink w:anchor="b637" w:history="1">
        <w:r>
          <w:rPr>
            <w:color w:val="0A3A8C"/>
            <w:u w:val="single"/>
          </w:rPr>
          <w:t xml:space="preserve">§ 483 Sprache des Vertrags und der vorvertraglichen Informationen</w:t>
        </w:r>
      </w:hyperlink>
    </w:p>
    <w:p>
      <w:pPr>
        <w:pStyle w:val="Übersicht"/>
        <w:ind w:left="1020"/>
      </w:pPr>
      <w:hyperlink w:anchor="b638" w:history="1">
        <w:r>
          <w:rPr>
            <w:color w:val="0A3A8C"/>
            <w:u w:val="single"/>
          </w:rPr>
          <w:t xml:space="preserve">§ 484 Form und Inhalt des Vertrags</w:t>
        </w:r>
      </w:hyperlink>
    </w:p>
    <w:p>
      <w:pPr>
        <w:pStyle w:val="Übersicht"/>
        <w:ind w:left="1020"/>
      </w:pPr>
      <w:hyperlink w:anchor="b639" w:history="1">
        <w:r>
          <w:rPr>
            <w:color w:val="0A3A8C"/>
            <w:u w:val="single"/>
          </w:rPr>
          <w:t xml:space="preserve">§ 485 Widerrufsrecht</w:t>
        </w:r>
      </w:hyperlink>
    </w:p>
    <w:p>
      <w:pPr>
        <w:pStyle w:val="Übersicht"/>
        <w:ind w:left="1020"/>
      </w:pPr>
      <w:hyperlink w:anchor="b640" w:history="1">
        <w:r>
          <w:rPr>
            <w:color w:val="0A3A8C"/>
            <w:u w:val="single"/>
          </w:rPr>
          <w:t xml:space="preserve">§ 486 Anzahlungsverbot</w:t>
        </w:r>
      </w:hyperlink>
    </w:p>
    <w:p>
      <w:pPr>
        <w:pStyle w:val="Übersicht"/>
        <w:ind w:left="1020"/>
      </w:pPr>
      <w:hyperlink w:anchor="b641" w:history="1">
        <w:r>
          <w:rPr>
            <w:color w:val="0A3A8C"/>
            <w:u w:val="single"/>
          </w:rPr>
          <w:t xml:space="preserve">§ 486a Besondere Vorschriften für Verträge über langfristige Urlaubsprodukte</w:t>
        </w:r>
      </w:hyperlink>
    </w:p>
    <w:p>
      <w:pPr>
        <w:pStyle w:val="Übersicht"/>
        <w:ind w:left="1020"/>
      </w:pPr>
      <w:hyperlink w:anchor="b642" w:history="1">
        <w:r>
          <w:rPr>
            <w:color w:val="0A3A8C"/>
            <w:u w:val="single"/>
          </w:rPr>
          <w:t xml:space="preserve">§ 487 Abweichende Vereinbarungen</w:t>
        </w:r>
      </w:hyperlink>
    </w:p>
    <w:p>
      <w:pPr>
        <w:pStyle w:val="Übersicht"/>
        <w:ind w:left="680"/>
      </w:pPr>
      <w:hyperlink w:anchor="b643" w:history="1">
        <w:r>
          <w:rPr>
            <w:b/>
            <w:color w:val="0A3A8C"/>
            <w:u w:val="single"/>
          </w:rPr>
          <w:t xml:space="preserve">Titel 3 Darlehensvertrag; Finanzierungshilfen und Ratenlieferungsverträge zwischen einem Unternehmer und einem Verbraucher</w:t>
        </w:r>
      </w:hyperlink>
    </w:p>
    <w:p>
      <w:pPr>
        <w:pStyle w:val="Übersicht"/>
        <w:ind w:left="1020"/>
      </w:pPr>
      <w:hyperlink w:anchor="b644" w:history="1">
        <w:r>
          <w:rPr>
            <w:b/>
            <w:color w:val="0A3A8C"/>
            <w:u w:val="single"/>
          </w:rPr>
          <w:t xml:space="preserve">Untertitel 1 Darlehensvertrag</w:t>
        </w:r>
      </w:hyperlink>
    </w:p>
    <w:p>
      <w:pPr>
        <w:pStyle w:val="Übersicht"/>
        <w:ind w:left="1361"/>
      </w:pPr>
      <w:hyperlink w:anchor="b645" w:history="1">
        <w:r>
          <w:rPr>
            <w:b/>
            <w:color w:val="0A3A8C"/>
            <w:u w:val="single"/>
          </w:rPr>
          <w:t xml:space="preserve">Kapitel 1 Allgemeine Vorschriften</w:t>
        </w:r>
      </w:hyperlink>
    </w:p>
    <w:p>
      <w:pPr>
        <w:pStyle w:val="Übersicht"/>
        <w:ind w:left="1701"/>
      </w:pPr>
      <w:hyperlink w:anchor="b646" w:history="1">
        <w:r>
          <w:rPr>
            <w:color w:val="0A3A8C"/>
            <w:u w:val="single"/>
          </w:rPr>
          <w:t xml:space="preserve">§ 488 Vertragstypische Pflichten beim Darlehensvertrag</w:t>
        </w:r>
      </w:hyperlink>
    </w:p>
    <w:p>
      <w:pPr>
        <w:pStyle w:val="Übersicht"/>
        <w:ind w:left="1701"/>
      </w:pPr>
      <w:hyperlink w:anchor="b647" w:history="1">
        <w:r>
          <w:rPr>
            <w:color w:val="0A3A8C"/>
            <w:u w:val="single"/>
          </w:rPr>
          <w:t xml:space="preserve">§ 489 Ordentliches Kündigungsrecht des Darlehensnehmers</w:t>
        </w:r>
      </w:hyperlink>
    </w:p>
    <w:p>
      <w:pPr>
        <w:pStyle w:val="Übersicht"/>
        <w:ind w:left="1701"/>
      </w:pPr>
      <w:hyperlink w:anchor="b648" w:history="1">
        <w:r>
          <w:rPr>
            <w:color w:val="0A3A8C"/>
            <w:u w:val="single"/>
          </w:rPr>
          <w:t xml:space="preserve">§ 490 Außerordentliches Kündigungsrecht</w:t>
        </w:r>
      </w:hyperlink>
    </w:p>
    <w:p>
      <w:pPr>
        <w:pStyle w:val="Übersicht"/>
        <w:ind w:left="1361"/>
      </w:pPr>
      <w:hyperlink w:anchor="b649" w:history="1">
        <w:r>
          <w:rPr>
            <w:b/>
            <w:color w:val="0A3A8C"/>
            <w:u w:val="single"/>
          </w:rPr>
          <w:t xml:space="preserve">Kapitel 2 Besondere Vorschriften für Verbraucherdarlehensverträge</w:t>
        </w:r>
      </w:hyperlink>
    </w:p>
    <w:p>
      <w:pPr>
        <w:pStyle w:val="Übersicht"/>
        <w:ind w:left="1701"/>
      </w:pPr>
      <w:hyperlink w:anchor="b650" w:history="1">
        <w:r>
          <w:rPr>
            <w:color w:val="0A3A8C"/>
            <w:u w:val="single"/>
          </w:rPr>
          <w:t xml:space="preserve">§ 491 Verbraucherdarlehensvertrag</w:t>
        </w:r>
      </w:hyperlink>
    </w:p>
    <w:p>
      <w:pPr>
        <w:pStyle w:val="Übersicht"/>
        <w:ind w:left="1701"/>
      </w:pPr>
      <w:hyperlink w:anchor="b651" w:history="1">
        <w:r>
          <w:rPr>
            <w:color w:val="0A3A8C"/>
            <w:u w:val="single"/>
          </w:rPr>
          <w:t xml:space="preserve">§ 491a Vorvertragliche Informationspflichten bei Verbraucherdarlehensverträgen</w:t>
        </w:r>
      </w:hyperlink>
    </w:p>
    <w:p>
      <w:pPr>
        <w:pStyle w:val="Übersicht"/>
        <w:ind w:left="1701"/>
      </w:pPr>
      <w:hyperlink w:anchor="b652" w:history="1">
        <w:r>
          <w:rPr>
            <w:color w:val="0A3A8C"/>
            <w:u w:val="single"/>
          </w:rPr>
          <w:t xml:space="preserve">§ 492 Schriftform, Vertragsinhalt</w:t>
        </w:r>
      </w:hyperlink>
    </w:p>
    <w:p>
      <w:pPr>
        <w:pStyle w:val="Übersicht"/>
        <w:ind w:left="1701"/>
      </w:pPr>
      <w:hyperlink w:anchor="b653" w:history="1">
        <w:r>
          <w:rPr>
            <w:color w:val="0A3A8C"/>
            <w:u w:val="single"/>
          </w:rPr>
          <w:t xml:space="preserve">§ 492a Kopplungsgeschäfte</w:t>
        </w:r>
      </w:hyperlink>
    </w:p>
    <w:p>
      <w:pPr>
        <w:pStyle w:val="Übersicht"/>
        <w:ind w:left="1701"/>
      </w:pPr>
      <w:hyperlink w:anchor="b654" w:history="1">
        <w:r>
          <w:rPr>
            <w:color w:val="0A3A8C"/>
            <w:u w:val="single"/>
          </w:rPr>
          <w:t xml:space="preserve">§ 492b Zulässige Kopplungsgeschäfte</w:t>
        </w:r>
      </w:hyperlink>
    </w:p>
    <w:p>
      <w:pPr>
        <w:pStyle w:val="Übersicht"/>
        <w:ind w:left="1701"/>
      </w:pPr>
      <w:hyperlink w:anchor="b655" w:history="1">
        <w:r>
          <w:rPr>
            <w:color w:val="0A3A8C"/>
            <w:u w:val="single"/>
          </w:rPr>
          <w:t xml:space="preserve">§ 493 Informationen während des Vertragsverhältnisses</w:t>
        </w:r>
      </w:hyperlink>
    </w:p>
    <w:p>
      <w:pPr>
        <w:pStyle w:val="Übersicht"/>
        <w:ind w:left="1701"/>
      </w:pPr>
      <w:hyperlink w:anchor="b656" w:history="1">
        <w:r>
          <w:rPr>
            <w:color w:val="0A3A8C"/>
            <w:u w:val="single"/>
          </w:rPr>
          <w:t xml:space="preserve">§ 494 Rechtsfolgen von Formmängeln</w:t>
        </w:r>
      </w:hyperlink>
    </w:p>
    <w:p>
      <w:pPr>
        <w:pStyle w:val="Übersicht"/>
        <w:ind w:left="1701"/>
      </w:pPr>
      <w:hyperlink w:anchor="b657" w:history="1">
        <w:r>
          <w:rPr>
            <w:color w:val="0A3A8C"/>
            <w:u w:val="single"/>
          </w:rPr>
          <w:t xml:space="preserve">§ 495 Widerrufsrecht; Bedenkzeit</w:t>
        </w:r>
      </w:hyperlink>
    </w:p>
    <w:p>
      <w:pPr>
        <w:pStyle w:val="Übersicht"/>
        <w:ind w:left="1701"/>
      </w:pPr>
      <w:hyperlink w:anchor="b658" w:history="1">
        <w:r>
          <w:rPr>
            <w:color w:val="0A3A8C"/>
            <w:u w:val="single"/>
          </w:rPr>
          <w:t xml:space="preserve">§ 496 Einwendungsverzicht, Wechsel- und Scheckverbot</w:t>
        </w:r>
      </w:hyperlink>
    </w:p>
    <w:p>
      <w:pPr>
        <w:pStyle w:val="Übersicht"/>
        <w:ind w:left="1701"/>
      </w:pPr>
      <w:hyperlink w:anchor="b659" w:history="1">
        <w:r>
          <w:rPr>
            <w:color w:val="0A3A8C"/>
            <w:u w:val="single"/>
          </w:rPr>
          <w:t xml:space="preserve">§ 497 Verzug des Darlehensnehmers</w:t>
        </w:r>
      </w:hyperlink>
    </w:p>
    <w:p>
      <w:pPr>
        <w:pStyle w:val="Übersicht"/>
        <w:ind w:left="1701"/>
      </w:pPr>
      <w:hyperlink w:anchor="b660" w:history="1">
        <w:r>
          <w:rPr>
            <w:color w:val="0A3A8C"/>
            <w:u w:val="single"/>
          </w:rPr>
          <w:t xml:space="preserve">§ 498 Gesamtfälligstellung bei Teilzahlungsdarlehen</w:t>
        </w:r>
      </w:hyperlink>
    </w:p>
    <w:p>
      <w:pPr>
        <w:pStyle w:val="Übersicht"/>
        <w:ind w:left="1701"/>
      </w:pPr>
      <w:hyperlink w:anchor="b661" w:history="1">
        <w:r>
          <w:rPr>
            <w:color w:val="0A3A8C"/>
            <w:u w:val="single"/>
          </w:rPr>
          <w:t xml:space="preserve">§ 499 Kündigungsrecht des Darlehensgebers; Leistungsverweigerung</w:t>
        </w:r>
      </w:hyperlink>
    </w:p>
    <w:p>
      <w:pPr>
        <w:pStyle w:val="Übersicht"/>
        <w:ind w:left="1701"/>
      </w:pPr>
      <w:hyperlink w:anchor="b662" w:history="1">
        <w:r>
          <w:rPr>
            <w:color w:val="0A3A8C"/>
            <w:u w:val="single"/>
          </w:rPr>
          <w:t xml:space="preserve">§ 500 Kündigungsrecht des Darlehensnehmers; vorzeitige Rückzahlung</w:t>
        </w:r>
      </w:hyperlink>
    </w:p>
    <w:p>
      <w:pPr>
        <w:pStyle w:val="Übersicht"/>
        <w:ind w:left="1701"/>
      </w:pPr>
      <w:hyperlink w:anchor="b663" w:history="1">
        <w:r>
          <w:rPr>
            <w:color w:val="0A3A8C"/>
            <w:u w:val="single"/>
          </w:rPr>
          <w:t xml:space="preserve">§ 501 Kostenermäßigung bei vorzeitiger Rückzahlung und bei Kündigung</w:t>
        </w:r>
      </w:hyperlink>
    </w:p>
    <w:p>
      <w:pPr>
        <w:pStyle w:val="Übersicht"/>
        <w:ind w:left="1701"/>
      </w:pPr>
      <w:hyperlink w:anchor="b664" w:history="1">
        <w:r>
          <w:rPr>
            <w:color w:val="0A3A8C"/>
            <w:u w:val="single"/>
          </w:rPr>
          <w:t xml:space="preserve">§ 502 Vorfälligkeitsentschädigung</w:t>
        </w:r>
      </w:hyperlink>
    </w:p>
    <w:p>
      <w:pPr>
        <w:pStyle w:val="Übersicht"/>
        <w:ind w:left="1701"/>
      </w:pPr>
      <w:hyperlink w:anchor="b665" w:history="1">
        <w:r>
          <w:rPr>
            <w:color w:val="0A3A8C"/>
            <w:u w:val="single"/>
          </w:rPr>
          <w:t xml:space="preserve">§ 503 Umwandlung bei Immobiliar-Verbraucherdarlehen in Fremdwährung</w:t>
        </w:r>
      </w:hyperlink>
    </w:p>
    <w:p>
      <w:pPr>
        <w:pStyle w:val="Übersicht"/>
        <w:ind w:left="1701"/>
      </w:pPr>
      <w:hyperlink w:anchor="b666" w:history="1">
        <w:r>
          <w:rPr>
            <w:color w:val="0A3A8C"/>
            <w:u w:val="single"/>
          </w:rPr>
          <w:t xml:space="preserve">§ 504 Eingeräumte Überziehungsmöglichkeit</w:t>
        </w:r>
      </w:hyperlink>
    </w:p>
    <w:p>
      <w:pPr>
        <w:pStyle w:val="Übersicht"/>
        <w:ind w:left="1701"/>
      </w:pPr>
      <w:hyperlink w:anchor="b667" w:history="1">
        <w:r>
          <w:rPr>
            <w:color w:val="0A3A8C"/>
            <w:u w:val="single"/>
          </w:rPr>
          <w:t xml:space="preserve">§ 504a Beratungspflicht bei Inanspruchnahme der Überziehungsmöglichkeit</w:t>
        </w:r>
      </w:hyperlink>
    </w:p>
    <w:p>
      <w:pPr>
        <w:pStyle w:val="Übersicht"/>
        <w:ind w:left="1701"/>
      </w:pPr>
      <w:hyperlink w:anchor="b668" w:history="1">
        <w:r>
          <w:rPr>
            <w:color w:val="0A3A8C"/>
            <w:u w:val="single"/>
          </w:rPr>
          <w:t xml:space="preserve">§ 505 Geduldete Überziehung</w:t>
        </w:r>
      </w:hyperlink>
    </w:p>
    <w:p>
      <w:pPr>
        <w:pStyle w:val="Übersicht"/>
        <w:ind w:left="1701"/>
      </w:pPr>
      <w:hyperlink w:anchor="b669" w:history="1">
        <w:r>
          <w:rPr>
            <w:color w:val="0A3A8C"/>
            <w:u w:val="single"/>
          </w:rPr>
          <w:t xml:space="preserve">§ 505a Pflicht zur Kreditwürdigkeitsprüfung bei Verbraucherdarlehensverträgen</w:t>
        </w:r>
      </w:hyperlink>
    </w:p>
    <w:p>
      <w:pPr>
        <w:pStyle w:val="Übersicht"/>
        <w:ind w:left="1701"/>
      </w:pPr>
      <w:hyperlink w:anchor="b670" w:history="1">
        <w:r>
          <w:rPr>
            <w:color w:val="0A3A8C"/>
            <w:u w:val="single"/>
          </w:rPr>
          <w:t xml:space="preserve">§ 505b Grundlage der Kreditwürdigkeitsprüfung bei Verbraucherdarlehensverträgen</w:t>
        </w:r>
      </w:hyperlink>
    </w:p>
    <w:p>
      <w:pPr>
        <w:pStyle w:val="Übersicht"/>
        <w:ind w:left="1701"/>
      </w:pPr>
      <w:hyperlink w:anchor="b671" w:history="1">
        <w:r>
          <w:rPr>
            <w:color w:val="0A3A8C"/>
            <w:u w:val="single"/>
          </w:rPr>
          <w:t xml:space="preserve">§ 505c Weitere Pflichten bei grundpfandrechtlich oder durch Reallast besicherten Immobiliar-Verbraucherdarlehensverträgen</w:t>
        </w:r>
      </w:hyperlink>
    </w:p>
    <w:p>
      <w:pPr>
        <w:pStyle w:val="Übersicht"/>
        <w:ind w:left="1701"/>
      </w:pPr>
      <w:hyperlink w:anchor="b672" w:history="1">
        <w:r>
          <w:rPr>
            <w:color w:val="0A3A8C"/>
            <w:u w:val="single"/>
          </w:rPr>
          <w:t xml:space="preserve">§ 505d Verstoß gegen die Pflicht zur Kreditwürdigkeitsprüfung</w:t>
        </w:r>
      </w:hyperlink>
    </w:p>
    <w:p>
      <w:pPr>
        <w:pStyle w:val="Übersicht"/>
        <w:ind w:left="1701"/>
      </w:pPr>
      <w:hyperlink w:anchor="b673" w:history="1">
        <w:r>
          <w:rPr>
            <w:color w:val="0A3A8C"/>
            <w:u w:val="single"/>
          </w:rPr>
          <w:t xml:space="preserve">§ 505e Verordnungsermächtigung</w:t>
        </w:r>
      </w:hyperlink>
    </w:p>
    <w:p>
      <w:pPr>
        <w:pStyle w:val="Übersicht"/>
        <w:ind w:left="1020"/>
      </w:pPr>
      <w:hyperlink w:anchor="b674" w:history="1">
        <w:r>
          <w:rPr>
            <w:b/>
            <w:color w:val="0A3A8C"/>
            <w:u w:val="single"/>
          </w:rPr>
          <w:t xml:space="preserve">Untertitel 2 Finanzierungshilfen zwischen einem Unternehmer und einem Verbraucher</w:t>
        </w:r>
      </w:hyperlink>
    </w:p>
    <w:p>
      <w:pPr>
        <w:pStyle w:val="Übersicht"/>
        <w:ind w:left="1361"/>
      </w:pPr>
      <w:hyperlink w:anchor="b675" w:history="1">
        <w:r>
          <w:rPr>
            <w:color w:val="0A3A8C"/>
            <w:u w:val="single"/>
          </w:rPr>
          <w:t xml:space="preserve">§ 506 Zahlungsaufschub, sonstige Finanzierungshilfe</w:t>
        </w:r>
      </w:hyperlink>
    </w:p>
    <w:p>
      <w:pPr>
        <w:pStyle w:val="Übersicht"/>
        <w:ind w:left="1361"/>
      </w:pPr>
      <w:hyperlink w:anchor="b676" w:history="1">
        <w:r>
          <w:rPr>
            <w:color w:val="0A3A8C"/>
            <w:u w:val="single"/>
          </w:rPr>
          <w:t xml:space="preserve">§ 507 Teilzahlungsgeschäfte</w:t>
        </w:r>
      </w:hyperlink>
    </w:p>
    <w:p>
      <w:pPr>
        <w:pStyle w:val="Übersicht"/>
        <w:ind w:left="1361"/>
      </w:pPr>
      <w:hyperlink w:anchor="b677" w:history="1">
        <w:r>
          <w:rPr>
            <w:color w:val="0A3A8C"/>
            <w:u w:val="single"/>
          </w:rPr>
          <w:t xml:space="preserve">§ 508 Rücktritt bei Teilzahlungsgeschäften</w:t>
        </w:r>
      </w:hyperlink>
    </w:p>
    <w:p>
      <w:pPr>
        <w:pStyle w:val="Übersicht"/>
        <w:ind w:left="1361"/>
      </w:pPr>
      <w:hyperlink w:anchor="b678" w:history="1">
        <w:r>
          <w:rPr>
            <w:color w:val="0A3A8C"/>
            <w:u w:val="single"/>
          </w:rPr>
          <w:t xml:space="preserve">§ 509 (weggefallen)</w:t>
        </w:r>
      </w:hyperlink>
    </w:p>
    <w:p>
      <w:pPr>
        <w:pStyle w:val="Übersicht"/>
        <w:ind w:left="1020"/>
      </w:pPr>
      <w:hyperlink w:anchor="b679" w:history="1">
        <w:r>
          <w:rPr>
            <w:b/>
            <w:color w:val="0A3A8C"/>
            <w:u w:val="single"/>
          </w:rPr>
          <w:t xml:space="preserve">Untertitel 3 Ratenlieferungsverträge zwischen einem Unternehmer und einem Verbraucher</w:t>
        </w:r>
      </w:hyperlink>
    </w:p>
    <w:p>
      <w:pPr>
        <w:pStyle w:val="Übersicht"/>
        <w:ind w:left="1361"/>
      </w:pPr>
      <w:hyperlink w:anchor="b680" w:history="1">
        <w:r>
          <w:rPr>
            <w:color w:val="0A3A8C"/>
            <w:u w:val="single"/>
          </w:rPr>
          <w:t xml:space="preserve">§ 510 Ratenlieferungsverträge</w:t>
        </w:r>
      </w:hyperlink>
    </w:p>
    <w:p>
      <w:pPr>
        <w:pStyle w:val="Übersicht"/>
        <w:ind w:left="1020"/>
      </w:pPr>
      <w:hyperlink w:anchor="b681" w:history="1">
        <w:r>
          <w:rPr>
            <w:b/>
            <w:color w:val="0A3A8C"/>
            <w:u w:val="single"/>
          </w:rPr>
          <w:t xml:space="preserve">Untertitel 4 Beratungsleistungen bei Immobiliar-Verbraucherdarlehensverträgen</w:t>
        </w:r>
      </w:hyperlink>
    </w:p>
    <w:p>
      <w:pPr>
        <w:pStyle w:val="Übersicht"/>
        <w:ind w:left="1361"/>
      </w:pPr>
      <w:hyperlink w:anchor="b682" w:history="1">
        <w:r>
          <w:rPr>
            <w:color w:val="0A3A8C"/>
            <w:u w:val="single"/>
          </w:rPr>
          <w:t xml:space="preserve">§ 511 Beratungsleistungen bei Immobiliar-Verbraucherdarlehensverträgen</w:t>
        </w:r>
      </w:hyperlink>
    </w:p>
    <w:p>
      <w:pPr>
        <w:pStyle w:val="Übersicht"/>
        <w:ind w:left="1020"/>
      </w:pPr>
      <w:hyperlink w:anchor="b683" w:history="1">
        <w:r>
          <w:rPr>
            <w:b/>
            <w:color w:val="0A3A8C"/>
            <w:u w:val="single"/>
          </w:rPr>
          <w:t xml:space="preserve">Untertitel 5 Unabdingbarkeit, Anwendung auf Existenzgründer</w:t>
        </w:r>
      </w:hyperlink>
    </w:p>
    <w:p>
      <w:pPr>
        <w:pStyle w:val="Übersicht"/>
        <w:ind w:left="1361"/>
      </w:pPr>
      <w:hyperlink w:anchor="b684" w:history="1">
        <w:r>
          <w:rPr>
            <w:color w:val="0A3A8C"/>
            <w:u w:val="single"/>
          </w:rPr>
          <w:t xml:space="preserve">§ 512 Abweichende Vereinbarungen</w:t>
        </w:r>
      </w:hyperlink>
    </w:p>
    <w:p>
      <w:pPr>
        <w:pStyle w:val="Übersicht"/>
        <w:ind w:left="1361"/>
      </w:pPr>
      <w:hyperlink w:anchor="b685" w:history="1">
        <w:r>
          <w:rPr>
            <w:color w:val="0A3A8C"/>
            <w:u w:val="single"/>
          </w:rPr>
          <w:t xml:space="preserve">§ 513 Anwendung auf Existenzgründer</w:t>
        </w:r>
      </w:hyperlink>
    </w:p>
    <w:p>
      <w:pPr>
        <w:pStyle w:val="Übersicht"/>
        <w:ind w:left="1020"/>
      </w:pPr>
      <w:hyperlink w:anchor="b686" w:history="1">
        <w:r>
          <w:rPr>
            <w:b/>
            <w:color w:val="0A3A8C"/>
            <w:u w:val="single"/>
          </w:rPr>
          <w:t xml:space="preserve">Untertitel 6 Unentgeltliche Darlehensverträge und unentgeltliche Finanzierungshilfen zwischen einem Unternehmer und einem Verbraucher</w:t>
        </w:r>
      </w:hyperlink>
    </w:p>
    <w:p>
      <w:pPr>
        <w:pStyle w:val="Übersicht"/>
        <w:ind w:left="1361"/>
      </w:pPr>
      <w:hyperlink w:anchor="b687" w:history="1">
        <w:r>
          <w:rPr>
            <w:color w:val="0A3A8C"/>
            <w:u w:val="single"/>
          </w:rPr>
          <w:t xml:space="preserve">§ 514 Unentgeltliche Darlehensverträge</w:t>
        </w:r>
      </w:hyperlink>
    </w:p>
    <w:p>
      <w:pPr>
        <w:pStyle w:val="Übersicht"/>
        <w:ind w:left="1361"/>
      </w:pPr>
      <w:hyperlink w:anchor="b688" w:history="1">
        <w:r>
          <w:rPr>
            <w:color w:val="0A3A8C"/>
            <w:u w:val="single"/>
          </w:rPr>
          <w:t xml:space="preserve">§ 515 Unentgeltliche Finanzierungshilfen</w:t>
        </w:r>
      </w:hyperlink>
    </w:p>
    <w:p>
      <w:pPr>
        <w:pStyle w:val="Übersicht"/>
        <w:ind w:left="680"/>
      </w:pPr>
      <w:hyperlink w:anchor="b689" w:history="1">
        <w:r>
          <w:rPr>
            <w:b/>
            <w:color w:val="0A3A8C"/>
            <w:u w:val="single"/>
          </w:rPr>
          <w:t xml:space="preserve">Titel 4 Schenkung</w:t>
        </w:r>
      </w:hyperlink>
    </w:p>
    <w:p>
      <w:pPr>
        <w:pStyle w:val="Übersicht"/>
        <w:ind w:left="1020"/>
      </w:pPr>
      <w:hyperlink w:anchor="b690" w:history="1">
        <w:r>
          <w:rPr>
            <w:color w:val="0A3A8C"/>
            <w:u w:val="single"/>
          </w:rPr>
          <w:t xml:space="preserve">§ 516 Begriff der Schenkung</w:t>
        </w:r>
      </w:hyperlink>
    </w:p>
    <w:p>
      <w:pPr>
        <w:pStyle w:val="Übersicht"/>
        <w:ind w:left="1020"/>
      </w:pPr>
      <w:hyperlink w:anchor="b691" w:history="1">
        <w:r>
          <w:rPr>
            <w:color w:val="0A3A8C"/>
            <w:u w:val="single"/>
          </w:rPr>
          <w:t xml:space="preserve">§ 516a Verbrauchervertrag über die Schenkung digitaler Produkte</w:t>
        </w:r>
      </w:hyperlink>
    </w:p>
    <w:p>
      <w:pPr>
        <w:pStyle w:val="Übersicht"/>
        <w:ind w:left="1020"/>
      </w:pPr>
      <w:hyperlink w:anchor="b692" w:history="1">
        <w:r>
          <w:rPr>
            <w:color w:val="0A3A8C"/>
            <w:u w:val="single"/>
          </w:rPr>
          <w:t xml:space="preserve">§ 517 Unterlassen eines Vermögenserwerbs</w:t>
        </w:r>
      </w:hyperlink>
    </w:p>
    <w:p>
      <w:pPr>
        <w:pStyle w:val="Übersicht"/>
        <w:ind w:left="1020"/>
      </w:pPr>
      <w:hyperlink w:anchor="b693" w:history="1">
        <w:r>
          <w:rPr>
            <w:color w:val="0A3A8C"/>
            <w:u w:val="single"/>
          </w:rPr>
          <w:t xml:space="preserve">§ 518 Form des Schenkungsversprechens</w:t>
        </w:r>
      </w:hyperlink>
    </w:p>
    <w:p>
      <w:pPr>
        <w:pStyle w:val="Übersicht"/>
        <w:ind w:left="1020"/>
      </w:pPr>
      <w:hyperlink w:anchor="b694" w:history="1">
        <w:r>
          <w:rPr>
            <w:color w:val="0A3A8C"/>
            <w:u w:val="single"/>
          </w:rPr>
          <w:t xml:space="preserve">§ 519 Einrede des Notbedarfs</w:t>
        </w:r>
      </w:hyperlink>
    </w:p>
    <w:p>
      <w:pPr>
        <w:pStyle w:val="Übersicht"/>
        <w:ind w:left="1020"/>
      </w:pPr>
      <w:hyperlink w:anchor="b695" w:history="1">
        <w:r>
          <w:rPr>
            <w:color w:val="0A3A8C"/>
            <w:u w:val="single"/>
          </w:rPr>
          <w:t xml:space="preserve">§ 520 Erlöschen eines Rentenversprechens</w:t>
        </w:r>
      </w:hyperlink>
    </w:p>
    <w:p>
      <w:pPr>
        <w:pStyle w:val="Übersicht"/>
        <w:ind w:left="1020"/>
      </w:pPr>
      <w:hyperlink w:anchor="b696" w:history="1">
        <w:r>
          <w:rPr>
            <w:color w:val="0A3A8C"/>
            <w:u w:val="single"/>
          </w:rPr>
          <w:t xml:space="preserve">§ 521 Haftung des Schenkers</w:t>
        </w:r>
      </w:hyperlink>
    </w:p>
    <w:p>
      <w:pPr>
        <w:pStyle w:val="Übersicht"/>
        <w:ind w:left="1020"/>
      </w:pPr>
      <w:hyperlink w:anchor="b697" w:history="1">
        <w:r>
          <w:rPr>
            <w:color w:val="0A3A8C"/>
            <w:u w:val="single"/>
          </w:rPr>
          <w:t xml:space="preserve">§ 522 Keine Verzugszinsen</w:t>
        </w:r>
      </w:hyperlink>
    </w:p>
    <w:p>
      <w:pPr>
        <w:pStyle w:val="Übersicht"/>
        <w:ind w:left="1020"/>
      </w:pPr>
      <w:hyperlink w:anchor="b698" w:history="1">
        <w:r>
          <w:rPr>
            <w:color w:val="0A3A8C"/>
            <w:u w:val="single"/>
          </w:rPr>
          <w:t xml:space="preserve">§ 523 Haftung für Rechtsmängel</w:t>
        </w:r>
      </w:hyperlink>
    </w:p>
    <w:p>
      <w:pPr>
        <w:pStyle w:val="Übersicht"/>
        <w:ind w:left="1020"/>
      </w:pPr>
      <w:hyperlink w:anchor="b699" w:history="1">
        <w:r>
          <w:rPr>
            <w:color w:val="0A3A8C"/>
            <w:u w:val="single"/>
          </w:rPr>
          <w:t xml:space="preserve">§ 524 Haftung für Sachmängel</w:t>
        </w:r>
      </w:hyperlink>
    </w:p>
    <w:p>
      <w:pPr>
        <w:pStyle w:val="Übersicht"/>
        <w:ind w:left="1020"/>
      </w:pPr>
      <w:hyperlink w:anchor="b700" w:history="1">
        <w:r>
          <w:rPr>
            <w:color w:val="0A3A8C"/>
            <w:u w:val="single"/>
          </w:rPr>
          <w:t xml:space="preserve">§ 525 Schenkung unter Auflage</w:t>
        </w:r>
      </w:hyperlink>
    </w:p>
    <w:p>
      <w:pPr>
        <w:pStyle w:val="Übersicht"/>
        <w:ind w:left="1020"/>
      </w:pPr>
      <w:hyperlink w:anchor="b701" w:history="1">
        <w:r>
          <w:rPr>
            <w:color w:val="0A3A8C"/>
            <w:u w:val="single"/>
          </w:rPr>
          <w:t xml:space="preserve">§ 526 Verweigerung der Vollziehung der Auflage</w:t>
        </w:r>
      </w:hyperlink>
    </w:p>
    <w:p>
      <w:pPr>
        <w:pStyle w:val="Übersicht"/>
        <w:ind w:left="1020"/>
      </w:pPr>
      <w:hyperlink w:anchor="b702" w:history="1">
        <w:r>
          <w:rPr>
            <w:color w:val="0A3A8C"/>
            <w:u w:val="single"/>
          </w:rPr>
          <w:t xml:space="preserve">§ 527 Nichtvollziehung der Auflage</w:t>
        </w:r>
      </w:hyperlink>
    </w:p>
    <w:p>
      <w:pPr>
        <w:pStyle w:val="Übersicht"/>
        <w:ind w:left="1020"/>
      </w:pPr>
      <w:hyperlink w:anchor="b703" w:history="1">
        <w:r>
          <w:rPr>
            <w:color w:val="0A3A8C"/>
            <w:u w:val="single"/>
          </w:rPr>
          <w:t xml:space="preserve">§ 528 Rückforderung wegen Verarmung des Schenkers</w:t>
        </w:r>
      </w:hyperlink>
    </w:p>
    <w:p>
      <w:pPr>
        <w:pStyle w:val="Übersicht"/>
        <w:ind w:left="1020"/>
      </w:pPr>
      <w:hyperlink w:anchor="b704" w:history="1">
        <w:r>
          <w:rPr>
            <w:color w:val="0A3A8C"/>
            <w:u w:val="single"/>
          </w:rPr>
          <w:t xml:space="preserve">§ 529 Ausschluss des Rückforderungsanspruchs</w:t>
        </w:r>
      </w:hyperlink>
    </w:p>
    <w:p>
      <w:pPr>
        <w:pStyle w:val="Übersicht"/>
        <w:ind w:left="1020"/>
      </w:pPr>
      <w:hyperlink w:anchor="b705" w:history="1">
        <w:r>
          <w:rPr>
            <w:color w:val="0A3A8C"/>
            <w:u w:val="single"/>
          </w:rPr>
          <w:t xml:space="preserve">§ 530 Widerruf der Schenkung</w:t>
        </w:r>
      </w:hyperlink>
    </w:p>
    <w:p>
      <w:pPr>
        <w:pStyle w:val="Übersicht"/>
        <w:ind w:left="1020"/>
      </w:pPr>
      <w:hyperlink w:anchor="b706" w:history="1">
        <w:r>
          <w:rPr>
            <w:color w:val="0A3A8C"/>
            <w:u w:val="single"/>
          </w:rPr>
          <w:t xml:space="preserve">§ 531 Widerrufserklärung</w:t>
        </w:r>
      </w:hyperlink>
    </w:p>
    <w:p>
      <w:pPr>
        <w:pStyle w:val="Übersicht"/>
        <w:ind w:left="1020"/>
      </w:pPr>
      <w:hyperlink w:anchor="b707" w:history="1">
        <w:r>
          <w:rPr>
            <w:color w:val="0A3A8C"/>
            <w:u w:val="single"/>
          </w:rPr>
          <w:t xml:space="preserve">§ 532 Ausschluss des Widerrufs</w:t>
        </w:r>
      </w:hyperlink>
    </w:p>
    <w:p>
      <w:pPr>
        <w:pStyle w:val="Übersicht"/>
        <w:ind w:left="1020"/>
      </w:pPr>
      <w:hyperlink w:anchor="b708" w:history="1">
        <w:r>
          <w:rPr>
            <w:color w:val="0A3A8C"/>
            <w:u w:val="single"/>
          </w:rPr>
          <w:t xml:space="preserve">§ 533 Verzicht auf Widerrufsrecht</w:t>
        </w:r>
      </w:hyperlink>
    </w:p>
    <w:p>
      <w:pPr>
        <w:pStyle w:val="Übersicht"/>
        <w:ind w:left="1020"/>
      </w:pPr>
      <w:hyperlink w:anchor="b709" w:history="1">
        <w:r>
          <w:rPr>
            <w:color w:val="0A3A8C"/>
            <w:u w:val="single"/>
          </w:rPr>
          <w:t xml:space="preserve">§ 534 Pflicht- und Anstandsschenkungen</w:t>
        </w:r>
      </w:hyperlink>
    </w:p>
    <w:p>
      <w:pPr>
        <w:pStyle w:val="Übersicht"/>
        <w:ind w:left="680"/>
      </w:pPr>
      <w:hyperlink w:anchor="b710" w:history="1">
        <w:r>
          <w:rPr>
            <w:b/>
            <w:color w:val="0A3A8C"/>
            <w:u w:val="single"/>
          </w:rPr>
          <w:t xml:space="preserve">Titel 5 Mietvertrag, Pachtvertrag</w:t>
        </w:r>
      </w:hyperlink>
    </w:p>
    <w:p>
      <w:pPr>
        <w:pStyle w:val="Übersicht"/>
        <w:ind w:left="1020"/>
      </w:pPr>
      <w:hyperlink w:anchor="b711" w:history="1">
        <w:r>
          <w:rPr>
            <w:b/>
            <w:color w:val="0A3A8C"/>
            <w:u w:val="single"/>
          </w:rPr>
          <w:t xml:space="preserve">Untertitel 1 Allgemeine Vorschriften für Mietverhältnisse</w:t>
        </w:r>
      </w:hyperlink>
    </w:p>
    <w:p>
      <w:pPr>
        <w:pStyle w:val="Übersicht"/>
        <w:ind w:left="1361"/>
      </w:pPr>
      <w:hyperlink w:anchor="b712" w:history="1">
        <w:r>
          <w:rPr>
            <w:color w:val="0A3A8C"/>
            <w:u w:val="single"/>
          </w:rPr>
          <w:t xml:space="preserve">§ 535 Inhalt und Hauptpflichten des Mietvertrags</w:t>
        </w:r>
      </w:hyperlink>
    </w:p>
    <w:p>
      <w:pPr>
        <w:pStyle w:val="Übersicht"/>
        <w:ind w:left="1361"/>
      </w:pPr>
      <w:hyperlink w:anchor="b713" w:history="1">
        <w:r>
          <w:rPr>
            <w:color w:val="0A3A8C"/>
            <w:u w:val="single"/>
          </w:rPr>
          <w:t xml:space="preserve">§ 536 Mietminderung bei Sach- und Rechtsmängeln</w:t>
        </w:r>
      </w:hyperlink>
    </w:p>
    <w:p>
      <w:pPr>
        <w:pStyle w:val="Übersicht"/>
        <w:ind w:left="1361"/>
      </w:pPr>
      <w:hyperlink w:anchor="b714" w:history="1">
        <w:r>
          <w:rPr>
            <w:color w:val="0A3A8C"/>
            <w:u w:val="single"/>
          </w:rPr>
          <w:t xml:space="preserve">§ 536a Schadens- und Aufwendungsersatzanspruch des Mieters wegen eines Mangels</w:t>
        </w:r>
      </w:hyperlink>
    </w:p>
    <w:p>
      <w:pPr>
        <w:pStyle w:val="Übersicht"/>
        <w:ind w:left="1361"/>
      </w:pPr>
      <w:hyperlink w:anchor="b715" w:history="1">
        <w:r>
          <w:rPr>
            <w:color w:val="0A3A8C"/>
            <w:u w:val="single"/>
          </w:rPr>
          <w:t xml:space="preserve">§ 536b Kenntnis des Mieters vom Mangel bei Vertragsschluss oder Annahme</w:t>
        </w:r>
      </w:hyperlink>
    </w:p>
    <w:p>
      <w:pPr>
        <w:pStyle w:val="Übersicht"/>
        <w:ind w:left="1361"/>
      </w:pPr>
      <w:hyperlink w:anchor="b716" w:history="1">
        <w:r>
          <w:rPr>
            <w:color w:val="0A3A8C"/>
            <w:u w:val="single"/>
          </w:rPr>
          <w:t xml:space="preserve">§ 536c Während der Mietzeit auftretende Mängel; Mängelanzeige durch den Mieter</w:t>
        </w:r>
      </w:hyperlink>
    </w:p>
    <w:p>
      <w:pPr>
        <w:pStyle w:val="Übersicht"/>
        <w:ind w:left="1361"/>
      </w:pPr>
      <w:hyperlink w:anchor="b717" w:history="1">
        <w:r>
          <w:rPr>
            <w:color w:val="0A3A8C"/>
            <w:u w:val="single"/>
          </w:rPr>
          <w:t xml:space="preserve">§ 536d Vertraglicher Ausschluss von Rechten des Mieters wegen eines Mangels</w:t>
        </w:r>
      </w:hyperlink>
    </w:p>
    <w:p>
      <w:pPr>
        <w:pStyle w:val="Übersicht"/>
        <w:ind w:left="1361"/>
      </w:pPr>
      <w:hyperlink w:anchor="b718" w:history="1">
        <w:r>
          <w:rPr>
            <w:color w:val="0A3A8C"/>
            <w:u w:val="single"/>
          </w:rPr>
          <w:t xml:space="preserve">§ 537 Entrichtung der Miete bei persönlicher Verhinderung des Mieters</w:t>
        </w:r>
      </w:hyperlink>
    </w:p>
    <w:p>
      <w:pPr>
        <w:pStyle w:val="Übersicht"/>
        <w:ind w:left="1361"/>
      </w:pPr>
      <w:hyperlink w:anchor="b719" w:history="1">
        <w:r>
          <w:rPr>
            <w:color w:val="0A3A8C"/>
            <w:u w:val="single"/>
          </w:rPr>
          <w:t xml:space="preserve">§ 538 Abnutzung der Mietsache durch vertragsgemäßen Gebrauch</w:t>
        </w:r>
      </w:hyperlink>
    </w:p>
    <w:p>
      <w:pPr>
        <w:pStyle w:val="Übersicht"/>
        <w:ind w:left="1361"/>
      </w:pPr>
      <w:hyperlink w:anchor="b720" w:history="1">
        <w:r>
          <w:rPr>
            <w:color w:val="0A3A8C"/>
            <w:u w:val="single"/>
          </w:rPr>
          <w:t xml:space="preserve">§ 539 Ersatz sonstiger Aufwendungen und Wegnahmerecht des Mieters</w:t>
        </w:r>
      </w:hyperlink>
    </w:p>
    <w:p>
      <w:pPr>
        <w:pStyle w:val="Übersicht"/>
        <w:ind w:left="1361"/>
      </w:pPr>
      <w:hyperlink w:anchor="b721" w:history="1">
        <w:r>
          <w:rPr>
            <w:color w:val="0A3A8C"/>
            <w:u w:val="single"/>
          </w:rPr>
          <w:t xml:space="preserve">§ 540 Gebrauchsüberlassung an Dritte</w:t>
        </w:r>
      </w:hyperlink>
    </w:p>
    <w:p>
      <w:pPr>
        <w:pStyle w:val="Übersicht"/>
        <w:ind w:left="1361"/>
      </w:pPr>
      <w:hyperlink w:anchor="b722" w:history="1">
        <w:r>
          <w:rPr>
            <w:color w:val="0A3A8C"/>
            <w:u w:val="single"/>
          </w:rPr>
          <w:t xml:space="preserve">§ 541 Unterlassungsklage bei vertragswidrigem Gebrauch</w:t>
        </w:r>
      </w:hyperlink>
    </w:p>
    <w:p>
      <w:pPr>
        <w:pStyle w:val="Übersicht"/>
        <w:ind w:left="1361"/>
      </w:pPr>
      <w:hyperlink w:anchor="b723" w:history="1">
        <w:r>
          <w:rPr>
            <w:color w:val="0A3A8C"/>
            <w:u w:val="single"/>
          </w:rPr>
          <w:t xml:space="preserve">§ 542 Ende des Mietverhältnisses</w:t>
        </w:r>
      </w:hyperlink>
    </w:p>
    <w:p>
      <w:pPr>
        <w:pStyle w:val="Übersicht"/>
        <w:ind w:left="1361"/>
      </w:pPr>
      <w:hyperlink w:anchor="b724" w:history="1">
        <w:r>
          <w:rPr>
            <w:color w:val="0A3A8C"/>
            <w:u w:val="single"/>
          </w:rPr>
          <w:t xml:space="preserve">§ 543 Außerordentliche fristlose Kündigung aus wichtigem Grund</w:t>
        </w:r>
      </w:hyperlink>
    </w:p>
    <w:p>
      <w:pPr>
        <w:pStyle w:val="Übersicht"/>
        <w:ind w:left="1361"/>
      </w:pPr>
      <w:hyperlink w:anchor="b725" w:history="1">
        <w:r>
          <w:rPr>
            <w:color w:val="0A3A8C"/>
            <w:u w:val="single"/>
          </w:rPr>
          <w:t xml:space="preserve">§ 544 Vertrag über mehr als 30 Jahre</w:t>
        </w:r>
      </w:hyperlink>
    </w:p>
    <w:p>
      <w:pPr>
        <w:pStyle w:val="Übersicht"/>
        <w:ind w:left="1361"/>
      </w:pPr>
      <w:hyperlink w:anchor="b726" w:history="1">
        <w:r>
          <w:rPr>
            <w:color w:val="0A3A8C"/>
            <w:u w:val="single"/>
          </w:rPr>
          <w:t xml:space="preserve">§ 545 Stillschweigende Verlängerung des Mietverhältnisses</w:t>
        </w:r>
      </w:hyperlink>
    </w:p>
    <w:p>
      <w:pPr>
        <w:pStyle w:val="Übersicht"/>
        <w:ind w:left="1361"/>
      </w:pPr>
      <w:hyperlink w:anchor="b727" w:history="1">
        <w:r>
          <w:rPr>
            <w:color w:val="0A3A8C"/>
            <w:u w:val="single"/>
          </w:rPr>
          <w:t xml:space="preserve">§ 546 Rückgabepflicht des Mieters</w:t>
        </w:r>
      </w:hyperlink>
    </w:p>
    <w:p>
      <w:pPr>
        <w:pStyle w:val="Übersicht"/>
        <w:ind w:left="1361"/>
      </w:pPr>
      <w:hyperlink w:anchor="b728" w:history="1">
        <w:r>
          <w:rPr>
            <w:color w:val="0A3A8C"/>
            <w:u w:val="single"/>
          </w:rPr>
          <w:t xml:space="preserve">§ 546a Entschädigung des Vermieters bei verspäteter Rückgabe</w:t>
        </w:r>
      </w:hyperlink>
    </w:p>
    <w:p>
      <w:pPr>
        <w:pStyle w:val="Übersicht"/>
        <w:ind w:left="1361"/>
      </w:pPr>
      <w:hyperlink w:anchor="b729" w:history="1">
        <w:r>
          <w:rPr>
            <w:color w:val="0A3A8C"/>
            <w:u w:val="single"/>
          </w:rPr>
          <w:t xml:space="preserve">§ 547 Erstattung von im Voraus entrichteter Miete</w:t>
        </w:r>
      </w:hyperlink>
    </w:p>
    <w:p>
      <w:pPr>
        <w:pStyle w:val="Übersicht"/>
        <w:ind w:left="1361"/>
      </w:pPr>
      <w:hyperlink w:anchor="b730" w:history="1">
        <w:r>
          <w:rPr>
            <w:color w:val="0A3A8C"/>
            <w:u w:val="single"/>
          </w:rPr>
          <w:t xml:space="preserve">§ 548 Verjährung der Ersatzansprüche und des Wegnahmerechts</w:t>
        </w:r>
      </w:hyperlink>
    </w:p>
    <w:p>
      <w:pPr>
        <w:pStyle w:val="Übersicht"/>
        <w:ind w:left="1361"/>
      </w:pPr>
      <w:hyperlink w:anchor="b731" w:history="1">
        <w:r>
          <w:rPr>
            <w:color w:val="0A3A8C"/>
            <w:u w:val="single"/>
          </w:rPr>
          <w:t xml:space="preserve">§ 548a Miete digitaler Produkte</w:t>
        </w:r>
      </w:hyperlink>
    </w:p>
    <w:p>
      <w:pPr>
        <w:pStyle w:val="Übersicht"/>
        <w:ind w:left="1020"/>
      </w:pPr>
      <w:hyperlink w:anchor="b732" w:history="1">
        <w:r>
          <w:rPr>
            <w:b/>
            <w:color w:val="0A3A8C"/>
            <w:u w:val="single"/>
          </w:rPr>
          <w:t xml:space="preserve">Untertitel 2 Mietverhältnisse über Wohnraum</w:t>
        </w:r>
      </w:hyperlink>
    </w:p>
    <w:p>
      <w:pPr>
        <w:pStyle w:val="Übersicht"/>
        <w:ind w:left="1361"/>
      </w:pPr>
      <w:hyperlink w:anchor="b733" w:history="1">
        <w:r>
          <w:rPr>
            <w:b/>
            <w:color w:val="0A3A8C"/>
            <w:u w:val="single"/>
          </w:rPr>
          <w:t xml:space="preserve">Kapitel 1 Allgemeine Vorschriften</w:t>
        </w:r>
      </w:hyperlink>
    </w:p>
    <w:p>
      <w:pPr>
        <w:pStyle w:val="Übersicht"/>
        <w:ind w:left="1701"/>
      </w:pPr>
      <w:hyperlink w:anchor="b734" w:history="1">
        <w:r>
          <w:rPr>
            <w:color w:val="0A3A8C"/>
            <w:u w:val="single"/>
          </w:rPr>
          <w:t xml:space="preserve">§ 549 Auf Wohnraummietverhältnisse anwendbare Vorschriften</w:t>
        </w:r>
      </w:hyperlink>
    </w:p>
    <w:p>
      <w:pPr>
        <w:pStyle w:val="Übersicht"/>
        <w:ind w:left="1701"/>
      </w:pPr>
      <w:hyperlink w:anchor="b735" w:history="1">
        <w:r>
          <w:rPr>
            <w:color w:val="0A3A8C"/>
            <w:u w:val="single"/>
          </w:rPr>
          <w:t xml:space="preserve">§ 550 Form des Mietvertrags</w:t>
        </w:r>
      </w:hyperlink>
    </w:p>
    <w:p>
      <w:pPr>
        <w:pStyle w:val="Übersicht"/>
        <w:ind w:left="1701"/>
      </w:pPr>
      <w:hyperlink w:anchor="b736" w:history="1">
        <w:r>
          <w:rPr>
            <w:color w:val="0A3A8C"/>
            <w:u w:val="single"/>
          </w:rPr>
          <w:t xml:space="preserve">§ 551 Begrenzung und Anlage von Mietsicherheiten</w:t>
        </w:r>
      </w:hyperlink>
    </w:p>
    <w:p>
      <w:pPr>
        <w:pStyle w:val="Übersicht"/>
        <w:ind w:left="1701"/>
      </w:pPr>
      <w:hyperlink w:anchor="b737" w:history="1">
        <w:r>
          <w:rPr>
            <w:color w:val="0A3A8C"/>
            <w:u w:val="single"/>
          </w:rPr>
          <w:t xml:space="preserve">§ 552 Abwendung des Wegnahmerechts des Mieters</w:t>
        </w:r>
      </w:hyperlink>
    </w:p>
    <w:p>
      <w:pPr>
        <w:pStyle w:val="Übersicht"/>
        <w:ind w:left="1701"/>
      </w:pPr>
      <w:hyperlink w:anchor="b738" w:history="1">
        <w:r>
          <w:rPr>
            <w:color w:val="0A3A8C"/>
            <w:u w:val="single"/>
          </w:rPr>
          <w:t xml:space="preserve">§ 553 Gestattung der Gebrauchsüberlassung an Dritte</w:t>
        </w:r>
      </w:hyperlink>
    </w:p>
    <w:p>
      <w:pPr>
        <w:pStyle w:val="Übersicht"/>
        <w:ind w:left="1701"/>
      </w:pPr>
      <w:hyperlink w:anchor="b739" w:history="1">
        <w:r>
          <w:rPr>
            <w:color w:val="0A3A8C"/>
            <w:u w:val="single"/>
          </w:rPr>
          <w:t xml:space="preserve">§ 554 Barrierereduzierung, E-Mobilität, Einbruchsschutz und Steckersolargeräte</w:t>
        </w:r>
      </w:hyperlink>
    </w:p>
    <w:p>
      <w:pPr>
        <w:pStyle w:val="Übersicht"/>
        <w:ind w:left="1701"/>
      </w:pPr>
      <w:hyperlink w:anchor="b740" w:history="1">
        <w:r>
          <w:rPr>
            <w:color w:val="0A3A8C"/>
            <w:u w:val="single"/>
          </w:rPr>
          <w:t xml:space="preserve">§ 555 Unwirksamkeit einer Vertragsstrafe</w:t>
        </w:r>
      </w:hyperlink>
    </w:p>
    <w:p>
      <w:pPr>
        <w:pStyle w:val="Übersicht"/>
        <w:ind w:left="1361"/>
      </w:pPr>
      <w:hyperlink w:anchor="b741" w:history="1">
        <w:r>
          <w:rPr>
            <w:b/>
            <w:color w:val="0A3A8C"/>
            <w:u w:val="single"/>
          </w:rPr>
          <w:t xml:space="preserve">Kapitel 1a Erhaltungs- und Modernisierungsmaßnahmen</w:t>
        </w:r>
      </w:hyperlink>
    </w:p>
    <w:p>
      <w:pPr>
        <w:pStyle w:val="Übersicht"/>
        <w:ind w:left="1701"/>
      </w:pPr>
      <w:hyperlink w:anchor="b742" w:history="1">
        <w:r>
          <w:rPr>
            <w:color w:val="0A3A8C"/>
            <w:u w:val="single"/>
          </w:rPr>
          <w:t xml:space="preserve">§ 555a Erhaltungsmaßnahmen</w:t>
        </w:r>
      </w:hyperlink>
    </w:p>
    <w:p>
      <w:pPr>
        <w:pStyle w:val="Übersicht"/>
        <w:ind w:left="1701"/>
      </w:pPr>
      <w:hyperlink w:anchor="b743" w:history="1">
        <w:r>
          <w:rPr>
            <w:color w:val="0A3A8C"/>
            <w:u w:val="single"/>
          </w:rPr>
          <w:t xml:space="preserve">§ 555b Modernisierungsmaßnahmen</w:t>
        </w:r>
      </w:hyperlink>
    </w:p>
    <w:p>
      <w:pPr>
        <w:pStyle w:val="Übersicht"/>
        <w:ind w:left="1701"/>
      </w:pPr>
      <w:hyperlink w:anchor="b744" w:history="1">
        <w:r>
          <w:rPr>
            <w:color w:val="0A3A8C"/>
            <w:u w:val="single"/>
          </w:rPr>
          <w:t xml:space="preserve">§ 555c Ankündigung von Modernisierungsmaßnahmen</w:t>
        </w:r>
      </w:hyperlink>
    </w:p>
    <w:p>
      <w:pPr>
        <w:pStyle w:val="Übersicht"/>
        <w:ind w:left="1701"/>
      </w:pPr>
      <w:hyperlink w:anchor="b745" w:history="1">
        <w:r>
          <w:rPr>
            <w:color w:val="0A3A8C"/>
            <w:u w:val="single"/>
          </w:rPr>
          <w:t xml:space="preserve">§ 555d Duldung von Modernisierungsmaßnahmen, Ausschlussfrist</w:t>
        </w:r>
      </w:hyperlink>
    </w:p>
    <w:p>
      <w:pPr>
        <w:pStyle w:val="Übersicht"/>
        <w:ind w:left="1701"/>
      </w:pPr>
      <w:hyperlink w:anchor="b746" w:history="1">
        <w:r>
          <w:rPr>
            <w:color w:val="0A3A8C"/>
            <w:u w:val="single"/>
          </w:rPr>
          <w:t xml:space="preserve">§ 555e Sonderkündigungsrecht des Mieters bei Modernisierungsmaßnahmen</w:t>
        </w:r>
      </w:hyperlink>
    </w:p>
    <w:p>
      <w:pPr>
        <w:pStyle w:val="Übersicht"/>
        <w:ind w:left="1701"/>
      </w:pPr>
      <w:hyperlink w:anchor="b747" w:history="1">
        <w:r>
          <w:rPr>
            <w:color w:val="0A3A8C"/>
            <w:u w:val="single"/>
          </w:rPr>
          <w:t xml:space="preserve">§ 555f Vereinbarungen über Erhaltungs- oder Modernisierungsmaßnahmen</w:t>
        </w:r>
      </w:hyperlink>
    </w:p>
    <w:p>
      <w:pPr>
        <w:pStyle w:val="Übersicht"/>
        <w:ind w:left="1361"/>
      </w:pPr>
      <w:hyperlink w:anchor="b748" w:history="1">
        <w:r>
          <w:rPr>
            <w:b/>
            <w:color w:val="0A3A8C"/>
            <w:u w:val="single"/>
          </w:rPr>
          <w:t xml:space="preserve">Kapitel 2 Die Miete</w:t>
        </w:r>
      </w:hyperlink>
    </w:p>
    <w:p>
      <w:pPr>
        <w:pStyle w:val="Übersicht"/>
        <w:ind w:left="1701"/>
      </w:pPr>
      <w:hyperlink w:anchor="b749" w:history="1">
        <w:r>
          <w:rPr>
            <w:b/>
            <w:color w:val="0A3A8C"/>
            <w:u w:val="single"/>
          </w:rPr>
          <w:t xml:space="preserve">Unterkapitel 1 Vereinbarungen über die Miete</w:t>
        </w:r>
      </w:hyperlink>
    </w:p>
    <w:p>
      <w:pPr>
        <w:pStyle w:val="Übersicht"/>
        <w:ind w:left="2041"/>
      </w:pPr>
      <w:hyperlink w:anchor="b750" w:history="1">
        <w:r>
          <w:rPr>
            <w:color w:val="0A3A8C"/>
            <w:u w:val="single"/>
          </w:rPr>
          <w:t xml:space="preserve">§ 556 Vereinbarungen über Betriebskosten</w:t>
        </w:r>
      </w:hyperlink>
    </w:p>
    <w:p>
      <w:pPr>
        <w:pStyle w:val="Übersicht"/>
        <w:ind w:left="2041"/>
      </w:pPr>
      <w:hyperlink w:anchor="b751" w:history="1">
        <w:r>
          <w:rPr>
            <w:color w:val="0A3A8C"/>
            <w:u w:val="single"/>
          </w:rPr>
          <w:t xml:space="preserve">§ 556a Abrechnungsmaßstab für Betriebskosten</w:t>
        </w:r>
      </w:hyperlink>
    </w:p>
    <w:p>
      <w:pPr>
        <w:pStyle w:val="Übersicht"/>
        <w:ind w:left="2041"/>
      </w:pPr>
      <w:hyperlink w:anchor="b752" w:history="1">
        <w:r>
          <w:rPr>
            <w:color w:val="0A3A8C"/>
            <w:u w:val="single"/>
          </w:rPr>
          <w:t xml:space="preserve">§ 556b Fälligkeit der Miete, Aufrechnungs- und Zurückbehaltungsrecht</w:t>
        </w:r>
      </w:hyperlink>
    </w:p>
    <w:p>
      <w:pPr>
        <w:pStyle w:val="Übersicht"/>
        <w:ind w:left="2041"/>
      </w:pPr>
      <w:hyperlink w:anchor="b753" w:history="1">
        <w:r>
          <w:rPr>
            <w:color w:val="0A3A8C"/>
            <w:u w:val="single"/>
          </w:rPr>
          <w:t xml:space="preserve">§ 556c Kosten der Wärmelieferung als Betriebskosten, Verordnungsermächtigung</w:t>
        </w:r>
      </w:hyperlink>
    </w:p>
    <w:p>
      <w:pPr>
        <w:pStyle w:val="Übersicht"/>
        <w:ind w:left="1701"/>
      </w:pPr>
      <w:hyperlink w:anchor="b754" w:history="1">
        <w:r>
          <w:rPr>
            <w:b/>
            <w:color w:val="0A3A8C"/>
            <w:u w:val="single"/>
          </w:rPr>
          <w:t xml:space="preserve">Unterkapitel 1a Vereinbarungen über die Miethöhe bei Mietbeginn in Gebieten mit angespannten Wohnungsmärkten</w:t>
        </w:r>
      </w:hyperlink>
    </w:p>
    <w:p>
      <w:pPr>
        <w:pStyle w:val="Übersicht"/>
        <w:ind w:left="2041"/>
      </w:pPr>
      <w:hyperlink w:anchor="b755" w:history="1">
        <w:r>
          <w:rPr>
            <w:color w:val="0A3A8C"/>
            <w:u w:val="single"/>
          </w:rPr>
          <w:t xml:space="preserve">§ 556d Zulässige Miethöhe bei Mietbeginn; Verordnungsermächtigung</w:t>
        </w:r>
      </w:hyperlink>
    </w:p>
    <w:p>
      <w:pPr>
        <w:pStyle w:val="Übersicht"/>
        <w:ind w:left="2041"/>
      </w:pPr>
      <w:hyperlink w:anchor="b756" w:history="1">
        <w:r>
          <w:rPr>
            <w:color w:val="0A3A8C"/>
            <w:u w:val="single"/>
          </w:rPr>
          <w:t xml:space="preserve">§ 556e Berücksichtigung der Vormiete oder einer durchgeführten Modernisierung</w:t>
        </w:r>
      </w:hyperlink>
    </w:p>
    <w:p>
      <w:pPr>
        <w:pStyle w:val="Übersicht"/>
        <w:ind w:left="2041"/>
      </w:pPr>
      <w:hyperlink w:anchor="b757" w:history="1">
        <w:r>
          <w:rPr>
            <w:color w:val="0A3A8C"/>
            <w:u w:val="single"/>
          </w:rPr>
          <w:t xml:space="preserve">§ 556f Ausnahmen</w:t>
        </w:r>
      </w:hyperlink>
    </w:p>
    <w:p>
      <w:pPr>
        <w:pStyle w:val="Übersicht"/>
        <w:ind w:left="2041"/>
      </w:pPr>
      <w:hyperlink w:anchor="b758" w:history="1">
        <w:r>
          <w:rPr>
            <w:color w:val="0A3A8C"/>
            <w:u w:val="single"/>
          </w:rPr>
          <w:t xml:space="preserve">§ 556g Rechtsfolgen; Auskunft über die Miete</w:t>
        </w:r>
      </w:hyperlink>
    </w:p>
    <w:p>
      <w:pPr>
        <w:pStyle w:val="Übersicht"/>
        <w:ind w:left="1701"/>
      </w:pPr>
      <w:hyperlink w:anchor="b759" w:history="1">
        <w:r>
          <w:rPr>
            <w:b/>
            <w:color w:val="0A3A8C"/>
            <w:u w:val="single"/>
          </w:rPr>
          <w:t xml:space="preserve">Unterkapitel 2 Regelungen über die Miethöhe</w:t>
        </w:r>
      </w:hyperlink>
    </w:p>
    <w:p>
      <w:pPr>
        <w:pStyle w:val="Übersicht"/>
        <w:ind w:left="2041"/>
      </w:pPr>
      <w:hyperlink w:anchor="b760" w:history="1">
        <w:r>
          <w:rPr>
            <w:color w:val="0A3A8C"/>
            <w:u w:val="single"/>
          </w:rPr>
          <w:t xml:space="preserve">§ 557 Mieterhöhungen nach Vereinbarung oder Gesetz</w:t>
        </w:r>
      </w:hyperlink>
    </w:p>
    <w:p>
      <w:pPr>
        <w:pStyle w:val="Übersicht"/>
        <w:ind w:left="2041"/>
      </w:pPr>
      <w:hyperlink w:anchor="b761" w:history="1">
        <w:r>
          <w:rPr>
            <w:color w:val="0A3A8C"/>
            <w:u w:val="single"/>
          </w:rPr>
          <w:t xml:space="preserve">§ 557a Staffelmiete</w:t>
        </w:r>
      </w:hyperlink>
    </w:p>
    <w:p>
      <w:pPr>
        <w:pStyle w:val="Übersicht"/>
        <w:ind w:left="2041"/>
      </w:pPr>
      <w:hyperlink w:anchor="b762" w:history="1">
        <w:r>
          <w:rPr>
            <w:color w:val="0A3A8C"/>
            <w:u w:val="single"/>
          </w:rPr>
          <w:t xml:space="preserve">§ 557b Indexmiete</w:t>
        </w:r>
      </w:hyperlink>
    </w:p>
    <w:p>
      <w:pPr>
        <w:pStyle w:val="Übersicht"/>
        <w:ind w:left="2041"/>
      </w:pPr>
      <w:hyperlink w:anchor="b763" w:history="1">
        <w:r>
          <w:rPr>
            <w:color w:val="0A3A8C"/>
            <w:u w:val="single"/>
          </w:rPr>
          <w:t xml:space="preserve">§ 558 Mieterhöhung bis zur ortsüblichen Vergleichsmiete</w:t>
        </w:r>
      </w:hyperlink>
    </w:p>
    <w:p>
      <w:pPr>
        <w:pStyle w:val="Übersicht"/>
        <w:ind w:left="2041"/>
      </w:pPr>
      <w:hyperlink w:anchor="b764" w:history="1">
        <w:r>
          <w:rPr>
            <w:color w:val="0A3A8C"/>
            <w:u w:val="single"/>
          </w:rPr>
          <w:t xml:space="preserve">§ 558a Form und Begründung der Mieterhöhung</w:t>
        </w:r>
      </w:hyperlink>
    </w:p>
    <w:p>
      <w:pPr>
        <w:pStyle w:val="Übersicht"/>
        <w:ind w:left="2041"/>
      </w:pPr>
      <w:hyperlink w:anchor="b765" w:history="1">
        <w:r>
          <w:rPr>
            <w:color w:val="0A3A8C"/>
            <w:u w:val="single"/>
          </w:rPr>
          <w:t xml:space="preserve">§ 558b Zustimmung zur Mieterhöhung</w:t>
        </w:r>
      </w:hyperlink>
    </w:p>
    <w:p>
      <w:pPr>
        <w:pStyle w:val="Übersicht"/>
        <w:ind w:left="2041"/>
      </w:pPr>
      <w:hyperlink w:anchor="b766" w:history="1">
        <w:r>
          <w:rPr>
            <w:color w:val="0A3A8C"/>
            <w:u w:val="single"/>
          </w:rPr>
          <w:t xml:space="preserve">§ 558c Mietspiegel; Verordnungsermächtigung</w:t>
        </w:r>
      </w:hyperlink>
    </w:p>
    <w:p>
      <w:pPr>
        <w:pStyle w:val="Übersicht"/>
        <w:ind w:left="2041"/>
      </w:pPr>
      <w:hyperlink w:anchor="b767" w:history="1">
        <w:r>
          <w:rPr>
            <w:color w:val="0A3A8C"/>
            <w:u w:val="single"/>
          </w:rPr>
          <w:t xml:space="preserve">§ 558d Qualifizierter Mietspiegel</w:t>
        </w:r>
      </w:hyperlink>
    </w:p>
    <w:p>
      <w:pPr>
        <w:pStyle w:val="Übersicht"/>
        <w:ind w:left="2041"/>
      </w:pPr>
      <w:hyperlink w:anchor="b768" w:history="1">
        <w:r>
          <w:rPr>
            <w:color w:val="0A3A8C"/>
            <w:u w:val="single"/>
          </w:rPr>
          <w:t xml:space="preserve">§ 558e Mietdatenbank</w:t>
        </w:r>
      </w:hyperlink>
    </w:p>
    <w:p>
      <w:pPr>
        <w:pStyle w:val="Übersicht"/>
        <w:ind w:left="2041"/>
      </w:pPr>
      <w:hyperlink w:anchor="b769" w:history="1">
        <w:r>
          <w:rPr>
            <w:color w:val="0A3A8C"/>
            <w:u w:val="single"/>
          </w:rPr>
          <w:t xml:space="preserve">§ 559 Mieterhöhung nach Modernisierungsmaßnahmen</w:t>
        </w:r>
      </w:hyperlink>
    </w:p>
    <w:p>
      <w:pPr>
        <w:pStyle w:val="Übersicht"/>
        <w:ind w:left="2041"/>
      </w:pPr>
      <w:hyperlink w:anchor="b770" w:history="1">
        <w:r>
          <w:rPr>
            <w:color w:val="0A3A8C"/>
            <w:u w:val="single"/>
          </w:rPr>
          <w:t xml:space="preserve">§ 559a Anrechnung von Drittmitteln</w:t>
        </w:r>
      </w:hyperlink>
    </w:p>
    <w:p>
      <w:pPr>
        <w:pStyle w:val="Übersicht"/>
        <w:ind w:left="2041"/>
      </w:pPr>
      <w:hyperlink w:anchor="b771" w:history="1">
        <w:r>
          <w:rPr>
            <w:color w:val="0A3A8C"/>
            <w:u w:val="single"/>
          </w:rPr>
          <w:t xml:space="preserve">§ 559b Geltendmachung der Erhöhung, Wirkung der Erhöhungserklärung</w:t>
        </w:r>
      </w:hyperlink>
    </w:p>
    <w:p>
      <w:pPr>
        <w:pStyle w:val="Übersicht"/>
        <w:ind w:left="2041"/>
      </w:pPr>
      <w:hyperlink w:anchor="b772" w:history="1">
        <w:r>
          <w:rPr>
            <w:color w:val="0A3A8C"/>
            <w:u w:val="single"/>
          </w:rPr>
          <w:t xml:space="preserve">§ 559c Vereinfachtes Verfahren</w:t>
        </w:r>
      </w:hyperlink>
    </w:p>
    <w:p>
      <w:pPr>
        <w:pStyle w:val="Übersicht"/>
        <w:ind w:left="2041"/>
      </w:pPr>
      <w:hyperlink w:anchor="b773" w:history="1">
        <w:r>
          <w:rPr>
            <w:color w:val="0A3A8C"/>
            <w:u w:val="single"/>
          </w:rPr>
          <w:t xml:space="preserve">§ 559d Pflichtverletzungen bei Ankündigung oder Durchführung einer baulichen Veränderung</w:t>
        </w:r>
      </w:hyperlink>
    </w:p>
    <w:p>
      <w:pPr>
        <w:pStyle w:val="Übersicht"/>
        <w:ind w:left="2041"/>
      </w:pPr>
      <w:hyperlink w:anchor="b774" w:history="1">
        <w:r>
          <w:rPr>
            <w:color w:val="0A3A8C"/>
            <w:u w:val="single"/>
          </w:rPr>
          <w:t xml:space="preserve">§ 559e Mieterhöhung nach Einbau oder Aufstellung einer Heizungsanlage</w:t>
        </w:r>
      </w:hyperlink>
    </w:p>
    <w:p>
      <w:pPr>
        <w:pStyle w:val="Übersicht"/>
        <w:ind w:left="2041"/>
      </w:pPr>
      <w:hyperlink w:anchor="b775" w:history="1">
        <w:r>
          <w:rPr>
            <w:color w:val="0A3A8C"/>
            <w:u w:val="single"/>
          </w:rPr>
          <w:t xml:space="preserve">§ 559f Mieterhöhung nach Einbau oder Aufstellung einer Wärmepumpe</w:t>
        </w:r>
      </w:hyperlink>
    </w:p>
    <w:p>
      <w:pPr>
        <w:pStyle w:val="Übersicht"/>
        <w:ind w:left="2041"/>
      </w:pPr>
      <w:hyperlink w:anchor="b776" w:history="1">
        <w:r>
          <w:rPr>
            <w:color w:val="0A3A8C"/>
            <w:u w:val="single"/>
          </w:rPr>
          <w:t xml:space="preserve">§ 560 Veränderungen von Betriebskosten</w:t>
        </w:r>
      </w:hyperlink>
    </w:p>
    <w:p>
      <w:pPr>
        <w:pStyle w:val="Übersicht"/>
        <w:ind w:left="2041"/>
      </w:pPr>
      <w:hyperlink w:anchor="b777" w:history="1">
        <w:r>
          <w:rPr>
            <w:color w:val="0A3A8C"/>
            <w:u w:val="single"/>
          </w:rPr>
          <w:t xml:space="preserve">§ 561 Sonderkündigungsrecht des Mieters nach Mieterhöhung</w:t>
        </w:r>
      </w:hyperlink>
    </w:p>
    <w:p>
      <w:pPr>
        <w:pStyle w:val="Übersicht"/>
        <w:ind w:left="1361"/>
      </w:pPr>
      <w:hyperlink w:anchor="b778" w:history="1">
        <w:r>
          <w:rPr>
            <w:b/>
            <w:color w:val="0A3A8C"/>
            <w:u w:val="single"/>
          </w:rPr>
          <w:t xml:space="preserve">Kapitel 3 Pfandrecht des Vermieters</w:t>
        </w:r>
      </w:hyperlink>
    </w:p>
    <w:p>
      <w:pPr>
        <w:pStyle w:val="Übersicht"/>
        <w:ind w:left="1701"/>
      </w:pPr>
      <w:hyperlink w:anchor="b779" w:history="1">
        <w:r>
          <w:rPr>
            <w:color w:val="0A3A8C"/>
            <w:u w:val="single"/>
          </w:rPr>
          <w:t xml:space="preserve">§ 562 Umfang des Vermieterpfandrechts</w:t>
        </w:r>
      </w:hyperlink>
    </w:p>
    <w:p>
      <w:pPr>
        <w:pStyle w:val="Übersicht"/>
        <w:ind w:left="1701"/>
      </w:pPr>
      <w:hyperlink w:anchor="b780" w:history="1">
        <w:r>
          <w:rPr>
            <w:color w:val="0A3A8C"/>
            <w:u w:val="single"/>
          </w:rPr>
          <w:t xml:space="preserve">§ 562a Erlöschen des Vermieterpfandrechts</w:t>
        </w:r>
      </w:hyperlink>
    </w:p>
    <w:p>
      <w:pPr>
        <w:pStyle w:val="Übersicht"/>
        <w:ind w:left="1701"/>
      </w:pPr>
      <w:hyperlink w:anchor="b781" w:history="1">
        <w:r>
          <w:rPr>
            <w:color w:val="0A3A8C"/>
            <w:u w:val="single"/>
          </w:rPr>
          <w:t xml:space="preserve">§ 562b Selbsthilferecht, Herausgabeanspruch</w:t>
        </w:r>
      </w:hyperlink>
    </w:p>
    <w:p>
      <w:pPr>
        <w:pStyle w:val="Übersicht"/>
        <w:ind w:left="1701"/>
      </w:pPr>
      <w:hyperlink w:anchor="b782" w:history="1">
        <w:r>
          <w:rPr>
            <w:color w:val="0A3A8C"/>
            <w:u w:val="single"/>
          </w:rPr>
          <w:t xml:space="preserve">§ 562c Abwendung des Pfandrechts durch Sicherheitsleistung</w:t>
        </w:r>
      </w:hyperlink>
    </w:p>
    <w:p>
      <w:pPr>
        <w:pStyle w:val="Übersicht"/>
        <w:ind w:left="1701"/>
      </w:pPr>
      <w:hyperlink w:anchor="b783" w:history="1">
        <w:r>
          <w:rPr>
            <w:color w:val="0A3A8C"/>
            <w:u w:val="single"/>
          </w:rPr>
          <w:t xml:space="preserve">§ 562d Pfändung durch Dritte</w:t>
        </w:r>
      </w:hyperlink>
    </w:p>
    <w:p>
      <w:pPr>
        <w:pStyle w:val="Übersicht"/>
        <w:ind w:left="1361"/>
      </w:pPr>
      <w:hyperlink w:anchor="b784" w:history="1">
        <w:r>
          <w:rPr>
            <w:b/>
            <w:color w:val="0A3A8C"/>
            <w:u w:val="single"/>
          </w:rPr>
          <w:t xml:space="preserve">Kapitel 4 Wechsel der Vertragsparteien</w:t>
        </w:r>
      </w:hyperlink>
    </w:p>
    <w:p>
      <w:pPr>
        <w:pStyle w:val="Übersicht"/>
        <w:ind w:left="1701"/>
      </w:pPr>
      <w:hyperlink w:anchor="b785" w:history="1">
        <w:r>
          <w:rPr>
            <w:color w:val="0A3A8C"/>
            <w:u w:val="single"/>
          </w:rPr>
          <w:t xml:space="preserve">§ 563 Eintrittsrecht bei Tod des Mieters</w:t>
        </w:r>
      </w:hyperlink>
    </w:p>
    <w:p>
      <w:pPr>
        <w:pStyle w:val="Übersicht"/>
        <w:ind w:left="1701"/>
      </w:pPr>
      <w:hyperlink w:anchor="b786" w:history="1">
        <w:r>
          <w:rPr>
            <w:color w:val="0A3A8C"/>
            <w:u w:val="single"/>
          </w:rPr>
          <w:t xml:space="preserve">§ 563a Fortsetzung mit überlebenden Mietern</w:t>
        </w:r>
      </w:hyperlink>
    </w:p>
    <w:p>
      <w:pPr>
        <w:pStyle w:val="Übersicht"/>
        <w:ind w:left="1701"/>
      </w:pPr>
      <w:hyperlink w:anchor="b787" w:history="1">
        <w:r>
          <w:rPr>
            <w:color w:val="0A3A8C"/>
            <w:u w:val="single"/>
          </w:rPr>
          <w:t xml:space="preserve">§ 563b Haftung bei Eintritt oder Fortsetzung</w:t>
        </w:r>
      </w:hyperlink>
    </w:p>
    <w:p>
      <w:pPr>
        <w:pStyle w:val="Übersicht"/>
        <w:ind w:left="1701"/>
      </w:pPr>
      <w:hyperlink w:anchor="b788" w:history="1">
        <w:r>
          <w:rPr>
            <w:color w:val="0A3A8C"/>
            <w:u w:val="single"/>
          </w:rPr>
          <w:t xml:space="preserve">§ 564 Fortsetzung des Mietverhältnisses mit dem Erben,
außerordentliche Kündigung</w:t>
        </w:r>
      </w:hyperlink>
    </w:p>
    <w:p>
      <w:pPr>
        <w:pStyle w:val="Übersicht"/>
        <w:ind w:left="1701"/>
      </w:pPr>
      <w:hyperlink w:anchor="b789" w:history="1">
        <w:r>
          <w:rPr>
            <w:color w:val="0A3A8C"/>
            <w:u w:val="single"/>
          </w:rPr>
          <w:t xml:space="preserve">§ 565 Gewerbliche Weitervermietung</w:t>
        </w:r>
      </w:hyperlink>
    </w:p>
    <w:p>
      <w:pPr>
        <w:pStyle w:val="Übersicht"/>
        <w:ind w:left="1701"/>
      </w:pPr>
      <w:hyperlink w:anchor="b790" w:history="1">
        <w:r>
          <w:rPr>
            <w:color w:val="0A3A8C"/>
            <w:u w:val="single"/>
          </w:rPr>
          <w:t xml:space="preserve">§ 566 Kauf bricht nicht Miete</w:t>
        </w:r>
      </w:hyperlink>
    </w:p>
    <w:p>
      <w:pPr>
        <w:pStyle w:val="Übersicht"/>
        <w:ind w:left="1701"/>
      </w:pPr>
      <w:hyperlink w:anchor="b791" w:history="1">
        <w:r>
          <w:rPr>
            <w:color w:val="0A3A8C"/>
            <w:u w:val="single"/>
          </w:rPr>
          <w:t xml:space="preserve">§ 566a Mietsicherheit</w:t>
        </w:r>
      </w:hyperlink>
    </w:p>
    <w:p>
      <w:pPr>
        <w:pStyle w:val="Übersicht"/>
        <w:ind w:left="1701"/>
      </w:pPr>
      <w:hyperlink w:anchor="b792" w:history="1">
        <w:r>
          <w:rPr>
            <w:color w:val="0A3A8C"/>
            <w:u w:val="single"/>
          </w:rPr>
          <w:t xml:space="preserve">§ 566b Vorausverfügung über die Miete</w:t>
        </w:r>
      </w:hyperlink>
    </w:p>
    <w:p>
      <w:pPr>
        <w:pStyle w:val="Übersicht"/>
        <w:ind w:left="1701"/>
      </w:pPr>
      <w:hyperlink w:anchor="b793" w:history="1">
        <w:r>
          <w:rPr>
            <w:color w:val="0A3A8C"/>
            <w:u w:val="single"/>
          </w:rPr>
          <w:t xml:space="preserve">§ 566c Vereinbarung zwischen Mieter und Vermieter über die Miete</w:t>
        </w:r>
      </w:hyperlink>
    </w:p>
    <w:p>
      <w:pPr>
        <w:pStyle w:val="Übersicht"/>
        <w:ind w:left="1701"/>
      </w:pPr>
      <w:hyperlink w:anchor="b794" w:history="1">
        <w:r>
          <w:rPr>
            <w:color w:val="0A3A8C"/>
            <w:u w:val="single"/>
          </w:rPr>
          <w:t xml:space="preserve">§ 566d Aufrechnung durch den Mieter</w:t>
        </w:r>
      </w:hyperlink>
    </w:p>
    <w:p>
      <w:pPr>
        <w:pStyle w:val="Übersicht"/>
        <w:ind w:left="1701"/>
      </w:pPr>
      <w:hyperlink w:anchor="b795" w:history="1">
        <w:r>
          <w:rPr>
            <w:color w:val="0A3A8C"/>
            <w:u w:val="single"/>
          </w:rPr>
          <w:t xml:space="preserve">§ 566e Mitteilung des Eigentumsübergangs durch den Vermieter</w:t>
        </w:r>
      </w:hyperlink>
    </w:p>
    <w:p>
      <w:pPr>
        <w:pStyle w:val="Übersicht"/>
        <w:ind w:left="1701"/>
      </w:pPr>
      <w:hyperlink w:anchor="b796" w:history="1">
        <w:r>
          <w:rPr>
            <w:color w:val="0A3A8C"/>
            <w:u w:val="single"/>
          </w:rPr>
          <w:t xml:space="preserve">§ 567 Belastung des Wohnraums durch den Vermieter</w:t>
        </w:r>
      </w:hyperlink>
    </w:p>
    <w:p>
      <w:pPr>
        <w:pStyle w:val="Übersicht"/>
        <w:ind w:left="1701"/>
      </w:pPr>
      <w:hyperlink w:anchor="b797" w:history="1">
        <w:r>
          <w:rPr>
            <w:color w:val="0A3A8C"/>
            <w:u w:val="single"/>
          </w:rPr>
          <w:t xml:space="preserve">§ 567a Veräußerung oder Belastung vor der Überlassung des Wohnraums</w:t>
        </w:r>
      </w:hyperlink>
    </w:p>
    <w:p>
      <w:pPr>
        <w:pStyle w:val="Übersicht"/>
        <w:ind w:left="1701"/>
      </w:pPr>
      <w:hyperlink w:anchor="b798" w:history="1">
        <w:r>
          <w:rPr>
            <w:color w:val="0A3A8C"/>
            <w:u w:val="single"/>
          </w:rPr>
          <w:t xml:space="preserve">§ 567b Weiterveräußerung oder Belastung durch Erwerber</w:t>
        </w:r>
      </w:hyperlink>
    </w:p>
    <w:p>
      <w:pPr>
        <w:pStyle w:val="Übersicht"/>
        <w:ind w:left="1361"/>
      </w:pPr>
      <w:hyperlink w:anchor="b799" w:history="1">
        <w:r>
          <w:rPr>
            <w:b/>
            <w:color w:val="0A3A8C"/>
            <w:u w:val="single"/>
          </w:rPr>
          <w:t xml:space="preserve">Kapitel 5 Beendigung des Mietverhältnisses</w:t>
        </w:r>
      </w:hyperlink>
    </w:p>
    <w:p>
      <w:pPr>
        <w:pStyle w:val="Übersicht"/>
        <w:ind w:left="1701"/>
      </w:pPr>
      <w:hyperlink w:anchor="b800" w:history="1">
        <w:r>
          <w:rPr>
            <w:b/>
            <w:color w:val="0A3A8C"/>
            <w:u w:val="single"/>
          </w:rPr>
          <w:t xml:space="preserve">Unterkapitel 1 Allgemeine Vorschriften</w:t>
        </w:r>
      </w:hyperlink>
    </w:p>
    <w:p>
      <w:pPr>
        <w:pStyle w:val="Übersicht"/>
        <w:ind w:left="2041"/>
      </w:pPr>
      <w:hyperlink w:anchor="b801" w:history="1">
        <w:r>
          <w:rPr>
            <w:color w:val="0A3A8C"/>
            <w:u w:val="single"/>
          </w:rPr>
          <w:t xml:space="preserve">§ 568 Form und Inhalt der Kündigung</w:t>
        </w:r>
      </w:hyperlink>
    </w:p>
    <w:p>
      <w:pPr>
        <w:pStyle w:val="Übersicht"/>
        <w:ind w:left="2041"/>
      </w:pPr>
      <w:hyperlink w:anchor="b802" w:history="1">
        <w:r>
          <w:rPr>
            <w:color w:val="0A3A8C"/>
            <w:u w:val="single"/>
          </w:rPr>
          <w:t xml:space="preserve">§ 569 Außerordentliche fristlose Kündigung aus wichtigem Grund</w:t>
        </w:r>
      </w:hyperlink>
    </w:p>
    <w:p>
      <w:pPr>
        <w:pStyle w:val="Übersicht"/>
        <w:ind w:left="2041"/>
      </w:pPr>
      <w:hyperlink w:anchor="b803" w:history="1">
        <w:r>
          <w:rPr>
            <w:color w:val="0A3A8C"/>
            <w:u w:val="single"/>
          </w:rPr>
          <w:t xml:space="preserve">§ 570 Ausschluss des Zurückbehaltungsrechts</w:t>
        </w:r>
      </w:hyperlink>
    </w:p>
    <w:p>
      <w:pPr>
        <w:pStyle w:val="Übersicht"/>
        <w:ind w:left="2041"/>
      </w:pPr>
      <w:hyperlink w:anchor="b804" w:history="1">
        <w:r>
          <w:rPr>
            <w:color w:val="0A3A8C"/>
            <w:u w:val="single"/>
          </w:rPr>
          <w:t xml:space="preserve">§ 571 Weiterer Schadensersatz bei verspäteter Rückgabe von Wohnraum</w:t>
        </w:r>
      </w:hyperlink>
    </w:p>
    <w:p>
      <w:pPr>
        <w:pStyle w:val="Übersicht"/>
        <w:ind w:left="2041"/>
      </w:pPr>
      <w:hyperlink w:anchor="b805" w:history="1">
        <w:r>
          <w:rPr>
            <w:color w:val="0A3A8C"/>
            <w:u w:val="single"/>
          </w:rPr>
          <w:t xml:space="preserve">§ 572 Vereinbartes Rücktrittsrecht; Mietverhältnis unter
auflösender Bedingung</w:t>
        </w:r>
      </w:hyperlink>
    </w:p>
    <w:p>
      <w:pPr>
        <w:pStyle w:val="Übersicht"/>
        <w:ind w:left="1701"/>
      </w:pPr>
      <w:hyperlink w:anchor="b806" w:history="1">
        <w:r>
          <w:rPr>
            <w:b/>
            <w:color w:val="0A3A8C"/>
            <w:u w:val="single"/>
          </w:rPr>
          <w:t xml:space="preserve">Unterkapitel 2 Mietverhältnisse auf unbestimmte Zeit</w:t>
        </w:r>
      </w:hyperlink>
    </w:p>
    <w:p>
      <w:pPr>
        <w:pStyle w:val="Übersicht"/>
        <w:ind w:left="2041"/>
      </w:pPr>
      <w:hyperlink w:anchor="b807" w:history="1">
        <w:r>
          <w:rPr>
            <w:color w:val="0A3A8C"/>
            <w:u w:val="single"/>
          </w:rPr>
          <w:t xml:space="preserve">§ 573 Ordentliche Kündigung des Vermieters</w:t>
        </w:r>
      </w:hyperlink>
    </w:p>
    <w:p>
      <w:pPr>
        <w:pStyle w:val="Übersicht"/>
        <w:ind w:left="2041"/>
      </w:pPr>
      <w:hyperlink w:anchor="b808" w:history="1">
        <w:r>
          <w:rPr>
            <w:color w:val="0A3A8C"/>
            <w:u w:val="single"/>
          </w:rPr>
          <w:t xml:space="preserve">§ 573a Erleichterte Kündigung des Vermieters</w:t>
        </w:r>
      </w:hyperlink>
    </w:p>
    <w:p>
      <w:pPr>
        <w:pStyle w:val="Übersicht"/>
        <w:ind w:left="2041"/>
      </w:pPr>
      <w:hyperlink w:anchor="b809" w:history="1">
        <w:r>
          <w:rPr>
            <w:color w:val="0A3A8C"/>
            <w:u w:val="single"/>
          </w:rPr>
          <w:t xml:space="preserve">§ 573b Teilkündigung des Vermieters</w:t>
        </w:r>
      </w:hyperlink>
    </w:p>
    <w:p>
      <w:pPr>
        <w:pStyle w:val="Übersicht"/>
        <w:ind w:left="2041"/>
      </w:pPr>
      <w:hyperlink w:anchor="b810" w:history="1">
        <w:r>
          <w:rPr>
            <w:color w:val="0A3A8C"/>
            <w:u w:val="single"/>
          </w:rPr>
          <w:t xml:space="preserve">§ 573c Fristen der ordentlichen Kündigung</w:t>
        </w:r>
      </w:hyperlink>
    </w:p>
    <w:p>
      <w:pPr>
        <w:pStyle w:val="Übersicht"/>
        <w:ind w:left="2041"/>
      </w:pPr>
      <w:hyperlink w:anchor="b811" w:history="1">
        <w:r>
          <w:rPr>
            <w:color w:val="0A3A8C"/>
            <w:u w:val="single"/>
          </w:rPr>
          <w:t xml:space="preserve">§ 573d Außerordentliche Kündigung mit gesetzlicher Frist</w:t>
        </w:r>
      </w:hyperlink>
    </w:p>
    <w:p>
      <w:pPr>
        <w:pStyle w:val="Übersicht"/>
        <w:ind w:left="2041"/>
      </w:pPr>
      <w:hyperlink w:anchor="b812" w:history="1">
        <w:r>
          <w:rPr>
            <w:color w:val="0A3A8C"/>
            <w:u w:val="single"/>
          </w:rPr>
          <w:t xml:space="preserve">§ 574 Widerspruch des Mieters gegen die Kündigung</w:t>
        </w:r>
      </w:hyperlink>
    </w:p>
    <w:p>
      <w:pPr>
        <w:pStyle w:val="Übersicht"/>
        <w:ind w:left="2041"/>
      </w:pPr>
      <w:hyperlink w:anchor="b813" w:history="1">
        <w:r>
          <w:rPr>
            <w:color w:val="0A3A8C"/>
            <w:u w:val="single"/>
          </w:rPr>
          <w:t xml:space="preserve">§ 574a Fortsetzung des Mietverhältnisses nach Widerspruch</w:t>
        </w:r>
      </w:hyperlink>
    </w:p>
    <w:p>
      <w:pPr>
        <w:pStyle w:val="Übersicht"/>
        <w:ind w:left="2041"/>
      </w:pPr>
      <w:hyperlink w:anchor="b814" w:history="1">
        <w:r>
          <w:rPr>
            <w:color w:val="0A3A8C"/>
            <w:u w:val="single"/>
          </w:rPr>
          <w:t xml:space="preserve">§ 574b Form und Frist des Widerspruchs</w:t>
        </w:r>
      </w:hyperlink>
    </w:p>
    <w:p>
      <w:pPr>
        <w:pStyle w:val="Übersicht"/>
        <w:ind w:left="2041"/>
      </w:pPr>
      <w:hyperlink w:anchor="b815" w:history="1">
        <w:r>
          <w:rPr>
            <w:color w:val="0A3A8C"/>
            <w:u w:val="single"/>
          </w:rPr>
          <w:t xml:space="preserve">§ 574c Weitere Fortsetzung des Mietverhältnisses bei
unvorhergesehenen Umständen</w:t>
        </w:r>
      </w:hyperlink>
    </w:p>
    <w:p>
      <w:pPr>
        <w:pStyle w:val="Übersicht"/>
        <w:ind w:left="1701"/>
      </w:pPr>
      <w:hyperlink w:anchor="b816" w:history="1">
        <w:r>
          <w:rPr>
            <w:b/>
            <w:color w:val="0A3A8C"/>
            <w:u w:val="single"/>
          </w:rPr>
          <w:t xml:space="preserve">Unterkapitel 3 Mietverhältnisse auf bestimmte Zeit</w:t>
        </w:r>
      </w:hyperlink>
    </w:p>
    <w:p>
      <w:pPr>
        <w:pStyle w:val="Übersicht"/>
        <w:ind w:left="2041"/>
      </w:pPr>
      <w:hyperlink w:anchor="b817" w:history="1">
        <w:r>
          <w:rPr>
            <w:color w:val="0A3A8C"/>
            <w:u w:val="single"/>
          </w:rPr>
          <w:t xml:space="preserve">§ 575 Zeitmietvertrag</w:t>
        </w:r>
      </w:hyperlink>
    </w:p>
    <w:p>
      <w:pPr>
        <w:pStyle w:val="Übersicht"/>
        <w:ind w:left="2041"/>
      </w:pPr>
      <w:hyperlink w:anchor="b818" w:history="1">
        <w:r>
          <w:rPr>
            <w:color w:val="0A3A8C"/>
            <w:u w:val="single"/>
          </w:rPr>
          <w:t xml:space="preserve">§ 575a Außerordentliche Kündigung mit gesetzlicher Frist</w:t>
        </w:r>
      </w:hyperlink>
    </w:p>
    <w:p>
      <w:pPr>
        <w:pStyle w:val="Übersicht"/>
        <w:ind w:left="1701"/>
      </w:pPr>
      <w:hyperlink w:anchor="b819" w:history="1">
        <w:r>
          <w:rPr>
            <w:b/>
            <w:color w:val="0A3A8C"/>
            <w:u w:val="single"/>
          </w:rPr>
          <w:t xml:space="preserve">Unterkapitel 4 Werkwohnungen</w:t>
        </w:r>
      </w:hyperlink>
    </w:p>
    <w:p>
      <w:pPr>
        <w:pStyle w:val="Übersicht"/>
        <w:ind w:left="2041"/>
      </w:pPr>
      <w:hyperlink w:anchor="b820" w:history="1">
        <w:r>
          <w:rPr>
            <w:color w:val="0A3A8C"/>
            <w:u w:val="single"/>
          </w:rPr>
          <w:t xml:space="preserve">§ 576 Fristen der ordentlichen Kündigung bei Werkmietwohnungen</w:t>
        </w:r>
      </w:hyperlink>
    </w:p>
    <w:p>
      <w:pPr>
        <w:pStyle w:val="Übersicht"/>
        <w:ind w:left="2041"/>
      </w:pPr>
      <w:hyperlink w:anchor="b821" w:history="1">
        <w:r>
          <w:rPr>
            <w:color w:val="0A3A8C"/>
            <w:u w:val="single"/>
          </w:rPr>
          <w:t xml:space="preserve">§ 576a Besonderheiten des Widerspruchsrechts bei Werkmietwohnungen</w:t>
        </w:r>
      </w:hyperlink>
    </w:p>
    <w:p>
      <w:pPr>
        <w:pStyle w:val="Übersicht"/>
        <w:ind w:left="2041"/>
      </w:pPr>
      <w:hyperlink w:anchor="b822" w:history="1">
        <w:r>
          <w:rPr>
            <w:color w:val="0A3A8C"/>
            <w:u w:val="single"/>
          </w:rPr>
          <w:t xml:space="preserve">§ 576b Entsprechende Geltung des Mietrechts bei Werkdienstwohnungen</w:t>
        </w:r>
      </w:hyperlink>
    </w:p>
    <w:p>
      <w:pPr>
        <w:pStyle w:val="Übersicht"/>
        <w:ind w:left="1361"/>
      </w:pPr>
      <w:hyperlink w:anchor="b823" w:history="1">
        <w:r>
          <w:rPr>
            <w:b/>
            <w:color w:val="0A3A8C"/>
            <w:u w:val="single"/>
          </w:rPr>
          <w:t xml:space="preserve">Kapitel 6 Besonderheiten bei der Bildung von
Wohnungseigentum an vermieteten Wohnungen</w:t>
        </w:r>
      </w:hyperlink>
    </w:p>
    <w:p>
      <w:pPr>
        <w:pStyle w:val="Übersicht"/>
        <w:ind w:left="1701"/>
      </w:pPr>
      <w:hyperlink w:anchor="b824" w:history="1">
        <w:r>
          <w:rPr>
            <w:color w:val="0A3A8C"/>
            <w:u w:val="single"/>
          </w:rPr>
          <w:t xml:space="preserve">§ 577 Vorkaufsrecht des Mieters</w:t>
        </w:r>
      </w:hyperlink>
    </w:p>
    <w:p>
      <w:pPr>
        <w:pStyle w:val="Übersicht"/>
        <w:ind w:left="1701"/>
      </w:pPr>
      <w:hyperlink w:anchor="b825" w:history="1">
        <w:r>
          <w:rPr>
            <w:color w:val="0A3A8C"/>
            <w:u w:val="single"/>
          </w:rPr>
          <w:t xml:space="preserve">§ 577a Kündigungsbeschränkung bei Wohnungsumwandlung</w:t>
        </w:r>
      </w:hyperlink>
    </w:p>
    <w:p>
      <w:pPr>
        <w:pStyle w:val="Übersicht"/>
        <w:ind w:left="1020"/>
      </w:pPr>
      <w:hyperlink w:anchor="b826" w:history="1">
        <w:r>
          <w:rPr>
            <w:b/>
            <w:color w:val="0A3A8C"/>
            <w:u w:val="single"/>
          </w:rPr>
          <w:t xml:space="preserve">Untertitel 3 Mietverhältnisse über andere Sachen und digitale Produkte</w:t>
        </w:r>
      </w:hyperlink>
    </w:p>
    <w:p>
      <w:pPr>
        <w:pStyle w:val="Übersicht"/>
        <w:ind w:left="1361"/>
      </w:pPr>
      <w:hyperlink w:anchor="b827" w:history="1">
        <w:r>
          <w:rPr>
            <w:color w:val="0A3A8C"/>
            <w:u w:val="single"/>
          </w:rPr>
          <w:t xml:space="preserve">§ 578 Mietverhältnisse über Grundstücke und Räume</w:t>
        </w:r>
      </w:hyperlink>
    </w:p>
    <w:p>
      <w:pPr>
        <w:pStyle w:val="Übersicht"/>
        <w:ind w:left="1361"/>
      </w:pPr>
      <w:hyperlink w:anchor="b828" w:history="1">
        <w:r>
          <w:rPr>
            <w:color w:val="0A3A8C"/>
            <w:u w:val="single"/>
          </w:rPr>
          <w:t xml:space="preserve">§ 578a Mietverhältnisse über eingetragene Schiffe</w:t>
        </w:r>
      </w:hyperlink>
    </w:p>
    <w:p>
      <w:pPr>
        <w:pStyle w:val="Übersicht"/>
        <w:ind w:left="1361"/>
      </w:pPr>
      <w:hyperlink w:anchor="b829" w:history="1">
        <w:r>
          <w:rPr>
            <w:color w:val="0A3A8C"/>
            <w:u w:val="single"/>
          </w:rPr>
          <w:t xml:space="preserve">§ 578b Verträge über die Miete digitaler Produkte</w:t>
        </w:r>
      </w:hyperlink>
    </w:p>
    <w:p>
      <w:pPr>
        <w:pStyle w:val="Übersicht"/>
        <w:ind w:left="1361"/>
      </w:pPr>
      <w:hyperlink w:anchor="b830" w:history="1">
        <w:r>
          <w:rPr>
            <w:color w:val="0A3A8C"/>
            <w:u w:val="single"/>
          </w:rPr>
          <w:t xml:space="preserve">§ 579 Fälligkeit der Miete</w:t>
        </w:r>
      </w:hyperlink>
    </w:p>
    <w:p>
      <w:pPr>
        <w:pStyle w:val="Übersicht"/>
        <w:ind w:left="1361"/>
      </w:pPr>
      <w:hyperlink w:anchor="b831" w:history="1">
        <w:r>
          <w:rPr>
            <w:color w:val="0A3A8C"/>
            <w:u w:val="single"/>
          </w:rPr>
          <w:t xml:space="preserve">§ 580 Außerordentliche Kündigung bei Tod des Mieters</w:t>
        </w:r>
      </w:hyperlink>
    </w:p>
    <w:p>
      <w:pPr>
        <w:pStyle w:val="Übersicht"/>
        <w:ind w:left="1361"/>
      </w:pPr>
      <w:hyperlink w:anchor="b832" w:history="1">
        <w:r>
          <w:rPr>
            <w:color w:val="0A3A8C"/>
            <w:u w:val="single"/>
          </w:rPr>
          <w:t xml:space="preserve">§ 580a Kündigungsfristen</w:t>
        </w:r>
      </w:hyperlink>
    </w:p>
    <w:p>
      <w:pPr>
        <w:pStyle w:val="Übersicht"/>
        <w:ind w:left="1020"/>
      </w:pPr>
      <w:hyperlink w:anchor="b833" w:history="1">
        <w:r>
          <w:rPr>
            <w:b/>
            <w:color w:val="0A3A8C"/>
            <w:u w:val="single"/>
          </w:rPr>
          <w:t xml:space="preserve">Untertitel 4 Pachtvertrag</w:t>
        </w:r>
      </w:hyperlink>
    </w:p>
    <w:p>
      <w:pPr>
        <w:pStyle w:val="Übersicht"/>
        <w:ind w:left="1361"/>
      </w:pPr>
      <w:hyperlink w:anchor="b834" w:history="1">
        <w:r>
          <w:rPr>
            <w:color w:val="0A3A8C"/>
            <w:u w:val="single"/>
          </w:rPr>
          <w:t xml:space="preserve">§ 581 Vertragstypische Pflichten beim Pachtvertrag</w:t>
        </w:r>
      </w:hyperlink>
    </w:p>
    <w:p>
      <w:pPr>
        <w:pStyle w:val="Übersicht"/>
        <w:ind w:left="1361"/>
      </w:pPr>
      <w:hyperlink w:anchor="b835" w:history="1">
        <w:r>
          <w:rPr>
            <w:color w:val="0A3A8C"/>
            <w:u w:val="single"/>
          </w:rPr>
          <w:t xml:space="preserve">§ 582 Erhaltung des Inventars</w:t>
        </w:r>
      </w:hyperlink>
    </w:p>
    <w:p>
      <w:pPr>
        <w:pStyle w:val="Übersicht"/>
        <w:ind w:left="1361"/>
      </w:pPr>
      <w:hyperlink w:anchor="b836" w:history="1">
        <w:r>
          <w:rPr>
            <w:color w:val="0A3A8C"/>
            <w:u w:val="single"/>
          </w:rPr>
          <w:t xml:space="preserve">§ 582a Inventarübernahme zum Schätzwert</w:t>
        </w:r>
      </w:hyperlink>
    </w:p>
    <w:p>
      <w:pPr>
        <w:pStyle w:val="Übersicht"/>
        <w:ind w:left="1361"/>
      </w:pPr>
      <w:hyperlink w:anchor="b837" w:history="1">
        <w:r>
          <w:rPr>
            <w:color w:val="0A3A8C"/>
            <w:u w:val="single"/>
          </w:rPr>
          <w:t xml:space="preserve">§ 583 Pächterpfandrecht am Inventar</w:t>
        </w:r>
      </w:hyperlink>
    </w:p>
    <w:p>
      <w:pPr>
        <w:pStyle w:val="Übersicht"/>
        <w:ind w:left="1361"/>
      </w:pPr>
      <w:hyperlink w:anchor="b838" w:history="1">
        <w:r>
          <w:rPr>
            <w:color w:val="0A3A8C"/>
            <w:u w:val="single"/>
          </w:rPr>
          <w:t xml:space="preserve">§ 583a Verfügungsbeschränkungen bei Inventar</w:t>
        </w:r>
      </w:hyperlink>
    </w:p>
    <w:p>
      <w:pPr>
        <w:pStyle w:val="Übersicht"/>
        <w:ind w:left="1361"/>
      </w:pPr>
      <w:hyperlink w:anchor="b839" w:history="1">
        <w:r>
          <w:rPr>
            <w:color w:val="0A3A8C"/>
            <w:u w:val="single"/>
          </w:rPr>
          <w:t xml:space="preserve">§ 584 Kündigungsfrist</w:t>
        </w:r>
      </w:hyperlink>
    </w:p>
    <w:p>
      <w:pPr>
        <w:pStyle w:val="Übersicht"/>
        <w:ind w:left="1361"/>
      </w:pPr>
      <w:hyperlink w:anchor="b840" w:history="1">
        <w:r>
          <w:rPr>
            <w:color w:val="0A3A8C"/>
            <w:u w:val="single"/>
          </w:rPr>
          <w:t xml:space="preserve">§ 584a Ausschluss bestimmter mietrechtlicher Kündigungsrechte</w:t>
        </w:r>
      </w:hyperlink>
    </w:p>
    <w:p>
      <w:pPr>
        <w:pStyle w:val="Übersicht"/>
        <w:ind w:left="1361"/>
      </w:pPr>
      <w:hyperlink w:anchor="b841" w:history="1">
        <w:r>
          <w:rPr>
            <w:color w:val="0A3A8C"/>
            <w:u w:val="single"/>
          </w:rPr>
          <w:t xml:space="preserve">§ 584b Verspätete Rückgabe</w:t>
        </w:r>
      </w:hyperlink>
    </w:p>
    <w:p>
      <w:pPr>
        <w:pStyle w:val="Übersicht"/>
        <w:ind w:left="1020"/>
      </w:pPr>
      <w:hyperlink w:anchor="b842" w:history="1">
        <w:r>
          <w:rPr>
            <w:b/>
            <w:color w:val="0A3A8C"/>
            <w:u w:val="single"/>
          </w:rPr>
          <w:t xml:space="preserve">Untertitel 5 Landpachtvertrag</w:t>
        </w:r>
      </w:hyperlink>
    </w:p>
    <w:p>
      <w:pPr>
        <w:pStyle w:val="Übersicht"/>
        <w:ind w:left="1361"/>
      </w:pPr>
      <w:hyperlink w:anchor="b843" w:history="1">
        <w:r>
          <w:rPr>
            <w:color w:val="0A3A8C"/>
            <w:u w:val="single"/>
          </w:rPr>
          <w:t xml:space="preserve">§ 585 Begriff des Landpachtvertrags</w:t>
        </w:r>
      </w:hyperlink>
    </w:p>
    <w:p>
      <w:pPr>
        <w:pStyle w:val="Übersicht"/>
        <w:ind w:left="1361"/>
      </w:pPr>
      <w:hyperlink w:anchor="b844" w:history="1">
        <w:r>
          <w:rPr>
            <w:color w:val="0A3A8C"/>
            <w:u w:val="single"/>
          </w:rPr>
          <w:t xml:space="preserve">§ 585a Form des Landpachtvertrags</w:t>
        </w:r>
      </w:hyperlink>
    </w:p>
    <w:p>
      <w:pPr>
        <w:pStyle w:val="Übersicht"/>
        <w:ind w:left="1361"/>
      </w:pPr>
      <w:hyperlink w:anchor="b845" w:history="1">
        <w:r>
          <w:rPr>
            <w:color w:val="0A3A8C"/>
            <w:u w:val="single"/>
          </w:rPr>
          <w:t xml:space="preserve">§ 585b Beschreibung der Pachtsache</w:t>
        </w:r>
      </w:hyperlink>
    </w:p>
    <w:p>
      <w:pPr>
        <w:pStyle w:val="Übersicht"/>
        <w:ind w:left="1361"/>
      </w:pPr>
      <w:hyperlink w:anchor="b846" w:history="1">
        <w:r>
          <w:rPr>
            <w:color w:val="0A3A8C"/>
            <w:u w:val="single"/>
          </w:rPr>
          <w:t xml:space="preserve">§ 586 Vertragstypische Pflichten beim Landpachtvertrag</w:t>
        </w:r>
      </w:hyperlink>
    </w:p>
    <w:p>
      <w:pPr>
        <w:pStyle w:val="Übersicht"/>
        <w:ind w:left="1361"/>
      </w:pPr>
      <w:hyperlink w:anchor="b847" w:history="1">
        <w:r>
          <w:rPr>
            <w:color w:val="0A3A8C"/>
            <w:u w:val="single"/>
          </w:rPr>
          <w:t xml:space="preserve">§ 586a Lasten der Pachtsache</w:t>
        </w:r>
      </w:hyperlink>
    </w:p>
    <w:p>
      <w:pPr>
        <w:pStyle w:val="Übersicht"/>
        <w:ind w:left="1361"/>
      </w:pPr>
      <w:hyperlink w:anchor="b848" w:history="1">
        <w:r>
          <w:rPr>
            <w:color w:val="0A3A8C"/>
            <w:u w:val="single"/>
          </w:rPr>
          <w:t xml:space="preserve">§ 587 Fälligkeit der Pacht; Entrichtung der Pacht bei persönlicher
Verhinderung des Pächters</w:t>
        </w:r>
      </w:hyperlink>
    </w:p>
    <w:p>
      <w:pPr>
        <w:pStyle w:val="Übersicht"/>
        <w:ind w:left="1361"/>
      </w:pPr>
      <w:hyperlink w:anchor="b849" w:history="1">
        <w:r>
          <w:rPr>
            <w:color w:val="0A3A8C"/>
            <w:u w:val="single"/>
          </w:rPr>
          <w:t xml:space="preserve">§ 588 Maßnahmen zur Erhaltung oder Verbesserung</w:t>
        </w:r>
      </w:hyperlink>
    </w:p>
    <w:p>
      <w:pPr>
        <w:pStyle w:val="Übersicht"/>
        <w:ind w:left="1361"/>
      </w:pPr>
      <w:hyperlink w:anchor="b850" w:history="1">
        <w:r>
          <w:rPr>
            <w:color w:val="0A3A8C"/>
            <w:u w:val="single"/>
          </w:rPr>
          <w:t xml:space="preserve">§ 589 Nutzungsüberlassung an Dritte</w:t>
        </w:r>
      </w:hyperlink>
    </w:p>
    <w:p>
      <w:pPr>
        <w:pStyle w:val="Übersicht"/>
        <w:ind w:left="1361"/>
      </w:pPr>
      <w:hyperlink w:anchor="b851" w:history="1">
        <w:r>
          <w:rPr>
            <w:color w:val="0A3A8C"/>
            <w:u w:val="single"/>
          </w:rPr>
          <w:t xml:space="preserve">§ 590 Änderung der landwirtschaftlichen Bestimmung oder der
bisherigen Nutzung</w:t>
        </w:r>
      </w:hyperlink>
    </w:p>
    <w:p>
      <w:pPr>
        <w:pStyle w:val="Übersicht"/>
        <w:ind w:left="1361"/>
      </w:pPr>
      <w:hyperlink w:anchor="b852" w:history="1">
        <w:r>
          <w:rPr>
            <w:color w:val="0A3A8C"/>
            <w:u w:val="single"/>
          </w:rPr>
          <w:t xml:space="preserve">§ 590a Vertragswidriger Gebrauch</w:t>
        </w:r>
      </w:hyperlink>
    </w:p>
    <w:p>
      <w:pPr>
        <w:pStyle w:val="Übersicht"/>
        <w:ind w:left="1361"/>
      </w:pPr>
      <w:hyperlink w:anchor="b853" w:history="1">
        <w:r>
          <w:rPr>
            <w:color w:val="0A3A8C"/>
            <w:u w:val="single"/>
          </w:rPr>
          <w:t xml:space="preserve">§ 590b Notwendige Verwendungen</w:t>
        </w:r>
      </w:hyperlink>
    </w:p>
    <w:p>
      <w:pPr>
        <w:pStyle w:val="Übersicht"/>
        <w:ind w:left="1361"/>
      </w:pPr>
      <w:hyperlink w:anchor="b854" w:history="1">
        <w:r>
          <w:rPr>
            <w:color w:val="0A3A8C"/>
            <w:u w:val="single"/>
          </w:rPr>
          <w:t xml:space="preserve">§ 591 Wertverbessernde Verwendungen</w:t>
        </w:r>
      </w:hyperlink>
    </w:p>
    <w:p>
      <w:pPr>
        <w:pStyle w:val="Übersicht"/>
        <w:ind w:left="1361"/>
      </w:pPr>
      <w:hyperlink w:anchor="b855" w:history="1">
        <w:r>
          <w:rPr>
            <w:color w:val="0A3A8C"/>
            <w:u w:val="single"/>
          </w:rPr>
          <w:t xml:space="preserve">§ 591a Wegnahme von Einrichtungen</w:t>
        </w:r>
      </w:hyperlink>
    </w:p>
    <w:p>
      <w:pPr>
        <w:pStyle w:val="Übersicht"/>
        <w:ind w:left="1361"/>
      </w:pPr>
      <w:hyperlink w:anchor="b856" w:history="1">
        <w:r>
          <w:rPr>
            <w:color w:val="0A3A8C"/>
            <w:u w:val="single"/>
          </w:rPr>
          <w:t xml:space="preserve">§ 591b Verjährung von Ersatzansprüchen</w:t>
        </w:r>
      </w:hyperlink>
    </w:p>
    <w:p>
      <w:pPr>
        <w:pStyle w:val="Übersicht"/>
        <w:ind w:left="1361"/>
      </w:pPr>
      <w:hyperlink w:anchor="b857" w:history="1">
        <w:r>
          <w:rPr>
            <w:color w:val="0A3A8C"/>
            <w:u w:val="single"/>
          </w:rPr>
          <w:t xml:space="preserve">§ 592 Verpächterpfandrecht</w:t>
        </w:r>
      </w:hyperlink>
    </w:p>
    <w:p>
      <w:pPr>
        <w:pStyle w:val="Übersicht"/>
        <w:ind w:left="1361"/>
      </w:pPr>
      <w:hyperlink w:anchor="b858" w:history="1">
        <w:r>
          <w:rPr>
            <w:color w:val="0A3A8C"/>
            <w:u w:val="single"/>
          </w:rPr>
          <w:t xml:space="preserve">§ 593 Änderung von Landpachtverträgen</w:t>
        </w:r>
      </w:hyperlink>
    </w:p>
    <w:p>
      <w:pPr>
        <w:pStyle w:val="Übersicht"/>
        <w:ind w:left="1361"/>
      </w:pPr>
      <w:hyperlink w:anchor="b859" w:history="1">
        <w:r>
          <w:rPr>
            <w:color w:val="0A3A8C"/>
            <w:u w:val="single"/>
          </w:rPr>
          <w:t xml:space="preserve">§ 593a Betriebsübergabe</w:t>
        </w:r>
      </w:hyperlink>
    </w:p>
    <w:p>
      <w:pPr>
        <w:pStyle w:val="Übersicht"/>
        <w:ind w:left="1361"/>
      </w:pPr>
      <w:hyperlink w:anchor="b860" w:history="1">
        <w:r>
          <w:rPr>
            <w:color w:val="0A3A8C"/>
            <w:u w:val="single"/>
          </w:rPr>
          <w:t xml:space="preserve">§ 593b Veräußerung oder Belastung des verpachteten Grundstücks</w:t>
        </w:r>
      </w:hyperlink>
    </w:p>
    <w:p>
      <w:pPr>
        <w:pStyle w:val="Übersicht"/>
        <w:ind w:left="1361"/>
      </w:pPr>
      <w:hyperlink w:anchor="b861" w:history="1">
        <w:r>
          <w:rPr>
            <w:color w:val="0A3A8C"/>
            <w:u w:val="single"/>
          </w:rPr>
          <w:t xml:space="preserve">§ 594 Ende und Verlängerung des Pachtverhältnisses</w:t>
        </w:r>
      </w:hyperlink>
    </w:p>
    <w:p>
      <w:pPr>
        <w:pStyle w:val="Übersicht"/>
        <w:ind w:left="1361"/>
      </w:pPr>
      <w:hyperlink w:anchor="b862" w:history="1">
        <w:r>
          <w:rPr>
            <w:color w:val="0A3A8C"/>
            <w:u w:val="single"/>
          </w:rPr>
          <w:t xml:space="preserve">§ 594a Kündigungsfristen</w:t>
        </w:r>
      </w:hyperlink>
    </w:p>
    <w:p>
      <w:pPr>
        <w:pStyle w:val="Übersicht"/>
        <w:ind w:left="1361"/>
      </w:pPr>
      <w:hyperlink w:anchor="b863" w:history="1">
        <w:r>
          <w:rPr>
            <w:color w:val="0A3A8C"/>
            <w:u w:val="single"/>
          </w:rPr>
          <w:t xml:space="preserve">§ 594b Vertrag über mehr als 30 Jahre</w:t>
        </w:r>
      </w:hyperlink>
    </w:p>
    <w:p>
      <w:pPr>
        <w:pStyle w:val="Übersicht"/>
        <w:ind w:left="1361"/>
      </w:pPr>
      <w:hyperlink w:anchor="b864" w:history="1">
        <w:r>
          <w:rPr>
            <w:color w:val="0A3A8C"/>
            <w:u w:val="single"/>
          </w:rPr>
          <w:t xml:space="preserve">§ 594c Kündigung bei Berufsunfähigkeit des Pächters</w:t>
        </w:r>
      </w:hyperlink>
    </w:p>
    <w:p>
      <w:pPr>
        <w:pStyle w:val="Übersicht"/>
        <w:ind w:left="1361"/>
      </w:pPr>
      <w:hyperlink w:anchor="b865" w:history="1">
        <w:r>
          <w:rPr>
            <w:color w:val="0A3A8C"/>
            <w:u w:val="single"/>
          </w:rPr>
          <w:t xml:space="preserve">§ 594d Tod des Pächters</w:t>
        </w:r>
      </w:hyperlink>
    </w:p>
    <w:p>
      <w:pPr>
        <w:pStyle w:val="Übersicht"/>
        <w:ind w:left="1361"/>
      </w:pPr>
      <w:hyperlink w:anchor="b866" w:history="1">
        <w:r>
          <w:rPr>
            <w:color w:val="0A3A8C"/>
            <w:u w:val="single"/>
          </w:rPr>
          <w:t xml:space="preserve">§ 594e Außerordentliche fristlose Kündigung aus wichtigem Grund</w:t>
        </w:r>
      </w:hyperlink>
    </w:p>
    <w:p>
      <w:pPr>
        <w:pStyle w:val="Übersicht"/>
        <w:ind w:left="1361"/>
      </w:pPr>
      <w:hyperlink w:anchor="b867" w:history="1">
        <w:r>
          <w:rPr>
            <w:color w:val="0A3A8C"/>
            <w:u w:val="single"/>
          </w:rPr>
          <w:t xml:space="preserve">§ 594f Schriftform der Kündigung</w:t>
        </w:r>
      </w:hyperlink>
    </w:p>
    <w:p>
      <w:pPr>
        <w:pStyle w:val="Übersicht"/>
        <w:ind w:left="1361"/>
      </w:pPr>
      <w:hyperlink w:anchor="b868" w:history="1">
        <w:r>
          <w:rPr>
            <w:color w:val="0A3A8C"/>
            <w:u w:val="single"/>
          </w:rPr>
          <w:t xml:space="preserve">§ 595 Fortsetzung des Pachtverhältnisses</w:t>
        </w:r>
      </w:hyperlink>
    </w:p>
    <w:p>
      <w:pPr>
        <w:pStyle w:val="Übersicht"/>
        <w:ind w:left="1361"/>
      </w:pPr>
      <w:hyperlink w:anchor="b869" w:history="1">
        <w:r>
          <w:rPr>
            <w:color w:val="0A3A8C"/>
            <w:u w:val="single"/>
          </w:rPr>
          <w:t xml:space="preserve">§ 595a Vorzeitige Kündigung von Landpachtverträgen</w:t>
        </w:r>
      </w:hyperlink>
    </w:p>
    <w:p>
      <w:pPr>
        <w:pStyle w:val="Übersicht"/>
        <w:ind w:left="1361"/>
      </w:pPr>
      <w:hyperlink w:anchor="b870" w:history="1">
        <w:r>
          <w:rPr>
            <w:color w:val="0A3A8C"/>
            <w:u w:val="single"/>
          </w:rPr>
          <w:t xml:space="preserve">§ 596 Rückgabe der Pachtsache</w:t>
        </w:r>
      </w:hyperlink>
    </w:p>
    <w:p>
      <w:pPr>
        <w:pStyle w:val="Übersicht"/>
        <w:ind w:left="1361"/>
      </w:pPr>
      <w:hyperlink w:anchor="b871" w:history="1">
        <w:r>
          <w:rPr>
            <w:color w:val="0A3A8C"/>
            <w:u w:val="single"/>
          </w:rPr>
          <w:t xml:space="preserve">§ 596a Ersatzpflicht bei vorzeitigem Pachtende</w:t>
        </w:r>
      </w:hyperlink>
    </w:p>
    <w:p>
      <w:pPr>
        <w:pStyle w:val="Übersicht"/>
        <w:ind w:left="1361"/>
      </w:pPr>
      <w:hyperlink w:anchor="b872" w:history="1">
        <w:r>
          <w:rPr>
            <w:color w:val="0A3A8C"/>
            <w:u w:val="single"/>
          </w:rPr>
          <w:t xml:space="preserve">§ 596b Rücklassungspflicht</w:t>
        </w:r>
      </w:hyperlink>
    </w:p>
    <w:p>
      <w:pPr>
        <w:pStyle w:val="Übersicht"/>
        <w:ind w:left="1361"/>
      </w:pPr>
      <w:hyperlink w:anchor="b873" w:history="1">
        <w:r>
          <w:rPr>
            <w:color w:val="0A3A8C"/>
            <w:u w:val="single"/>
          </w:rPr>
          <w:t xml:space="preserve">§ 597 Verspätete Rückgabe</w:t>
        </w:r>
      </w:hyperlink>
    </w:p>
    <w:p>
      <w:pPr>
        <w:pStyle w:val="Übersicht"/>
        <w:ind w:left="680"/>
      </w:pPr>
      <w:hyperlink w:anchor="b874" w:history="1">
        <w:r>
          <w:rPr>
            <w:b/>
            <w:color w:val="0A3A8C"/>
            <w:u w:val="single"/>
          </w:rPr>
          <w:t xml:space="preserve">Titel 6 Leihe</w:t>
        </w:r>
      </w:hyperlink>
    </w:p>
    <w:p>
      <w:pPr>
        <w:pStyle w:val="Übersicht"/>
        <w:ind w:left="1020"/>
      </w:pPr>
      <w:hyperlink w:anchor="b875" w:history="1">
        <w:r>
          <w:rPr>
            <w:color w:val="0A3A8C"/>
            <w:u w:val="single"/>
          </w:rPr>
          <w:t xml:space="preserve">§ 598 Vertragstypische Pflichten bei der Leihe</w:t>
        </w:r>
      </w:hyperlink>
    </w:p>
    <w:p>
      <w:pPr>
        <w:pStyle w:val="Übersicht"/>
        <w:ind w:left="1020"/>
      </w:pPr>
      <w:hyperlink w:anchor="b876" w:history="1">
        <w:r>
          <w:rPr>
            <w:color w:val="0A3A8C"/>
            <w:u w:val="single"/>
          </w:rPr>
          <w:t xml:space="preserve">§ 599 Haftung des Verleihers</w:t>
        </w:r>
      </w:hyperlink>
    </w:p>
    <w:p>
      <w:pPr>
        <w:pStyle w:val="Übersicht"/>
        <w:ind w:left="1020"/>
      </w:pPr>
      <w:hyperlink w:anchor="b877" w:history="1">
        <w:r>
          <w:rPr>
            <w:color w:val="0A3A8C"/>
            <w:u w:val="single"/>
          </w:rPr>
          <w:t xml:space="preserve">§ 600 Mängelhaftung</w:t>
        </w:r>
      </w:hyperlink>
    </w:p>
    <w:p>
      <w:pPr>
        <w:pStyle w:val="Übersicht"/>
        <w:ind w:left="1020"/>
      </w:pPr>
      <w:hyperlink w:anchor="b878" w:history="1">
        <w:r>
          <w:rPr>
            <w:color w:val="0A3A8C"/>
            <w:u w:val="single"/>
          </w:rPr>
          <w:t xml:space="preserve">§ 601 Verwendungsersatz</w:t>
        </w:r>
      </w:hyperlink>
    </w:p>
    <w:p>
      <w:pPr>
        <w:pStyle w:val="Übersicht"/>
        <w:ind w:left="1020"/>
      </w:pPr>
      <w:hyperlink w:anchor="b879" w:history="1">
        <w:r>
          <w:rPr>
            <w:color w:val="0A3A8C"/>
            <w:u w:val="single"/>
          </w:rPr>
          <w:t xml:space="preserve">§ 602 Abnutzung der Sache</w:t>
        </w:r>
      </w:hyperlink>
    </w:p>
    <w:p>
      <w:pPr>
        <w:pStyle w:val="Übersicht"/>
        <w:ind w:left="1020"/>
      </w:pPr>
      <w:hyperlink w:anchor="b880" w:history="1">
        <w:r>
          <w:rPr>
            <w:color w:val="0A3A8C"/>
            <w:u w:val="single"/>
          </w:rPr>
          <w:t xml:space="preserve">§ 603 Vertragsmäßiger Gebrauch</w:t>
        </w:r>
      </w:hyperlink>
    </w:p>
    <w:p>
      <w:pPr>
        <w:pStyle w:val="Übersicht"/>
        <w:ind w:left="1020"/>
      </w:pPr>
      <w:hyperlink w:anchor="b881" w:history="1">
        <w:r>
          <w:rPr>
            <w:color w:val="0A3A8C"/>
            <w:u w:val="single"/>
          </w:rPr>
          <w:t xml:space="preserve">§ 604 Rückgabepflicht</w:t>
        </w:r>
      </w:hyperlink>
    </w:p>
    <w:p>
      <w:pPr>
        <w:pStyle w:val="Übersicht"/>
        <w:ind w:left="1020"/>
      </w:pPr>
      <w:hyperlink w:anchor="b882" w:history="1">
        <w:r>
          <w:rPr>
            <w:color w:val="0A3A8C"/>
            <w:u w:val="single"/>
          </w:rPr>
          <w:t xml:space="preserve">§ 605 Kündigungsrecht</w:t>
        </w:r>
      </w:hyperlink>
    </w:p>
    <w:p>
      <w:pPr>
        <w:pStyle w:val="Übersicht"/>
        <w:ind w:left="1020"/>
      </w:pPr>
      <w:hyperlink w:anchor="b883" w:history="1">
        <w:r>
          <w:rPr>
            <w:color w:val="0A3A8C"/>
            <w:u w:val="single"/>
          </w:rPr>
          <w:t xml:space="preserve">§ 606 Kurze Verjährung</w:t>
        </w:r>
      </w:hyperlink>
    </w:p>
    <w:p>
      <w:pPr>
        <w:pStyle w:val="Übersicht"/>
        <w:ind w:left="680"/>
      </w:pPr>
      <w:hyperlink w:anchor="b884" w:history="1">
        <w:r>
          <w:rPr>
            <w:b/>
            <w:color w:val="0A3A8C"/>
            <w:u w:val="single"/>
          </w:rPr>
          <w:t xml:space="preserve">Titel 7 Sachdarlehensvertrag</w:t>
        </w:r>
      </w:hyperlink>
    </w:p>
    <w:p>
      <w:pPr>
        <w:pStyle w:val="Übersicht"/>
        <w:ind w:left="1020"/>
      </w:pPr>
      <w:hyperlink w:anchor="b885" w:history="1">
        <w:r>
          <w:rPr>
            <w:color w:val="0A3A8C"/>
            <w:u w:val="single"/>
          </w:rPr>
          <w:t xml:space="preserve">§ 607 Vertragstypische Pflichten beim Sachdarlehensvertrag</w:t>
        </w:r>
      </w:hyperlink>
    </w:p>
    <w:p>
      <w:pPr>
        <w:pStyle w:val="Übersicht"/>
        <w:ind w:left="1020"/>
      </w:pPr>
      <w:hyperlink w:anchor="b886" w:history="1">
        <w:r>
          <w:rPr>
            <w:color w:val="0A3A8C"/>
            <w:u w:val="single"/>
          </w:rPr>
          <w:t xml:space="preserve">§ 608 Kündigung</w:t>
        </w:r>
      </w:hyperlink>
    </w:p>
    <w:p>
      <w:pPr>
        <w:pStyle w:val="Übersicht"/>
        <w:ind w:left="1020"/>
      </w:pPr>
      <w:hyperlink w:anchor="b887" w:history="1">
        <w:r>
          <w:rPr>
            <w:color w:val="0A3A8C"/>
            <w:u w:val="single"/>
          </w:rPr>
          <w:t xml:space="preserve">§ 609 Entgelt</w:t>
        </w:r>
      </w:hyperlink>
    </w:p>
    <w:p>
      <w:pPr>
        <w:pStyle w:val="Übersicht"/>
        <w:ind w:left="1020"/>
      </w:pPr>
      <w:hyperlink w:anchor="b888" w:history="1">
        <w:r>
          <w:rPr>
            <w:color w:val="0A3A8C"/>
            <w:u w:val="single"/>
          </w:rPr>
          <w:t xml:space="preserve">§ 610</w:t>
        </w:r>
      </w:hyperlink>
    </w:p>
    <w:p>
      <w:pPr>
        <w:pStyle w:val="Übersicht"/>
        <w:ind w:left="680"/>
      </w:pPr>
      <w:hyperlink w:anchor="b889" w:history="1">
        <w:r>
          <w:rPr>
            <w:b/>
            <w:color w:val="0A3A8C"/>
            <w:u w:val="single"/>
          </w:rPr>
          <w:t xml:space="preserve">Titel 8 Dienstvertrag und ähnliche Verträge</w:t>
        </w:r>
      </w:hyperlink>
    </w:p>
    <w:p>
      <w:pPr>
        <w:pStyle w:val="Übersicht"/>
        <w:ind w:left="1020"/>
      </w:pPr>
      <w:hyperlink w:anchor="b890" w:history="1">
        <w:r>
          <w:rPr>
            <w:b/>
            <w:color w:val="0A3A8C"/>
            <w:u w:val="single"/>
          </w:rPr>
          <w:t xml:space="preserve">Untertitel 1 Dienstvertrag</w:t>
        </w:r>
      </w:hyperlink>
    </w:p>
    <w:p>
      <w:pPr>
        <w:pStyle w:val="Übersicht"/>
        <w:ind w:left="1361"/>
      </w:pPr>
      <w:hyperlink w:anchor="b891" w:history="1">
        <w:r>
          <w:rPr>
            <w:color w:val="0A3A8C"/>
            <w:u w:val="single"/>
          </w:rPr>
          <w:t xml:space="preserve">§ 611 Vertragstypische Pflichten beim Dienstvertrag</w:t>
        </w:r>
      </w:hyperlink>
    </w:p>
    <w:p>
      <w:pPr>
        <w:pStyle w:val="Übersicht"/>
        <w:ind w:left="1361"/>
      </w:pPr>
      <w:hyperlink w:anchor="b892" w:history="1">
        <w:r>
          <w:rPr>
            <w:color w:val="0A3A8C"/>
            <w:u w:val="single"/>
          </w:rPr>
          <w:t xml:space="preserve">§ 611a Arbeitsvertrag</w:t>
        </w:r>
      </w:hyperlink>
    </w:p>
    <w:p>
      <w:pPr>
        <w:pStyle w:val="Übersicht"/>
        <w:ind w:left="1361"/>
      </w:pPr>
      <w:hyperlink w:anchor="b893" w:history="1">
        <w:r>
          <w:rPr>
            <w:color w:val="0A3A8C"/>
            <w:u w:val="single"/>
          </w:rPr>
          <w:t xml:space="preserve">§ 611b (weggefallen)</w:t>
        </w:r>
      </w:hyperlink>
    </w:p>
    <w:p>
      <w:pPr>
        <w:pStyle w:val="Übersicht"/>
        <w:ind w:left="1361"/>
      </w:pPr>
      <w:hyperlink w:anchor="b894" w:history="1">
        <w:r>
          <w:rPr>
            <w:color w:val="0A3A8C"/>
            <w:u w:val="single"/>
          </w:rPr>
          <w:t xml:space="preserve">§ 612 Vergütung</w:t>
        </w:r>
      </w:hyperlink>
    </w:p>
    <w:p>
      <w:pPr>
        <w:pStyle w:val="Übersicht"/>
        <w:ind w:left="1361"/>
      </w:pPr>
      <w:hyperlink w:anchor="b895" w:history="1">
        <w:r>
          <w:rPr>
            <w:color w:val="0A3A8C"/>
            <w:u w:val="single"/>
          </w:rPr>
          <w:t xml:space="preserve">§ 612a Maßregelungsverbot</w:t>
        </w:r>
      </w:hyperlink>
    </w:p>
    <w:p>
      <w:pPr>
        <w:pStyle w:val="Übersicht"/>
        <w:ind w:left="1361"/>
      </w:pPr>
      <w:hyperlink w:anchor="b896" w:history="1">
        <w:r>
          <w:rPr>
            <w:color w:val="0A3A8C"/>
            <w:u w:val="single"/>
          </w:rPr>
          <w:t xml:space="preserve">§ 613 Unübertragbarkeit</w:t>
        </w:r>
      </w:hyperlink>
    </w:p>
    <w:p>
      <w:pPr>
        <w:pStyle w:val="Übersicht"/>
        <w:ind w:left="1361"/>
      </w:pPr>
      <w:hyperlink w:anchor="b897" w:history="1">
        <w:r>
          <w:rPr>
            <w:color w:val="0A3A8C"/>
            <w:u w:val="single"/>
          </w:rPr>
          <w:t xml:space="preserve">§ 613a Rechte und Pflichten bei Betriebsübergang</w:t>
        </w:r>
      </w:hyperlink>
    </w:p>
    <w:p>
      <w:pPr>
        <w:pStyle w:val="Übersicht"/>
        <w:ind w:left="1361"/>
      </w:pPr>
      <w:hyperlink w:anchor="b898" w:history="1">
        <w:r>
          <w:rPr>
            <w:color w:val="0A3A8C"/>
            <w:u w:val="single"/>
          </w:rPr>
          <w:t xml:space="preserve">§ 614 Fälligkeit der Vergütung</w:t>
        </w:r>
      </w:hyperlink>
    </w:p>
    <w:p>
      <w:pPr>
        <w:pStyle w:val="Übersicht"/>
        <w:ind w:left="1361"/>
      </w:pPr>
      <w:hyperlink w:anchor="b899" w:history="1">
        <w:r>
          <w:rPr>
            <w:color w:val="0A3A8C"/>
            <w:u w:val="single"/>
          </w:rPr>
          <w:t xml:space="preserve">§ 615 Vergütung bei Annahmeverzug und bei Betriebsrisiko</w:t>
        </w:r>
      </w:hyperlink>
    </w:p>
    <w:p>
      <w:pPr>
        <w:pStyle w:val="Übersicht"/>
        <w:ind w:left="1361"/>
      </w:pPr>
      <w:hyperlink w:anchor="b900" w:history="1">
        <w:r>
          <w:rPr>
            <w:color w:val="0A3A8C"/>
            <w:u w:val="single"/>
          </w:rPr>
          <w:t xml:space="preserve">§ 616 Vorübergehende Verhinderung</w:t>
        </w:r>
      </w:hyperlink>
    </w:p>
    <w:p>
      <w:pPr>
        <w:pStyle w:val="Übersicht"/>
        <w:ind w:left="1361"/>
      </w:pPr>
      <w:hyperlink w:anchor="b901" w:history="1">
        <w:r>
          <w:rPr>
            <w:color w:val="0A3A8C"/>
            <w:u w:val="single"/>
          </w:rPr>
          <w:t xml:space="preserve">§ 617 Pflicht zur Krankenfürsorge</w:t>
        </w:r>
      </w:hyperlink>
    </w:p>
    <w:p>
      <w:pPr>
        <w:pStyle w:val="Übersicht"/>
        <w:ind w:left="1361"/>
      </w:pPr>
      <w:hyperlink w:anchor="b902" w:history="1">
        <w:r>
          <w:rPr>
            <w:color w:val="0A3A8C"/>
            <w:u w:val="single"/>
          </w:rPr>
          <w:t xml:space="preserve">§ 618 Pflicht zu Schutzmaßnahmen</w:t>
        </w:r>
      </w:hyperlink>
    </w:p>
    <w:p>
      <w:pPr>
        <w:pStyle w:val="Übersicht"/>
        <w:ind w:left="1361"/>
      </w:pPr>
      <w:hyperlink w:anchor="b903" w:history="1">
        <w:r>
          <w:rPr>
            <w:color w:val="0A3A8C"/>
            <w:u w:val="single"/>
          </w:rPr>
          <w:t xml:space="preserve">§ 619 Unabdingbarkeit der Fürsorgepflichten</w:t>
        </w:r>
      </w:hyperlink>
    </w:p>
    <w:p>
      <w:pPr>
        <w:pStyle w:val="Übersicht"/>
        <w:ind w:left="1361"/>
      </w:pPr>
      <w:hyperlink w:anchor="b904" w:history="1">
        <w:r>
          <w:rPr>
            <w:color w:val="0A3A8C"/>
            <w:u w:val="single"/>
          </w:rPr>
          <w:t xml:space="preserve">§ 619a Beweislast bei Haftung des Arbeitnehmers</w:t>
        </w:r>
      </w:hyperlink>
    </w:p>
    <w:p>
      <w:pPr>
        <w:pStyle w:val="Übersicht"/>
        <w:ind w:left="1361"/>
      </w:pPr>
      <w:hyperlink w:anchor="b905" w:history="1">
        <w:r>
          <w:rPr>
            <w:color w:val="0A3A8C"/>
            <w:u w:val="single"/>
          </w:rPr>
          <w:t xml:space="preserve">§ 620 Beendigung des Dienstverhältnisses</w:t>
        </w:r>
      </w:hyperlink>
    </w:p>
    <w:p>
      <w:pPr>
        <w:pStyle w:val="Übersicht"/>
        <w:ind w:left="1361"/>
      </w:pPr>
      <w:hyperlink w:anchor="b906" w:history="1">
        <w:r>
          <w:rPr>
            <w:color w:val="0A3A8C"/>
            <w:u w:val="single"/>
          </w:rPr>
          <w:t xml:space="preserve">§ 621 Kündigungsfristen bei Dienstverhältnissen</w:t>
        </w:r>
      </w:hyperlink>
    </w:p>
    <w:p>
      <w:pPr>
        <w:pStyle w:val="Übersicht"/>
        <w:ind w:left="1361"/>
      </w:pPr>
      <w:hyperlink w:anchor="b907" w:history="1">
        <w:r>
          <w:rPr>
            <w:color w:val="0A3A8C"/>
            <w:u w:val="single"/>
          </w:rPr>
          <w:t xml:space="preserve">§ 622 Kündigungsfristen bei Arbeitsverhältnissen</w:t>
        </w:r>
      </w:hyperlink>
    </w:p>
    <w:p>
      <w:pPr>
        <w:pStyle w:val="Übersicht"/>
        <w:ind w:left="1361"/>
      </w:pPr>
      <w:hyperlink w:anchor="b908" w:history="1">
        <w:r>
          <w:rPr>
            <w:color w:val="0A3A8C"/>
            <w:u w:val="single"/>
          </w:rPr>
          <w:t xml:space="preserve">§ 623 Schriftform der Kündigung</w:t>
        </w:r>
      </w:hyperlink>
    </w:p>
    <w:p>
      <w:pPr>
        <w:pStyle w:val="Übersicht"/>
        <w:ind w:left="1361"/>
      </w:pPr>
      <w:hyperlink w:anchor="b909" w:history="1">
        <w:r>
          <w:rPr>
            <w:color w:val="0A3A8C"/>
            <w:u w:val="single"/>
          </w:rPr>
          <w:t xml:space="preserve">§ 624 Kündigungsfrist bei Verträgen über mehr als fünf Jahre</w:t>
        </w:r>
      </w:hyperlink>
    </w:p>
    <w:p>
      <w:pPr>
        <w:pStyle w:val="Übersicht"/>
        <w:ind w:left="1361"/>
      </w:pPr>
      <w:hyperlink w:anchor="b910" w:history="1">
        <w:r>
          <w:rPr>
            <w:color w:val="0A3A8C"/>
            <w:u w:val="single"/>
          </w:rPr>
          <w:t xml:space="preserve">§ 625 Stillschweigende Verlängerung</w:t>
        </w:r>
      </w:hyperlink>
    </w:p>
    <w:p>
      <w:pPr>
        <w:pStyle w:val="Übersicht"/>
        <w:ind w:left="1361"/>
      </w:pPr>
      <w:hyperlink w:anchor="b911" w:history="1">
        <w:r>
          <w:rPr>
            <w:color w:val="0A3A8C"/>
            <w:u w:val="single"/>
          </w:rPr>
          <w:t xml:space="preserve">§ 626 Fristlose Kündigung aus wichtigem Grund</w:t>
        </w:r>
      </w:hyperlink>
    </w:p>
    <w:p>
      <w:pPr>
        <w:pStyle w:val="Übersicht"/>
        <w:ind w:left="1361"/>
      </w:pPr>
      <w:hyperlink w:anchor="b912" w:history="1">
        <w:r>
          <w:rPr>
            <w:color w:val="0A3A8C"/>
            <w:u w:val="single"/>
          </w:rPr>
          <w:t xml:space="preserve">§ 627 Fristlose Kündigung bei Vertrauensstellung</w:t>
        </w:r>
      </w:hyperlink>
    </w:p>
    <w:p>
      <w:pPr>
        <w:pStyle w:val="Übersicht"/>
        <w:ind w:left="1361"/>
      </w:pPr>
      <w:hyperlink w:anchor="b913" w:history="1">
        <w:r>
          <w:rPr>
            <w:color w:val="0A3A8C"/>
            <w:u w:val="single"/>
          </w:rPr>
          <w:t xml:space="preserve">§ 628 Teilvergütung und Schadensersatz bei fristloser Kündigung</w:t>
        </w:r>
      </w:hyperlink>
    </w:p>
    <w:p>
      <w:pPr>
        <w:pStyle w:val="Übersicht"/>
        <w:ind w:left="1361"/>
      </w:pPr>
      <w:hyperlink w:anchor="b914" w:history="1">
        <w:r>
          <w:rPr>
            <w:color w:val="0A3A8C"/>
            <w:u w:val="single"/>
          </w:rPr>
          <w:t xml:space="preserve">§ 629 Freizeit zur Stellungssuche</w:t>
        </w:r>
      </w:hyperlink>
    </w:p>
    <w:p>
      <w:pPr>
        <w:pStyle w:val="Übersicht"/>
        <w:ind w:left="1361"/>
      </w:pPr>
      <w:hyperlink w:anchor="b915" w:history="1">
        <w:r>
          <w:rPr>
            <w:color w:val="0A3A8C"/>
            <w:u w:val="single"/>
          </w:rPr>
          <w:t xml:space="preserve">§ 630 Pflicht zur Zeugniserteilung</w:t>
        </w:r>
      </w:hyperlink>
    </w:p>
    <w:p>
      <w:pPr>
        <w:pStyle w:val="Übersicht"/>
        <w:ind w:left="1020"/>
      </w:pPr>
      <w:hyperlink w:anchor="b916" w:history="1">
        <w:r>
          <w:rPr>
            <w:b/>
            <w:color w:val="0A3A8C"/>
            <w:u w:val="single"/>
          </w:rPr>
          <w:t xml:space="preserve">Untertitel 2 Behandlungsvertrag</w:t>
        </w:r>
      </w:hyperlink>
    </w:p>
    <w:p>
      <w:pPr>
        <w:pStyle w:val="Übersicht"/>
        <w:ind w:left="1361"/>
      </w:pPr>
      <w:hyperlink w:anchor="b917" w:history="1">
        <w:r>
          <w:rPr>
            <w:color w:val="0A3A8C"/>
            <w:u w:val="single"/>
          </w:rPr>
          <w:t xml:space="preserve">§ 630a Vertragstypische Pflichten beim Behandlungsvertrag</w:t>
        </w:r>
      </w:hyperlink>
    </w:p>
    <w:p>
      <w:pPr>
        <w:pStyle w:val="Übersicht"/>
        <w:ind w:left="1361"/>
      </w:pPr>
      <w:hyperlink w:anchor="b918" w:history="1">
        <w:r>
          <w:rPr>
            <w:color w:val="0A3A8C"/>
            <w:u w:val="single"/>
          </w:rPr>
          <w:t xml:space="preserve">§ 630b Anwendbare Vorschriften</w:t>
        </w:r>
      </w:hyperlink>
    </w:p>
    <w:p>
      <w:pPr>
        <w:pStyle w:val="Übersicht"/>
        <w:ind w:left="1361"/>
      </w:pPr>
      <w:hyperlink w:anchor="b919" w:history="1">
        <w:r>
          <w:rPr>
            <w:color w:val="0A3A8C"/>
            <w:u w:val="single"/>
          </w:rPr>
          <w:t xml:space="preserve">§ 630c Mitwirkung der Vertragsparteien; Informationspflichten</w:t>
        </w:r>
      </w:hyperlink>
    </w:p>
    <w:p>
      <w:pPr>
        <w:pStyle w:val="Übersicht"/>
        <w:ind w:left="1361"/>
      </w:pPr>
      <w:hyperlink w:anchor="b920" w:history="1">
        <w:r>
          <w:rPr>
            <w:color w:val="0A3A8C"/>
            <w:u w:val="single"/>
          </w:rPr>
          <w:t xml:space="preserve">§ 630d Einwilligung</w:t>
        </w:r>
      </w:hyperlink>
    </w:p>
    <w:p>
      <w:pPr>
        <w:pStyle w:val="Übersicht"/>
        <w:ind w:left="1361"/>
      </w:pPr>
      <w:hyperlink w:anchor="b921" w:history="1">
        <w:r>
          <w:rPr>
            <w:color w:val="0A3A8C"/>
            <w:u w:val="single"/>
          </w:rPr>
          <w:t xml:space="preserve">§ 630e Aufklärungspflichten</w:t>
        </w:r>
      </w:hyperlink>
    </w:p>
    <w:p>
      <w:pPr>
        <w:pStyle w:val="Übersicht"/>
        <w:ind w:left="1361"/>
      </w:pPr>
      <w:hyperlink w:anchor="b922" w:history="1">
        <w:r>
          <w:rPr>
            <w:color w:val="0A3A8C"/>
            <w:u w:val="single"/>
          </w:rPr>
          <w:t xml:space="preserve">§ 630f Dokumentation der Behandlung</w:t>
        </w:r>
      </w:hyperlink>
    </w:p>
    <w:p>
      <w:pPr>
        <w:pStyle w:val="Übersicht"/>
        <w:ind w:left="1361"/>
      </w:pPr>
      <w:hyperlink w:anchor="b923" w:history="1">
        <w:r>
          <w:rPr>
            <w:color w:val="0A3A8C"/>
            <w:u w:val="single"/>
          </w:rPr>
          <w:t xml:space="preserve">§ 630g Einsichtnahme in die Behandlungsakte</w:t>
        </w:r>
      </w:hyperlink>
    </w:p>
    <w:p>
      <w:pPr>
        <w:pStyle w:val="Übersicht"/>
        <w:ind w:left="1361"/>
      </w:pPr>
      <w:hyperlink w:anchor="b924" w:history="1">
        <w:r>
          <w:rPr>
            <w:color w:val="0A3A8C"/>
            <w:u w:val="single"/>
          </w:rPr>
          <w:t xml:space="preserve">§ 630h Beweislast bei Haftung für Behandlungs- und Aufklärungsfehler</w:t>
        </w:r>
      </w:hyperlink>
    </w:p>
    <w:p>
      <w:pPr>
        <w:pStyle w:val="Übersicht"/>
        <w:ind w:left="680"/>
      </w:pPr>
      <w:hyperlink w:anchor="b925" w:history="1">
        <w:r>
          <w:rPr>
            <w:b/>
            <w:color w:val="0A3A8C"/>
            <w:u w:val="single"/>
          </w:rPr>
          <w:t xml:space="preserve">Titel 9 Werkvertrag und ähnliche Verträge</w:t>
        </w:r>
      </w:hyperlink>
    </w:p>
    <w:p>
      <w:pPr>
        <w:pStyle w:val="Übersicht"/>
        <w:ind w:left="1020"/>
      </w:pPr>
      <w:hyperlink w:anchor="b926" w:history="1">
        <w:r>
          <w:rPr>
            <w:b/>
            <w:color w:val="0A3A8C"/>
            <w:u w:val="single"/>
          </w:rPr>
          <w:t xml:space="preserve">Untertitel 1 Werkvertrag</w:t>
        </w:r>
      </w:hyperlink>
    </w:p>
    <w:p>
      <w:pPr>
        <w:pStyle w:val="Übersicht"/>
        <w:ind w:left="1361"/>
      </w:pPr>
      <w:hyperlink w:anchor="b927" w:history="1">
        <w:r>
          <w:rPr>
            <w:b/>
            <w:color w:val="0A3A8C"/>
            <w:u w:val="single"/>
          </w:rPr>
          <w:t xml:space="preserve">Kapitel 1 Allgemeine Vorschriften</w:t>
        </w:r>
      </w:hyperlink>
    </w:p>
    <w:p>
      <w:pPr>
        <w:pStyle w:val="Übersicht"/>
        <w:ind w:left="1701"/>
      </w:pPr>
      <w:hyperlink w:anchor="b928" w:history="1">
        <w:r>
          <w:rPr>
            <w:color w:val="0A3A8C"/>
            <w:u w:val="single"/>
          </w:rPr>
          <w:t xml:space="preserve">§ 631 Vertragstypische Pflichten beim Werkvertrag</w:t>
        </w:r>
      </w:hyperlink>
    </w:p>
    <w:p>
      <w:pPr>
        <w:pStyle w:val="Übersicht"/>
        <w:ind w:left="1701"/>
      </w:pPr>
      <w:hyperlink w:anchor="b929" w:history="1">
        <w:r>
          <w:rPr>
            <w:color w:val="0A3A8C"/>
            <w:u w:val="single"/>
          </w:rPr>
          <w:t xml:space="preserve">§ 632 Vergütung</w:t>
        </w:r>
      </w:hyperlink>
    </w:p>
    <w:p>
      <w:pPr>
        <w:pStyle w:val="Übersicht"/>
        <w:ind w:left="1701"/>
      </w:pPr>
      <w:hyperlink w:anchor="b930" w:history="1">
        <w:r>
          <w:rPr>
            <w:color w:val="0A3A8C"/>
            <w:u w:val="single"/>
          </w:rPr>
          <w:t xml:space="preserve">§ 632a Abschlagszahlungen</w:t>
        </w:r>
      </w:hyperlink>
    </w:p>
    <w:p>
      <w:pPr>
        <w:pStyle w:val="Übersicht"/>
        <w:ind w:left="1701"/>
      </w:pPr>
      <w:hyperlink w:anchor="b931" w:history="1">
        <w:r>
          <w:rPr>
            <w:color w:val="0A3A8C"/>
            <w:u w:val="single"/>
          </w:rPr>
          <w:t xml:space="preserve">§ 633 Sach- und Rechtsmangel</w:t>
        </w:r>
      </w:hyperlink>
    </w:p>
    <w:p>
      <w:pPr>
        <w:pStyle w:val="Übersicht"/>
        <w:ind w:left="1701"/>
      </w:pPr>
      <w:hyperlink w:anchor="b932" w:history="1">
        <w:r>
          <w:rPr>
            <w:color w:val="0A3A8C"/>
            <w:u w:val="single"/>
          </w:rPr>
          <w:t xml:space="preserve">§ 634 Rechte des Bestellers bei Mängeln</w:t>
        </w:r>
      </w:hyperlink>
    </w:p>
    <w:p>
      <w:pPr>
        <w:pStyle w:val="Übersicht"/>
        <w:ind w:left="1701"/>
      </w:pPr>
      <w:hyperlink w:anchor="b933" w:history="1">
        <w:r>
          <w:rPr>
            <w:color w:val="0A3A8C"/>
            <w:u w:val="single"/>
          </w:rPr>
          <w:t xml:space="preserve">§ 634a Verjährung der Mängelansprüche</w:t>
        </w:r>
      </w:hyperlink>
    </w:p>
    <w:p>
      <w:pPr>
        <w:pStyle w:val="Übersicht"/>
        <w:ind w:left="1701"/>
      </w:pPr>
      <w:hyperlink w:anchor="b934" w:history="1">
        <w:r>
          <w:rPr>
            <w:color w:val="0A3A8C"/>
            <w:u w:val="single"/>
          </w:rPr>
          <w:t xml:space="preserve">§ 635 Nacherfüllung</w:t>
        </w:r>
      </w:hyperlink>
    </w:p>
    <w:p>
      <w:pPr>
        <w:pStyle w:val="Übersicht"/>
        <w:ind w:left="1701"/>
      </w:pPr>
      <w:hyperlink w:anchor="b935" w:history="1">
        <w:r>
          <w:rPr>
            <w:color w:val="0A3A8C"/>
            <w:u w:val="single"/>
          </w:rPr>
          <w:t xml:space="preserve">§ 636 Besondere Bestimmungen für Rücktritt und Schadensersatz</w:t>
        </w:r>
      </w:hyperlink>
    </w:p>
    <w:p>
      <w:pPr>
        <w:pStyle w:val="Übersicht"/>
        <w:ind w:left="1701"/>
      </w:pPr>
      <w:hyperlink w:anchor="b936" w:history="1">
        <w:r>
          <w:rPr>
            <w:color w:val="0A3A8C"/>
            <w:u w:val="single"/>
          </w:rPr>
          <w:t xml:space="preserve">§ 637 Selbstvornahme</w:t>
        </w:r>
      </w:hyperlink>
    </w:p>
    <w:p>
      <w:pPr>
        <w:pStyle w:val="Übersicht"/>
        <w:ind w:left="1701"/>
      </w:pPr>
      <w:hyperlink w:anchor="b937" w:history="1">
        <w:r>
          <w:rPr>
            <w:color w:val="0A3A8C"/>
            <w:u w:val="single"/>
          </w:rPr>
          <w:t xml:space="preserve">§ 638 Minderung</w:t>
        </w:r>
      </w:hyperlink>
    </w:p>
    <w:p>
      <w:pPr>
        <w:pStyle w:val="Übersicht"/>
        <w:ind w:left="1701"/>
      </w:pPr>
      <w:hyperlink w:anchor="b938" w:history="1">
        <w:r>
          <w:rPr>
            <w:color w:val="0A3A8C"/>
            <w:u w:val="single"/>
          </w:rPr>
          <w:t xml:space="preserve">§ 639 Haftungsausschluss</w:t>
        </w:r>
      </w:hyperlink>
    </w:p>
    <w:p>
      <w:pPr>
        <w:pStyle w:val="Übersicht"/>
        <w:ind w:left="1701"/>
      </w:pPr>
      <w:hyperlink w:anchor="b939" w:history="1">
        <w:r>
          <w:rPr>
            <w:color w:val="0A3A8C"/>
            <w:u w:val="single"/>
          </w:rPr>
          <w:t xml:space="preserve">§ 640 Abnahme</w:t>
        </w:r>
      </w:hyperlink>
    </w:p>
    <w:p>
      <w:pPr>
        <w:pStyle w:val="Übersicht"/>
        <w:ind w:left="1701"/>
      </w:pPr>
      <w:hyperlink w:anchor="b940" w:history="1">
        <w:r>
          <w:rPr>
            <w:color w:val="0A3A8C"/>
            <w:u w:val="single"/>
          </w:rPr>
          <w:t xml:space="preserve">§ 641 Fälligkeit der Vergütung</w:t>
        </w:r>
      </w:hyperlink>
    </w:p>
    <w:p>
      <w:pPr>
        <w:pStyle w:val="Übersicht"/>
        <w:ind w:left="1701"/>
      </w:pPr>
      <w:hyperlink w:anchor="b941" w:history="1">
        <w:r>
          <w:rPr>
            <w:color w:val="0A3A8C"/>
            <w:u w:val="single"/>
          </w:rPr>
          <w:t xml:space="preserve">§ 641a (weggefallen)</w:t>
        </w:r>
      </w:hyperlink>
    </w:p>
    <w:p>
      <w:pPr>
        <w:pStyle w:val="Übersicht"/>
        <w:ind w:left="1701"/>
      </w:pPr>
      <w:hyperlink w:anchor="b942" w:history="1">
        <w:r>
          <w:rPr>
            <w:color w:val="0A3A8C"/>
            <w:u w:val="single"/>
          </w:rPr>
          <w:t xml:space="preserve">§ 642 Mitwirkung des Bestellers</w:t>
        </w:r>
      </w:hyperlink>
    </w:p>
    <w:p>
      <w:pPr>
        <w:pStyle w:val="Übersicht"/>
        <w:ind w:left="1701"/>
      </w:pPr>
      <w:hyperlink w:anchor="b943" w:history="1">
        <w:r>
          <w:rPr>
            <w:color w:val="0A3A8C"/>
            <w:u w:val="single"/>
          </w:rPr>
          <w:t xml:space="preserve">§ 643 Kündigung bei unterlassener Mitwirkung</w:t>
        </w:r>
      </w:hyperlink>
    </w:p>
    <w:p>
      <w:pPr>
        <w:pStyle w:val="Übersicht"/>
        <w:ind w:left="1701"/>
      </w:pPr>
      <w:hyperlink w:anchor="b944" w:history="1">
        <w:r>
          <w:rPr>
            <w:color w:val="0A3A8C"/>
            <w:u w:val="single"/>
          </w:rPr>
          <w:t xml:space="preserve">§ 644 Gefahrtragung</w:t>
        </w:r>
      </w:hyperlink>
    </w:p>
    <w:p>
      <w:pPr>
        <w:pStyle w:val="Übersicht"/>
        <w:ind w:left="1701"/>
      </w:pPr>
      <w:hyperlink w:anchor="b945" w:history="1">
        <w:r>
          <w:rPr>
            <w:color w:val="0A3A8C"/>
            <w:u w:val="single"/>
          </w:rPr>
          <w:t xml:space="preserve">§ 645 Verantwortlichkeit des Bestellers</w:t>
        </w:r>
      </w:hyperlink>
    </w:p>
    <w:p>
      <w:pPr>
        <w:pStyle w:val="Übersicht"/>
        <w:ind w:left="1701"/>
      </w:pPr>
      <w:hyperlink w:anchor="b946" w:history="1">
        <w:r>
          <w:rPr>
            <w:color w:val="0A3A8C"/>
            <w:u w:val="single"/>
          </w:rPr>
          <w:t xml:space="preserve">§ 646 Vollendung statt Abnahme</w:t>
        </w:r>
      </w:hyperlink>
    </w:p>
    <w:p>
      <w:pPr>
        <w:pStyle w:val="Übersicht"/>
        <w:ind w:left="1701"/>
      </w:pPr>
      <w:hyperlink w:anchor="b947" w:history="1">
        <w:r>
          <w:rPr>
            <w:color w:val="0A3A8C"/>
            <w:u w:val="single"/>
          </w:rPr>
          <w:t xml:space="preserve">§ 647 Unternehmerpfandrecht</w:t>
        </w:r>
      </w:hyperlink>
    </w:p>
    <w:p>
      <w:pPr>
        <w:pStyle w:val="Übersicht"/>
        <w:ind w:left="1701"/>
      </w:pPr>
      <w:hyperlink w:anchor="b948" w:history="1">
        <w:r>
          <w:rPr>
            <w:color w:val="0A3A8C"/>
            <w:u w:val="single"/>
          </w:rPr>
          <w:t xml:space="preserve">§ 647a Sicherungshypothek des Inhabers einer Schiffswerft</w:t>
        </w:r>
      </w:hyperlink>
    </w:p>
    <w:p>
      <w:pPr>
        <w:pStyle w:val="Übersicht"/>
        <w:ind w:left="1701"/>
      </w:pPr>
      <w:hyperlink w:anchor="b949" w:history="1">
        <w:r>
          <w:rPr>
            <w:color w:val="0A3A8C"/>
            <w:u w:val="single"/>
          </w:rPr>
          <w:t xml:space="preserve">§ 648 Kündigungsrecht des Bestellers</w:t>
        </w:r>
      </w:hyperlink>
    </w:p>
    <w:p>
      <w:pPr>
        <w:pStyle w:val="Übersicht"/>
        <w:ind w:left="1701"/>
      </w:pPr>
      <w:hyperlink w:anchor="b950" w:history="1">
        <w:r>
          <w:rPr>
            <w:color w:val="0A3A8C"/>
            <w:u w:val="single"/>
          </w:rPr>
          <w:t xml:space="preserve">§ 648a Kündigung aus wichtigem Grund</w:t>
        </w:r>
      </w:hyperlink>
    </w:p>
    <w:p>
      <w:pPr>
        <w:pStyle w:val="Übersicht"/>
        <w:ind w:left="1701"/>
      </w:pPr>
      <w:hyperlink w:anchor="b951" w:history="1">
        <w:r>
          <w:rPr>
            <w:color w:val="0A3A8C"/>
            <w:u w:val="single"/>
          </w:rPr>
          <w:t xml:space="preserve">§ 649 Kostenanschlag</w:t>
        </w:r>
      </w:hyperlink>
    </w:p>
    <w:p>
      <w:pPr>
        <w:pStyle w:val="Übersicht"/>
        <w:ind w:left="1701"/>
      </w:pPr>
      <w:hyperlink w:anchor="b952" w:history="1">
        <w:r>
          <w:rPr>
            <w:color w:val="0A3A8C"/>
            <w:u w:val="single"/>
          </w:rPr>
          <w:t xml:space="preserve">§ 650 Werklieferungsvertrag; Verbrauchervertrag über die Herstellung digitaler Produkte</w:t>
        </w:r>
      </w:hyperlink>
    </w:p>
    <w:p>
      <w:pPr>
        <w:pStyle w:val="Übersicht"/>
        <w:ind w:left="1361"/>
      </w:pPr>
      <w:hyperlink w:anchor="b953" w:history="1">
        <w:r>
          <w:rPr>
            <w:b/>
            <w:color w:val="0A3A8C"/>
            <w:u w:val="single"/>
          </w:rPr>
          <w:t xml:space="preserve">Kapitel 2 Bauvertrag</w:t>
        </w:r>
      </w:hyperlink>
    </w:p>
    <w:p>
      <w:pPr>
        <w:pStyle w:val="Übersicht"/>
        <w:ind w:left="1701"/>
      </w:pPr>
      <w:hyperlink w:anchor="b954" w:history="1">
        <w:r>
          <w:rPr>
            <w:color w:val="0A3A8C"/>
            <w:u w:val="single"/>
          </w:rPr>
          <w:t xml:space="preserve">§ 650a Bauvertrag</w:t>
        </w:r>
      </w:hyperlink>
    </w:p>
    <w:p>
      <w:pPr>
        <w:pStyle w:val="Übersicht"/>
        <w:ind w:left="1701"/>
      </w:pPr>
      <w:hyperlink w:anchor="b955" w:history="1">
        <w:r>
          <w:rPr>
            <w:color w:val="0A3A8C"/>
            <w:u w:val="single"/>
          </w:rPr>
          <w:t xml:space="preserve">§ 650b Änderung des Vertrags; Anordnungsrecht des Bestellers</w:t>
        </w:r>
      </w:hyperlink>
    </w:p>
    <w:p>
      <w:pPr>
        <w:pStyle w:val="Übersicht"/>
        <w:ind w:left="1701"/>
      </w:pPr>
      <w:hyperlink w:anchor="b956" w:history="1">
        <w:r>
          <w:rPr>
            <w:color w:val="0A3A8C"/>
            <w:u w:val="single"/>
          </w:rPr>
          <w:t xml:space="preserve">§ 650c Vergütungsanpassung bei Anordnungen nach § 650b Absatz 2</w:t>
        </w:r>
      </w:hyperlink>
    </w:p>
    <w:p>
      <w:pPr>
        <w:pStyle w:val="Übersicht"/>
        <w:ind w:left="1701"/>
      </w:pPr>
      <w:hyperlink w:anchor="b957" w:history="1">
        <w:r>
          <w:rPr>
            <w:color w:val="0A3A8C"/>
            <w:u w:val="single"/>
          </w:rPr>
          <w:t xml:space="preserve">§ 650d Einstweilige Verfügung</w:t>
        </w:r>
      </w:hyperlink>
    </w:p>
    <w:p>
      <w:pPr>
        <w:pStyle w:val="Übersicht"/>
        <w:ind w:left="1701"/>
      </w:pPr>
      <w:hyperlink w:anchor="b958" w:history="1">
        <w:r>
          <w:rPr>
            <w:color w:val="0A3A8C"/>
            <w:u w:val="single"/>
          </w:rPr>
          <w:t xml:space="preserve">§ 650e Sicherungshypothek des Bauunternehmers</w:t>
        </w:r>
      </w:hyperlink>
    </w:p>
    <w:p>
      <w:pPr>
        <w:pStyle w:val="Übersicht"/>
        <w:ind w:left="1701"/>
      </w:pPr>
      <w:hyperlink w:anchor="b959" w:history="1">
        <w:r>
          <w:rPr>
            <w:color w:val="0A3A8C"/>
            <w:u w:val="single"/>
          </w:rPr>
          <w:t xml:space="preserve">§ 650f Bauhandwerkersicherung</w:t>
        </w:r>
      </w:hyperlink>
    </w:p>
    <w:p>
      <w:pPr>
        <w:pStyle w:val="Übersicht"/>
        <w:ind w:left="1701"/>
      </w:pPr>
      <w:hyperlink w:anchor="b960" w:history="1">
        <w:r>
          <w:rPr>
            <w:color w:val="0A3A8C"/>
            <w:u w:val="single"/>
          </w:rPr>
          <w:t xml:space="preserve">§ 650g Zustandsfeststellung bei Verweigerung der Abnahme; Schlussrechnung</w:t>
        </w:r>
      </w:hyperlink>
    </w:p>
    <w:p>
      <w:pPr>
        <w:pStyle w:val="Übersicht"/>
        <w:ind w:left="1701"/>
      </w:pPr>
      <w:hyperlink w:anchor="b961" w:history="1">
        <w:r>
          <w:rPr>
            <w:color w:val="0A3A8C"/>
            <w:u w:val="single"/>
          </w:rPr>
          <w:t xml:space="preserve">§ 650h Schriftform der Kündigung</w:t>
        </w:r>
      </w:hyperlink>
    </w:p>
    <w:p>
      <w:pPr>
        <w:pStyle w:val="Übersicht"/>
        <w:ind w:left="1361"/>
      </w:pPr>
      <w:hyperlink w:anchor="b962" w:history="1">
        <w:r>
          <w:rPr>
            <w:b/>
            <w:color w:val="0A3A8C"/>
            <w:u w:val="single"/>
          </w:rPr>
          <w:t xml:space="preserve">Kapitel 3 Verbraucherbauvertrag</w:t>
        </w:r>
      </w:hyperlink>
    </w:p>
    <w:p>
      <w:pPr>
        <w:pStyle w:val="Übersicht"/>
        <w:ind w:left="1701"/>
      </w:pPr>
      <w:hyperlink w:anchor="b963" w:history="1">
        <w:r>
          <w:rPr>
            <w:color w:val="0A3A8C"/>
            <w:u w:val="single"/>
          </w:rPr>
          <w:t xml:space="preserve">§ 650i Verbraucherbauvertrag</w:t>
        </w:r>
      </w:hyperlink>
    </w:p>
    <w:p>
      <w:pPr>
        <w:pStyle w:val="Übersicht"/>
        <w:ind w:left="1701"/>
      </w:pPr>
      <w:hyperlink w:anchor="b964" w:history="1">
        <w:r>
          <w:rPr>
            <w:color w:val="0A3A8C"/>
            <w:u w:val="single"/>
          </w:rPr>
          <w:t xml:space="preserve">§ 650j Baubeschreibung</w:t>
        </w:r>
      </w:hyperlink>
    </w:p>
    <w:p>
      <w:pPr>
        <w:pStyle w:val="Übersicht"/>
        <w:ind w:left="1701"/>
      </w:pPr>
      <w:hyperlink w:anchor="b965" w:history="1">
        <w:r>
          <w:rPr>
            <w:color w:val="0A3A8C"/>
            <w:u w:val="single"/>
          </w:rPr>
          <w:t xml:space="preserve">§ 650k Inhalt des Vertrags</w:t>
        </w:r>
      </w:hyperlink>
    </w:p>
    <w:p>
      <w:pPr>
        <w:pStyle w:val="Übersicht"/>
        <w:ind w:left="1701"/>
      </w:pPr>
      <w:hyperlink w:anchor="b966" w:history="1">
        <w:r>
          <w:rPr>
            <w:color w:val="0A3A8C"/>
            <w:u w:val="single"/>
          </w:rPr>
          <w:t xml:space="preserve">§ 650l Widerrufsrecht</w:t>
        </w:r>
      </w:hyperlink>
    </w:p>
    <w:p>
      <w:pPr>
        <w:pStyle w:val="Übersicht"/>
        <w:ind w:left="1701"/>
      </w:pPr>
      <w:hyperlink w:anchor="b967" w:history="1">
        <w:r>
          <w:rPr>
            <w:color w:val="0A3A8C"/>
            <w:u w:val="single"/>
          </w:rPr>
          <w:t xml:space="preserve">§ 650m Abschlagszahlungen; Absicherung des Vergütungsanspruchs</w:t>
        </w:r>
      </w:hyperlink>
    </w:p>
    <w:p>
      <w:pPr>
        <w:pStyle w:val="Übersicht"/>
        <w:ind w:left="1701"/>
      </w:pPr>
      <w:hyperlink w:anchor="b968" w:history="1">
        <w:r>
          <w:rPr>
            <w:color w:val="0A3A8C"/>
            <w:u w:val="single"/>
          </w:rPr>
          <w:t xml:space="preserve">§ 650n Erstellung und Herausgabe von Unterlagen</w:t>
        </w:r>
      </w:hyperlink>
    </w:p>
    <w:p>
      <w:pPr>
        <w:pStyle w:val="Übersicht"/>
        <w:ind w:left="1361"/>
      </w:pPr>
      <w:hyperlink w:anchor="b969" w:history="1">
        <w:r>
          <w:rPr>
            <w:b/>
            <w:color w:val="0A3A8C"/>
            <w:u w:val="single"/>
          </w:rPr>
          <w:t xml:space="preserve">Kapitel 4 Unabdingbarkeit</w:t>
        </w:r>
      </w:hyperlink>
    </w:p>
    <w:p>
      <w:pPr>
        <w:pStyle w:val="Übersicht"/>
        <w:ind w:left="1701"/>
      </w:pPr>
      <w:hyperlink w:anchor="b970" w:history="1">
        <w:r>
          <w:rPr>
            <w:color w:val="0A3A8C"/>
            <w:u w:val="single"/>
          </w:rPr>
          <w:t xml:space="preserve">§ 650o Abweichende Vereinbarungen</w:t>
        </w:r>
      </w:hyperlink>
    </w:p>
    <w:p>
      <w:pPr>
        <w:pStyle w:val="Übersicht"/>
        <w:ind w:left="1020"/>
      </w:pPr>
      <w:hyperlink w:anchor="b971" w:history="1">
        <w:r>
          <w:rPr>
            <w:b/>
            <w:color w:val="0A3A8C"/>
            <w:u w:val="single"/>
          </w:rPr>
          <w:t xml:space="preserve">Untertitel 2 Architektenvertrag und Ingenieurvertrag</w:t>
        </w:r>
      </w:hyperlink>
    </w:p>
    <w:p>
      <w:pPr>
        <w:pStyle w:val="Übersicht"/>
        <w:ind w:left="1361"/>
      </w:pPr>
      <w:hyperlink w:anchor="b972" w:history="1">
        <w:r>
          <w:rPr>
            <w:color w:val="0A3A8C"/>
            <w:u w:val="single"/>
          </w:rPr>
          <w:t xml:space="preserve">§ 650p Vertragstypische Pflichten aus Architekten- und Ingenieurverträgen</w:t>
        </w:r>
      </w:hyperlink>
    </w:p>
    <w:p>
      <w:pPr>
        <w:pStyle w:val="Übersicht"/>
        <w:ind w:left="1361"/>
      </w:pPr>
      <w:hyperlink w:anchor="b973" w:history="1">
        <w:r>
          <w:rPr>
            <w:color w:val="0A3A8C"/>
            <w:u w:val="single"/>
          </w:rPr>
          <w:t xml:space="preserve">§ 650q Anwendbare Vorschriften</w:t>
        </w:r>
      </w:hyperlink>
    </w:p>
    <w:p>
      <w:pPr>
        <w:pStyle w:val="Übersicht"/>
        <w:ind w:left="1361"/>
      </w:pPr>
      <w:hyperlink w:anchor="b974" w:history="1">
        <w:r>
          <w:rPr>
            <w:color w:val="0A3A8C"/>
            <w:u w:val="single"/>
          </w:rPr>
          <w:t xml:space="preserve">§ 650r Sonderkündigungsrecht</w:t>
        </w:r>
      </w:hyperlink>
    </w:p>
    <w:p>
      <w:pPr>
        <w:pStyle w:val="Übersicht"/>
        <w:ind w:left="1361"/>
      </w:pPr>
      <w:hyperlink w:anchor="b975" w:history="1">
        <w:r>
          <w:rPr>
            <w:color w:val="0A3A8C"/>
            <w:u w:val="single"/>
          </w:rPr>
          <w:t xml:space="preserve">§ 650s Teilabnahme</w:t>
        </w:r>
      </w:hyperlink>
    </w:p>
    <w:p>
      <w:pPr>
        <w:pStyle w:val="Übersicht"/>
        <w:ind w:left="1361"/>
      </w:pPr>
      <w:hyperlink w:anchor="b976" w:history="1">
        <w:r>
          <w:rPr>
            <w:color w:val="0A3A8C"/>
            <w:u w:val="single"/>
          </w:rPr>
          <w:t xml:space="preserve">§ 650t Gesamtschuldnerische Haftung mit dem bauausführenden Unternehmer</w:t>
        </w:r>
      </w:hyperlink>
    </w:p>
    <w:p>
      <w:pPr>
        <w:pStyle w:val="Übersicht"/>
        <w:ind w:left="1020"/>
      </w:pPr>
      <w:hyperlink w:anchor="b977" w:history="1">
        <w:r>
          <w:rPr>
            <w:b/>
            <w:color w:val="0A3A8C"/>
            <w:u w:val="single"/>
          </w:rPr>
          <w:t xml:space="preserve">Untertitel 3 Bauträgervertrag</w:t>
        </w:r>
      </w:hyperlink>
    </w:p>
    <w:p>
      <w:pPr>
        <w:pStyle w:val="Übersicht"/>
        <w:ind w:left="1361"/>
      </w:pPr>
      <w:hyperlink w:anchor="b978" w:history="1">
        <w:r>
          <w:rPr>
            <w:color w:val="0A3A8C"/>
            <w:u w:val="single"/>
          </w:rPr>
          <w:t xml:space="preserve">§ 650u Bauträgervertrag; anwendbare Vorschriften</w:t>
        </w:r>
      </w:hyperlink>
    </w:p>
    <w:p>
      <w:pPr>
        <w:pStyle w:val="Übersicht"/>
        <w:ind w:left="1361"/>
      </w:pPr>
      <w:hyperlink w:anchor="b979" w:history="1">
        <w:r>
          <w:rPr>
            <w:color w:val="0A3A8C"/>
            <w:u w:val="single"/>
          </w:rPr>
          <w:t xml:space="preserve">§ 650v Abschlagszahlungen</w:t>
        </w:r>
      </w:hyperlink>
    </w:p>
    <w:p>
      <w:pPr>
        <w:pStyle w:val="Übersicht"/>
        <w:ind w:left="1361"/>
      </w:pPr>
      <w:hyperlink w:anchor="b980" w:history="1">
        <w:r>
          <w:rPr>
            <w:color w:val="0A3A8C"/>
            <w:u w:val="single"/>
          </w:rPr>
          <w:t xml:space="preserve">§ 651 (jetzt § 650)</w:t>
        </w:r>
      </w:hyperlink>
    </w:p>
    <w:p>
      <w:pPr>
        <w:pStyle w:val="Übersicht"/>
        <w:ind w:left="1020"/>
      </w:pPr>
      <w:hyperlink w:anchor="b981" w:history="1">
        <w:r>
          <w:rPr>
            <w:b/>
            <w:color w:val="0A3A8C"/>
            <w:u w:val="single"/>
          </w:rPr>
          <w:t xml:space="preserve">Untertitel 4 Pauschalreisevertrag, Reisevermittlung und Vermittlung verbundener Reiseleistungen</w:t>
        </w:r>
      </w:hyperlink>
    </w:p>
    <w:p>
      <w:pPr>
        <w:pStyle w:val="Übersicht"/>
        <w:ind w:left="1361"/>
      </w:pPr>
      <w:hyperlink w:anchor="b982" w:history="1">
        <w:r>
          <w:rPr>
            <w:color w:val="0A3A8C"/>
            <w:u w:val="single"/>
          </w:rPr>
          <w:t xml:space="preserve">§ 651a Vertragstypische Pflichten beim Pauschalreisevertrag</w:t>
        </w:r>
      </w:hyperlink>
    </w:p>
    <w:p>
      <w:pPr>
        <w:pStyle w:val="Übersicht"/>
        <w:ind w:left="1361"/>
      </w:pPr>
      <w:hyperlink w:anchor="b983" w:history="1">
        <w:r>
          <w:rPr>
            <w:color w:val="0A3A8C"/>
            <w:u w:val="single"/>
          </w:rPr>
          <w:t xml:space="preserve">§ 651b Abgrenzung zur Vermittlung</w:t>
        </w:r>
      </w:hyperlink>
    </w:p>
    <w:p>
      <w:pPr>
        <w:pStyle w:val="Übersicht"/>
        <w:ind w:left="1361"/>
      </w:pPr>
      <w:hyperlink w:anchor="b984" w:history="1">
        <w:r>
          <w:rPr>
            <w:color w:val="0A3A8C"/>
            <w:u w:val="single"/>
          </w:rPr>
          <w:t xml:space="preserve">§ 651c Verbundene Online-Buchungsverfahren</w:t>
        </w:r>
      </w:hyperlink>
    </w:p>
    <w:p>
      <w:pPr>
        <w:pStyle w:val="Übersicht"/>
        <w:ind w:left="1361"/>
      </w:pPr>
      <w:hyperlink w:anchor="b985" w:history="1">
        <w:r>
          <w:rPr>
            <w:color w:val="0A3A8C"/>
            <w:u w:val="single"/>
          </w:rPr>
          <w:t xml:space="preserve">§ 651d Informationspflichten; Vertragsinhalt</w:t>
        </w:r>
      </w:hyperlink>
    </w:p>
    <w:p>
      <w:pPr>
        <w:pStyle w:val="Übersicht"/>
        <w:ind w:left="1361"/>
      </w:pPr>
      <w:hyperlink w:anchor="b986" w:history="1">
        <w:r>
          <w:rPr>
            <w:color w:val="0A3A8C"/>
            <w:u w:val="single"/>
          </w:rPr>
          <w:t xml:space="preserve">§ 651e Vertragsübertragung</w:t>
        </w:r>
      </w:hyperlink>
    </w:p>
    <w:p>
      <w:pPr>
        <w:pStyle w:val="Übersicht"/>
        <w:ind w:left="1361"/>
      </w:pPr>
      <w:hyperlink w:anchor="b987" w:history="1">
        <w:r>
          <w:rPr>
            <w:color w:val="0A3A8C"/>
            <w:u w:val="single"/>
          </w:rPr>
          <w:t xml:space="preserve">§ 651f Änderungsvorbehalte; Preissenkung</w:t>
        </w:r>
      </w:hyperlink>
    </w:p>
    <w:p>
      <w:pPr>
        <w:pStyle w:val="Übersicht"/>
        <w:ind w:left="1361"/>
      </w:pPr>
      <w:hyperlink w:anchor="b988" w:history="1">
        <w:r>
          <w:rPr>
            <w:color w:val="0A3A8C"/>
            <w:u w:val="single"/>
          </w:rPr>
          <w:t xml:space="preserve">§ 651g Erhebliche Vertragsänderungen</w:t>
        </w:r>
      </w:hyperlink>
    </w:p>
    <w:p>
      <w:pPr>
        <w:pStyle w:val="Übersicht"/>
        <w:ind w:left="1361"/>
      </w:pPr>
      <w:hyperlink w:anchor="b989" w:history="1">
        <w:r>
          <w:rPr>
            <w:color w:val="0A3A8C"/>
            <w:u w:val="single"/>
          </w:rPr>
          <w:t xml:space="preserve">§ 651h Rücktritt vor Reisebeginn</w:t>
        </w:r>
      </w:hyperlink>
    </w:p>
    <w:p>
      <w:pPr>
        <w:pStyle w:val="Übersicht"/>
        <w:ind w:left="1361"/>
      </w:pPr>
      <w:hyperlink w:anchor="b990" w:history="1">
        <w:r>
          <w:rPr>
            <w:color w:val="0A3A8C"/>
            <w:u w:val="single"/>
          </w:rPr>
          <w:t xml:space="preserve">§ 651i Rechte des Reisenden bei Reisemängeln</w:t>
        </w:r>
      </w:hyperlink>
    </w:p>
    <w:p>
      <w:pPr>
        <w:pStyle w:val="Übersicht"/>
        <w:ind w:left="1361"/>
      </w:pPr>
      <w:hyperlink w:anchor="b991" w:history="1">
        <w:r>
          <w:rPr>
            <w:color w:val="0A3A8C"/>
            <w:u w:val="single"/>
          </w:rPr>
          <w:t xml:space="preserve">§ 651j Verjährung</w:t>
        </w:r>
      </w:hyperlink>
    </w:p>
    <w:p>
      <w:pPr>
        <w:pStyle w:val="Übersicht"/>
        <w:ind w:left="1361"/>
      </w:pPr>
      <w:hyperlink w:anchor="b992" w:history="1">
        <w:r>
          <w:rPr>
            <w:color w:val="0A3A8C"/>
            <w:u w:val="single"/>
          </w:rPr>
          <w:t xml:space="preserve">§ 651k Abhilfe</w:t>
        </w:r>
      </w:hyperlink>
    </w:p>
    <w:p>
      <w:pPr>
        <w:pStyle w:val="Übersicht"/>
        <w:ind w:left="1361"/>
      </w:pPr>
      <w:hyperlink w:anchor="b993" w:history="1">
        <w:r>
          <w:rPr>
            <w:color w:val="0A3A8C"/>
            <w:u w:val="single"/>
          </w:rPr>
          <w:t xml:space="preserve">§ 651l Kündigung</w:t>
        </w:r>
      </w:hyperlink>
    </w:p>
    <w:p>
      <w:pPr>
        <w:pStyle w:val="Übersicht"/>
        <w:ind w:left="1361"/>
      </w:pPr>
      <w:hyperlink w:anchor="b994" w:history="1">
        <w:r>
          <w:rPr>
            <w:color w:val="0A3A8C"/>
            <w:u w:val="single"/>
          </w:rPr>
          <w:t xml:space="preserve">§ 651m Minderung</w:t>
        </w:r>
      </w:hyperlink>
    </w:p>
    <w:p>
      <w:pPr>
        <w:pStyle w:val="Übersicht"/>
        <w:ind w:left="1361"/>
      </w:pPr>
      <w:hyperlink w:anchor="b995" w:history="1">
        <w:r>
          <w:rPr>
            <w:color w:val="0A3A8C"/>
            <w:u w:val="single"/>
          </w:rPr>
          <w:t xml:space="preserve">§ 651n Schadensersatz</w:t>
        </w:r>
      </w:hyperlink>
    </w:p>
    <w:p>
      <w:pPr>
        <w:pStyle w:val="Übersicht"/>
        <w:ind w:left="1361"/>
      </w:pPr>
      <w:hyperlink w:anchor="b996" w:history="1">
        <w:r>
          <w:rPr>
            <w:color w:val="0A3A8C"/>
            <w:u w:val="single"/>
          </w:rPr>
          <w:t xml:space="preserve">§ 651o Mängelanzeige durch den Reisenden</w:t>
        </w:r>
      </w:hyperlink>
    </w:p>
    <w:p>
      <w:pPr>
        <w:pStyle w:val="Übersicht"/>
        <w:ind w:left="1361"/>
      </w:pPr>
      <w:hyperlink w:anchor="b997" w:history="1">
        <w:r>
          <w:rPr>
            <w:color w:val="0A3A8C"/>
            <w:u w:val="single"/>
          </w:rPr>
          <w:t xml:space="preserve">§ 651p Zulässige Haftungsbeschränkung; Anrechnung</w:t>
        </w:r>
      </w:hyperlink>
    </w:p>
    <w:p>
      <w:pPr>
        <w:pStyle w:val="Übersicht"/>
        <w:ind w:left="1361"/>
      </w:pPr>
      <w:hyperlink w:anchor="b998" w:history="1">
        <w:r>
          <w:rPr>
            <w:color w:val="0A3A8C"/>
            <w:u w:val="single"/>
          </w:rPr>
          <w:t xml:space="preserve">§ 651q Beistandspflicht des Reiseveranstalters</w:t>
        </w:r>
      </w:hyperlink>
    </w:p>
    <w:p>
      <w:pPr>
        <w:pStyle w:val="Übersicht"/>
        <w:ind w:left="1361"/>
      </w:pPr>
      <w:hyperlink w:anchor="b999" w:history="1">
        <w:r>
          <w:rPr>
            <w:color w:val="0A3A8C"/>
            <w:u w:val="single"/>
          </w:rPr>
          <w:t xml:space="preserve">§ 651r Insolvenzsicherung; Sicherungsschein</w:t>
        </w:r>
      </w:hyperlink>
    </w:p>
    <w:p>
      <w:pPr>
        <w:pStyle w:val="Übersicht"/>
        <w:ind w:left="1361"/>
      </w:pPr>
      <w:hyperlink w:anchor="b1000" w:history="1">
        <w:r>
          <w:rPr>
            <w:color w:val="0A3A8C"/>
            <w:u w:val="single"/>
          </w:rPr>
          <w:t xml:space="preserve">§ 651s Insolvenzsicherung der im Europäischen Wirtschaftsraum niedergelassenen Reiseveranstalter</w:t>
        </w:r>
      </w:hyperlink>
    </w:p>
    <w:p>
      <w:pPr>
        <w:pStyle w:val="Übersicht"/>
        <w:ind w:left="1361"/>
      </w:pPr>
      <w:hyperlink w:anchor="b1001" w:history="1">
        <w:r>
          <w:rPr>
            <w:color w:val="0A3A8C"/>
            <w:u w:val="single"/>
          </w:rPr>
          <w:t xml:space="preserve">§ 651t Rückbeförderung; Vorauszahlungen</w:t>
        </w:r>
      </w:hyperlink>
    </w:p>
    <w:p>
      <w:pPr>
        <w:pStyle w:val="Übersicht"/>
        <w:ind w:left="1361"/>
      </w:pPr>
      <w:hyperlink w:anchor="b1002" w:history="1">
        <w:r>
          <w:rPr>
            <w:color w:val="0A3A8C"/>
            <w:u w:val="single"/>
          </w:rPr>
          <w:t xml:space="preserve">§ 651u Gastschulaufenthalte</w:t>
        </w:r>
      </w:hyperlink>
    </w:p>
    <w:p>
      <w:pPr>
        <w:pStyle w:val="Übersicht"/>
        <w:ind w:left="1361"/>
      </w:pPr>
      <w:hyperlink w:anchor="b1003" w:history="1">
        <w:r>
          <w:rPr>
            <w:color w:val="0A3A8C"/>
            <w:u w:val="single"/>
          </w:rPr>
          <w:t xml:space="preserve">§ 651v Reisevermittlung</w:t>
        </w:r>
      </w:hyperlink>
    </w:p>
    <w:p>
      <w:pPr>
        <w:pStyle w:val="Übersicht"/>
        <w:ind w:left="1361"/>
      </w:pPr>
      <w:hyperlink w:anchor="b1004" w:history="1">
        <w:r>
          <w:rPr>
            <w:color w:val="0A3A8C"/>
            <w:u w:val="single"/>
          </w:rPr>
          <w:t xml:space="preserve">§ 651w Vermittlung verbundener Reiseleistungen</w:t>
        </w:r>
      </w:hyperlink>
    </w:p>
    <w:p>
      <w:pPr>
        <w:pStyle w:val="Übersicht"/>
        <w:ind w:left="1361"/>
      </w:pPr>
      <w:hyperlink w:anchor="b1005" w:history="1">
        <w:r>
          <w:rPr>
            <w:color w:val="0A3A8C"/>
            <w:u w:val="single"/>
          </w:rPr>
          <w:t xml:space="preserve">§ 651x Haftung für Buchungsfehler</w:t>
        </w:r>
      </w:hyperlink>
    </w:p>
    <w:p>
      <w:pPr>
        <w:pStyle w:val="Übersicht"/>
        <w:ind w:left="1361"/>
      </w:pPr>
      <w:hyperlink w:anchor="b1006" w:history="1">
        <w:r>
          <w:rPr>
            <w:color w:val="0A3A8C"/>
            <w:u w:val="single"/>
          </w:rPr>
          <w:t xml:space="preserve">§ 651y Abweichende Vereinbarungen</w:t>
        </w:r>
      </w:hyperlink>
    </w:p>
    <w:p>
      <w:pPr>
        <w:pStyle w:val="Übersicht"/>
        <w:ind w:left="680"/>
      </w:pPr>
      <w:hyperlink w:anchor="b1007" w:history="1">
        <w:r>
          <w:rPr>
            <w:b/>
            <w:color w:val="0A3A8C"/>
            <w:u w:val="single"/>
          </w:rPr>
          <w:t xml:space="preserve">Titel 10 Maklervertrag</w:t>
        </w:r>
      </w:hyperlink>
    </w:p>
    <w:p>
      <w:pPr>
        <w:pStyle w:val="Übersicht"/>
        <w:ind w:left="1020"/>
      </w:pPr>
      <w:hyperlink w:anchor="b1008" w:history="1">
        <w:r>
          <w:rPr>
            <w:b/>
            <w:color w:val="0A3A8C"/>
            <w:u w:val="single"/>
          </w:rPr>
          <w:t xml:space="preserve">Untertitel 1 Allgemeine Vorschriften</w:t>
        </w:r>
      </w:hyperlink>
    </w:p>
    <w:p>
      <w:pPr>
        <w:pStyle w:val="Übersicht"/>
        <w:ind w:left="1361"/>
      </w:pPr>
      <w:hyperlink w:anchor="b1009" w:history="1">
        <w:r>
          <w:rPr>
            <w:color w:val="0A3A8C"/>
            <w:u w:val="single"/>
          </w:rPr>
          <w:t xml:space="preserve">§ 652 Entstehung des Lohnanspruchs</w:t>
        </w:r>
      </w:hyperlink>
    </w:p>
    <w:p>
      <w:pPr>
        <w:pStyle w:val="Übersicht"/>
        <w:ind w:left="1361"/>
      </w:pPr>
      <w:hyperlink w:anchor="b1010" w:history="1">
        <w:r>
          <w:rPr>
            <w:color w:val="0A3A8C"/>
            <w:u w:val="single"/>
          </w:rPr>
          <w:t xml:space="preserve">§ 653 Maklerlohn</w:t>
        </w:r>
      </w:hyperlink>
    </w:p>
    <w:p>
      <w:pPr>
        <w:pStyle w:val="Übersicht"/>
        <w:ind w:left="1361"/>
      </w:pPr>
      <w:hyperlink w:anchor="b1011" w:history="1">
        <w:r>
          <w:rPr>
            <w:color w:val="0A3A8C"/>
            <w:u w:val="single"/>
          </w:rPr>
          <w:t xml:space="preserve">§ 654 Verwirkung des Lohnanspruchs</w:t>
        </w:r>
      </w:hyperlink>
    </w:p>
    <w:p>
      <w:pPr>
        <w:pStyle w:val="Übersicht"/>
        <w:ind w:left="1361"/>
      </w:pPr>
      <w:hyperlink w:anchor="b1012" w:history="1">
        <w:r>
          <w:rPr>
            <w:color w:val="0A3A8C"/>
            <w:u w:val="single"/>
          </w:rPr>
          <w:t xml:space="preserve">§ 655 Herabsetzung des Maklerlohns</w:t>
        </w:r>
      </w:hyperlink>
    </w:p>
    <w:p>
      <w:pPr>
        <w:pStyle w:val="Übersicht"/>
        <w:ind w:left="1020"/>
      </w:pPr>
      <w:hyperlink w:anchor="b1013" w:history="1">
        <w:r>
          <w:rPr>
            <w:b/>
            <w:color w:val="0A3A8C"/>
            <w:u w:val="single"/>
          </w:rPr>
          <w:t xml:space="preserve">Untertitel 2 Vermittlung von Verbraucherdarlehensverträgen und entgeltlichen Finanzierungshilfen</w:t>
        </w:r>
      </w:hyperlink>
    </w:p>
    <w:p>
      <w:pPr>
        <w:pStyle w:val="Übersicht"/>
        <w:ind w:left="1361"/>
      </w:pPr>
      <w:hyperlink w:anchor="b1014" w:history="1">
        <w:r>
          <w:rPr>
            <w:color w:val="0A3A8C"/>
            <w:u w:val="single"/>
          </w:rPr>
          <w:t xml:space="preserve">§ 655a Darlehensvermittlungsvertrag</w:t>
        </w:r>
      </w:hyperlink>
    </w:p>
    <w:p>
      <w:pPr>
        <w:pStyle w:val="Übersicht"/>
        <w:ind w:left="1361"/>
      </w:pPr>
      <w:hyperlink w:anchor="b1015" w:history="1">
        <w:r>
          <w:rPr>
            <w:color w:val="0A3A8C"/>
            <w:u w:val="single"/>
          </w:rPr>
          <w:t xml:space="preserve">§ 655b Schriftform bei einem Vertrag mit einem Verbraucher</w:t>
        </w:r>
      </w:hyperlink>
    </w:p>
    <w:p>
      <w:pPr>
        <w:pStyle w:val="Übersicht"/>
        <w:ind w:left="1361"/>
      </w:pPr>
      <w:hyperlink w:anchor="b1016" w:history="1">
        <w:r>
          <w:rPr>
            <w:color w:val="0A3A8C"/>
            <w:u w:val="single"/>
          </w:rPr>
          <w:t xml:space="preserve">§ 655c Vergütung</w:t>
        </w:r>
      </w:hyperlink>
    </w:p>
    <w:p>
      <w:pPr>
        <w:pStyle w:val="Übersicht"/>
        <w:ind w:left="1361"/>
      </w:pPr>
      <w:hyperlink w:anchor="b1017" w:history="1">
        <w:r>
          <w:rPr>
            <w:color w:val="0A3A8C"/>
            <w:u w:val="single"/>
          </w:rPr>
          <w:t xml:space="preserve">§ 655d Nebenentgelte</w:t>
        </w:r>
      </w:hyperlink>
    </w:p>
    <w:p>
      <w:pPr>
        <w:pStyle w:val="Übersicht"/>
        <w:ind w:left="1361"/>
      </w:pPr>
      <w:hyperlink w:anchor="b1018" w:history="1">
        <w:r>
          <w:rPr>
            <w:color w:val="0A3A8C"/>
            <w:u w:val="single"/>
          </w:rPr>
          <w:t xml:space="preserve">§ 655e Abweichende Vereinbarungen, Anwendung auf Existenzgründer</w:t>
        </w:r>
      </w:hyperlink>
    </w:p>
    <w:p>
      <w:pPr>
        <w:pStyle w:val="Übersicht"/>
        <w:ind w:left="1020"/>
      </w:pPr>
      <w:hyperlink w:anchor="b1019" w:history="1">
        <w:r>
          <w:rPr>
            <w:b/>
            <w:color w:val="0A3A8C"/>
            <w:u w:val="single"/>
          </w:rPr>
          <w:t xml:space="preserve">Untertitel 3 Ehevermittlung</w:t>
        </w:r>
      </w:hyperlink>
    </w:p>
    <w:p>
      <w:pPr>
        <w:pStyle w:val="Übersicht"/>
        <w:ind w:left="1361"/>
      </w:pPr>
      <w:hyperlink w:anchor="b1020" w:history="1">
        <w:r>
          <w:rPr>
            <w:color w:val="0A3A8C"/>
            <w:u w:val="single"/>
          </w:rPr>
          <w:t xml:space="preserve">§ 656 Heiratsvermittlung</w:t>
        </w:r>
      </w:hyperlink>
    </w:p>
    <w:p>
      <w:pPr>
        <w:pStyle w:val="Übersicht"/>
        <w:ind w:left="1020"/>
      </w:pPr>
      <w:hyperlink w:anchor="b1021" w:history="1">
        <w:r>
          <w:rPr>
            <w:b/>
            <w:color w:val="0A3A8C"/>
            <w:u w:val="single"/>
          </w:rPr>
          <w:t xml:space="preserve">Untertitel 4 Vermittlung von Kaufverträgen über Wohnungen und Einfamilienhäuser</w:t>
        </w:r>
      </w:hyperlink>
    </w:p>
    <w:p>
      <w:pPr>
        <w:pStyle w:val="Übersicht"/>
        <w:ind w:left="1361"/>
      </w:pPr>
      <w:hyperlink w:anchor="b1022" w:history="1">
        <w:r>
          <w:rPr>
            <w:color w:val="0A3A8C"/>
            <w:u w:val="single"/>
          </w:rPr>
          <w:t xml:space="preserve">§ 656a Textform</w:t>
        </w:r>
      </w:hyperlink>
    </w:p>
    <w:p>
      <w:pPr>
        <w:pStyle w:val="Übersicht"/>
        <w:ind w:left="1361"/>
      </w:pPr>
      <w:hyperlink w:anchor="b1023" w:history="1">
        <w:r>
          <w:rPr>
            <w:color w:val="0A3A8C"/>
            <w:u w:val="single"/>
          </w:rPr>
          <w:t xml:space="preserve">§ 656b Persönlicher Anwendungsbereich der §§ 656c und 656d</w:t>
        </w:r>
      </w:hyperlink>
    </w:p>
    <w:p>
      <w:pPr>
        <w:pStyle w:val="Übersicht"/>
        <w:ind w:left="1361"/>
      </w:pPr>
      <w:hyperlink w:anchor="b1024" w:history="1">
        <w:r>
          <w:rPr>
            <w:color w:val="0A3A8C"/>
            <w:u w:val="single"/>
          </w:rPr>
          <w:t xml:space="preserve">§ 656c Lohnanspruch bei Tätigkeit für beide Parteien</w:t>
        </w:r>
      </w:hyperlink>
    </w:p>
    <w:p>
      <w:pPr>
        <w:pStyle w:val="Übersicht"/>
        <w:ind w:left="1361"/>
      </w:pPr>
      <w:hyperlink w:anchor="b1025" w:history="1">
        <w:r>
          <w:rPr>
            <w:color w:val="0A3A8C"/>
            <w:u w:val="single"/>
          </w:rPr>
          <w:t xml:space="preserve">§ 656d Vereinbarungen über die Maklerkosten</w:t>
        </w:r>
      </w:hyperlink>
    </w:p>
    <w:p>
      <w:pPr>
        <w:pStyle w:val="Übersicht"/>
        <w:ind w:left="680"/>
      </w:pPr>
      <w:hyperlink w:anchor="b1026" w:history="1">
        <w:r>
          <w:rPr>
            <w:b/>
            <w:color w:val="0A3A8C"/>
            <w:u w:val="single"/>
          </w:rPr>
          <w:t xml:space="preserve">Titel 11 Auslobung</w:t>
        </w:r>
      </w:hyperlink>
    </w:p>
    <w:p>
      <w:pPr>
        <w:pStyle w:val="Übersicht"/>
        <w:ind w:left="1020"/>
      </w:pPr>
      <w:hyperlink w:anchor="b1027" w:history="1">
        <w:r>
          <w:rPr>
            <w:color w:val="0A3A8C"/>
            <w:u w:val="single"/>
          </w:rPr>
          <w:t xml:space="preserve">§ 657 Bindendes Versprechen</w:t>
        </w:r>
      </w:hyperlink>
    </w:p>
    <w:p>
      <w:pPr>
        <w:pStyle w:val="Übersicht"/>
        <w:ind w:left="1020"/>
      </w:pPr>
      <w:hyperlink w:anchor="b1028" w:history="1">
        <w:r>
          <w:rPr>
            <w:color w:val="0A3A8C"/>
            <w:u w:val="single"/>
          </w:rPr>
          <w:t xml:space="preserve">§ 658 Widerruf</w:t>
        </w:r>
      </w:hyperlink>
    </w:p>
    <w:p>
      <w:pPr>
        <w:pStyle w:val="Übersicht"/>
        <w:ind w:left="1020"/>
      </w:pPr>
      <w:hyperlink w:anchor="b1029" w:history="1">
        <w:r>
          <w:rPr>
            <w:color w:val="0A3A8C"/>
            <w:u w:val="single"/>
          </w:rPr>
          <w:t xml:space="preserve">§ 659 Mehrfache Vornahme</w:t>
        </w:r>
      </w:hyperlink>
    </w:p>
    <w:p>
      <w:pPr>
        <w:pStyle w:val="Übersicht"/>
        <w:ind w:left="1020"/>
      </w:pPr>
      <w:hyperlink w:anchor="b1030" w:history="1">
        <w:r>
          <w:rPr>
            <w:color w:val="0A3A8C"/>
            <w:u w:val="single"/>
          </w:rPr>
          <w:t xml:space="preserve">§ 660 Mitwirkung mehrerer</w:t>
        </w:r>
      </w:hyperlink>
    </w:p>
    <w:p>
      <w:pPr>
        <w:pStyle w:val="Übersicht"/>
        <w:ind w:left="1020"/>
      </w:pPr>
      <w:hyperlink w:anchor="b1031" w:history="1">
        <w:r>
          <w:rPr>
            <w:color w:val="0A3A8C"/>
            <w:u w:val="single"/>
          </w:rPr>
          <w:t xml:space="preserve">§ 661 Preisausschreiben</w:t>
        </w:r>
      </w:hyperlink>
    </w:p>
    <w:p>
      <w:pPr>
        <w:pStyle w:val="Übersicht"/>
        <w:ind w:left="1020"/>
      </w:pPr>
      <w:hyperlink w:anchor="b1032" w:history="1">
        <w:r>
          <w:rPr>
            <w:color w:val="0A3A8C"/>
            <w:u w:val="single"/>
          </w:rPr>
          <w:t xml:space="preserve">§ 661a Gewinnzusagen</w:t>
        </w:r>
      </w:hyperlink>
    </w:p>
    <w:p>
      <w:pPr>
        <w:pStyle w:val="Übersicht"/>
        <w:ind w:left="680"/>
      </w:pPr>
      <w:hyperlink w:anchor="b1033" w:history="1">
        <w:r>
          <w:rPr>
            <w:b/>
            <w:color w:val="0A3A8C"/>
            <w:u w:val="single"/>
          </w:rPr>
          <w:t xml:space="preserve">Titel 12 Auftrag, Geschäftsbesorgungsvertrag und Zahlungsdienste</w:t>
        </w:r>
      </w:hyperlink>
    </w:p>
    <w:p>
      <w:pPr>
        <w:pStyle w:val="Übersicht"/>
        <w:ind w:left="1020"/>
      </w:pPr>
      <w:hyperlink w:anchor="b1034" w:history="1">
        <w:r>
          <w:rPr>
            <w:b/>
            <w:color w:val="0A3A8C"/>
            <w:u w:val="single"/>
          </w:rPr>
          <w:t xml:space="preserve">Untertitel 1 Auftrag</w:t>
        </w:r>
      </w:hyperlink>
    </w:p>
    <w:p>
      <w:pPr>
        <w:pStyle w:val="Übersicht"/>
        <w:ind w:left="1361"/>
      </w:pPr>
      <w:hyperlink w:anchor="b1035" w:history="1">
        <w:r>
          <w:rPr>
            <w:color w:val="0A3A8C"/>
            <w:u w:val="single"/>
          </w:rPr>
          <w:t xml:space="preserve">§ 662 Vertragstypische Pflichten beim Auftrag</w:t>
        </w:r>
      </w:hyperlink>
    </w:p>
    <w:p>
      <w:pPr>
        <w:pStyle w:val="Übersicht"/>
        <w:ind w:left="1361"/>
      </w:pPr>
      <w:hyperlink w:anchor="b1036" w:history="1">
        <w:r>
          <w:rPr>
            <w:color w:val="0A3A8C"/>
            <w:u w:val="single"/>
          </w:rPr>
          <w:t xml:space="preserve">§ 663 Anzeigepflicht bei Ablehnung</w:t>
        </w:r>
      </w:hyperlink>
    </w:p>
    <w:p>
      <w:pPr>
        <w:pStyle w:val="Übersicht"/>
        <w:ind w:left="1361"/>
      </w:pPr>
      <w:hyperlink w:anchor="b1037" w:history="1">
        <w:r>
          <w:rPr>
            <w:color w:val="0A3A8C"/>
            <w:u w:val="single"/>
          </w:rPr>
          <w:t xml:space="preserve">§ 664 Unübertragbarkeit; Haftung für Gehilfen</w:t>
        </w:r>
      </w:hyperlink>
    </w:p>
    <w:p>
      <w:pPr>
        <w:pStyle w:val="Übersicht"/>
        <w:ind w:left="1361"/>
      </w:pPr>
      <w:hyperlink w:anchor="b1038" w:history="1">
        <w:r>
          <w:rPr>
            <w:color w:val="0A3A8C"/>
            <w:u w:val="single"/>
          </w:rPr>
          <w:t xml:space="preserve">§ 665 Abweichung von Weisungen</w:t>
        </w:r>
      </w:hyperlink>
    </w:p>
    <w:p>
      <w:pPr>
        <w:pStyle w:val="Übersicht"/>
        <w:ind w:left="1361"/>
      </w:pPr>
      <w:hyperlink w:anchor="b1039" w:history="1">
        <w:r>
          <w:rPr>
            <w:color w:val="0A3A8C"/>
            <w:u w:val="single"/>
          </w:rPr>
          <w:t xml:space="preserve">§ 666 Auskunfts- und Rechenschaftspflicht</w:t>
        </w:r>
      </w:hyperlink>
    </w:p>
    <w:p>
      <w:pPr>
        <w:pStyle w:val="Übersicht"/>
        <w:ind w:left="1361"/>
      </w:pPr>
      <w:hyperlink w:anchor="b1040" w:history="1">
        <w:r>
          <w:rPr>
            <w:color w:val="0A3A8C"/>
            <w:u w:val="single"/>
          </w:rPr>
          <w:t xml:space="preserve">§ 667 Herausgabepflicht</w:t>
        </w:r>
      </w:hyperlink>
    </w:p>
    <w:p>
      <w:pPr>
        <w:pStyle w:val="Übersicht"/>
        <w:ind w:left="1361"/>
      </w:pPr>
      <w:hyperlink w:anchor="b1041" w:history="1">
        <w:r>
          <w:rPr>
            <w:color w:val="0A3A8C"/>
            <w:u w:val="single"/>
          </w:rPr>
          <w:t xml:space="preserve">§ 668 Verzinsung des verwendeten Geldes</w:t>
        </w:r>
      </w:hyperlink>
    </w:p>
    <w:p>
      <w:pPr>
        <w:pStyle w:val="Übersicht"/>
        <w:ind w:left="1361"/>
      </w:pPr>
      <w:hyperlink w:anchor="b1042" w:history="1">
        <w:r>
          <w:rPr>
            <w:color w:val="0A3A8C"/>
            <w:u w:val="single"/>
          </w:rPr>
          <w:t xml:space="preserve">§ 669 Vorschusspflicht</w:t>
        </w:r>
      </w:hyperlink>
    </w:p>
    <w:p>
      <w:pPr>
        <w:pStyle w:val="Übersicht"/>
        <w:ind w:left="1361"/>
      </w:pPr>
      <w:hyperlink w:anchor="b1043" w:history="1">
        <w:r>
          <w:rPr>
            <w:color w:val="0A3A8C"/>
            <w:u w:val="single"/>
          </w:rPr>
          <w:t xml:space="preserve">§ 670 Ersatz von Aufwendungen</w:t>
        </w:r>
      </w:hyperlink>
    </w:p>
    <w:p>
      <w:pPr>
        <w:pStyle w:val="Übersicht"/>
        <w:ind w:left="1361"/>
      </w:pPr>
      <w:hyperlink w:anchor="b1044" w:history="1">
        <w:r>
          <w:rPr>
            <w:color w:val="0A3A8C"/>
            <w:u w:val="single"/>
          </w:rPr>
          <w:t xml:space="preserve">§ 671 Widerruf; Kündigung</w:t>
        </w:r>
      </w:hyperlink>
    </w:p>
    <w:p>
      <w:pPr>
        <w:pStyle w:val="Übersicht"/>
        <w:ind w:left="1361"/>
      </w:pPr>
      <w:hyperlink w:anchor="b1045" w:history="1">
        <w:r>
          <w:rPr>
            <w:color w:val="0A3A8C"/>
            <w:u w:val="single"/>
          </w:rPr>
          <w:t xml:space="preserve">§ 672 Tod oder Geschäftsunfähigkeit des Auftraggebers</w:t>
        </w:r>
      </w:hyperlink>
    </w:p>
    <w:p>
      <w:pPr>
        <w:pStyle w:val="Übersicht"/>
        <w:ind w:left="1361"/>
      </w:pPr>
      <w:hyperlink w:anchor="b1046" w:history="1">
        <w:r>
          <w:rPr>
            <w:color w:val="0A3A8C"/>
            <w:u w:val="single"/>
          </w:rPr>
          <w:t xml:space="preserve">§ 673 Tod des Beauftragten</w:t>
        </w:r>
      </w:hyperlink>
    </w:p>
    <w:p>
      <w:pPr>
        <w:pStyle w:val="Übersicht"/>
        <w:ind w:left="1361"/>
      </w:pPr>
      <w:hyperlink w:anchor="b1047" w:history="1">
        <w:r>
          <w:rPr>
            <w:color w:val="0A3A8C"/>
            <w:u w:val="single"/>
          </w:rPr>
          <w:t xml:space="preserve">§ 674 Fiktion des Fortbestehens</w:t>
        </w:r>
      </w:hyperlink>
    </w:p>
    <w:p>
      <w:pPr>
        <w:pStyle w:val="Übersicht"/>
        <w:ind w:left="1020"/>
      </w:pPr>
      <w:hyperlink w:anchor="b1048" w:history="1">
        <w:r>
          <w:rPr>
            <w:b/>
            <w:color w:val="0A3A8C"/>
            <w:u w:val="single"/>
          </w:rPr>
          <w:t xml:space="preserve">Untertitel 2 Geschäftsbesorgungsvertrag</w:t>
        </w:r>
      </w:hyperlink>
    </w:p>
    <w:p>
      <w:pPr>
        <w:pStyle w:val="Übersicht"/>
        <w:ind w:left="1361"/>
      </w:pPr>
      <w:hyperlink w:anchor="b1049" w:history="1">
        <w:r>
          <w:rPr>
            <w:color w:val="0A3A8C"/>
            <w:u w:val="single"/>
          </w:rPr>
          <w:t xml:space="preserve">§ 675 Entgeltliche Geschäftsbesorgung</w:t>
        </w:r>
      </w:hyperlink>
    </w:p>
    <w:p>
      <w:pPr>
        <w:pStyle w:val="Übersicht"/>
        <w:ind w:left="1361"/>
      </w:pPr>
      <w:hyperlink w:anchor="b1050" w:history="1">
        <w:r>
          <w:rPr>
            <w:color w:val="0A3A8C"/>
            <w:u w:val="single"/>
          </w:rPr>
          <w:t xml:space="preserve">§ 675a Informationspflichten</w:t>
        </w:r>
      </w:hyperlink>
    </w:p>
    <w:p>
      <w:pPr>
        <w:pStyle w:val="Übersicht"/>
        <w:ind w:left="1361"/>
      </w:pPr>
      <w:hyperlink w:anchor="b1051" w:history="1">
        <w:r>
          <w:rPr>
            <w:color w:val="0A3A8C"/>
            <w:u w:val="single"/>
          </w:rPr>
          <w:t xml:space="preserve">§ 675b Aufträge zur Übertragung von Wertpapieren in Systemen</w:t>
        </w:r>
      </w:hyperlink>
    </w:p>
    <w:p>
      <w:pPr>
        <w:pStyle w:val="Übersicht"/>
        <w:ind w:left="1020"/>
      </w:pPr>
      <w:hyperlink w:anchor="b1052" w:history="1">
        <w:r>
          <w:rPr>
            <w:b/>
            <w:color w:val="0A3A8C"/>
            <w:u w:val="single"/>
          </w:rPr>
          <w:t xml:space="preserve">Untertitel 3 Zahlungsdienste</w:t>
        </w:r>
      </w:hyperlink>
    </w:p>
    <w:p>
      <w:pPr>
        <w:pStyle w:val="Übersicht"/>
        <w:ind w:left="1361"/>
      </w:pPr>
      <w:hyperlink w:anchor="b1053" w:history="1">
        <w:r>
          <w:rPr>
            <w:b/>
            <w:color w:val="0A3A8C"/>
            <w:u w:val="single"/>
          </w:rPr>
          <w:t xml:space="preserve">Kapitel 1 Allgemeine Vorschriften</w:t>
        </w:r>
      </w:hyperlink>
    </w:p>
    <w:p>
      <w:pPr>
        <w:pStyle w:val="Übersicht"/>
        <w:ind w:left="1701"/>
      </w:pPr>
      <w:hyperlink w:anchor="b1054" w:history="1">
        <w:r>
          <w:rPr>
            <w:color w:val="0A3A8C"/>
            <w:u w:val="single"/>
          </w:rPr>
          <w:t xml:space="preserve">§ 675c Zahlungsdienste und E-Geld</w:t>
        </w:r>
      </w:hyperlink>
    </w:p>
    <w:p>
      <w:pPr>
        <w:pStyle w:val="Übersicht"/>
        <w:ind w:left="1701"/>
      </w:pPr>
      <w:hyperlink w:anchor="b1055" w:history="1">
        <w:r>
          <w:rPr>
            <w:color w:val="0A3A8C"/>
            <w:u w:val="single"/>
          </w:rPr>
          <w:t xml:space="preserve">§ 675d Unterrichtung bei Zahlungsdiensten</w:t>
        </w:r>
      </w:hyperlink>
    </w:p>
    <w:p>
      <w:pPr>
        <w:pStyle w:val="Übersicht"/>
        <w:ind w:left="1701"/>
      </w:pPr>
      <w:hyperlink w:anchor="b1056" w:history="1">
        <w:r>
          <w:rPr>
            <w:color w:val="0A3A8C"/>
            <w:u w:val="single"/>
          </w:rPr>
          <w:t xml:space="preserve">§ 675e Abweichende Vereinbarungen</w:t>
        </w:r>
      </w:hyperlink>
    </w:p>
    <w:p>
      <w:pPr>
        <w:pStyle w:val="Übersicht"/>
        <w:ind w:left="1361"/>
      </w:pPr>
      <w:hyperlink w:anchor="b1057" w:history="1">
        <w:r>
          <w:rPr>
            <w:b/>
            <w:color w:val="0A3A8C"/>
            <w:u w:val="single"/>
          </w:rPr>
          <w:t xml:space="preserve">Kapitel 2 Zahlungsdienstevertrag</w:t>
        </w:r>
      </w:hyperlink>
    </w:p>
    <w:p>
      <w:pPr>
        <w:pStyle w:val="Übersicht"/>
        <w:ind w:left="1701"/>
      </w:pPr>
      <w:hyperlink w:anchor="b1058" w:history="1">
        <w:r>
          <w:rPr>
            <w:color w:val="0A3A8C"/>
            <w:u w:val="single"/>
          </w:rPr>
          <w:t xml:space="preserve">§ 675f Zahlungsdienstevertrag</w:t>
        </w:r>
      </w:hyperlink>
    </w:p>
    <w:p>
      <w:pPr>
        <w:pStyle w:val="Übersicht"/>
        <w:ind w:left="1701"/>
      </w:pPr>
      <w:hyperlink w:anchor="b1059" w:history="1">
        <w:r>
          <w:rPr>
            <w:color w:val="0A3A8C"/>
            <w:u w:val="single"/>
          </w:rPr>
          <w:t xml:space="preserve">§ 675g Änderung des Zahlungsdiensterahmenvertrags</w:t>
        </w:r>
      </w:hyperlink>
    </w:p>
    <w:p>
      <w:pPr>
        <w:pStyle w:val="Übersicht"/>
        <w:ind w:left="1701"/>
      </w:pPr>
      <w:hyperlink w:anchor="b1060" w:history="1">
        <w:r>
          <w:rPr>
            <w:color w:val="0A3A8C"/>
            <w:u w:val="single"/>
          </w:rPr>
          <w:t xml:space="preserve">§ 675h Ordentliche Kündigung eines Zahlungsdiensterahmenvertrags</w:t>
        </w:r>
      </w:hyperlink>
    </w:p>
    <w:p>
      <w:pPr>
        <w:pStyle w:val="Übersicht"/>
        <w:ind w:left="1701"/>
      </w:pPr>
      <w:hyperlink w:anchor="b1061" w:history="1">
        <w:r>
          <w:rPr>
            <w:color w:val="0A3A8C"/>
            <w:u w:val="single"/>
          </w:rPr>
          <w:t xml:space="preserve">§ 675i Ausnahmen für Kleinbetragsinstrumente und E-Geld</w:t>
        </w:r>
      </w:hyperlink>
    </w:p>
    <w:p>
      <w:pPr>
        <w:pStyle w:val="Übersicht"/>
        <w:ind w:left="1361"/>
      </w:pPr>
      <w:hyperlink w:anchor="b1062" w:history="1">
        <w:r>
          <w:rPr>
            <w:b/>
            <w:color w:val="0A3A8C"/>
            <w:u w:val="single"/>
          </w:rPr>
          <w:t xml:space="preserve">Kapitel 3 Erbringung und Nutzung von Zahlungsdiensten</w:t>
        </w:r>
      </w:hyperlink>
    </w:p>
    <w:p>
      <w:pPr>
        <w:pStyle w:val="Übersicht"/>
        <w:ind w:left="1701"/>
      </w:pPr>
      <w:hyperlink w:anchor="b1063" w:history="1">
        <w:r>
          <w:rPr>
            <w:b/>
            <w:color w:val="0A3A8C"/>
            <w:u w:val="single"/>
          </w:rPr>
          <w:t xml:space="preserve">Unterkapitel 1 Autorisierung von Zahlungsvorgängen; Zahlungsinstrumente; Verweigerung des Zugangs zum Zahlungskonto</w:t>
        </w:r>
      </w:hyperlink>
    </w:p>
    <w:p>
      <w:pPr>
        <w:pStyle w:val="Übersicht"/>
        <w:ind w:left="2041"/>
      </w:pPr>
      <w:hyperlink w:anchor="b1064" w:history="1">
        <w:r>
          <w:rPr>
            <w:color w:val="0A3A8C"/>
            <w:u w:val="single"/>
          </w:rPr>
          <w:t xml:space="preserve">§ 675j Zustimmung und Widerruf der Zustimmung</w:t>
        </w:r>
      </w:hyperlink>
    </w:p>
    <w:p>
      <w:pPr>
        <w:pStyle w:val="Übersicht"/>
        <w:ind w:left="2041"/>
      </w:pPr>
      <w:hyperlink w:anchor="b1065" w:history="1">
        <w:r>
          <w:rPr>
            <w:color w:val="0A3A8C"/>
            <w:u w:val="single"/>
          </w:rPr>
          <w:t xml:space="preserve">§ 675k Begrenzung der Nutzung eines Zahlungsinstruments; Verweigerung des Zugangs zum Zahlungskonto</w:t>
        </w:r>
      </w:hyperlink>
    </w:p>
    <w:p>
      <w:pPr>
        <w:pStyle w:val="Übersicht"/>
        <w:ind w:left="2041"/>
      </w:pPr>
      <w:hyperlink w:anchor="b1066" w:history="1">
        <w:r>
          <w:rPr>
            <w:color w:val="0A3A8C"/>
            <w:u w:val="single"/>
          </w:rPr>
          <w:t xml:space="preserve">§ 675l Pflichten des Zahlungsdienstnutzers in Bezug auf Zahlungsinstrumente</w:t>
        </w:r>
      </w:hyperlink>
    </w:p>
    <w:p>
      <w:pPr>
        <w:pStyle w:val="Übersicht"/>
        <w:ind w:left="2041"/>
      </w:pPr>
      <w:hyperlink w:anchor="b1067" w:history="1">
        <w:r>
          <w:rPr>
            <w:color w:val="0A3A8C"/>
            <w:u w:val="single"/>
          </w:rPr>
          <w:t xml:space="preserve">§ 675m Pflichten des Zahlungsdienstleisters in Bezug auf Zahlungsinstrumente; Risiko der Versendung</w:t>
        </w:r>
      </w:hyperlink>
    </w:p>
    <w:p>
      <w:pPr>
        <w:pStyle w:val="Übersicht"/>
        <w:ind w:left="1701"/>
      </w:pPr>
      <w:hyperlink w:anchor="b1068" w:history="1">
        <w:r>
          <w:rPr>
            <w:b/>
            <w:color w:val="0A3A8C"/>
            <w:u w:val="single"/>
          </w:rPr>
          <w:t xml:space="preserve">Unterkapitel 2 Ausführung von Zahlungsvorgängen</w:t>
        </w:r>
      </w:hyperlink>
    </w:p>
    <w:p>
      <w:pPr>
        <w:pStyle w:val="Übersicht"/>
        <w:ind w:left="2041"/>
      </w:pPr>
      <w:hyperlink w:anchor="b1069" w:history="1">
        <w:r>
          <w:rPr>
            <w:color w:val="0A3A8C"/>
            <w:u w:val="single"/>
          </w:rPr>
          <w:t xml:space="preserve">§ 675n Zugang von Zahlungsaufträgen</w:t>
        </w:r>
      </w:hyperlink>
    </w:p>
    <w:p>
      <w:pPr>
        <w:pStyle w:val="Übersicht"/>
        <w:ind w:left="2041"/>
      </w:pPr>
      <w:hyperlink w:anchor="b1070" w:history="1">
        <w:r>
          <w:rPr>
            <w:color w:val="0A3A8C"/>
            <w:u w:val="single"/>
          </w:rPr>
          <w:t xml:space="preserve">§ 675o Ablehnung von Zahlungsaufträgen</w:t>
        </w:r>
      </w:hyperlink>
    </w:p>
    <w:p>
      <w:pPr>
        <w:pStyle w:val="Übersicht"/>
        <w:ind w:left="2041"/>
      </w:pPr>
      <w:hyperlink w:anchor="b1071" w:history="1">
        <w:r>
          <w:rPr>
            <w:color w:val="0A3A8C"/>
            <w:u w:val="single"/>
          </w:rPr>
          <w:t xml:space="preserve">§ 675p Unwiderruflichkeit eines Zahlungsauftrags</w:t>
        </w:r>
      </w:hyperlink>
    </w:p>
    <w:p>
      <w:pPr>
        <w:pStyle w:val="Übersicht"/>
        <w:ind w:left="2041"/>
      </w:pPr>
      <w:hyperlink w:anchor="b1072" w:history="1">
        <w:r>
          <w:rPr>
            <w:color w:val="0A3A8C"/>
            <w:u w:val="single"/>
          </w:rPr>
          <w:t xml:space="preserve">§ 675q Entgelte bei Zahlungsvorgängen</w:t>
        </w:r>
      </w:hyperlink>
    </w:p>
    <w:p>
      <w:pPr>
        <w:pStyle w:val="Übersicht"/>
        <w:ind w:left="2041"/>
      </w:pPr>
      <w:hyperlink w:anchor="b1073" w:history="1">
        <w:r>
          <w:rPr>
            <w:color w:val="0A3A8C"/>
            <w:u w:val="single"/>
          </w:rPr>
          <w:t xml:space="preserve">§ 675r Ausführung eines Zahlungsvorgangs anhand von Kundenkennungen</w:t>
        </w:r>
      </w:hyperlink>
    </w:p>
    <w:p>
      <w:pPr>
        <w:pStyle w:val="Übersicht"/>
        <w:ind w:left="2041"/>
      </w:pPr>
      <w:hyperlink w:anchor="b1074" w:history="1">
        <w:r>
          <w:rPr>
            <w:color w:val="0A3A8C"/>
            <w:u w:val="single"/>
          </w:rPr>
          <w:t xml:space="preserve">§ 675s Ausführungsfrist für Zahlungsvorgänge</w:t>
        </w:r>
      </w:hyperlink>
    </w:p>
    <w:p>
      <w:pPr>
        <w:pStyle w:val="Übersicht"/>
        <w:ind w:left="2041"/>
      </w:pPr>
      <w:hyperlink w:anchor="b1075" w:history="1">
        <w:r>
          <w:rPr>
            <w:color w:val="0A3A8C"/>
            <w:u w:val="single"/>
          </w:rPr>
          <w:t xml:space="preserve">§ 675t Wertstellungsdatum und Verfügbarkeit von Geldbeträgen; Sperrung eines verfügbaren Geldbetrags</w:t>
        </w:r>
      </w:hyperlink>
    </w:p>
    <w:p>
      <w:pPr>
        <w:pStyle w:val="Übersicht"/>
        <w:ind w:left="1701"/>
      </w:pPr>
      <w:hyperlink w:anchor="b1076" w:history="1">
        <w:r>
          <w:rPr>
            <w:b/>
            <w:color w:val="0A3A8C"/>
            <w:u w:val="single"/>
          </w:rPr>
          <w:t xml:space="preserve">Unterkapitel 3 Haftung</w:t>
        </w:r>
      </w:hyperlink>
    </w:p>
    <w:p>
      <w:pPr>
        <w:pStyle w:val="Übersicht"/>
        <w:ind w:left="2041"/>
      </w:pPr>
      <w:hyperlink w:anchor="b1077" w:history="1">
        <w:r>
          <w:rPr>
            <w:color w:val="0A3A8C"/>
            <w:u w:val="single"/>
          </w:rPr>
          <w:t xml:space="preserve">§ 675u Haftung des Zahlungsdienstleisters für nicht autorisierte Zahlungsvorgänge</w:t>
        </w:r>
      </w:hyperlink>
    </w:p>
    <w:p>
      <w:pPr>
        <w:pStyle w:val="Übersicht"/>
        <w:ind w:left="2041"/>
      </w:pPr>
      <w:hyperlink w:anchor="b1078" w:history="1">
        <w:r>
          <w:rPr>
            <w:color w:val="0A3A8C"/>
            <w:u w:val="single"/>
          </w:rPr>
          <w:t xml:space="preserve">§ 675v Haftung des Zahlers bei missbräuchlicher Nutzung eines Zahlungsinstruments</w:t>
        </w:r>
      </w:hyperlink>
    </w:p>
    <w:p>
      <w:pPr>
        <w:pStyle w:val="Übersicht"/>
        <w:ind w:left="2041"/>
      </w:pPr>
      <w:hyperlink w:anchor="b1079" w:history="1">
        <w:r>
          <w:rPr>
            <w:color w:val="0A3A8C"/>
            <w:u w:val="single"/>
          </w:rPr>
          <w:t xml:space="preserve">§ 675w Nachweis der Authentifizierung</w:t>
        </w:r>
      </w:hyperlink>
    </w:p>
    <w:p>
      <w:pPr>
        <w:pStyle w:val="Übersicht"/>
        <w:ind w:left="2041"/>
      </w:pPr>
      <w:hyperlink w:anchor="b1080" w:history="1">
        <w:r>
          <w:rPr>
            <w:color w:val="0A3A8C"/>
            <w:u w:val="single"/>
          </w:rPr>
          <w:t xml:space="preserve">§ 675x Erstattungsanspruch bei einem vom oder über den Zahlungsempfänger ausgelösten autorisierten Zahlungsvorgang</w:t>
        </w:r>
      </w:hyperlink>
    </w:p>
    <w:p>
      <w:pPr>
        <w:pStyle w:val="Übersicht"/>
        <w:ind w:left="2041"/>
      </w:pPr>
      <w:hyperlink w:anchor="b1081" w:history="1">
        <w:r>
          <w:rPr>
            <w:color w:val="0A3A8C"/>
            <w:u w:val="single"/>
          </w:rPr>
          <w:t xml:space="preserve">§ 675y Haftung der Zahlungsdienstleister bei nicht erfolgter, fehlerhafter oder verspäteter Ausführung eines Zahlungsauftrags; Nachforschungspflicht</w:t>
        </w:r>
      </w:hyperlink>
    </w:p>
    <w:p>
      <w:pPr>
        <w:pStyle w:val="Übersicht"/>
        <w:ind w:left="2041"/>
      </w:pPr>
      <w:hyperlink w:anchor="b1082" w:history="1">
        <w:r>
          <w:rPr>
            <w:color w:val="0A3A8C"/>
            <w:u w:val="single"/>
          </w:rPr>
          <w:t xml:space="preserve">§ 675z Sonstige Ansprüche bei nicht erfolgter, fehlerhafter oder verspäteter Ausführung eines Zahlungsauftrags oder bei einem nicht autorisierten Zahlungsvorgang</w:t>
        </w:r>
      </w:hyperlink>
    </w:p>
    <w:p>
      <w:pPr>
        <w:pStyle w:val="Übersicht"/>
        <w:ind w:left="2041"/>
      </w:pPr>
      <w:hyperlink w:anchor="b1083" w:history="1">
        <w:r>
          <w:rPr>
            <w:color w:val="0A3A8C"/>
            <w:u w:val="single"/>
          </w:rPr>
          <w:t xml:space="preserve">§ 676 Nachweis der Ausführung von Zahlungsvorgängen</w:t>
        </w:r>
      </w:hyperlink>
    </w:p>
    <w:p>
      <w:pPr>
        <w:pStyle w:val="Übersicht"/>
        <w:ind w:left="2041"/>
      </w:pPr>
      <w:hyperlink w:anchor="b1084" w:history="1">
        <w:r>
          <w:rPr>
            <w:color w:val="0A3A8C"/>
            <w:u w:val="single"/>
          </w:rPr>
          <w:t xml:space="preserve">§ 676a Ausgleichsanspruch</w:t>
        </w:r>
      </w:hyperlink>
    </w:p>
    <w:p>
      <w:pPr>
        <w:pStyle w:val="Übersicht"/>
        <w:ind w:left="2041"/>
      </w:pPr>
      <w:hyperlink w:anchor="b1085" w:history="1">
        <w:r>
          <w:rPr>
            <w:color w:val="0A3A8C"/>
            <w:u w:val="single"/>
          </w:rPr>
          <w:t xml:space="preserve">§ 676b Anzeige nicht autorisierter oder fehlerhaft ausgeführter Zahlungsvorgänge</w:t>
        </w:r>
      </w:hyperlink>
    </w:p>
    <w:p>
      <w:pPr>
        <w:pStyle w:val="Übersicht"/>
        <w:ind w:left="2041"/>
      </w:pPr>
      <w:hyperlink w:anchor="b1086" w:history="1">
        <w:r>
          <w:rPr>
            <w:color w:val="0A3A8C"/>
            <w:u w:val="single"/>
          </w:rPr>
          <w:t xml:space="preserve">§ 676c Haftungsausschluss</w:t>
        </w:r>
      </w:hyperlink>
    </w:p>
    <w:p>
      <w:pPr>
        <w:pStyle w:val="Übersicht"/>
        <w:ind w:left="680"/>
      </w:pPr>
      <w:hyperlink w:anchor="b1087" w:history="1">
        <w:r>
          <w:rPr>
            <w:b/>
            <w:color w:val="0A3A8C"/>
            <w:u w:val="single"/>
          </w:rPr>
          <w:t xml:space="preserve">Titel 13 Geschäftsführung ohne Auftrag</w:t>
        </w:r>
      </w:hyperlink>
    </w:p>
    <w:p>
      <w:pPr>
        <w:pStyle w:val="Übersicht"/>
        <w:ind w:left="1020"/>
      </w:pPr>
      <w:hyperlink w:anchor="b1088" w:history="1">
        <w:r>
          <w:rPr>
            <w:color w:val="0A3A8C"/>
            <w:u w:val="single"/>
          </w:rPr>
          <w:t xml:space="preserve">§ 677 Pflichten des Geschäftsführers</w:t>
        </w:r>
      </w:hyperlink>
    </w:p>
    <w:p>
      <w:pPr>
        <w:pStyle w:val="Übersicht"/>
        <w:ind w:left="1020"/>
      </w:pPr>
      <w:hyperlink w:anchor="b1089" w:history="1">
        <w:r>
          <w:rPr>
            <w:color w:val="0A3A8C"/>
            <w:u w:val="single"/>
          </w:rPr>
          <w:t xml:space="preserve">§ 678 Geschäftsführung gegen den Willen des Geschäftsherrn</w:t>
        </w:r>
      </w:hyperlink>
    </w:p>
    <w:p>
      <w:pPr>
        <w:pStyle w:val="Übersicht"/>
        <w:ind w:left="1020"/>
      </w:pPr>
      <w:hyperlink w:anchor="b1090" w:history="1">
        <w:r>
          <w:rPr>
            <w:color w:val="0A3A8C"/>
            <w:u w:val="single"/>
          </w:rPr>
          <w:t xml:space="preserve">§ 679 Unbeachtlichkeit des entgegenstehenden Willens des Geschäftsherrn</w:t>
        </w:r>
      </w:hyperlink>
    </w:p>
    <w:p>
      <w:pPr>
        <w:pStyle w:val="Übersicht"/>
        <w:ind w:left="1020"/>
      </w:pPr>
      <w:hyperlink w:anchor="b1091" w:history="1">
        <w:r>
          <w:rPr>
            <w:color w:val="0A3A8C"/>
            <w:u w:val="single"/>
          </w:rPr>
          <w:t xml:space="preserve">§ 680 Geschäftsführung zur Gefahrenabwehr</w:t>
        </w:r>
      </w:hyperlink>
    </w:p>
    <w:p>
      <w:pPr>
        <w:pStyle w:val="Übersicht"/>
        <w:ind w:left="1020"/>
      </w:pPr>
      <w:hyperlink w:anchor="b1092" w:history="1">
        <w:r>
          <w:rPr>
            <w:color w:val="0A3A8C"/>
            <w:u w:val="single"/>
          </w:rPr>
          <w:t xml:space="preserve">§ 681 Nebenpflichten des Geschäftsführers</w:t>
        </w:r>
      </w:hyperlink>
    </w:p>
    <w:p>
      <w:pPr>
        <w:pStyle w:val="Übersicht"/>
        <w:ind w:left="1020"/>
      </w:pPr>
      <w:hyperlink w:anchor="b1093" w:history="1">
        <w:r>
          <w:rPr>
            <w:color w:val="0A3A8C"/>
            <w:u w:val="single"/>
          </w:rPr>
          <w:t xml:space="preserve">§ 682 Fehlende Geschäftsfähigkeit des Geschäftsführers</w:t>
        </w:r>
      </w:hyperlink>
    </w:p>
    <w:p>
      <w:pPr>
        <w:pStyle w:val="Übersicht"/>
        <w:ind w:left="1020"/>
      </w:pPr>
      <w:hyperlink w:anchor="b1094" w:history="1">
        <w:r>
          <w:rPr>
            <w:color w:val="0A3A8C"/>
            <w:u w:val="single"/>
          </w:rPr>
          <w:t xml:space="preserve">§ 683 Ersatz von Aufwendungen</w:t>
        </w:r>
      </w:hyperlink>
    </w:p>
    <w:p>
      <w:pPr>
        <w:pStyle w:val="Übersicht"/>
        <w:ind w:left="1020"/>
      </w:pPr>
      <w:hyperlink w:anchor="b1095" w:history="1">
        <w:r>
          <w:rPr>
            <w:color w:val="0A3A8C"/>
            <w:u w:val="single"/>
          </w:rPr>
          <w:t xml:space="preserve">§ 684 Herausgabe der Bereicherung</w:t>
        </w:r>
      </w:hyperlink>
    </w:p>
    <w:p>
      <w:pPr>
        <w:pStyle w:val="Übersicht"/>
        <w:ind w:left="1020"/>
      </w:pPr>
      <w:hyperlink w:anchor="b1096" w:history="1">
        <w:r>
          <w:rPr>
            <w:color w:val="0A3A8C"/>
            <w:u w:val="single"/>
          </w:rPr>
          <w:t xml:space="preserve">§ 685 Schenkungsabsicht</w:t>
        </w:r>
      </w:hyperlink>
    </w:p>
    <w:p>
      <w:pPr>
        <w:pStyle w:val="Übersicht"/>
        <w:ind w:left="1020"/>
      </w:pPr>
      <w:hyperlink w:anchor="b1097" w:history="1">
        <w:r>
          <w:rPr>
            <w:color w:val="0A3A8C"/>
            <w:u w:val="single"/>
          </w:rPr>
          <w:t xml:space="preserve">§ 686 Irrtum über die Person des Geschäftsherrn</w:t>
        </w:r>
      </w:hyperlink>
    </w:p>
    <w:p>
      <w:pPr>
        <w:pStyle w:val="Übersicht"/>
        <w:ind w:left="1020"/>
      </w:pPr>
      <w:hyperlink w:anchor="b1098" w:history="1">
        <w:r>
          <w:rPr>
            <w:color w:val="0A3A8C"/>
            <w:u w:val="single"/>
          </w:rPr>
          <w:t xml:space="preserve">§ 687 Unechte Geschäftsführung</w:t>
        </w:r>
      </w:hyperlink>
    </w:p>
    <w:p>
      <w:pPr>
        <w:pStyle w:val="Übersicht"/>
        <w:ind w:left="680"/>
      </w:pPr>
      <w:hyperlink w:anchor="b1099" w:history="1">
        <w:r>
          <w:rPr>
            <w:b/>
            <w:color w:val="0A3A8C"/>
            <w:u w:val="single"/>
          </w:rPr>
          <w:t xml:space="preserve">Titel 14 Verwahrung</w:t>
        </w:r>
      </w:hyperlink>
    </w:p>
    <w:p>
      <w:pPr>
        <w:pStyle w:val="Übersicht"/>
        <w:ind w:left="1020"/>
      </w:pPr>
      <w:hyperlink w:anchor="b1100" w:history="1">
        <w:r>
          <w:rPr>
            <w:color w:val="0A3A8C"/>
            <w:u w:val="single"/>
          </w:rPr>
          <w:t xml:space="preserve">§ 688 Vertragstypische Pflichten bei der Verwahrung</w:t>
        </w:r>
      </w:hyperlink>
    </w:p>
    <w:p>
      <w:pPr>
        <w:pStyle w:val="Übersicht"/>
        <w:ind w:left="1020"/>
      </w:pPr>
      <w:hyperlink w:anchor="b1101" w:history="1">
        <w:r>
          <w:rPr>
            <w:color w:val="0A3A8C"/>
            <w:u w:val="single"/>
          </w:rPr>
          <w:t xml:space="preserve">§ 689 Vergütung</w:t>
        </w:r>
      </w:hyperlink>
    </w:p>
    <w:p>
      <w:pPr>
        <w:pStyle w:val="Übersicht"/>
        <w:ind w:left="1020"/>
      </w:pPr>
      <w:hyperlink w:anchor="b1102" w:history="1">
        <w:r>
          <w:rPr>
            <w:color w:val="0A3A8C"/>
            <w:u w:val="single"/>
          </w:rPr>
          <w:t xml:space="preserve">§ 690 Haftung bei unentgeltlicher Verwahrung</w:t>
        </w:r>
      </w:hyperlink>
    </w:p>
    <w:p>
      <w:pPr>
        <w:pStyle w:val="Übersicht"/>
        <w:ind w:left="1020"/>
      </w:pPr>
      <w:hyperlink w:anchor="b1103" w:history="1">
        <w:r>
          <w:rPr>
            <w:color w:val="0A3A8C"/>
            <w:u w:val="single"/>
          </w:rPr>
          <w:t xml:space="preserve">§ 691 Hinterlegung bei Dritten</w:t>
        </w:r>
      </w:hyperlink>
    </w:p>
    <w:p>
      <w:pPr>
        <w:pStyle w:val="Übersicht"/>
        <w:ind w:left="1020"/>
      </w:pPr>
      <w:hyperlink w:anchor="b1104" w:history="1">
        <w:r>
          <w:rPr>
            <w:color w:val="0A3A8C"/>
            <w:u w:val="single"/>
          </w:rPr>
          <w:t xml:space="preserve">§ 692 Änderung der Aufbewahrung</w:t>
        </w:r>
      </w:hyperlink>
    </w:p>
    <w:p>
      <w:pPr>
        <w:pStyle w:val="Übersicht"/>
        <w:ind w:left="1020"/>
      </w:pPr>
      <w:hyperlink w:anchor="b1105" w:history="1">
        <w:r>
          <w:rPr>
            <w:color w:val="0A3A8C"/>
            <w:u w:val="single"/>
          </w:rPr>
          <w:t xml:space="preserve">§ 693 Ersatz von Aufwendungen</w:t>
        </w:r>
      </w:hyperlink>
    </w:p>
    <w:p>
      <w:pPr>
        <w:pStyle w:val="Übersicht"/>
        <w:ind w:left="1020"/>
      </w:pPr>
      <w:hyperlink w:anchor="b1106" w:history="1">
        <w:r>
          <w:rPr>
            <w:color w:val="0A3A8C"/>
            <w:u w:val="single"/>
          </w:rPr>
          <w:t xml:space="preserve">§ 694 Schadensersatzpflicht des Hinterlegers</w:t>
        </w:r>
      </w:hyperlink>
    </w:p>
    <w:p>
      <w:pPr>
        <w:pStyle w:val="Übersicht"/>
        <w:ind w:left="1020"/>
      </w:pPr>
      <w:hyperlink w:anchor="b1107" w:history="1">
        <w:r>
          <w:rPr>
            <w:color w:val="0A3A8C"/>
            <w:u w:val="single"/>
          </w:rPr>
          <w:t xml:space="preserve">§ 695 Rückforderungsrecht des Hinterlegers</w:t>
        </w:r>
      </w:hyperlink>
    </w:p>
    <w:p>
      <w:pPr>
        <w:pStyle w:val="Übersicht"/>
        <w:ind w:left="1020"/>
      </w:pPr>
      <w:hyperlink w:anchor="b1108" w:history="1">
        <w:r>
          <w:rPr>
            <w:color w:val="0A3A8C"/>
            <w:u w:val="single"/>
          </w:rPr>
          <w:t xml:space="preserve">§ 696 Rücknahmeanspruch des Verwahrers</w:t>
        </w:r>
      </w:hyperlink>
    </w:p>
    <w:p>
      <w:pPr>
        <w:pStyle w:val="Übersicht"/>
        <w:ind w:left="1020"/>
      </w:pPr>
      <w:hyperlink w:anchor="b1109" w:history="1">
        <w:r>
          <w:rPr>
            <w:color w:val="0A3A8C"/>
            <w:u w:val="single"/>
          </w:rPr>
          <w:t xml:space="preserve">§ 697 Rückgabeort</w:t>
        </w:r>
      </w:hyperlink>
    </w:p>
    <w:p>
      <w:pPr>
        <w:pStyle w:val="Übersicht"/>
        <w:ind w:left="1020"/>
      </w:pPr>
      <w:hyperlink w:anchor="b1110" w:history="1">
        <w:r>
          <w:rPr>
            <w:color w:val="0A3A8C"/>
            <w:u w:val="single"/>
          </w:rPr>
          <w:t xml:space="preserve">§ 698 Verzinsung des verwendeten Geldes</w:t>
        </w:r>
      </w:hyperlink>
    </w:p>
    <w:p>
      <w:pPr>
        <w:pStyle w:val="Übersicht"/>
        <w:ind w:left="1020"/>
      </w:pPr>
      <w:hyperlink w:anchor="b1111" w:history="1">
        <w:r>
          <w:rPr>
            <w:color w:val="0A3A8C"/>
            <w:u w:val="single"/>
          </w:rPr>
          <w:t xml:space="preserve">§ 699 Fälligkeit der Vergütung</w:t>
        </w:r>
      </w:hyperlink>
    </w:p>
    <w:p>
      <w:pPr>
        <w:pStyle w:val="Übersicht"/>
        <w:ind w:left="1020"/>
      </w:pPr>
      <w:hyperlink w:anchor="b1112" w:history="1">
        <w:r>
          <w:rPr>
            <w:color w:val="0A3A8C"/>
            <w:u w:val="single"/>
          </w:rPr>
          <w:t xml:space="preserve">§ 700 Unregelmäßiger Verwahrungsvertrag</w:t>
        </w:r>
      </w:hyperlink>
    </w:p>
    <w:p>
      <w:pPr>
        <w:pStyle w:val="Übersicht"/>
        <w:ind w:left="680"/>
      </w:pPr>
      <w:hyperlink w:anchor="b1113" w:history="1">
        <w:r>
          <w:rPr>
            <w:b/>
            <w:color w:val="0A3A8C"/>
            <w:u w:val="single"/>
          </w:rPr>
          <w:t xml:space="preserve">Titel 15 Einbringung von Sachen bei Gastwirten</w:t>
        </w:r>
      </w:hyperlink>
    </w:p>
    <w:p>
      <w:pPr>
        <w:pStyle w:val="Übersicht"/>
        <w:ind w:left="1020"/>
      </w:pPr>
      <w:hyperlink w:anchor="b1114" w:history="1">
        <w:r>
          <w:rPr>
            <w:color w:val="0A3A8C"/>
            <w:u w:val="single"/>
          </w:rPr>
          <w:t xml:space="preserve">§ 701 Haftung des Gastwirts</w:t>
        </w:r>
      </w:hyperlink>
    </w:p>
    <w:p>
      <w:pPr>
        <w:pStyle w:val="Übersicht"/>
        <w:ind w:left="1020"/>
      </w:pPr>
      <w:hyperlink w:anchor="b1115" w:history="1">
        <w:r>
          <w:rPr>
            <w:color w:val="0A3A8C"/>
            <w:u w:val="single"/>
          </w:rPr>
          <w:t xml:space="preserve">§ 702 Beschränkung der Haftung; Wertsachen</w:t>
        </w:r>
      </w:hyperlink>
    </w:p>
    <w:p>
      <w:pPr>
        <w:pStyle w:val="Übersicht"/>
        <w:ind w:left="1020"/>
      </w:pPr>
      <w:hyperlink w:anchor="b1116" w:history="1">
        <w:r>
          <w:rPr>
            <w:color w:val="0A3A8C"/>
            <w:u w:val="single"/>
          </w:rPr>
          <w:t xml:space="preserve">§ 702a Erlass der Haftung</w:t>
        </w:r>
      </w:hyperlink>
    </w:p>
    <w:p>
      <w:pPr>
        <w:pStyle w:val="Übersicht"/>
        <w:ind w:left="1020"/>
      </w:pPr>
      <w:hyperlink w:anchor="b1117" w:history="1">
        <w:r>
          <w:rPr>
            <w:color w:val="0A3A8C"/>
            <w:u w:val="single"/>
          </w:rPr>
          <w:t xml:space="preserve">§ 703 Erlöschen des Schadensersatzanspruchs</w:t>
        </w:r>
      </w:hyperlink>
    </w:p>
    <w:p>
      <w:pPr>
        <w:pStyle w:val="Übersicht"/>
        <w:ind w:left="1020"/>
      </w:pPr>
      <w:hyperlink w:anchor="b1118" w:history="1">
        <w:r>
          <w:rPr>
            <w:color w:val="0A3A8C"/>
            <w:u w:val="single"/>
          </w:rPr>
          <w:t xml:space="preserve">§ 704 Pfandrecht des Gastwirts</w:t>
        </w:r>
      </w:hyperlink>
    </w:p>
    <w:p>
      <w:pPr>
        <w:pStyle w:val="Übersicht"/>
        <w:ind w:left="680"/>
      </w:pPr>
      <w:hyperlink w:anchor="b1119" w:history="1">
        <w:r>
          <w:rPr>
            <w:b/>
            <w:color w:val="0A3A8C"/>
            <w:u w:val="single"/>
          </w:rPr>
          <w:t xml:space="preserve">Titel 16 Gesellschaft</w:t>
        </w:r>
      </w:hyperlink>
    </w:p>
    <w:p>
      <w:pPr>
        <w:pStyle w:val="Übersicht"/>
        <w:ind w:left="1020"/>
      </w:pPr>
      <w:hyperlink w:anchor="b1120" w:history="1">
        <w:r>
          <w:rPr>
            <w:b/>
            <w:color w:val="0A3A8C"/>
            <w:u w:val="single"/>
          </w:rPr>
          <w:t xml:space="preserve">Untertitel 1 Allgemeine Bestimmungen</w:t>
        </w:r>
      </w:hyperlink>
    </w:p>
    <w:p>
      <w:pPr>
        <w:pStyle w:val="Übersicht"/>
        <w:ind w:left="1361"/>
      </w:pPr>
      <w:hyperlink w:anchor="b1121" w:history="1">
        <w:r>
          <w:rPr>
            <w:color w:val="0A3A8C"/>
            <w:u w:val="single"/>
          </w:rPr>
          <w:t xml:space="preserve">§ 705 Rechtsnatur der Gesellschaft</w:t>
        </w:r>
      </w:hyperlink>
    </w:p>
    <w:p>
      <w:pPr>
        <w:pStyle w:val="Übersicht"/>
        <w:ind w:left="1020"/>
      </w:pPr>
      <w:hyperlink w:anchor="b1122" w:history="1">
        <w:r>
          <w:rPr>
            <w:b/>
            <w:color w:val="0A3A8C"/>
            <w:u w:val="single"/>
          </w:rPr>
          <w:t xml:space="preserve">Untertitel 2 Rechtsfähige Gesellschaft</w:t>
        </w:r>
      </w:hyperlink>
    </w:p>
    <w:p>
      <w:pPr>
        <w:pStyle w:val="Übersicht"/>
        <w:ind w:left="1361"/>
      </w:pPr>
      <w:hyperlink w:anchor="b1123" w:history="1">
        <w:r>
          <w:rPr>
            <w:b/>
            <w:color w:val="0A3A8C"/>
            <w:u w:val="single"/>
          </w:rPr>
          <w:t xml:space="preserve">Kapitel 1 Sitz; Registrierung</w:t>
        </w:r>
      </w:hyperlink>
    </w:p>
    <w:p>
      <w:pPr>
        <w:pStyle w:val="Übersicht"/>
        <w:ind w:left="1701"/>
      </w:pPr>
      <w:hyperlink w:anchor="b1124" w:history="1">
        <w:r>
          <w:rPr>
            <w:color w:val="0A3A8C"/>
            <w:u w:val="single"/>
          </w:rPr>
          <w:t xml:space="preserve">§ 706 Sitz der Gesellschaft</w:t>
        </w:r>
      </w:hyperlink>
    </w:p>
    <w:p>
      <w:pPr>
        <w:pStyle w:val="Übersicht"/>
        <w:ind w:left="1701"/>
      </w:pPr>
      <w:hyperlink w:anchor="b1125" w:history="1">
        <w:r>
          <w:rPr>
            <w:color w:val="0A3A8C"/>
            <w:u w:val="single"/>
          </w:rPr>
          <w:t xml:space="preserve">§ 707 Anmeldung zum Gesellschaftsregister</w:t>
        </w:r>
      </w:hyperlink>
    </w:p>
    <w:p>
      <w:pPr>
        <w:pStyle w:val="Übersicht"/>
        <w:ind w:left="1701"/>
      </w:pPr>
      <w:hyperlink w:anchor="b1126" w:history="1">
        <w:r>
          <w:rPr>
            <w:color w:val="0A3A8C"/>
            <w:u w:val="single"/>
          </w:rPr>
          <w:t xml:space="preserve">§ 707a Inhalt und Wirkungen der Eintragung im Gesellschaftsregister</w:t>
        </w:r>
      </w:hyperlink>
    </w:p>
    <w:p>
      <w:pPr>
        <w:pStyle w:val="Übersicht"/>
        <w:ind w:left="1701"/>
      </w:pPr>
      <w:hyperlink w:anchor="b1127" w:history="1">
        <w:r>
          <w:rPr>
            <w:color w:val="0A3A8C"/>
            <w:u w:val="single"/>
          </w:rPr>
          <w:t xml:space="preserve">§ 707b Entsprechend anwendbare Vorschriften des Handelsgesetzbuchs</w:t>
        </w:r>
      </w:hyperlink>
    </w:p>
    <w:p>
      <w:pPr>
        <w:pStyle w:val="Übersicht"/>
        <w:ind w:left="1701"/>
      </w:pPr>
      <w:hyperlink w:anchor="b1128" w:history="1">
        <w:r>
          <w:rPr>
            <w:color w:val="0A3A8C"/>
            <w:u w:val="single"/>
          </w:rPr>
          <w:t xml:space="preserve">§ 707c Statuswechsel</w:t>
        </w:r>
      </w:hyperlink>
    </w:p>
    <w:p>
      <w:pPr>
        <w:pStyle w:val="Übersicht"/>
        <w:ind w:left="1701"/>
      </w:pPr>
      <w:hyperlink w:anchor="b1129" w:history="1">
        <w:r>
          <w:rPr>
            <w:color w:val="0A3A8C"/>
            <w:u w:val="single"/>
          </w:rPr>
          <w:t xml:space="preserve">§ 707d Verordnungsermächtigung</w:t>
        </w:r>
      </w:hyperlink>
    </w:p>
    <w:p>
      <w:pPr>
        <w:pStyle w:val="Übersicht"/>
        <w:ind w:left="1361"/>
      </w:pPr>
      <w:hyperlink w:anchor="b1130" w:history="1">
        <w:r>
          <w:rPr>
            <w:b/>
            <w:color w:val="0A3A8C"/>
            <w:u w:val="single"/>
          </w:rPr>
          <w:t xml:space="preserve">Kapitel 2 Rechtsverhältnis der Gesellschafter untereinander und der Gesellschafter zur Gesellschaft</w:t>
        </w:r>
      </w:hyperlink>
    </w:p>
    <w:p>
      <w:pPr>
        <w:pStyle w:val="Übersicht"/>
        <w:ind w:left="1701"/>
      </w:pPr>
      <w:hyperlink w:anchor="b1131" w:history="1">
        <w:r>
          <w:rPr>
            <w:color w:val="0A3A8C"/>
            <w:u w:val="single"/>
          </w:rPr>
          <w:t xml:space="preserve">§ 708 Gestaltungsfreiheit</w:t>
        </w:r>
      </w:hyperlink>
    </w:p>
    <w:p>
      <w:pPr>
        <w:pStyle w:val="Übersicht"/>
        <w:ind w:left="1701"/>
      </w:pPr>
      <w:hyperlink w:anchor="b1132" w:history="1">
        <w:r>
          <w:rPr>
            <w:color w:val="0A3A8C"/>
            <w:u w:val="single"/>
          </w:rPr>
          <w:t xml:space="preserve">§ 709 Beiträge; Stimmkraft; Anteil an Gewinn und Verlust</w:t>
        </w:r>
      </w:hyperlink>
    </w:p>
    <w:p>
      <w:pPr>
        <w:pStyle w:val="Übersicht"/>
        <w:ind w:left="1701"/>
      </w:pPr>
      <w:hyperlink w:anchor="b1133" w:history="1">
        <w:r>
          <w:rPr>
            <w:color w:val="0A3A8C"/>
            <w:u w:val="single"/>
          </w:rPr>
          <w:t xml:space="preserve">§ 710 Mehrbelastungsverbot</w:t>
        </w:r>
      </w:hyperlink>
    </w:p>
    <w:p>
      <w:pPr>
        <w:pStyle w:val="Übersicht"/>
        <w:ind w:left="1701"/>
      </w:pPr>
      <w:hyperlink w:anchor="b1134" w:history="1">
        <w:r>
          <w:rPr>
            <w:color w:val="0A3A8C"/>
            <w:u w:val="single"/>
          </w:rPr>
          <w:t xml:space="preserve">§ 711 Übertragung und Übergang von Gesellschaftsanteilen</w:t>
        </w:r>
      </w:hyperlink>
    </w:p>
    <w:p>
      <w:pPr>
        <w:pStyle w:val="Übersicht"/>
        <w:ind w:left="1701"/>
      </w:pPr>
      <w:hyperlink w:anchor="b1135" w:history="1">
        <w:r>
          <w:rPr>
            <w:color w:val="0A3A8C"/>
            <w:u w:val="single"/>
          </w:rPr>
          <w:t xml:space="preserve">§ 711a Übertragbarkeit von Gesellschafterrechten</w:t>
        </w:r>
      </w:hyperlink>
    </w:p>
    <w:p>
      <w:pPr>
        <w:pStyle w:val="Übersicht"/>
        <w:ind w:left="1701"/>
      </w:pPr>
      <w:hyperlink w:anchor="b1136" w:history="1">
        <w:r>
          <w:rPr>
            <w:color w:val="0A3A8C"/>
            <w:u w:val="single"/>
          </w:rPr>
          <w:t xml:space="preserve">§ 712 Ausscheiden eines Gesellschafters; Eintritt eines neuen Gesellschafters</w:t>
        </w:r>
      </w:hyperlink>
    </w:p>
    <w:p>
      <w:pPr>
        <w:pStyle w:val="Übersicht"/>
        <w:ind w:left="1701"/>
      </w:pPr>
      <w:hyperlink w:anchor="b1137" w:history="1">
        <w:r>
          <w:rPr>
            <w:color w:val="0A3A8C"/>
            <w:u w:val="single"/>
          </w:rPr>
          <w:t xml:space="preserve">§ 712a Ausscheiden des vorletzten Gesellschafters</w:t>
        </w:r>
      </w:hyperlink>
    </w:p>
    <w:p>
      <w:pPr>
        <w:pStyle w:val="Übersicht"/>
        <w:ind w:left="1701"/>
      </w:pPr>
      <w:hyperlink w:anchor="b1138" w:history="1">
        <w:r>
          <w:rPr>
            <w:color w:val="0A3A8C"/>
            <w:u w:val="single"/>
          </w:rPr>
          <w:t xml:space="preserve">§ 713 Gesellschaftsvermögen</w:t>
        </w:r>
      </w:hyperlink>
    </w:p>
    <w:p>
      <w:pPr>
        <w:pStyle w:val="Übersicht"/>
        <w:ind w:left="1701"/>
      </w:pPr>
      <w:hyperlink w:anchor="b1139" w:history="1">
        <w:r>
          <w:rPr>
            <w:color w:val="0A3A8C"/>
            <w:u w:val="single"/>
          </w:rPr>
          <w:t xml:space="preserve">§ 714 Beschlussfassung</w:t>
        </w:r>
      </w:hyperlink>
    </w:p>
    <w:p>
      <w:pPr>
        <w:pStyle w:val="Übersicht"/>
        <w:ind w:left="1701"/>
      </w:pPr>
      <w:hyperlink w:anchor="b1140" w:history="1">
        <w:r>
          <w:rPr>
            <w:color w:val="0A3A8C"/>
            <w:u w:val="single"/>
          </w:rPr>
          <w:t xml:space="preserve">§ 715 Geschäftsführungsbefugnis</w:t>
        </w:r>
      </w:hyperlink>
    </w:p>
    <w:p>
      <w:pPr>
        <w:pStyle w:val="Übersicht"/>
        <w:ind w:left="1701"/>
      </w:pPr>
      <w:hyperlink w:anchor="b1141" w:history="1">
        <w:r>
          <w:rPr>
            <w:color w:val="0A3A8C"/>
            <w:u w:val="single"/>
          </w:rPr>
          <w:t xml:space="preserve">§ 715a Notgeschäftsführungsbefugnis</w:t>
        </w:r>
      </w:hyperlink>
    </w:p>
    <w:p>
      <w:pPr>
        <w:pStyle w:val="Übersicht"/>
        <w:ind w:left="1701"/>
      </w:pPr>
      <w:hyperlink w:anchor="b1142" w:history="1">
        <w:r>
          <w:rPr>
            <w:color w:val="0A3A8C"/>
            <w:u w:val="single"/>
          </w:rPr>
          <w:t xml:space="preserve">§ 715b Gesellschafterklage</w:t>
        </w:r>
      </w:hyperlink>
    </w:p>
    <w:p>
      <w:pPr>
        <w:pStyle w:val="Übersicht"/>
        <w:ind w:left="1701"/>
      </w:pPr>
      <w:hyperlink w:anchor="b1143" w:history="1">
        <w:r>
          <w:rPr>
            <w:color w:val="0A3A8C"/>
            <w:u w:val="single"/>
          </w:rPr>
          <w:t xml:space="preserve">§ 716 Ersatz von Aufwendungen und Verlusten; Vorschusspflicht; Herausgabepflicht; Verzinsungspflicht</w:t>
        </w:r>
      </w:hyperlink>
    </w:p>
    <w:p>
      <w:pPr>
        <w:pStyle w:val="Übersicht"/>
        <w:ind w:left="1701"/>
      </w:pPr>
      <w:hyperlink w:anchor="b1144" w:history="1">
        <w:r>
          <w:rPr>
            <w:color w:val="0A3A8C"/>
            <w:u w:val="single"/>
          </w:rPr>
          <w:t xml:space="preserve">§ 717 Informationsrechte und -pflichten</w:t>
        </w:r>
      </w:hyperlink>
    </w:p>
    <w:p>
      <w:pPr>
        <w:pStyle w:val="Übersicht"/>
        <w:ind w:left="1701"/>
      </w:pPr>
      <w:hyperlink w:anchor="b1145" w:history="1">
        <w:r>
          <w:rPr>
            <w:color w:val="0A3A8C"/>
            <w:u w:val="single"/>
          </w:rPr>
          <w:t xml:space="preserve">§ 718 Rechnungsabschluss und Gewinnverteilung</w:t>
        </w:r>
      </w:hyperlink>
    </w:p>
    <w:p>
      <w:pPr>
        <w:pStyle w:val="Übersicht"/>
        <w:ind w:left="1361"/>
      </w:pPr>
      <w:hyperlink w:anchor="b1146" w:history="1">
        <w:r>
          <w:rPr>
            <w:b/>
            <w:color w:val="0A3A8C"/>
            <w:u w:val="single"/>
          </w:rPr>
          <w:t xml:space="preserve">Kapitel 3 Rechtsverhältnis der Gesellschaft zu Dritten</w:t>
        </w:r>
      </w:hyperlink>
    </w:p>
    <w:p>
      <w:pPr>
        <w:pStyle w:val="Übersicht"/>
        <w:ind w:left="1701"/>
      </w:pPr>
      <w:hyperlink w:anchor="b1147" w:history="1">
        <w:r>
          <w:rPr>
            <w:color w:val="0A3A8C"/>
            <w:u w:val="single"/>
          </w:rPr>
          <w:t xml:space="preserve">§ 719 Entstehung der Gesellschaft im Verhältnis zu Dritten</w:t>
        </w:r>
      </w:hyperlink>
    </w:p>
    <w:p>
      <w:pPr>
        <w:pStyle w:val="Übersicht"/>
        <w:ind w:left="1701"/>
      </w:pPr>
      <w:hyperlink w:anchor="b1148" w:history="1">
        <w:r>
          <w:rPr>
            <w:color w:val="0A3A8C"/>
            <w:u w:val="single"/>
          </w:rPr>
          <w:t xml:space="preserve">§ 720 Vertretung der Gesellschaft</w:t>
        </w:r>
      </w:hyperlink>
    </w:p>
    <w:p>
      <w:pPr>
        <w:pStyle w:val="Übersicht"/>
        <w:ind w:left="1701"/>
      </w:pPr>
      <w:hyperlink w:anchor="b1149" w:history="1">
        <w:r>
          <w:rPr>
            <w:color w:val="0A3A8C"/>
            <w:u w:val="single"/>
          </w:rPr>
          <w:t xml:space="preserve">§ 721 Persönliche Haftung der Gesellschafter</w:t>
        </w:r>
      </w:hyperlink>
    </w:p>
    <w:p>
      <w:pPr>
        <w:pStyle w:val="Übersicht"/>
        <w:ind w:left="1701"/>
      </w:pPr>
      <w:hyperlink w:anchor="b1150" w:history="1">
        <w:r>
          <w:rPr>
            <w:color w:val="0A3A8C"/>
            <w:u w:val="single"/>
          </w:rPr>
          <w:t xml:space="preserve">§ 721a Haftung des eintretenden Gesellschafters</w:t>
        </w:r>
      </w:hyperlink>
    </w:p>
    <w:p>
      <w:pPr>
        <w:pStyle w:val="Übersicht"/>
        <w:ind w:left="1701"/>
      </w:pPr>
      <w:hyperlink w:anchor="b1151" w:history="1">
        <w:r>
          <w:rPr>
            <w:color w:val="0A3A8C"/>
            <w:u w:val="single"/>
          </w:rPr>
          <w:t xml:space="preserve">§ 721b Einwendungen und Einreden des Gesellschafters</w:t>
        </w:r>
      </w:hyperlink>
    </w:p>
    <w:p>
      <w:pPr>
        <w:pStyle w:val="Übersicht"/>
        <w:ind w:left="1701"/>
      </w:pPr>
      <w:hyperlink w:anchor="b1152" w:history="1">
        <w:r>
          <w:rPr>
            <w:color w:val="0A3A8C"/>
            <w:u w:val="single"/>
          </w:rPr>
          <w:t xml:space="preserve">§ 722 Zwangsvollstreckung gegen die Gesellschaft oder gegen ihre Gesellschafter</w:t>
        </w:r>
      </w:hyperlink>
    </w:p>
    <w:p>
      <w:pPr>
        <w:pStyle w:val="Übersicht"/>
        <w:ind w:left="1361"/>
      </w:pPr>
      <w:hyperlink w:anchor="b1153" w:history="1">
        <w:r>
          <w:rPr>
            <w:b/>
            <w:color w:val="0A3A8C"/>
            <w:u w:val="single"/>
          </w:rPr>
          <w:t xml:space="preserve">Kapitel 4 Ausscheiden eines Gesellschafters</w:t>
        </w:r>
      </w:hyperlink>
    </w:p>
    <w:p>
      <w:pPr>
        <w:pStyle w:val="Übersicht"/>
        <w:ind w:left="1701"/>
      </w:pPr>
      <w:hyperlink w:anchor="b1154" w:history="1">
        <w:r>
          <w:rPr>
            <w:color w:val="0A3A8C"/>
            <w:u w:val="single"/>
          </w:rPr>
          <w:t xml:space="preserve">§ 723 Gründe für das Ausscheiden; Zeitpunkt des Ausscheidens</w:t>
        </w:r>
      </w:hyperlink>
    </w:p>
    <w:p>
      <w:pPr>
        <w:pStyle w:val="Übersicht"/>
        <w:ind w:left="1701"/>
      </w:pPr>
      <w:hyperlink w:anchor="b1155" w:history="1">
        <w:r>
          <w:rPr>
            <w:color w:val="0A3A8C"/>
            <w:u w:val="single"/>
          </w:rPr>
          <w:t xml:space="preserve">§ 724 Fortsetzung mit dem Erben; Ausscheiden des Erben</w:t>
        </w:r>
      </w:hyperlink>
    </w:p>
    <w:p>
      <w:pPr>
        <w:pStyle w:val="Übersicht"/>
        <w:ind w:left="1701"/>
      </w:pPr>
      <w:hyperlink w:anchor="b1156" w:history="1">
        <w:r>
          <w:rPr>
            <w:color w:val="0A3A8C"/>
            <w:u w:val="single"/>
          </w:rPr>
          <w:t xml:space="preserve">§ 725 Kündigung der Mitgliedschaft durch den Gesellschafter</w:t>
        </w:r>
      </w:hyperlink>
    </w:p>
    <w:p>
      <w:pPr>
        <w:pStyle w:val="Übersicht"/>
        <w:ind w:left="1701"/>
      </w:pPr>
      <w:hyperlink w:anchor="b1157" w:history="1">
        <w:r>
          <w:rPr>
            <w:color w:val="0A3A8C"/>
            <w:u w:val="single"/>
          </w:rPr>
          <w:t xml:space="preserve">§ 726 Kündigung der Mitgliedschaft durch einen Privatgläubiger des Gesellschafters</w:t>
        </w:r>
      </w:hyperlink>
    </w:p>
    <w:p>
      <w:pPr>
        <w:pStyle w:val="Übersicht"/>
        <w:ind w:left="1701"/>
      </w:pPr>
      <w:hyperlink w:anchor="b1158" w:history="1">
        <w:r>
          <w:rPr>
            <w:color w:val="0A3A8C"/>
            <w:u w:val="single"/>
          </w:rPr>
          <w:t xml:space="preserve">§ 727 Ausschließung aus wichtigem Grund</w:t>
        </w:r>
      </w:hyperlink>
    </w:p>
    <w:p>
      <w:pPr>
        <w:pStyle w:val="Übersicht"/>
        <w:ind w:left="1701"/>
      </w:pPr>
      <w:hyperlink w:anchor="b1159" w:history="1">
        <w:r>
          <w:rPr>
            <w:color w:val="0A3A8C"/>
            <w:u w:val="single"/>
          </w:rPr>
          <w:t xml:space="preserve">§ 728 Ansprüche des ausgeschiedenen Gesellschafters</w:t>
        </w:r>
      </w:hyperlink>
    </w:p>
    <w:p>
      <w:pPr>
        <w:pStyle w:val="Übersicht"/>
        <w:ind w:left="1701"/>
      </w:pPr>
      <w:hyperlink w:anchor="b1160" w:history="1">
        <w:r>
          <w:rPr>
            <w:color w:val="0A3A8C"/>
            <w:u w:val="single"/>
          </w:rPr>
          <w:t xml:space="preserve">§ 728a Haftung des ausgeschiedenen Gesellschafters für Fehlbetrag</w:t>
        </w:r>
      </w:hyperlink>
    </w:p>
    <w:p>
      <w:pPr>
        <w:pStyle w:val="Übersicht"/>
        <w:ind w:left="1701"/>
      </w:pPr>
      <w:hyperlink w:anchor="b1161" w:history="1">
        <w:r>
          <w:rPr>
            <w:color w:val="0A3A8C"/>
            <w:u w:val="single"/>
          </w:rPr>
          <w:t xml:space="preserve">§ 728b Nachhaftung des ausgeschiedenen Gesellschafters</w:t>
        </w:r>
      </w:hyperlink>
    </w:p>
    <w:p>
      <w:pPr>
        <w:pStyle w:val="Übersicht"/>
        <w:ind w:left="1361"/>
      </w:pPr>
      <w:hyperlink w:anchor="b1162" w:history="1">
        <w:r>
          <w:rPr>
            <w:b/>
            <w:color w:val="0A3A8C"/>
            <w:u w:val="single"/>
          </w:rPr>
          <w:t xml:space="preserve">Kapitel 5 Auflösung der Gesellschaft</w:t>
        </w:r>
      </w:hyperlink>
    </w:p>
    <w:p>
      <w:pPr>
        <w:pStyle w:val="Übersicht"/>
        <w:ind w:left="1701"/>
      </w:pPr>
      <w:hyperlink w:anchor="b1163" w:history="1">
        <w:r>
          <w:rPr>
            <w:color w:val="0A3A8C"/>
            <w:u w:val="single"/>
          </w:rPr>
          <w:t xml:space="preserve">§ 729 Auflösungsgründe</w:t>
        </w:r>
      </w:hyperlink>
    </w:p>
    <w:p>
      <w:pPr>
        <w:pStyle w:val="Übersicht"/>
        <w:ind w:left="1701"/>
      </w:pPr>
      <w:hyperlink w:anchor="b1164" w:history="1">
        <w:r>
          <w:rPr>
            <w:color w:val="0A3A8C"/>
            <w:u w:val="single"/>
          </w:rPr>
          <w:t xml:space="preserve">§ 730 Auflösung bei Tod oder Insolvenz eines Gesellschafters</w:t>
        </w:r>
      </w:hyperlink>
    </w:p>
    <w:p>
      <w:pPr>
        <w:pStyle w:val="Übersicht"/>
        <w:ind w:left="1701"/>
      </w:pPr>
      <w:hyperlink w:anchor="b1165" w:history="1">
        <w:r>
          <w:rPr>
            <w:color w:val="0A3A8C"/>
            <w:u w:val="single"/>
          </w:rPr>
          <w:t xml:space="preserve">§ 731 Kündigung der Gesellschaft</w:t>
        </w:r>
      </w:hyperlink>
    </w:p>
    <w:p>
      <w:pPr>
        <w:pStyle w:val="Übersicht"/>
        <w:ind w:left="1701"/>
      </w:pPr>
      <w:hyperlink w:anchor="b1166" w:history="1">
        <w:r>
          <w:rPr>
            <w:color w:val="0A3A8C"/>
            <w:u w:val="single"/>
          </w:rPr>
          <w:t xml:space="preserve">§ 732 Auflösungsbeschluss</w:t>
        </w:r>
      </w:hyperlink>
    </w:p>
    <w:p>
      <w:pPr>
        <w:pStyle w:val="Übersicht"/>
        <w:ind w:left="1701"/>
      </w:pPr>
      <w:hyperlink w:anchor="b1167" w:history="1">
        <w:r>
          <w:rPr>
            <w:color w:val="0A3A8C"/>
            <w:u w:val="single"/>
          </w:rPr>
          <w:t xml:space="preserve">§ 733 Anmeldung der Auflösung</w:t>
        </w:r>
      </w:hyperlink>
    </w:p>
    <w:p>
      <w:pPr>
        <w:pStyle w:val="Übersicht"/>
        <w:ind w:left="1701"/>
      </w:pPr>
      <w:hyperlink w:anchor="b1168" w:history="1">
        <w:r>
          <w:rPr>
            <w:color w:val="0A3A8C"/>
            <w:u w:val="single"/>
          </w:rPr>
          <w:t xml:space="preserve">§ 734 Fortsetzung der Gesellschaft</w:t>
        </w:r>
      </w:hyperlink>
    </w:p>
    <w:p>
      <w:pPr>
        <w:pStyle w:val="Übersicht"/>
        <w:ind w:left="1361"/>
      </w:pPr>
      <w:hyperlink w:anchor="b1169" w:history="1">
        <w:r>
          <w:rPr>
            <w:b/>
            <w:color w:val="0A3A8C"/>
            <w:u w:val="single"/>
          </w:rPr>
          <w:t xml:space="preserve">Kapitel 6 Liquidation der Gesellschaft</w:t>
        </w:r>
      </w:hyperlink>
    </w:p>
    <w:p>
      <w:pPr>
        <w:pStyle w:val="Übersicht"/>
        <w:ind w:left="1701"/>
      </w:pPr>
      <w:hyperlink w:anchor="b1170" w:history="1">
        <w:r>
          <w:rPr>
            <w:color w:val="0A3A8C"/>
            <w:u w:val="single"/>
          </w:rPr>
          <w:t xml:space="preserve">§ 735 Notwendigkeit der Liquidation; anwendbare Vorschriften</w:t>
        </w:r>
      </w:hyperlink>
    </w:p>
    <w:p>
      <w:pPr>
        <w:pStyle w:val="Übersicht"/>
        <w:ind w:left="1701"/>
      </w:pPr>
      <w:hyperlink w:anchor="b1171" w:history="1">
        <w:r>
          <w:rPr>
            <w:color w:val="0A3A8C"/>
            <w:u w:val="single"/>
          </w:rPr>
          <w:t xml:space="preserve">§ 736 Liquidatoren</w:t>
        </w:r>
      </w:hyperlink>
    </w:p>
    <w:p>
      <w:pPr>
        <w:pStyle w:val="Übersicht"/>
        <w:ind w:left="1701"/>
      </w:pPr>
      <w:hyperlink w:anchor="b1172" w:history="1">
        <w:r>
          <w:rPr>
            <w:color w:val="0A3A8C"/>
            <w:u w:val="single"/>
          </w:rPr>
          <w:t xml:space="preserve">§ 736a Gerichtliche Berufung und Abberufung von Liquidatoren</w:t>
        </w:r>
      </w:hyperlink>
    </w:p>
    <w:p>
      <w:pPr>
        <w:pStyle w:val="Übersicht"/>
        <w:ind w:left="1701"/>
      </w:pPr>
      <w:hyperlink w:anchor="b1173" w:history="1">
        <w:r>
          <w:rPr>
            <w:color w:val="0A3A8C"/>
            <w:u w:val="single"/>
          </w:rPr>
          <w:t xml:space="preserve">§ 736b Geschäftsführungs- und Vertretungsbefugnis der Liquidatoren</w:t>
        </w:r>
      </w:hyperlink>
    </w:p>
    <w:p>
      <w:pPr>
        <w:pStyle w:val="Übersicht"/>
        <w:ind w:left="1701"/>
      </w:pPr>
      <w:hyperlink w:anchor="b1174" w:history="1">
        <w:r>
          <w:rPr>
            <w:color w:val="0A3A8C"/>
            <w:u w:val="single"/>
          </w:rPr>
          <w:t xml:space="preserve">§ 736c Anmeldung der Liquidatoren</w:t>
        </w:r>
      </w:hyperlink>
    </w:p>
    <w:p>
      <w:pPr>
        <w:pStyle w:val="Übersicht"/>
        <w:ind w:left="1701"/>
      </w:pPr>
      <w:hyperlink w:anchor="b1175" w:history="1">
        <w:r>
          <w:rPr>
            <w:color w:val="0A3A8C"/>
            <w:u w:val="single"/>
          </w:rPr>
          <w:t xml:space="preserve">§ 736d Rechtstellung der Liquidatoren</w:t>
        </w:r>
      </w:hyperlink>
    </w:p>
    <w:p>
      <w:pPr>
        <w:pStyle w:val="Übersicht"/>
        <w:ind w:left="1701"/>
      </w:pPr>
      <w:hyperlink w:anchor="b1176" w:history="1">
        <w:r>
          <w:rPr>
            <w:color w:val="0A3A8C"/>
            <w:u w:val="single"/>
          </w:rPr>
          <w:t xml:space="preserve">§ 737 Haftung der Gesellschafter für Fehlbetrag</w:t>
        </w:r>
      </w:hyperlink>
    </w:p>
    <w:p>
      <w:pPr>
        <w:pStyle w:val="Übersicht"/>
        <w:ind w:left="1701"/>
      </w:pPr>
      <w:hyperlink w:anchor="b1177" w:history="1">
        <w:r>
          <w:rPr>
            <w:color w:val="0A3A8C"/>
            <w:u w:val="single"/>
          </w:rPr>
          <w:t xml:space="preserve">§ 738 Anmeldung des Erlöschens</w:t>
        </w:r>
      </w:hyperlink>
    </w:p>
    <w:p>
      <w:pPr>
        <w:pStyle w:val="Übersicht"/>
        <w:ind w:left="1701"/>
      </w:pPr>
      <w:hyperlink w:anchor="b1178" w:history="1">
        <w:r>
          <w:rPr>
            <w:color w:val="0A3A8C"/>
            <w:u w:val="single"/>
          </w:rPr>
          <w:t xml:space="preserve">§ 739 Verjährung von Ansprüchen aus der Gesellschafterhaftung</w:t>
        </w:r>
      </w:hyperlink>
    </w:p>
    <w:p>
      <w:pPr>
        <w:pStyle w:val="Übersicht"/>
        <w:ind w:left="1020"/>
      </w:pPr>
      <w:hyperlink w:anchor="b1179" w:history="1">
        <w:r>
          <w:rPr>
            <w:b/>
            <w:color w:val="0A3A8C"/>
            <w:u w:val="single"/>
          </w:rPr>
          <w:t xml:space="preserve">Untertitel 3 Nicht rechtsfähige Gesellschaft</w:t>
        </w:r>
      </w:hyperlink>
    </w:p>
    <w:p>
      <w:pPr>
        <w:pStyle w:val="Übersicht"/>
        <w:ind w:left="1361"/>
      </w:pPr>
      <w:hyperlink w:anchor="b1180" w:history="1">
        <w:r>
          <w:rPr>
            <w:color w:val="0A3A8C"/>
            <w:u w:val="single"/>
          </w:rPr>
          <w:t xml:space="preserve">§ 740 Fehlende Vermögensfähigkeit; anwendbare Vorschriften</w:t>
        </w:r>
      </w:hyperlink>
    </w:p>
    <w:p>
      <w:pPr>
        <w:pStyle w:val="Übersicht"/>
        <w:ind w:left="1361"/>
      </w:pPr>
      <w:hyperlink w:anchor="b1181" w:history="1">
        <w:r>
          <w:rPr>
            <w:color w:val="0A3A8C"/>
            <w:u w:val="single"/>
          </w:rPr>
          <w:t xml:space="preserve">§ 740a Beendigung der Gesellschaft</w:t>
        </w:r>
      </w:hyperlink>
    </w:p>
    <w:p>
      <w:pPr>
        <w:pStyle w:val="Übersicht"/>
        <w:ind w:left="1361"/>
      </w:pPr>
      <w:hyperlink w:anchor="b1182" w:history="1">
        <w:r>
          <w:rPr>
            <w:color w:val="0A3A8C"/>
            <w:u w:val="single"/>
          </w:rPr>
          <w:t xml:space="preserve">§ 740b Auseinandersetzung</w:t>
        </w:r>
      </w:hyperlink>
    </w:p>
    <w:p>
      <w:pPr>
        <w:pStyle w:val="Übersicht"/>
        <w:ind w:left="1361"/>
      </w:pPr>
      <w:hyperlink w:anchor="b1183" w:history="1">
        <w:r>
          <w:rPr>
            <w:color w:val="0A3A8C"/>
            <w:u w:val="single"/>
          </w:rPr>
          <w:t xml:space="preserve">§ 740c Ausscheiden eines Gesellschafters</w:t>
        </w:r>
      </w:hyperlink>
    </w:p>
    <w:p>
      <w:pPr>
        <w:pStyle w:val="Übersicht"/>
        <w:ind w:left="680"/>
      </w:pPr>
      <w:hyperlink w:anchor="b1184" w:history="1">
        <w:r>
          <w:rPr>
            <w:b/>
            <w:color w:val="0A3A8C"/>
            <w:u w:val="single"/>
          </w:rPr>
          <w:t xml:space="preserve">Titel 17 Gemeinschaft</w:t>
        </w:r>
      </w:hyperlink>
    </w:p>
    <w:p>
      <w:pPr>
        <w:pStyle w:val="Übersicht"/>
        <w:ind w:left="1020"/>
      </w:pPr>
      <w:hyperlink w:anchor="b1185" w:history="1">
        <w:r>
          <w:rPr>
            <w:color w:val="0A3A8C"/>
            <w:u w:val="single"/>
          </w:rPr>
          <w:t xml:space="preserve">§ 741 Gemeinschaft nach Bruchteilen</w:t>
        </w:r>
      </w:hyperlink>
    </w:p>
    <w:p>
      <w:pPr>
        <w:pStyle w:val="Übersicht"/>
        <w:ind w:left="1020"/>
      </w:pPr>
      <w:hyperlink w:anchor="b1186" w:history="1">
        <w:r>
          <w:rPr>
            <w:color w:val="0A3A8C"/>
            <w:u w:val="single"/>
          </w:rPr>
          <w:t xml:space="preserve">§ 742 Gleiche Anteile</w:t>
        </w:r>
      </w:hyperlink>
    </w:p>
    <w:p>
      <w:pPr>
        <w:pStyle w:val="Übersicht"/>
        <w:ind w:left="1020"/>
      </w:pPr>
      <w:hyperlink w:anchor="b1187" w:history="1">
        <w:r>
          <w:rPr>
            <w:color w:val="0A3A8C"/>
            <w:u w:val="single"/>
          </w:rPr>
          <w:t xml:space="preserve">§ 743 Früchteanteil; Gebrauchsbefugnis</w:t>
        </w:r>
      </w:hyperlink>
    </w:p>
    <w:p>
      <w:pPr>
        <w:pStyle w:val="Übersicht"/>
        <w:ind w:left="1020"/>
      </w:pPr>
      <w:hyperlink w:anchor="b1188" w:history="1">
        <w:r>
          <w:rPr>
            <w:color w:val="0A3A8C"/>
            <w:u w:val="single"/>
          </w:rPr>
          <w:t xml:space="preserve">§ 744 Gemeinschaftliche Verwaltung</w:t>
        </w:r>
      </w:hyperlink>
    </w:p>
    <w:p>
      <w:pPr>
        <w:pStyle w:val="Übersicht"/>
        <w:ind w:left="1020"/>
      </w:pPr>
      <w:hyperlink w:anchor="b1189" w:history="1">
        <w:r>
          <w:rPr>
            <w:color w:val="0A3A8C"/>
            <w:u w:val="single"/>
          </w:rPr>
          <w:t xml:space="preserve">§ 745 Verwaltung und Benutzung durch Beschluss</w:t>
        </w:r>
      </w:hyperlink>
    </w:p>
    <w:p>
      <w:pPr>
        <w:pStyle w:val="Übersicht"/>
        <w:ind w:left="1020"/>
      </w:pPr>
      <w:hyperlink w:anchor="b1190" w:history="1">
        <w:r>
          <w:rPr>
            <w:color w:val="0A3A8C"/>
            <w:u w:val="single"/>
          </w:rPr>
          <w:t xml:space="preserve">§ 746 Wirkung gegen Sondernachfolger</w:t>
        </w:r>
      </w:hyperlink>
    </w:p>
    <w:p>
      <w:pPr>
        <w:pStyle w:val="Übersicht"/>
        <w:ind w:left="1020"/>
      </w:pPr>
      <w:hyperlink w:anchor="b1191" w:history="1">
        <w:r>
          <w:rPr>
            <w:color w:val="0A3A8C"/>
            <w:u w:val="single"/>
          </w:rPr>
          <w:t xml:space="preserve">§ 747 Verfügung über Anteil und gemeinschaftliche Gegenstände</w:t>
        </w:r>
      </w:hyperlink>
    </w:p>
    <w:p>
      <w:pPr>
        <w:pStyle w:val="Übersicht"/>
        <w:ind w:left="1020"/>
      </w:pPr>
      <w:hyperlink w:anchor="b1192" w:history="1">
        <w:r>
          <w:rPr>
            <w:color w:val="0A3A8C"/>
            <w:u w:val="single"/>
          </w:rPr>
          <w:t xml:space="preserve">§ 748 Lasten- und Kostentragung</w:t>
        </w:r>
      </w:hyperlink>
    </w:p>
    <w:p>
      <w:pPr>
        <w:pStyle w:val="Übersicht"/>
        <w:ind w:left="1020"/>
      </w:pPr>
      <w:hyperlink w:anchor="b1193" w:history="1">
        <w:r>
          <w:rPr>
            <w:color w:val="0A3A8C"/>
            <w:u w:val="single"/>
          </w:rPr>
          <w:t xml:space="preserve">§ 749 Aufhebungsanspruch</w:t>
        </w:r>
      </w:hyperlink>
    </w:p>
    <w:p>
      <w:pPr>
        <w:pStyle w:val="Übersicht"/>
        <w:ind w:left="1020"/>
      </w:pPr>
      <w:hyperlink w:anchor="b1194" w:history="1">
        <w:r>
          <w:rPr>
            <w:color w:val="0A3A8C"/>
            <w:u w:val="single"/>
          </w:rPr>
          <w:t xml:space="preserve">§ 750 Ausschluss der Aufhebung im Todesfall</w:t>
        </w:r>
      </w:hyperlink>
    </w:p>
    <w:p>
      <w:pPr>
        <w:pStyle w:val="Übersicht"/>
        <w:ind w:left="1020"/>
      </w:pPr>
      <w:hyperlink w:anchor="b1195" w:history="1">
        <w:r>
          <w:rPr>
            <w:color w:val="0A3A8C"/>
            <w:u w:val="single"/>
          </w:rPr>
          <w:t xml:space="preserve">§ 751 Ausschluss der Aufhebung und Sondernachfolger</w:t>
        </w:r>
      </w:hyperlink>
    </w:p>
    <w:p>
      <w:pPr>
        <w:pStyle w:val="Übersicht"/>
        <w:ind w:left="1020"/>
      </w:pPr>
      <w:hyperlink w:anchor="b1196" w:history="1">
        <w:r>
          <w:rPr>
            <w:color w:val="0A3A8C"/>
            <w:u w:val="single"/>
          </w:rPr>
          <w:t xml:space="preserve">§ 752 Teilung in Natur</w:t>
        </w:r>
      </w:hyperlink>
    </w:p>
    <w:p>
      <w:pPr>
        <w:pStyle w:val="Übersicht"/>
        <w:ind w:left="1020"/>
      </w:pPr>
      <w:hyperlink w:anchor="b1197" w:history="1">
        <w:r>
          <w:rPr>
            <w:color w:val="0A3A8C"/>
            <w:u w:val="single"/>
          </w:rPr>
          <w:t xml:space="preserve">§ 753 Teilung durch Verkauf</w:t>
        </w:r>
      </w:hyperlink>
    </w:p>
    <w:p>
      <w:pPr>
        <w:pStyle w:val="Übersicht"/>
        <w:ind w:left="1020"/>
      </w:pPr>
      <w:hyperlink w:anchor="b1198" w:history="1">
        <w:r>
          <w:rPr>
            <w:color w:val="0A3A8C"/>
            <w:u w:val="single"/>
          </w:rPr>
          <w:t xml:space="preserve">§ 754 Verkauf gemeinschaftlicher Forderungen</w:t>
        </w:r>
      </w:hyperlink>
    </w:p>
    <w:p>
      <w:pPr>
        <w:pStyle w:val="Übersicht"/>
        <w:ind w:left="1020"/>
      </w:pPr>
      <w:hyperlink w:anchor="b1199" w:history="1">
        <w:r>
          <w:rPr>
            <w:color w:val="0A3A8C"/>
            <w:u w:val="single"/>
          </w:rPr>
          <w:t xml:space="preserve">§ 755 Berichtigung einer Gesamtschuld</w:t>
        </w:r>
      </w:hyperlink>
    </w:p>
    <w:p>
      <w:pPr>
        <w:pStyle w:val="Übersicht"/>
        <w:ind w:left="1020"/>
      </w:pPr>
      <w:hyperlink w:anchor="b1200" w:history="1">
        <w:r>
          <w:rPr>
            <w:color w:val="0A3A8C"/>
            <w:u w:val="single"/>
          </w:rPr>
          <w:t xml:space="preserve">§ 756 Berichtigung einer Teilhaberschuld</w:t>
        </w:r>
      </w:hyperlink>
    </w:p>
    <w:p>
      <w:pPr>
        <w:pStyle w:val="Übersicht"/>
        <w:ind w:left="1020"/>
      </w:pPr>
      <w:hyperlink w:anchor="b1201" w:history="1">
        <w:r>
          <w:rPr>
            <w:color w:val="0A3A8C"/>
            <w:u w:val="single"/>
          </w:rPr>
          <w:t xml:space="preserve">§ 757 Gewährleistung bei Zuteilung an einen Teilhaber</w:t>
        </w:r>
      </w:hyperlink>
    </w:p>
    <w:p>
      <w:pPr>
        <w:pStyle w:val="Übersicht"/>
        <w:ind w:left="1020"/>
      </w:pPr>
      <w:hyperlink w:anchor="b1202" w:history="1">
        <w:r>
          <w:rPr>
            <w:color w:val="0A3A8C"/>
            <w:u w:val="single"/>
          </w:rPr>
          <w:t xml:space="preserve">§ 758 Unverjährbarkeit des Aufhebungsanspruchs</w:t>
        </w:r>
      </w:hyperlink>
    </w:p>
    <w:p>
      <w:pPr>
        <w:pStyle w:val="Übersicht"/>
        <w:ind w:left="680"/>
      </w:pPr>
      <w:hyperlink w:anchor="b1203" w:history="1">
        <w:r>
          <w:rPr>
            <w:b/>
            <w:color w:val="0A3A8C"/>
            <w:u w:val="single"/>
          </w:rPr>
          <w:t xml:space="preserve">Titel 18 Leibrente</w:t>
        </w:r>
      </w:hyperlink>
    </w:p>
    <w:p>
      <w:pPr>
        <w:pStyle w:val="Übersicht"/>
        <w:ind w:left="1020"/>
      </w:pPr>
      <w:hyperlink w:anchor="b1204" w:history="1">
        <w:r>
          <w:rPr>
            <w:color w:val="0A3A8C"/>
            <w:u w:val="single"/>
          </w:rPr>
          <w:t xml:space="preserve">§ 759 Dauer und Betrag der Rente</w:t>
        </w:r>
      </w:hyperlink>
    </w:p>
    <w:p>
      <w:pPr>
        <w:pStyle w:val="Übersicht"/>
        <w:ind w:left="1020"/>
      </w:pPr>
      <w:hyperlink w:anchor="b1205" w:history="1">
        <w:r>
          <w:rPr>
            <w:color w:val="0A3A8C"/>
            <w:u w:val="single"/>
          </w:rPr>
          <w:t xml:space="preserve">§ 760 Vorauszahlung</w:t>
        </w:r>
      </w:hyperlink>
    </w:p>
    <w:p>
      <w:pPr>
        <w:pStyle w:val="Übersicht"/>
        <w:ind w:left="1020"/>
      </w:pPr>
      <w:hyperlink w:anchor="b1206" w:history="1">
        <w:r>
          <w:rPr>
            <w:color w:val="0A3A8C"/>
            <w:u w:val="single"/>
          </w:rPr>
          <w:t xml:space="preserve">§ 761 Form des Leibrentenversprechens</w:t>
        </w:r>
      </w:hyperlink>
    </w:p>
    <w:p>
      <w:pPr>
        <w:pStyle w:val="Übersicht"/>
        <w:ind w:left="680"/>
      </w:pPr>
      <w:hyperlink w:anchor="b1207" w:history="1">
        <w:r>
          <w:rPr>
            <w:b/>
            <w:color w:val="0A3A8C"/>
            <w:u w:val="single"/>
          </w:rPr>
          <w:t xml:space="preserve">Titel 19 Unvollkommene Verbindlichkeiten</w:t>
        </w:r>
      </w:hyperlink>
    </w:p>
    <w:p>
      <w:pPr>
        <w:pStyle w:val="Übersicht"/>
        <w:ind w:left="1020"/>
      </w:pPr>
      <w:hyperlink w:anchor="b1208" w:history="1">
        <w:r>
          <w:rPr>
            <w:color w:val="0A3A8C"/>
            <w:u w:val="single"/>
          </w:rPr>
          <w:t xml:space="preserve">§ 762 Spiel, Wette</w:t>
        </w:r>
      </w:hyperlink>
    </w:p>
    <w:p>
      <w:pPr>
        <w:pStyle w:val="Übersicht"/>
        <w:ind w:left="1020"/>
      </w:pPr>
      <w:hyperlink w:anchor="b1209" w:history="1">
        <w:r>
          <w:rPr>
            <w:color w:val="0A3A8C"/>
            <w:u w:val="single"/>
          </w:rPr>
          <w:t xml:space="preserve">§ 763 Lotterie- und Ausspielvertrag</w:t>
        </w:r>
      </w:hyperlink>
    </w:p>
    <w:p>
      <w:pPr>
        <w:pStyle w:val="Übersicht"/>
        <w:ind w:left="1020"/>
      </w:pPr>
      <w:hyperlink w:anchor="b1210" w:history="1">
        <w:r>
          <w:rPr>
            <w:color w:val="0A3A8C"/>
            <w:u w:val="single"/>
          </w:rPr>
          <w:t xml:space="preserve">§ 764</w:t>
        </w:r>
      </w:hyperlink>
    </w:p>
    <w:p>
      <w:pPr>
        <w:pStyle w:val="Übersicht"/>
        <w:ind w:left="680"/>
      </w:pPr>
      <w:hyperlink w:anchor="b1211" w:history="1">
        <w:r>
          <w:rPr>
            <w:b/>
            <w:color w:val="0A3A8C"/>
            <w:u w:val="single"/>
          </w:rPr>
          <w:t xml:space="preserve">Titel 20 Bürgschaft</w:t>
        </w:r>
      </w:hyperlink>
    </w:p>
    <w:p>
      <w:pPr>
        <w:pStyle w:val="Übersicht"/>
        <w:ind w:left="1020"/>
      </w:pPr>
      <w:hyperlink w:anchor="b1212" w:history="1">
        <w:r>
          <w:rPr>
            <w:color w:val="0A3A8C"/>
            <w:u w:val="single"/>
          </w:rPr>
          <w:t xml:space="preserve">§ 765 Vertragstypische Pflichten bei der Bürgschaft</w:t>
        </w:r>
      </w:hyperlink>
    </w:p>
    <w:p>
      <w:pPr>
        <w:pStyle w:val="Übersicht"/>
        <w:ind w:left="1020"/>
      </w:pPr>
      <w:hyperlink w:anchor="b1213" w:history="1">
        <w:r>
          <w:rPr>
            <w:color w:val="0A3A8C"/>
            <w:u w:val="single"/>
          </w:rPr>
          <w:t xml:space="preserve">§ 766 Schriftform der Bürgschaftserklärung</w:t>
        </w:r>
      </w:hyperlink>
    </w:p>
    <w:p>
      <w:pPr>
        <w:pStyle w:val="Übersicht"/>
        <w:ind w:left="1020"/>
      </w:pPr>
      <w:hyperlink w:anchor="b1214" w:history="1">
        <w:r>
          <w:rPr>
            <w:color w:val="0A3A8C"/>
            <w:u w:val="single"/>
          </w:rPr>
          <w:t xml:space="preserve">§ 767 Umfang der Bürgschaftsschuld</w:t>
        </w:r>
      </w:hyperlink>
    </w:p>
    <w:p>
      <w:pPr>
        <w:pStyle w:val="Übersicht"/>
        <w:ind w:left="1020"/>
      </w:pPr>
      <w:hyperlink w:anchor="b1215" w:history="1">
        <w:r>
          <w:rPr>
            <w:color w:val="0A3A8C"/>
            <w:u w:val="single"/>
          </w:rPr>
          <w:t xml:space="preserve">§ 768 Einreden des Bürgen</w:t>
        </w:r>
      </w:hyperlink>
    </w:p>
    <w:p>
      <w:pPr>
        <w:pStyle w:val="Übersicht"/>
        <w:ind w:left="1020"/>
      </w:pPr>
      <w:hyperlink w:anchor="b1216" w:history="1">
        <w:r>
          <w:rPr>
            <w:color w:val="0A3A8C"/>
            <w:u w:val="single"/>
          </w:rPr>
          <w:t xml:space="preserve">§ 769 Mitbürgschaft</w:t>
        </w:r>
      </w:hyperlink>
    </w:p>
    <w:p>
      <w:pPr>
        <w:pStyle w:val="Übersicht"/>
        <w:ind w:left="1020"/>
      </w:pPr>
      <w:hyperlink w:anchor="b1217" w:history="1">
        <w:r>
          <w:rPr>
            <w:color w:val="0A3A8C"/>
            <w:u w:val="single"/>
          </w:rPr>
          <w:t xml:space="preserve">§ 770 Einreden der Anfechtbarkeit und der Aufrechenbarkeit</w:t>
        </w:r>
      </w:hyperlink>
    </w:p>
    <w:p>
      <w:pPr>
        <w:pStyle w:val="Übersicht"/>
        <w:ind w:left="1020"/>
      </w:pPr>
      <w:hyperlink w:anchor="b1218" w:history="1">
        <w:r>
          <w:rPr>
            <w:color w:val="0A3A8C"/>
            <w:u w:val="single"/>
          </w:rPr>
          <w:t xml:space="preserve">§ 771 Einrede der Vorausklage</w:t>
        </w:r>
      </w:hyperlink>
    </w:p>
    <w:p>
      <w:pPr>
        <w:pStyle w:val="Übersicht"/>
        <w:ind w:left="1020"/>
      </w:pPr>
      <w:hyperlink w:anchor="b1219" w:history="1">
        <w:r>
          <w:rPr>
            <w:color w:val="0A3A8C"/>
            <w:u w:val="single"/>
          </w:rPr>
          <w:t xml:space="preserve">§ 772 Vollstreckungs- und Verwertungspflicht des Gläubigers</w:t>
        </w:r>
      </w:hyperlink>
    </w:p>
    <w:p>
      <w:pPr>
        <w:pStyle w:val="Übersicht"/>
        <w:ind w:left="1020"/>
      </w:pPr>
      <w:hyperlink w:anchor="b1220" w:history="1">
        <w:r>
          <w:rPr>
            <w:color w:val="0A3A8C"/>
            <w:u w:val="single"/>
          </w:rPr>
          <w:t xml:space="preserve">§ 773 Ausschluss der Einrede der Vorausklage</w:t>
        </w:r>
      </w:hyperlink>
    </w:p>
    <w:p>
      <w:pPr>
        <w:pStyle w:val="Übersicht"/>
        <w:ind w:left="1020"/>
      </w:pPr>
      <w:hyperlink w:anchor="b1221" w:history="1">
        <w:r>
          <w:rPr>
            <w:color w:val="0A3A8C"/>
            <w:u w:val="single"/>
          </w:rPr>
          <w:t xml:space="preserve">§ 774 Gesetzlicher Forderungsübergang</w:t>
        </w:r>
      </w:hyperlink>
    </w:p>
    <w:p>
      <w:pPr>
        <w:pStyle w:val="Übersicht"/>
        <w:ind w:left="1020"/>
      </w:pPr>
      <w:hyperlink w:anchor="b1222" w:history="1">
        <w:r>
          <w:rPr>
            <w:color w:val="0A3A8C"/>
            <w:u w:val="single"/>
          </w:rPr>
          <w:t xml:space="preserve">§ 775 Anspruch des Bürgen auf Befreiung</w:t>
        </w:r>
      </w:hyperlink>
    </w:p>
    <w:p>
      <w:pPr>
        <w:pStyle w:val="Übersicht"/>
        <w:ind w:left="1020"/>
      </w:pPr>
      <w:hyperlink w:anchor="b1223" w:history="1">
        <w:r>
          <w:rPr>
            <w:color w:val="0A3A8C"/>
            <w:u w:val="single"/>
          </w:rPr>
          <w:t xml:space="preserve">§ 776 Aufgabe einer Sicherheit</w:t>
        </w:r>
      </w:hyperlink>
    </w:p>
    <w:p>
      <w:pPr>
        <w:pStyle w:val="Übersicht"/>
        <w:ind w:left="1020"/>
      </w:pPr>
      <w:hyperlink w:anchor="b1224" w:history="1">
        <w:r>
          <w:rPr>
            <w:color w:val="0A3A8C"/>
            <w:u w:val="single"/>
          </w:rPr>
          <w:t xml:space="preserve">§ 777 Bürgschaft auf Zeit</w:t>
        </w:r>
      </w:hyperlink>
    </w:p>
    <w:p>
      <w:pPr>
        <w:pStyle w:val="Übersicht"/>
        <w:ind w:left="1020"/>
      </w:pPr>
      <w:hyperlink w:anchor="b1225" w:history="1">
        <w:r>
          <w:rPr>
            <w:color w:val="0A3A8C"/>
            <w:u w:val="single"/>
          </w:rPr>
          <w:t xml:space="preserve">§ 778 Kreditauftrag</w:t>
        </w:r>
      </w:hyperlink>
    </w:p>
    <w:p>
      <w:pPr>
        <w:pStyle w:val="Übersicht"/>
        <w:ind w:left="680"/>
      </w:pPr>
      <w:hyperlink w:anchor="b1226" w:history="1">
        <w:r>
          <w:rPr>
            <w:b/>
            <w:color w:val="0A3A8C"/>
            <w:u w:val="single"/>
          </w:rPr>
          <w:t xml:space="preserve">Titel 21 Vergleich</w:t>
        </w:r>
      </w:hyperlink>
    </w:p>
    <w:p>
      <w:pPr>
        <w:pStyle w:val="Übersicht"/>
        <w:ind w:left="1020"/>
      </w:pPr>
      <w:hyperlink w:anchor="b1227" w:history="1">
        <w:r>
          <w:rPr>
            <w:color w:val="0A3A8C"/>
            <w:u w:val="single"/>
          </w:rPr>
          <w:t xml:space="preserve">§ 779 Begriff des Vergleichs, Irrtum über die Vergleichsgrundlage</w:t>
        </w:r>
      </w:hyperlink>
    </w:p>
    <w:p>
      <w:pPr>
        <w:pStyle w:val="Übersicht"/>
        <w:ind w:left="680"/>
      </w:pPr>
      <w:hyperlink w:anchor="b1228" w:history="1">
        <w:r>
          <w:rPr>
            <w:b/>
            <w:color w:val="0A3A8C"/>
            <w:u w:val="single"/>
          </w:rPr>
          <w:t xml:space="preserve">Titel 22 Schuldversprechen, Schuldanerkenntnis</w:t>
        </w:r>
      </w:hyperlink>
    </w:p>
    <w:p>
      <w:pPr>
        <w:pStyle w:val="Übersicht"/>
        <w:ind w:left="1020"/>
      </w:pPr>
      <w:hyperlink w:anchor="b1229" w:history="1">
        <w:r>
          <w:rPr>
            <w:color w:val="0A3A8C"/>
            <w:u w:val="single"/>
          </w:rPr>
          <w:t xml:space="preserve">§ 780 Schuldversprechen</w:t>
        </w:r>
      </w:hyperlink>
    </w:p>
    <w:p>
      <w:pPr>
        <w:pStyle w:val="Übersicht"/>
        <w:ind w:left="1020"/>
      </w:pPr>
      <w:hyperlink w:anchor="b1230" w:history="1">
        <w:r>
          <w:rPr>
            <w:color w:val="0A3A8C"/>
            <w:u w:val="single"/>
          </w:rPr>
          <w:t xml:space="preserve">§ 781 Schuldanerkenntnis</w:t>
        </w:r>
      </w:hyperlink>
    </w:p>
    <w:p>
      <w:pPr>
        <w:pStyle w:val="Übersicht"/>
        <w:ind w:left="1020"/>
      </w:pPr>
      <w:hyperlink w:anchor="b1231" w:history="1">
        <w:r>
          <w:rPr>
            <w:color w:val="0A3A8C"/>
            <w:u w:val="single"/>
          </w:rPr>
          <w:t xml:space="preserve">§ 782 Formfreiheit bei Vergleich</w:t>
        </w:r>
      </w:hyperlink>
    </w:p>
    <w:p>
      <w:pPr>
        <w:pStyle w:val="Übersicht"/>
        <w:ind w:left="680"/>
      </w:pPr>
      <w:hyperlink w:anchor="b1232" w:history="1">
        <w:r>
          <w:rPr>
            <w:b/>
            <w:color w:val="0A3A8C"/>
            <w:u w:val="single"/>
          </w:rPr>
          <w:t xml:space="preserve">Titel 23 Anweisung</w:t>
        </w:r>
      </w:hyperlink>
    </w:p>
    <w:p>
      <w:pPr>
        <w:pStyle w:val="Übersicht"/>
        <w:ind w:left="1020"/>
      </w:pPr>
      <w:hyperlink w:anchor="b1233" w:history="1">
        <w:r>
          <w:rPr>
            <w:color w:val="0A3A8C"/>
            <w:u w:val="single"/>
          </w:rPr>
          <w:t xml:space="preserve">§ 783 Rechte aus der Anweisung</w:t>
        </w:r>
      </w:hyperlink>
    </w:p>
    <w:p>
      <w:pPr>
        <w:pStyle w:val="Übersicht"/>
        <w:ind w:left="1020"/>
      </w:pPr>
      <w:hyperlink w:anchor="b1234" w:history="1">
        <w:r>
          <w:rPr>
            <w:color w:val="0A3A8C"/>
            <w:u w:val="single"/>
          </w:rPr>
          <w:t xml:space="preserve">§ 784 Annahme der Anweisung</w:t>
        </w:r>
      </w:hyperlink>
    </w:p>
    <w:p>
      <w:pPr>
        <w:pStyle w:val="Übersicht"/>
        <w:ind w:left="1020"/>
      </w:pPr>
      <w:hyperlink w:anchor="b1235" w:history="1">
        <w:r>
          <w:rPr>
            <w:color w:val="0A3A8C"/>
            <w:u w:val="single"/>
          </w:rPr>
          <w:t xml:space="preserve">§ 785 Aushändigung der Anweisung</w:t>
        </w:r>
      </w:hyperlink>
    </w:p>
    <w:p>
      <w:pPr>
        <w:pStyle w:val="Übersicht"/>
        <w:ind w:left="1020"/>
      </w:pPr>
      <w:hyperlink w:anchor="b1236" w:history="1">
        <w:r>
          <w:rPr>
            <w:color w:val="0A3A8C"/>
            <w:u w:val="single"/>
          </w:rPr>
          <w:t xml:space="preserve">§ 786</w:t>
        </w:r>
      </w:hyperlink>
    </w:p>
    <w:p>
      <w:pPr>
        <w:pStyle w:val="Übersicht"/>
        <w:ind w:left="1020"/>
      </w:pPr>
      <w:hyperlink w:anchor="b1237" w:history="1">
        <w:r>
          <w:rPr>
            <w:color w:val="0A3A8C"/>
            <w:u w:val="single"/>
          </w:rPr>
          <w:t xml:space="preserve">§ 787 Anweisung auf Schuld</w:t>
        </w:r>
      </w:hyperlink>
    </w:p>
    <w:p>
      <w:pPr>
        <w:pStyle w:val="Übersicht"/>
        <w:ind w:left="1020"/>
      </w:pPr>
      <w:hyperlink w:anchor="b1238" w:history="1">
        <w:r>
          <w:rPr>
            <w:color w:val="0A3A8C"/>
            <w:u w:val="single"/>
          </w:rPr>
          <w:t xml:space="preserve">§ 788 Valutaverhältnis</w:t>
        </w:r>
      </w:hyperlink>
    </w:p>
    <w:p>
      <w:pPr>
        <w:pStyle w:val="Übersicht"/>
        <w:ind w:left="1020"/>
      </w:pPr>
      <w:hyperlink w:anchor="b1239" w:history="1">
        <w:r>
          <w:rPr>
            <w:color w:val="0A3A8C"/>
            <w:u w:val="single"/>
          </w:rPr>
          <w:t xml:space="preserve">§ 789 Anzeigepflicht des Anweisungsempfängers</w:t>
        </w:r>
      </w:hyperlink>
    </w:p>
    <w:p>
      <w:pPr>
        <w:pStyle w:val="Übersicht"/>
        <w:ind w:left="1020"/>
      </w:pPr>
      <w:hyperlink w:anchor="b1240" w:history="1">
        <w:r>
          <w:rPr>
            <w:color w:val="0A3A8C"/>
            <w:u w:val="single"/>
          </w:rPr>
          <w:t xml:space="preserve">§ 790 Widerruf der Anweisung</w:t>
        </w:r>
      </w:hyperlink>
    </w:p>
    <w:p>
      <w:pPr>
        <w:pStyle w:val="Übersicht"/>
        <w:ind w:left="1020"/>
      </w:pPr>
      <w:hyperlink w:anchor="b1241" w:history="1">
        <w:r>
          <w:rPr>
            <w:color w:val="0A3A8C"/>
            <w:u w:val="single"/>
          </w:rPr>
          <w:t xml:space="preserve">§ 791 Tod oder Geschäftsunfähigkeit eines Beteiligten</w:t>
        </w:r>
      </w:hyperlink>
    </w:p>
    <w:p>
      <w:pPr>
        <w:pStyle w:val="Übersicht"/>
        <w:ind w:left="1020"/>
      </w:pPr>
      <w:hyperlink w:anchor="b1242" w:history="1">
        <w:r>
          <w:rPr>
            <w:color w:val="0A3A8C"/>
            <w:u w:val="single"/>
          </w:rPr>
          <w:t xml:space="preserve">§ 792 Übertragung der Anweisung</w:t>
        </w:r>
      </w:hyperlink>
    </w:p>
    <w:p>
      <w:pPr>
        <w:pStyle w:val="Übersicht"/>
        <w:ind w:left="680"/>
      </w:pPr>
      <w:hyperlink w:anchor="b1243" w:history="1">
        <w:r>
          <w:rPr>
            <w:b/>
            <w:color w:val="0A3A8C"/>
            <w:u w:val="single"/>
          </w:rPr>
          <w:t xml:space="preserve">Titel 24 Schuldverschreibung auf den
Inhaber</w:t>
        </w:r>
      </w:hyperlink>
    </w:p>
    <w:p>
      <w:pPr>
        <w:pStyle w:val="Übersicht"/>
        <w:ind w:left="1020"/>
      </w:pPr>
      <w:hyperlink w:anchor="b1244" w:history="1">
        <w:r>
          <w:rPr>
            <w:color w:val="0A3A8C"/>
            <w:u w:val="single"/>
          </w:rPr>
          <w:t xml:space="preserve">§ 793 Rechte aus der Schuldverschreibung auf den Inhaber</w:t>
        </w:r>
      </w:hyperlink>
    </w:p>
    <w:p>
      <w:pPr>
        <w:pStyle w:val="Übersicht"/>
        <w:ind w:left="1020"/>
      </w:pPr>
      <w:hyperlink w:anchor="b1245" w:history="1">
        <w:r>
          <w:rPr>
            <w:color w:val="0A3A8C"/>
            <w:u w:val="single"/>
          </w:rPr>
          <w:t xml:space="preserve">§ 794 Haftung des Ausstellers</w:t>
        </w:r>
      </w:hyperlink>
    </w:p>
    <w:p>
      <w:pPr>
        <w:pStyle w:val="Übersicht"/>
        <w:ind w:left="1020"/>
      </w:pPr>
      <w:hyperlink w:anchor="b1246" w:history="1">
        <w:r>
          <w:rPr>
            <w:color w:val="0A3A8C"/>
            <w:u w:val="single"/>
          </w:rPr>
          <w:t xml:space="preserve">§ 795</w:t>
        </w:r>
      </w:hyperlink>
    </w:p>
    <w:p>
      <w:pPr>
        <w:pStyle w:val="Übersicht"/>
        <w:ind w:left="1020"/>
      </w:pPr>
      <w:hyperlink w:anchor="b1247" w:history="1">
        <w:r>
          <w:rPr>
            <w:color w:val="0A3A8C"/>
            <w:u w:val="single"/>
          </w:rPr>
          <w:t xml:space="preserve">§ 796 Einwendungen des Ausstellers</w:t>
        </w:r>
      </w:hyperlink>
    </w:p>
    <w:p>
      <w:pPr>
        <w:pStyle w:val="Übersicht"/>
        <w:ind w:left="1020"/>
      </w:pPr>
      <w:hyperlink w:anchor="b1248" w:history="1">
        <w:r>
          <w:rPr>
            <w:color w:val="0A3A8C"/>
            <w:u w:val="single"/>
          </w:rPr>
          <w:t xml:space="preserve">§ 797 Leistungspflicht nur gegen Aushändigung</w:t>
        </w:r>
      </w:hyperlink>
    </w:p>
    <w:p>
      <w:pPr>
        <w:pStyle w:val="Übersicht"/>
        <w:ind w:left="1020"/>
      </w:pPr>
      <w:hyperlink w:anchor="b1249" w:history="1">
        <w:r>
          <w:rPr>
            <w:color w:val="0A3A8C"/>
            <w:u w:val="single"/>
          </w:rPr>
          <w:t xml:space="preserve">§ 798 Ersatzurkunde</w:t>
        </w:r>
      </w:hyperlink>
    </w:p>
    <w:p>
      <w:pPr>
        <w:pStyle w:val="Übersicht"/>
        <w:ind w:left="1020"/>
      </w:pPr>
      <w:hyperlink w:anchor="b1250" w:history="1">
        <w:r>
          <w:rPr>
            <w:color w:val="0A3A8C"/>
            <w:u w:val="single"/>
          </w:rPr>
          <w:t xml:space="preserve">§ 799 Kraftloserklärung</w:t>
        </w:r>
      </w:hyperlink>
    </w:p>
    <w:p>
      <w:pPr>
        <w:pStyle w:val="Übersicht"/>
        <w:ind w:left="1020"/>
      </w:pPr>
      <w:hyperlink w:anchor="b1251" w:history="1">
        <w:r>
          <w:rPr>
            <w:color w:val="0A3A8C"/>
            <w:u w:val="single"/>
          </w:rPr>
          <w:t xml:space="preserve">§ 800 Wirkung der Kraftloserklärung</w:t>
        </w:r>
      </w:hyperlink>
    </w:p>
    <w:p>
      <w:pPr>
        <w:pStyle w:val="Übersicht"/>
        <w:ind w:left="1020"/>
      </w:pPr>
      <w:hyperlink w:anchor="b1252" w:history="1">
        <w:r>
          <w:rPr>
            <w:color w:val="0A3A8C"/>
            <w:u w:val="single"/>
          </w:rPr>
          <w:t xml:space="preserve">§ 801 Erlöschen; Verjährung</w:t>
        </w:r>
      </w:hyperlink>
    </w:p>
    <w:p>
      <w:pPr>
        <w:pStyle w:val="Übersicht"/>
        <w:ind w:left="1020"/>
      </w:pPr>
      <w:hyperlink w:anchor="b1253" w:history="1">
        <w:r>
          <w:rPr>
            <w:color w:val="0A3A8C"/>
            <w:u w:val="single"/>
          </w:rPr>
          <w:t xml:space="preserve">§ 802 Zahlungssperre</w:t>
        </w:r>
      </w:hyperlink>
    </w:p>
    <w:p>
      <w:pPr>
        <w:pStyle w:val="Übersicht"/>
        <w:ind w:left="1020"/>
      </w:pPr>
      <w:hyperlink w:anchor="b1254" w:history="1">
        <w:r>
          <w:rPr>
            <w:color w:val="0A3A8C"/>
            <w:u w:val="single"/>
          </w:rPr>
          <w:t xml:space="preserve">§ 803 Zinsscheine</w:t>
        </w:r>
      </w:hyperlink>
    </w:p>
    <w:p>
      <w:pPr>
        <w:pStyle w:val="Übersicht"/>
        <w:ind w:left="1020"/>
      </w:pPr>
      <w:hyperlink w:anchor="b1255" w:history="1">
        <w:r>
          <w:rPr>
            <w:color w:val="0A3A8C"/>
            <w:u w:val="single"/>
          </w:rPr>
          <w:t xml:space="preserve">§ 804 Verlust von Zins- oder ähnlichen Scheinen</w:t>
        </w:r>
      </w:hyperlink>
    </w:p>
    <w:p>
      <w:pPr>
        <w:pStyle w:val="Übersicht"/>
        <w:ind w:left="1020"/>
      </w:pPr>
      <w:hyperlink w:anchor="b1256" w:history="1">
        <w:r>
          <w:rPr>
            <w:color w:val="0A3A8C"/>
            <w:u w:val="single"/>
          </w:rPr>
          <w:t xml:space="preserve">§ 805 Neue Zins- und Rentenscheine</w:t>
        </w:r>
      </w:hyperlink>
    </w:p>
    <w:p>
      <w:pPr>
        <w:pStyle w:val="Übersicht"/>
        <w:ind w:left="1020"/>
      </w:pPr>
      <w:hyperlink w:anchor="b1257" w:history="1">
        <w:r>
          <w:rPr>
            <w:color w:val="0A3A8C"/>
            <w:u w:val="single"/>
          </w:rPr>
          <w:t xml:space="preserve">§ 806 Umschreibung auf den Namen</w:t>
        </w:r>
      </w:hyperlink>
    </w:p>
    <w:p>
      <w:pPr>
        <w:pStyle w:val="Übersicht"/>
        <w:ind w:left="1020"/>
      </w:pPr>
      <w:hyperlink w:anchor="b1258" w:history="1">
        <w:r>
          <w:rPr>
            <w:color w:val="0A3A8C"/>
            <w:u w:val="single"/>
          </w:rPr>
          <w:t xml:space="preserve">§ 807 Inhaberkarten und -marken</w:t>
        </w:r>
      </w:hyperlink>
    </w:p>
    <w:p>
      <w:pPr>
        <w:pStyle w:val="Übersicht"/>
        <w:ind w:left="1020"/>
      </w:pPr>
      <w:hyperlink w:anchor="b1259" w:history="1">
        <w:r>
          <w:rPr>
            <w:color w:val="0A3A8C"/>
            <w:u w:val="single"/>
          </w:rPr>
          <w:t xml:space="preserve">§ 808 Namenspapiere mit Inhaberklausel</w:t>
        </w:r>
      </w:hyperlink>
    </w:p>
    <w:p>
      <w:pPr>
        <w:pStyle w:val="Übersicht"/>
        <w:ind w:left="680"/>
      </w:pPr>
      <w:hyperlink w:anchor="b1260" w:history="1">
        <w:r>
          <w:rPr>
            <w:b/>
            <w:color w:val="0A3A8C"/>
            <w:u w:val="single"/>
          </w:rPr>
          <w:t xml:space="preserve">Titel 25 Vorlegung von Sachen</w:t>
        </w:r>
      </w:hyperlink>
    </w:p>
    <w:p>
      <w:pPr>
        <w:pStyle w:val="Übersicht"/>
        <w:ind w:left="1020"/>
      </w:pPr>
      <w:hyperlink w:anchor="b1261" w:history="1">
        <w:r>
          <w:rPr>
            <w:color w:val="0A3A8C"/>
            <w:u w:val="single"/>
          </w:rPr>
          <w:t xml:space="preserve">§ 809 Besichtigung einer Sache</w:t>
        </w:r>
      </w:hyperlink>
    </w:p>
    <w:p>
      <w:pPr>
        <w:pStyle w:val="Übersicht"/>
        <w:ind w:left="1020"/>
      </w:pPr>
      <w:hyperlink w:anchor="b1262" w:history="1">
        <w:r>
          <w:rPr>
            <w:color w:val="0A3A8C"/>
            <w:u w:val="single"/>
          </w:rPr>
          <w:t xml:space="preserve">§ 810 Einsicht in Urkunden</w:t>
        </w:r>
      </w:hyperlink>
    </w:p>
    <w:p>
      <w:pPr>
        <w:pStyle w:val="Übersicht"/>
        <w:ind w:left="1020"/>
      </w:pPr>
      <w:hyperlink w:anchor="b1263" w:history="1">
        <w:r>
          <w:rPr>
            <w:color w:val="0A3A8C"/>
            <w:u w:val="single"/>
          </w:rPr>
          <w:t xml:space="preserve">§ 811 Vorlegungsort, Gefahr und Kosten</w:t>
        </w:r>
      </w:hyperlink>
    </w:p>
    <w:p>
      <w:pPr>
        <w:pStyle w:val="Übersicht"/>
        <w:ind w:left="680"/>
      </w:pPr>
      <w:hyperlink w:anchor="b1264" w:history="1">
        <w:r>
          <w:rPr>
            <w:b/>
            <w:color w:val="0A3A8C"/>
            <w:u w:val="single"/>
          </w:rPr>
          <w:t xml:space="preserve">Titel 26 Ungerechtfertigte Bereicherung</w:t>
        </w:r>
      </w:hyperlink>
    </w:p>
    <w:p>
      <w:pPr>
        <w:pStyle w:val="Übersicht"/>
        <w:ind w:left="1020"/>
      </w:pPr>
      <w:hyperlink w:anchor="b1265" w:history="1">
        <w:r>
          <w:rPr>
            <w:color w:val="0A3A8C"/>
            <w:u w:val="single"/>
          </w:rPr>
          <w:t xml:space="preserve">§ 812 Herausgabeanspruch</w:t>
        </w:r>
      </w:hyperlink>
    </w:p>
    <w:p>
      <w:pPr>
        <w:pStyle w:val="Übersicht"/>
        <w:ind w:left="1020"/>
      </w:pPr>
      <w:hyperlink w:anchor="b1266" w:history="1">
        <w:r>
          <w:rPr>
            <w:color w:val="0A3A8C"/>
            <w:u w:val="single"/>
          </w:rPr>
          <w:t xml:space="preserve">§ 813 Erfüllung trotz Einrede</w:t>
        </w:r>
      </w:hyperlink>
    </w:p>
    <w:p>
      <w:pPr>
        <w:pStyle w:val="Übersicht"/>
        <w:ind w:left="1020"/>
      </w:pPr>
      <w:hyperlink w:anchor="b1267" w:history="1">
        <w:r>
          <w:rPr>
            <w:color w:val="0A3A8C"/>
            <w:u w:val="single"/>
          </w:rPr>
          <w:t xml:space="preserve">§ 814 Kenntnis der Nichtschuld</w:t>
        </w:r>
      </w:hyperlink>
    </w:p>
    <w:p>
      <w:pPr>
        <w:pStyle w:val="Übersicht"/>
        <w:ind w:left="1020"/>
      </w:pPr>
      <w:hyperlink w:anchor="b1268" w:history="1">
        <w:r>
          <w:rPr>
            <w:color w:val="0A3A8C"/>
            <w:u w:val="single"/>
          </w:rPr>
          <w:t xml:space="preserve">§ 815 Nichteintritt des Erfolgs</w:t>
        </w:r>
      </w:hyperlink>
    </w:p>
    <w:p>
      <w:pPr>
        <w:pStyle w:val="Übersicht"/>
        <w:ind w:left="1020"/>
      </w:pPr>
      <w:hyperlink w:anchor="b1269" w:history="1">
        <w:r>
          <w:rPr>
            <w:color w:val="0A3A8C"/>
            <w:u w:val="single"/>
          </w:rPr>
          <w:t xml:space="preserve">§ 816 Verfügung eines Nichtberechtigten</w:t>
        </w:r>
      </w:hyperlink>
    </w:p>
    <w:p>
      <w:pPr>
        <w:pStyle w:val="Übersicht"/>
        <w:ind w:left="1020"/>
      </w:pPr>
      <w:hyperlink w:anchor="b1270" w:history="1">
        <w:r>
          <w:rPr>
            <w:color w:val="0A3A8C"/>
            <w:u w:val="single"/>
          </w:rPr>
          <w:t xml:space="preserve">§ 817 Verstoß gegen Gesetz oder gute Sitten</w:t>
        </w:r>
      </w:hyperlink>
    </w:p>
    <w:p>
      <w:pPr>
        <w:pStyle w:val="Übersicht"/>
        <w:ind w:left="1020"/>
      </w:pPr>
      <w:hyperlink w:anchor="b1271" w:history="1">
        <w:r>
          <w:rPr>
            <w:color w:val="0A3A8C"/>
            <w:u w:val="single"/>
          </w:rPr>
          <w:t xml:space="preserve">§ 818 Umfang des Bereicherungsanspruchs</w:t>
        </w:r>
      </w:hyperlink>
    </w:p>
    <w:p>
      <w:pPr>
        <w:pStyle w:val="Übersicht"/>
        <w:ind w:left="1020"/>
      </w:pPr>
      <w:hyperlink w:anchor="b1272" w:history="1">
        <w:r>
          <w:rPr>
            <w:color w:val="0A3A8C"/>
            <w:u w:val="single"/>
          </w:rPr>
          <w:t xml:space="preserve">§ 819 Verschärfte Haftung bei Kenntnis und bei Gesetzes- oder Sittenverstoß</w:t>
        </w:r>
      </w:hyperlink>
    </w:p>
    <w:p>
      <w:pPr>
        <w:pStyle w:val="Übersicht"/>
        <w:ind w:left="1020"/>
      </w:pPr>
      <w:hyperlink w:anchor="b1273" w:history="1">
        <w:r>
          <w:rPr>
            <w:color w:val="0A3A8C"/>
            <w:u w:val="single"/>
          </w:rPr>
          <w:t xml:space="preserve">§ 820 Verschärfte Haftung bei ungewissem Erfolgseintritt</w:t>
        </w:r>
      </w:hyperlink>
    </w:p>
    <w:p>
      <w:pPr>
        <w:pStyle w:val="Übersicht"/>
        <w:ind w:left="1020"/>
      </w:pPr>
      <w:hyperlink w:anchor="b1274" w:history="1">
        <w:r>
          <w:rPr>
            <w:color w:val="0A3A8C"/>
            <w:u w:val="single"/>
          </w:rPr>
          <w:t xml:space="preserve">§ 821 Einrede der Bereicherung</w:t>
        </w:r>
      </w:hyperlink>
    </w:p>
    <w:p>
      <w:pPr>
        <w:pStyle w:val="Übersicht"/>
        <w:ind w:left="1020"/>
      </w:pPr>
      <w:hyperlink w:anchor="b1275" w:history="1">
        <w:r>
          <w:rPr>
            <w:color w:val="0A3A8C"/>
            <w:u w:val="single"/>
          </w:rPr>
          <w:t xml:space="preserve">§ 822 Herausgabepflicht Dritter</w:t>
        </w:r>
      </w:hyperlink>
    </w:p>
    <w:p>
      <w:pPr>
        <w:pStyle w:val="Übersicht"/>
        <w:ind w:left="680"/>
      </w:pPr>
      <w:hyperlink w:anchor="b1276" w:history="1">
        <w:r>
          <w:rPr>
            <w:b/>
            <w:color w:val="0A3A8C"/>
            <w:u w:val="single"/>
          </w:rPr>
          <w:t xml:space="preserve">Titel 27 Unerlaubte Handlungen</w:t>
        </w:r>
      </w:hyperlink>
    </w:p>
    <w:p>
      <w:pPr>
        <w:pStyle w:val="Übersicht"/>
        <w:ind w:left="1020"/>
      </w:pPr>
      <w:hyperlink w:anchor="b1277" w:history="1">
        <w:r>
          <w:rPr>
            <w:color w:val="0A3A8C"/>
            <w:u w:val="single"/>
          </w:rPr>
          <w:t xml:space="preserve">§ 823 Schadensersatzpflicht</w:t>
        </w:r>
      </w:hyperlink>
    </w:p>
    <w:p>
      <w:pPr>
        <w:pStyle w:val="Übersicht"/>
        <w:ind w:left="1020"/>
      </w:pPr>
      <w:hyperlink w:anchor="b1278" w:history="1">
        <w:r>
          <w:rPr>
            <w:color w:val="0A3A8C"/>
            <w:u w:val="single"/>
          </w:rPr>
          <w:t xml:space="preserve">§ 824 Kreditgefährdung</w:t>
        </w:r>
      </w:hyperlink>
    </w:p>
    <w:p>
      <w:pPr>
        <w:pStyle w:val="Übersicht"/>
        <w:ind w:left="1020"/>
      </w:pPr>
      <w:hyperlink w:anchor="b1279" w:history="1">
        <w:r>
          <w:rPr>
            <w:color w:val="0A3A8C"/>
            <w:u w:val="single"/>
          </w:rPr>
          <w:t xml:space="preserve">§ 825 Bestimmung zu sexuellen Handlungen</w:t>
        </w:r>
      </w:hyperlink>
    </w:p>
    <w:p>
      <w:pPr>
        <w:pStyle w:val="Übersicht"/>
        <w:ind w:left="1020"/>
      </w:pPr>
      <w:hyperlink w:anchor="b1280" w:history="1">
        <w:r>
          <w:rPr>
            <w:color w:val="0A3A8C"/>
            <w:u w:val="single"/>
          </w:rPr>
          <w:t xml:space="preserve">§ 826 Sittenwidrige vorsätzliche Schädigung</w:t>
        </w:r>
      </w:hyperlink>
    </w:p>
    <w:p>
      <w:pPr>
        <w:pStyle w:val="Übersicht"/>
        <w:ind w:left="1020"/>
      </w:pPr>
      <w:hyperlink w:anchor="b1281" w:history="1">
        <w:r>
          <w:rPr>
            <w:color w:val="0A3A8C"/>
            <w:u w:val="single"/>
          </w:rPr>
          <w:t xml:space="preserve">§ 827 Ausschluss und Minderung der Verantwortlichkeit</w:t>
        </w:r>
      </w:hyperlink>
    </w:p>
    <w:p>
      <w:pPr>
        <w:pStyle w:val="Übersicht"/>
        <w:ind w:left="1020"/>
      </w:pPr>
      <w:hyperlink w:anchor="b1282" w:history="1">
        <w:r>
          <w:rPr>
            <w:color w:val="0A3A8C"/>
            <w:u w:val="single"/>
          </w:rPr>
          <w:t xml:space="preserve">§ 828 Minderjährige</w:t>
        </w:r>
      </w:hyperlink>
    </w:p>
    <w:p>
      <w:pPr>
        <w:pStyle w:val="Übersicht"/>
        <w:ind w:left="1020"/>
      </w:pPr>
      <w:hyperlink w:anchor="b1283" w:history="1">
        <w:r>
          <w:rPr>
            <w:color w:val="0A3A8C"/>
            <w:u w:val="single"/>
          </w:rPr>
          <w:t xml:space="preserve">§ 829 Ersatzpflicht aus Billigkeitsgründen</w:t>
        </w:r>
      </w:hyperlink>
    </w:p>
    <w:p>
      <w:pPr>
        <w:pStyle w:val="Übersicht"/>
        <w:ind w:left="1020"/>
      </w:pPr>
      <w:hyperlink w:anchor="b1284" w:history="1">
        <w:r>
          <w:rPr>
            <w:color w:val="0A3A8C"/>
            <w:u w:val="single"/>
          </w:rPr>
          <w:t xml:space="preserve">§ 830 Mittäter und Beteiligte</w:t>
        </w:r>
      </w:hyperlink>
    </w:p>
    <w:p>
      <w:pPr>
        <w:pStyle w:val="Übersicht"/>
        <w:ind w:left="1020"/>
      </w:pPr>
      <w:hyperlink w:anchor="b1285" w:history="1">
        <w:r>
          <w:rPr>
            <w:color w:val="0A3A8C"/>
            <w:u w:val="single"/>
          </w:rPr>
          <w:t xml:space="preserve">§ 831 Haftung für den Verrichtungsgehilfen</w:t>
        </w:r>
      </w:hyperlink>
    </w:p>
    <w:p>
      <w:pPr>
        <w:pStyle w:val="Übersicht"/>
        <w:ind w:left="1020"/>
      </w:pPr>
      <w:hyperlink w:anchor="b1286" w:history="1">
        <w:r>
          <w:rPr>
            <w:color w:val="0A3A8C"/>
            <w:u w:val="single"/>
          </w:rPr>
          <w:t xml:space="preserve">§ 832 Haftung des Aufsichtspflichtigen</w:t>
        </w:r>
      </w:hyperlink>
    </w:p>
    <w:p>
      <w:pPr>
        <w:pStyle w:val="Übersicht"/>
        <w:ind w:left="1020"/>
      </w:pPr>
      <w:hyperlink w:anchor="b1287" w:history="1">
        <w:r>
          <w:rPr>
            <w:color w:val="0A3A8C"/>
            <w:u w:val="single"/>
          </w:rPr>
          <w:t xml:space="preserve">§ 833 Haftung des Tierhalters</w:t>
        </w:r>
      </w:hyperlink>
    </w:p>
    <w:p>
      <w:pPr>
        <w:pStyle w:val="Übersicht"/>
        <w:ind w:left="1020"/>
      </w:pPr>
      <w:hyperlink w:anchor="b1288" w:history="1">
        <w:r>
          <w:rPr>
            <w:color w:val="0A3A8C"/>
            <w:u w:val="single"/>
          </w:rPr>
          <w:t xml:space="preserve">§ 834 Haftung des Tieraufsehers</w:t>
        </w:r>
      </w:hyperlink>
    </w:p>
    <w:p>
      <w:pPr>
        <w:pStyle w:val="Übersicht"/>
        <w:ind w:left="1020"/>
      </w:pPr>
      <w:hyperlink w:anchor="b1289" w:history="1">
        <w:r>
          <w:rPr>
            <w:color w:val="0A3A8C"/>
            <w:u w:val="single"/>
          </w:rPr>
          <w:t xml:space="preserve">§ 835</w:t>
        </w:r>
      </w:hyperlink>
    </w:p>
    <w:p>
      <w:pPr>
        <w:pStyle w:val="Übersicht"/>
        <w:ind w:left="1020"/>
      </w:pPr>
      <w:hyperlink w:anchor="b1290" w:history="1">
        <w:r>
          <w:rPr>
            <w:color w:val="0A3A8C"/>
            <w:u w:val="single"/>
          </w:rPr>
          <w:t xml:space="preserve">§ 836 Haftung des Grundstücksbesitzers</w:t>
        </w:r>
      </w:hyperlink>
    </w:p>
    <w:p>
      <w:pPr>
        <w:pStyle w:val="Übersicht"/>
        <w:ind w:left="1020"/>
      </w:pPr>
      <w:hyperlink w:anchor="b1291" w:history="1">
        <w:r>
          <w:rPr>
            <w:color w:val="0A3A8C"/>
            <w:u w:val="single"/>
          </w:rPr>
          <w:t xml:space="preserve">§ 837 Haftung des Gebäudebesitzers</w:t>
        </w:r>
      </w:hyperlink>
    </w:p>
    <w:p>
      <w:pPr>
        <w:pStyle w:val="Übersicht"/>
        <w:ind w:left="1020"/>
      </w:pPr>
      <w:hyperlink w:anchor="b1292" w:history="1">
        <w:r>
          <w:rPr>
            <w:color w:val="0A3A8C"/>
            <w:u w:val="single"/>
          </w:rPr>
          <w:t xml:space="preserve">§ 838 Haftung des Gebäudeunterhaltungspflichtigen</w:t>
        </w:r>
      </w:hyperlink>
    </w:p>
    <w:p>
      <w:pPr>
        <w:pStyle w:val="Übersicht"/>
        <w:ind w:left="1020"/>
      </w:pPr>
      <w:hyperlink w:anchor="b1293" w:history="1">
        <w:r>
          <w:rPr>
            <w:color w:val="0A3A8C"/>
            <w:u w:val="single"/>
          </w:rPr>
          <w:t xml:space="preserve">§ 839 Haftung bei Amtspflichtverletzung</w:t>
        </w:r>
      </w:hyperlink>
    </w:p>
    <w:p>
      <w:pPr>
        <w:pStyle w:val="Übersicht"/>
        <w:ind w:left="1020"/>
      </w:pPr>
      <w:hyperlink w:anchor="b1294" w:history="1">
        <w:r>
          <w:rPr>
            <w:color w:val="0A3A8C"/>
            <w:u w:val="single"/>
          </w:rPr>
          <w:t xml:space="preserve">§ 839a Haftung des gerichtlichen Sachverständigen</w:t>
        </w:r>
      </w:hyperlink>
    </w:p>
    <w:p>
      <w:pPr>
        <w:pStyle w:val="Übersicht"/>
        <w:ind w:left="1020"/>
      </w:pPr>
      <w:hyperlink w:anchor="b1295" w:history="1">
        <w:r>
          <w:rPr>
            <w:color w:val="0A3A8C"/>
            <w:u w:val="single"/>
          </w:rPr>
          <w:t xml:space="preserve">§ 840 Haftung mehrerer</w:t>
        </w:r>
      </w:hyperlink>
    </w:p>
    <w:p>
      <w:pPr>
        <w:pStyle w:val="Übersicht"/>
        <w:ind w:left="1020"/>
      </w:pPr>
      <w:hyperlink w:anchor="b1296" w:history="1">
        <w:r>
          <w:rPr>
            <w:color w:val="0A3A8C"/>
            <w:u w:val="single"/>
          </w:rPr>
          <w:t xml:space="preserve">§ 841 Ausgleichung bei Beamtenhaftung</w:t>
        </w:r>
      </w:hyperlink>
    </w:p>
    <w:p>
      <w:pPr>
        <w:pStyle w:val="Übersicht"/>
        <w:ind w:left="1020"/>
      </w:pPr>
      <w:hyperlink w:anchor="b1297" w:history="1">
        <w:r>
          <w:rPr>
            <w:color w:val="0A3A8C"/>
            <w:u w:val="single"/>
          </w:rPr>
          <w:t xml:space="preserve">§ 842 Umfang der Ersatzpflicht bei Verletzung einer Person</w:t>
        </w:r>
      </w:hyperlink>
    </w:p>
    <w:p>
      <w:pPr>
        <w:pStyle w:val="Übersicht"/>
        <w:ind w:left="1020"/>
      </w:pPr>
      <w:hyperlink w:anchor="b1298" w:history="1">
        <w:r>
          <w:rPr>
            <w:color w:val="0A3A8C"/>
            <w:u w:val="single"/>
          </w:rPr>
          <w:t xml:space="preserve">§ 843 Geldrente oder Kapitalabfindung</w:t>
        </w:r>
      </w:hyperlink>
    </w:p>
    <w:p>
      <w:pPr>
        <w:pStyle w:val="Übersicht"/>
        <w:ind w:left="1020"/>
      </w:pPr>
      <w:hyperlink w:anchor="b1299" w:history="1">
        <w:r>
          <w:rPr>
            <w:color w:val="0A3A8C"/>
            <w:u w:val="single"/>
          </w:rPr>
          <w:t xml:space="preserve">§ 844 Ersatzansprüche Dritter bei Tötung</w:t>
        </w:r>
      </w:hyperlink>
    </w:p>
    <w:p>
      <w:pPr>
        <w:pStyle w:val="Übersicht"/>
        <w:ind w:left="1020"/>
      </w:pPr>
      <w:hyperlink w:anchor="b1300" w:history="1">
        <w:r>
          <w:rPr>
            <w:color w:val="0A3A8C"/>
            <w:u w:val="single"/>
          </w:rPr>
          <w:t xml:space="preserve">§ 845 Ersatzansprüche wegen entgangener Dienste</w:t>
        </w:r>
      </w:hyperlink>
    </w:p>
    <w:p>
      <w:pPr>
        <w:pStyle w:val="Übersicht"/>
        <w:ind w:left="1020"/>
      </w:pPr>
      <w:hyperlink w:anchor="b1301" w:history="1">
        <w:r>
          <w:rPr>
            <w:color w:val="0A3A8C"/>
            <w:u w:val="single"/>
          </w:rPr>
          <w:t xml:space="preserve">§ 846 Mitverschulden des Verletzten</w:t>
        </w:r>
      </w:hyperlink>
    </w:p>
    <w:p>
      <w:pPr>
        <w:pStyle w:val="Übersicht"/>
        <w:ind w:left="1020"/>
      </w:pPr>
      <w:hyperlink w:anchor="b1302" w:history="1">
        <w:r>
          <w:rPr>
            <w:color w:val="0A3A8C"/>
            <w:u w:val="single"/>
          </w:rPr>
          <w:t xml:space="preserve">§ 847</w:t>
        </w:r>
      </w:hyperlink>
    </w:p>
    <w:p>
      <w:pPr>
        <w:pStyle w:val="Übersicht"/>
        <w:ind w:left="1020"/>
      </w:pPr>
      <w:hyperlink w:anchor="b1303" w:history="1">
        <w:r>
          <w:rPr>
            <w:color w:val="0A3A8C"/>
            <w:u w:val="single"/>
          </w:rPr>
          <w:t xml:space="preserve">§ 848 Haftung für Zufall bei Entziehung einer Sache</w:t>
        </w:r>
      </w:hyperlink>
    </w:p>
    <w:p>
      <w:pPr>
        <w:pStyle w:val="Übersicht"/>
        <w:ind w:left="1020"/>
      </w:pPr>
      <w:hyperlink w:anchor="b1304" w:history="1">
        <w:r>
          <w:rPr>
            <w:color w:val="0A3A8C"/>
            <w:u w:val="single"/>
          </w:rPr>
          <w:t xml:space="preserve">§ 849 Verzinsung der Ersatzsumme</w:t>
        </w:r>
      </w:hyperlink>
    </w:p>
    <w:p>
      <w:pPr>
        <w:pStyle w:val="Übersicht"/>
        <w:ind w:left="1020"/>
      </w:pPr>
      <w:hyperlink w:anchor="b1305" w:history="1">
        <w:r>
          <w:rPr>
            <w:color w:val="0A3A8C"/>
            <w:u w:val="single"/>
          </w:rPr>
          <w:t xml:space="preserve">§ 850 Ersatz von Verwendungen</w:t>
        </w:r>
      </w:hyperlink>
    </w:p>
    <w:p>
      <w:pPr>
        <w:pStyle w:val="Übersicht"/>
        <w:ind w:left="1020"/>
      </w:pPr>
      <w:hyperlink w:anchor="b1306" w:history="1">
        <w:r>
          <w:rPr>
            <w:color w:val="0A3A8C"/>
            <w:u w:val="single"/>
          </w:rPr>
          <w:t xml:space="preserve">§ 851 Ersatzleistung an Nichtberechtigten</w:t>
        </w:r>
      </w:hyperlink>
    </w:p>
    <w:p>
      <w:pPr>
        <w:pStyle w:val="Übersicht"/>
        <w:ind w:left="1020"/>
      </w:pPr>
      <w:hyperlink w:anchor="b1307" w:history="1">
        <w:r>
          <w:rPr>
            <w:color w:val="0A3A8C"/>
            <w:u w:val="single"/>
          </w:rPr>
          <w:t xml:space="preserve">§ 852 Herausgabeanspruch nach Eintritt der Verjährung</w:t>
        </w:r>
      </w:hyperlink>
    </w:p>
    <w:p>
      <w:pPr>
        <w:pStyle w:val="Übersicht"/>
        <w:ind w:left="1020"/>
      </w:pPr>
      <w:hyperlink w:anchor="b1308" w:history="1">
        <w:r>
          <w:rPr>
            <w:color w:val="0A3A8C"/>
            <w:u w:val="single"/>
          </w:rPr>
          <w:t xml:space="preserve">§ 853 Arglisteinrede</w:t>
        </w:r>
      </w:hyperlink>
    </w:p>
    <w:p>
      <w:pPr>
        <w:pStyle w:val="Übersicht"/>
        <w:ind w:left="0"/>
      </w:pPr>
      <w:hyperlink w:anchor="b1309" w:history="1">
        <w:r>
          <w:rPr>
            <w:b/>
            <w:color w:val="0A3A8C"/>
            <w:u w:val="single"/>
          </w:rPr>
          <w:t xml:space="preserve">Buch 3 Sachenrecht</w:t>
        </w:r>
      </w:hyperlink>
    </w:p>
    <w:p>
      <w:pPr>
        <w:pStyle w:val="Übersicht"/>
        <w:ind w:left="340"/>
      </w:pPr>
      <w:hyperlink w:anchor="b1310" w:history="1">
        <w:r>
          <w:rPr>
            <w:b/>
            <w:color w:val="0A3A8C"/>
            <w:u w:val="single"/>
          </w:rPr>
          <w:t xml:space="preserve">Abschnitt 1 Besitz</w:t>
        </w:r>
      </w:hyperlink>
    </w:p>
    <w:p>
      <w:pPr>
        <w:pStyle w:val="Übersicht"/>
        <w:ind w:left="680"/>
      </w:pPr>
      <w:hyperlink w:anchor="b1311" w:history="1">
        <w:r>
          <w:rPr>
            <w:color w:val="0A3A8C"/>
            <w:u w:val="single"/>
          </w:rPr>
          <w:t xml:space="preserve">§ 854 Erwerb des Besitzes</w:t>
        </w:r>
      </w:hyperlink>
    </w:p>
    <w:p>
      <w:pPr>
        <w:pStyle w:val="Übersicht"/>
        <w:ind w:left="680"/>
      </w:pPr>
      <w:hyperlink w:anchor="b1312" w:history="1">
        <w:r>
          <w:rPr>
            <w:color w:val="0A3A8C"/>
            <w:u w:val="single"/>
          </w:rPr>
          <w:t xml:space="preserve">§ 855 Besitzdiener</w:t>
        </w:r>
      </w:hyperlink>
    </w:p>
    <w:p>
      <w:pPr>
        <w:pStyle w:val="Übersicht"/>
        <w:ind w:left="680"/>
      </w:pPr>
      <w:hyperlink w:anchor="b1313" w:history="1">
        <w:r>
          <w:rPr>
            <w:color w:val="0A3A8C"/>
            <w:u w:val="single"/>
          </w:rPr>
          <w:t xml:space="preserve">§ 856 Beendigung des Besitzes</w:t>
        </w:r>
      </w:hyperlink>
    </w:p>
    <w:p>
      <w:pPr>
        <w:pStyle w:val="Übersicht"/>
        <w:ind w:left="680"/>
      </w:pPr>
      <w:hyperlink w:anchor="b1314" w:history="1">
        <w:r>
          <w:rPr>
            <w:color w:val="0A3A8C"/>
            <w:u w:val="single"/>
          </w:rPr>
          <w:t xml:space="preserve">§ 857 Vererblichkeit</w:t>
        </w:r>
      </w:hyperlink>
    </w:p>
    <w:p>
      <w:pPr>
        <w:pStyle w:val="Übersicht"/>
        <w:ind w:left="680"/>
      </w:pPr>
      <w:hyperlink w:anchor="b1315" w:history="1">
        <w:r>
          <w:rPr>
            <w:color w:val="0A3A8C"/>
            <w:u w:val="single"/>
          </w:rPr>
          <w:t xml:space="preserve">§ 858 Verbotene Eigenmacht</w:t>
        </w:r>
      </w:hyperlink>
    </w:p>
    <w:p>
      <w:pPr>
        <w:pStyle w:val="Übersicht"/>
        <w:ind w:left="680"/>
      </w:pPr>
      <w:hyperlink w:anchor="b1316" w:history="1">
        <w:r>
          <w:rPr>
            <w:color w:val="0A3A8C"/>
            <w:u w:val="single"/>
          </w:rPr>
          <w:t xml:space="preserve">§ 859 Selbsthilfe des Besitzers</w:t>
        </w:r>
      </w:hyperlink>
    </w:p>
    <w:p>
      <w:pPr>
        <w:pStyle w:val="Übersicht"/>
        <w:ind w:left="680"/>
      </w:pPr>
      <w:hyperlink w:anchor="b1317" w:history="1">
        <w:r>
          <w:rPr>
            <w:color w:val="0A3A8C"/>
            <w:u w:val="single"/>
          </w:rPr>
          <w:t xml:space="preserve">§ 860 Selbsthilfe des Besitzdieners</w:t>
        </w:r>
      </w:hyperlink>
    </w:p>
    <w:p>
      <w:pPr>
        <w:pStyle w:val="Übersicht"/>
        <w:ind w:left="680"/>
      </w:pPr>
      <w:hyperlink w:anchor="b1318" w:history="1">
        <w:r>
          <w:rPr>
            <w:color w:val="0A3A8C"/>
            <w:u w:val="single"/>
          </w:rPr>
          <w:t xml:space="preserve">§ 861 Anspruch wegen Besitzentziehung</w:t>
        </w:r>
      </w:hyperlink>
    </w:p>
    <w:p>
      <w:pPr>
        <w:pStyle w:val="Übersicht"/>
        <w:ind w:left="680"/>
      </w:pPr>
      <w:hyperlink w:anchor="b1319" w:history="1">
        <w:r>
          <w:rPr>
            <w:color w:val="0A3A8C"/>
            <w:u w:val="single"/>
          </w:rPr>
          <w:t xml:space="preserve">§ 862 Anspruch wegen Besitzstörung</w:t>
        </w:r>
      </w:hyperlink>
    </w:p>
    <w:p>
      <w:pPr>
        <w:pStyle w:val="Übersicht"/>
        <w:ind w:left="680"/>
      </w:pPr>
      <w:hyperlink w:anchor="b1320" w:history="1">
        <w:r>
          <w:rPr>
            <w:color w:val="0A3A8C"/>
            <w:u w:val="single"/>
          </w:rPr>
          <w:t xml:space="preserve">§ 863 Einwendungen des Entziehers oder Störers</w:t>
        </w:r>
      </w:hyperlink>
    </w:p>
    <w:p>
      <w:pPr>
        <w:pStyle w:val="Übersicht"/>
        <w:ind w:left="680"/>
      </w:pPr>
      <w:hyperlink w:anchor="b1321" w:history="1">
        <w:r>
          <w:rPr>
            <w:color w:val="0A3A8C"/>
            <w:u w:val="single"/>
          </w:rPr>
          <w:t xml:space="preserve">§ 864 Erlöschen der Besitzansprüche</w:t>
        </w:r>
      </w:hyperlink>
    </w:p>
    <w:p>
      <w:pPr>
        <w:pStyle w:val="Übersicht"/>
        <w:ind w:left="680"/>
      </w:pPr>
      <w:hyperlink w:anchor="b1322" w:history="1">
        <w:r>
          <w:rPr>
            <w:color w:val="0A3A8C"/>
            <w:u w:val="single"/>
          </w:rPr>
          <w:t xml:space="preserve">§ 865 Teilbesitz</w:t>
        </w:r>
      </w:hyperlink>
    </w:p>
    <w:p>
      <w:pPr>
        <w:pStyle w:val="Übersicht"/>
        <w:ind w:left="680"/>
      </w:pPr>
      <w:hyperlink w:anchor="b1323" w:history="1">
        <w:r>
          <w:rPr>
            <w:color w:val="0A3A8C"/>
            <w:u w:val="single"/>
          </w:rPr>
          <w:t xml:space="preserve">§ 866 Mitbesitz</w:t>
        </w:r>
      </w:hyperlink>
    </w:p>
    <w:p>
      <w:pPr>
        <w:pStyle w:val="Übersicht"/>
        <w:ind w:left="680"/>
      </w:pPr>
      <w:hyperlink w:anchor="b1324" w:history="1">
        <w:r>
          <w:rPr>
            <w:color w:val="0A3A8C"/>
            <w:u w:val="single"/>
          </w:rPr>
          <w:t xml:space="preserve">§ 867 Verfolgungsrecht des Besitzers</w:t>
        </w:r>
      </w:hyperlink>
    </w:p>
    <w:p>
      <w:pPr>
        <w:pStyle w:val="Übersicht"/>
        <w:ind w:left="680"/>
      </w:pPr>
      <w:hyperlink w:anchor="b1325" w:history="1">
        <w:r>
          <w:rPr>
            <w:color w:val="0A3A8C"/>
            <w:u w:val="single"/>
          </w:rPr>
          <w:t xml:space="preserve">§ 868 Mittelbarer Besitz</w:t>
        </w:r>
      </w:hyperlink>
    </w:p>
    <w:p>
      <w:pPr>
        <w:pStyle w:val="Übersicht"/>
        <w:ind w:left="680"/>
      </w:pPr>
      <w:hyperlink w:anchor="b1326" w:history="1">
        <w:r>
          <w:rPr>
            <w:color w:val="0A3A8C"/>
            <w:u w:val="single"/>
          </w:rPr>
          <w:t xml:space="preserve">§ 869 Ansprüche des mittelbaren Besitzers</w:t>
        </w:r>
      </w:hyperlink>
    </w:p>
    <w:p>
      <w:pPr>
        <w:pStyle w:val="Übersicht"/>
        <w:ind w:left="680"/>
      </w:pPr>
      <w:hyperlink w:anchor="b1327" w:history="1">
        <w:r>
          <w:rPr>
            <w:color w:val="0A3A8C"/>
            <w:u w:val="single"/>
          </w:rPr>
          <w:t xml:space="preserve">§ 870 Übertragung des mittelbaren Besitzes</w:t>
        </w:r>
      </w:hyperlink>
    </w:p>
    <w:p>
      <w:pPr>
        <w:pStyle w:val="Übersicht"/>
        <w:ind w:left="680"/>
      </w:pPr>
      <w:hyperlink w:anchor="b1328" w:history="1">
        <w:r>
          <w:rPr>
            <w:color w:val="0A3A8C"/>
            <w:u w:val="single"/>
          </w:rPr>
          <w:t xml:space="preserve">§ 871 Mehrstufiger mittelbarer Besitz</w:t>
        </w:r>
      </w:hyperlink>
    </w:p>
    <w:p>
      <w:pPr>
        <w:pStyle w:val="Übersicht"/>
        <w:ind w:left="680"/>
      </w:pPr>
      <w:hyperlink w:anchor="b1329" w:history="1">
        <w:r>
          <w:rPr>
            <w:color w:val="0A3A8C"/>
            <w:u w:val="single"/>
          </w:rPr>
          <w:t xml:space="preserve">§ 872 Eigenbesitz</w:t>
        </w:r>
      </w:hyperlink>
    </w:p>
    <w:p>
      <w:pPr>
        <w:pStyle w:val="Übersicht"/>
        <w:ind w:left="340"/>
      </w:pPr>
      <w:hyperlink w:anchor="b1330" w:history="1">
        <w:r>
          <w:rPr>
            <w:b/>
            <w:color w:val="0A3A8C"/>
            <w:u w:val="single"/>
          </w:rPr>
          <w:t xml:space="preserve">Abschnitt 2 Allgemeine Vorschriften über
Rechte an Grundstücken</w:t>
        </w:r>
      </w:hyperlink>
    </w:p>
    <w:p>
      <w:pPr>
        <w:pStyle w:val="Übersicht"/>
        <w:ind w:left="680"/>
      </w:pPr>
      <w:hyperlink w:anchor="b1331" w:history="1">
        <w:r>
          <w:rPr>
            <w:color w:val="0A3A8C"/>
            <w:u w:val="single"/>
          </w:rPr>
          <w:t xml:space="preserve">§ 873 Erwerb durch Einigung und Eintragung</w:t>
        </w:r>
      </w:hyperlink>
    </w:p>
    <w:p>
      <w:pPr>
        <w:pStyle w:val="Übersicht"/>
        <w:ind w:left="680"/>
      </w:pPr>
      <w:hyperlink w:anchor="b1332" w:history="1">
        <w:r>
          <w:rPr>
            <w:color w:val="0A3A8C"/>
            <w:u w:val="single"/>
          </w:rPr>
          <w:t xml:space="preserve">§ 874 Bezugnahme auf die Eintragungsbewilligung</w:t>
        </w:r>
      </w:hyperlink>
    </w:p>
    <w:p>
      <w:pPr>
        <w:pStyle w:val="Übersicht"/>
        <w:ind w:left="680"/>
      </w:pPr>
      <w:hyperlink w:anchor="b1333" w:history="1">
        <w:r>
          <w:rPr>
            <w:color w:val="0A3A8C"/>
            <w:u w:val="single"/>
          </w:rPr>
          <w:t xml:space="preserve">§ 875 Aufhebung eines Rechts</w:t>
        </w:r>
      </w:hyperlink>
    </w:p>
    <w:p>
      <w:pPr>
        <w:pStyle w:val="Übersicht"/>
        <w:ind w:left="680"/>
      </w:pPr>
      <w:hyperlink w:anchor="b1334" w:history="1">
        <w:r>
          <w:rPr>
            <w:color w:val="0A3A8C"/>
            <w:u w:val="single"/>
          </w:rPr>
          <w:t xml:space="preserve">§ 876 Aufhebung eines belasteten Rechts</w:t>
        </w:r>
      </w:hyperlink>
    </w:p>
    <w:p>
      <w:pPr>
        <w:pStyle w:val="Übersicht"/>
        <w:ind w:left="680"/>
      </w:pPr>
      <w:hyperlink w:anchor="b1335" w:history="1">
        <w:r>
          <w:rPr>
            <w:color w:val="0A3A8C"/>
            <w:u w:val="single"/>
          </w:rPr>
          <w:t xml:space="preserve">§ 877 Rechtsänderungen</w:t>
        </w:r>
      </w:hyperlink>
    </w:p>
    <w:p>
      <w:pPr>
        <w:pStyle w:val="Übersicht"/>
        <w:ind w:left="680"/>
      </w:pPr>
      <w:hyperlink w:anchor="b1336" w:history="1">
        <w:r>
          <w:rPr>
            <w:color w:val="0A3A8C"/>
            <w:u w:val="single"/>
          </w:rPr>
          <w:t xml:space="preserve">§ 878 Nachträgliche Verfügungsbeschränkungen</w:t>
        </w:r>
      </w:hyperlink>
    </w:p>
    <w:p>
      <w:pPr>
        <w:pStyle w:val="Übersicht"/>
        <w:ind w:left="680"/>
      </w:pPr>
      <w:hyperlink w:anchor="b1337" w:history="1">
        <w:r>
          <w:rPr>
            <w:color w:val="0A3A8C"/>
            <w:u w:val="single"/>
          </w:rPr>
          <w:t xml:space="preserve">§ 879 Rangverhältnis mehrerer Rechte</w:t>
        </w:r>
      </w:hyperlink>
    </w:p>
    <w:p>
      <w:pPr>
        <w:pStyle w:val="Übersicht"/>
        <w:ind w:left="680"/>
      </w:pPr>
      <w:hyperlink w:anchor="b1338" w:history="1">
        <w:r>
          <w:rPr>
            <w:color w:val="0A3A8C"/>
            <w:u w:val="single"/>
          </w:rPr>
          <w:t xml:space="preserve">§ 880 Rangänderung</w:t>
        </w:r>
      </w:hyperlink>
    </w:p>
    <w:p>
      <w:pPr>
        <w:pStyle w:val="Übersicht"/>
        <w:ind w:left="680"/>
      </w:pPr>
      <w:hyperlink w:anchor="b1339" w:history="1">
        <w:r>
          <w:rPr>
            <w:color w:val="0A3A8C"/>
            <w:u w:val="single"/>
          </w:rPr>
          <w:t xml:space="preserve">§ 881 Rangvorbehalt</w:t>
        </w:r>
      </w:hyperlink>
    </w:p>
    <w:p>
      <w:pPr>
        <w:pStyle w:val="Übersicht"/>
        <w:ind w:left="680"/>
      </w:pPr>
      <w:hyperlink w:anchor="b1340" w:history="1">
        <w:r>
          <w:rPr>
            <w:color w:val="0A3A8C"/>
            <w:u w:val="single"/>
          </w:rPr>
          <w:t xml:space="preserve">§ 882 Höchstbetrag des Wertersatzes</w:t>
        </w:r>
      </w:hyperlink>
    </w:p>
    <w:p>
      <w:pPr>
        <w:pStyle w:val="Übersicht"/>
        <w:ind w:left="680"/>
      </w:pPr>
      <w:hyperlink w:anchor="b1341" w:history="1">
        <w:r>
          <w:rPr>
            <w:color w:val="0A3A8C"/>
            <w:u w:val="single"/>
          </w:rPr>
          <w:t xml:space="preserve">§ 883 Voraussetzungen und Wirkung der Vormerkung</w:t>
        </w:r>
      </w:hyperlink>
    </w:p>
    <w:p>
      <w:pPr>
        <w:pStyle w:val="Übersicht"/>
        <w:ind w:left="680"/>
      </w:pPr>
      <w:hyperlink w:anchor="b1342" w:history="1">
        <w:r>
          <w:rPr>
            <w:color w:val="0A3A8C"/>
            <w:u w:val="single"/>
          </w:rPr>
          <w:t xml:space="preserve">§ 884 Wirkung gegenüber Erben</w:t>
        </w:r>
      </w:hyperlink>
    </w:p>
    <w:p>
      <w:pPr>
        <w:pStyle w:val="Übersicht"/>
        <w:ind w:left="680"/>
      </w:pPr>
      <w:hyperlink w:anchor="b1343" w:history="1">
        <w:r>
          <w:rPr>
            <w:color w:val="0A3A8C"/>
            <w:u w:val="single"/>
          </w:rPr>
          <w:t xml:space="preserve">§ 885 Voraussetzung für die Eintragung der Vormerkung</w:t>
        </w:r>
      </w:hyperlink>
    </w:p>
    <w:p>
      <w:pPr>
        <w:pStyle w:val="Übersicht"/>
        <w:ind w:left="680"/>
      </w:pPr>
      <w:hyperlink w:anchor="b1344" w:history="1">
        <w:r>
          <w:rPr>
            <w:color w:val="0A3A8C"/>
            <w:u w:val="single"/>
          </w:rPr>
          <w:t xml:space="preserve">§ 886 Beseitigungsanspruch</w:t>
        </w:r>
      </w:hyperlink>
    </w:p>
    <w:p>
      <w:pPr>
        <w:pStyle w:val="Übersicht"/>
        <w:ind w:left="680"/>
      </w:pPr>
      <w:hyperlink w:anchor="b1345" w:history="1">
        <w:r>
          <w:rPr>
            <w:color w:val="0A3A8C"/>
            <w:u w:val="single"/>
          </w:rPr>
          <w:t xml:space="preserve">§ 887 Aufgebot des Vormerkungsgläubigers</w:t>
        </w:r>
      </w:hyperlink>
    </w:p>
    <w:p>
      <w:pPr>
        <w:pStyle w:val="Übersicht"/>
        <w:ind w:left="680"/>
      </w:pPr>
      <w:hyperlink w:anchor="b1346" w:history="1">
        <w:r>
          <w:rPr>
            <w:color w:val="0A3A8C"/>
            <w:u w:val="single"/>
          </w:rPr>
          <w:t xml:space="preserve">§ 888 Anspruch des Vormerkungsberechtigten auf Zustimmung</w:t>
        </w:r>
      </w:hyperlink>
    </w:p>
    <w:p>
      <w:pPr>
        <w:pStyle w:val="Übersicht"/>
        <w:ind w:left="680"/>
      </w:pPr>
      <w:hyperlink w:anchor="b1347" w:history="1">
        <w:r>
          <w:rPr>
            <w:color w:val="0A3A8C"/>
            <w:u w:val="single"/>
          </w:rPr>
          <w:t xml:space="preserve">§ 889 Ausschluss der Konsolidation bei dinglichen Rechten</w:t>
        </w:r>
      </w:hyperlink>
    </w:p>
    <w:p>
      <w:pPr>
        <w:pStyle w:val="Übersicht"/>
        <w:ind w:left="680"/>
      </w:pPr>
      <w:hyperlink w:anchor="b1348" w:history="1">
        <w:r>
          <w:rPr>
            <w:color w:val="0A3A8C"/>
            <w:u w:val="single"/>
          </w:rPr>
          <w:t xml:space="preserve">§ 890 Vereinigung von Grundstücken; Zuschreibung</w:t>
        </w:r>
      </w:hyperlink>
    </w:p>
    <w:p>
      <w:pPr>
        <w:pStyle w:val="Übersicht"/>
        <w:ind w:left="680"/>
      </w:pPr>
      <w:hyperlink w:anchor="b1349" w:history="1">
        <w:r>
          <w:rPr>
            <w:color w:val="0A3A8C"/>
            <w:u w:val="single"/>
          </w:rPr>
          <w:t xml:space="preserve">§ 891 Gesetzliche Vermutung</w:t>
        </w:r>
      </w:hyperlink>
    </w:p>
    <w:p>
      <w:pPr>
        <w:pStyle w:val="Übersicht"/>
        <w:ind w:left="680"/>
      </w:pPr>
      <w:hyperlink w:anchor="b1350" w:history="1">
        <w:r>
          <w:rPr>
            <w:color w:val="0A3A8C"/>
            <w:u w:val="single"/>
          </w:rPr>
          <w:t xml:space="preserve">§ 892 Öffentlicher Glaube des Grundbuchs</w:t>
        </w:r>
      </w:hyperlink>
    </w:p>
    <w:p>
      <w:pPr>
        <w:pStyle w:val="Übersicht"/>
        <w:ind w:left="680"/>
      </w:pPr>
      <w:hyperlink w:anchor="b1351" w:history="1">
        <w:r>
          <w:rPr>
            <w:color w:val="0A3A8C"/>
            <w:u w:val="single"/>
          </w:rPr>
          <w:t xml:space="preserve">§ 893 Rechtsgeschäft mit dem Eingetragenen</w:t>
        </w:r>
      </w:hyperlink>
    </w:p>
    <w:p>
      <w:pPr>
        <w:pStyle w:val="Übersicht"/>
        <w:ind w:left="680"/>
      </w:pPr>
      <w:hyperlink w:anchor="b1352" w:history="1">
        <w:r>
          <w:rPr>
            <w:color w:val="0A3A8C"/>
            <w:u w:val="single"/>
          </w:rPr>
          <w:t xml:space="preserve">§ 894 Berichtigung des Grundbuchs</w:t>
        </w:r>
      </w:hyperlink>
    </w:p>
    <w:p>
      <w:pPr>
        <w:pStyle w:val="Übersicht"/>
        <w:ind w:left="680"/>
      </w:pPr>
      <w:hyperlink w:anchor="b1353" w:history="1">
        <w:r>
          <w:rPr>
            <w:color w:val="0A3A8C"/>
            <w:u w:val="single"/>
          </w:rPr>
          <w:t xml:space="preserve">§ 895 Voreintragung des Verpflichteten</w:t>
        </w:r>
      </w:hyperlink>
    </w:p>
    <w:p>
      <w:pPr>
        <w:pStyle w:val="Übersicht"/>
        <w:ind w:left="680"/>
      </w:pPr>
      <w:hyperlink w:anchor="b1354" w:history="1">
        <w:r>
          <w:rPr>
            <w:color w:val="0A3A8C"/>
            <w:u w:val="single"/>
          </w:rPr>
          <w:t xml:space="preserve">§ 896 Vorlegung des Briefes</w:t>
        </w:r>
      </w:hyperlink>
    </w:p>
    <w:p>
      <w:pPr>
        <w:pStyle w:val="Übersicht"/>
        <w:ind w:left="680"/>
      </w:pPr>
      <w:hyperlink w:anchor="b1355" w:history="1">
        <w:r>
          <w:rPr>
            <w:color w:val="0A3A8C"/>
            <w:u w:val="single"/>
          </w:rPr>
          <w:t xml:space="preserve">§ 897 Kosten der Berichtigung</w:t>
        </w:r>
      </w:hyperlink>
    </w:p>
    <w:p>
      <w:pPr>
        <w:pStyle w:val="Übersicht"/>
        <w:ind w:left="680"/>
      </w:pPr>
      <w:hyperlink w:anchor="b1356" w:history="1">
        <w:r>
          <w:rPr>
            <w:color w:val="0A3A8C"/>
            <w:u w:val="single"/>
          </w:rPr>
          <w:t xml:space="preserve">§ 898 Unverjährbarkeit der Berichtigungsansprüche</w:t>
        </w:r>
      </w:hyperlink>
    </w:p>
    <w:p>
      <w:pPr>
        <w:pStyle w:val="Übersicht"/>
        <w:ind w:left="680"/>
      </w:pPr>
      <w:hyperlink w:anchor="b1357" w:history="1">
        <w:r>
          <w:rPr>
            <w:color w:val="0A3A8C"/>
            <w:u w:val="single"/>
          </w:rPr>
          <w:t xml:space="preserve">§ 899 Eintragung eines Widerspruchs</w:t>
        </w:r>
      </w:hyperlink>
    </w:p>
    <w:p>
      <w:pPr>
        <w:pStyle w:val="Übersicht"/>
        <w:ind w:left="680"/>
      </w:pPr>
      <w:hyperlink w:anchor="b1358" w:history="1">
        <w:r>
          <w:rPr>
            <w:color w:val="0A3A8C"/>
            <w:u w:val="single"/>
          </w:rPr>
          <w:t xml:space="preserve">§ 900 Buchersitzung</w:t>
        </w:r>
      </w:hyperlink>
    </w:p>
    <w:p>
      <w:pPr>
        <w:pStyle w:val="Übersicht"/>
        <w:ind w:left="680"/>
      </w:pPr>
      <w:hyperlink w:anchor="b1359" w:history="1">
        <w:r>
          <w:rPr>
            <w:color w:val="0A3A8C"/>
            <w:u w:val="single"/>
          </w:rPr>
          <w:t xml:space="preserve">§ 901 Erlöschen nicht eingetragener Rechte</w:t>
        </w:r>
      </w:hyperlink>
    </w:p>
    <w:p>
      <w:pPr>
        <w:pStyle w:val="Übersicht"/>
        <w:ind w:left="680"/>
      </w:pPr>
      <w:hyperlink w:anchor="b1360" w:history="1">
        <w:r>
          <w:rPr>
            <w:color w:val="0A3A8C"/>
            <w:u w:val="single"/>
          </w:rPr>
          <w:t xml:space="preserve">§ 902 Unverjährbarkeit eingetragener Rechte</w:t>
        </w:r>
      </w:hyperlink>
    </w:p>
    <w:p>
      <w:pPr>
        <w:pStyle w:val="Übersicht"/>
        <w:ind w:left="340"/>
      </w:pPr>
      <w:hyperlink w:anchor="b1361" w:history="1">
        <w:r>
          <w:rPr>
            <w:b/>
            <w:color w:val="0A3A8C"/>
            <w:u w:val="single"/>
          </w:rPr>
          <w:t xml:space="preserve">Abschnitt 3 Eigentum</w:t>
        </w:r>
      </w:hyperlink>
    </w:p>
    <w:p>
      <w:pPr>
        <w:pStyle w:val="Übersicht"/>
        <w:ind w:left="680"/>
      </w:pPr>
      <w:hyperlink w:anchor="b1362" w:history="1">
        <w:r>
          <w:rPr>
            <w:b/>
            <w:color w:val="0A3A8C"/>
            <w:u w:val="single"/>
          </w:rPr>
          <w:t xml:space="preserve">Titel 1 Inhalt des Eigentums</w:t>
        </w:r>
      </w:hyperlink>
    </w:p>
    <w:p>
      <w:pPr>
        <w:pStyle w:val="Übersicht"/>
        <w:ind w:left="1020"/>
      </w:pPr>
      <w:hyperlink w:anchor="b1363" w:history="1">
        <w:r>
          <w:rPr>
            <w:color w:val="0A3A8C"/>
            <w:u w:val="single"/>
          </w:rPr>
          <w:t xml:space="preserve">§ 903 Befugnisse des Eigentümers</w:t>
        </w:r>
      </w:hyperlink>
    </w:p>
    <w:p>
      <w:pPr>
        <w:pStyle w:val="Übersicht"/>
        <w:ind w:left="1020"/>
      </w:pPr>
      <w:hyperlink w:anchor="b1364" w:history="1">
        <w:r>
          <w:rPr>
            <w:color w:val="0A3A8C"/>
            <w:u w:val="single"/>
          </w:rPr>
          <w:t xml:space="preserve">§ 904 Notstand</w:t>
        </w:r>
      </w:hyperlink>
    </w:p>
    <w:p>
      <w:pPr>
        <w:pStyle w:val="Übersicht"/>
        <w:ind w:left="1020"/>
      </w:pPr>
      <w:hyperlink w:anchor="b1365" w:history="1">
        <w:r>
          <w:rPr>
            <w:color w:val="0A3A8C"/>
            <w:u w:val="single"/>
          </w:rPr>
          <w:t xml:space="preserve">§ 905 Begrenzung des Eigentums</w:t>
        </w:r>
      </w:hyperlink>
    </w:p>
    <w:p>
      <w:pPr>
        <w:pStyle w:val="Übersicht"/>
        <w:ind w:left="1020"/>
      </w:pPr>
      <w:hyperlink w:anchor="b1366" w:history="1">
        <w:r>
          <w:rPr>
            <w:color w:val="0A3A8C"/>
            <w:u w:val="single"/>
          </w:rPr>
          <w:t xml:space="preserve">§ 906 Zuführung unwägbarer Stoffe</w:t>
        </w:r>
      </w:hyperlink>
    </w:p>
    <w:p>
      <w:pPr>
        <w:pStyle w:val="Übersicht"/>
        <w:ind w:left="1020"/>
      </w:pPr>
      <w:hyperlink w:anchor="b1367" w:history="1">
        <w:r>
          <w:rPr>
            <w:color w:val="0A3A8C"/>
            <w:u w:val="single"/>
          </w:rPr>
          <w:t xml:space="preserve">§ 907 Gefahr drohende Anlagen</w:t>
        </w:r>
      </w:hyperlink>
    </w:p>
    <w:p>
      <w:pPr>
        <w:pStyle w:val="Übersicht"/>
        <w:ind w:left="1020"/>
      </w:pPr>
      <w:hyperlink w:anchor="b1368" w:history="1">
        <w:r>
          <w:rPr>
            <w:color w:val="0A3A8C"/>
            <w:u w:val="single"/>
          </w:rPr>
          <w:t xml:space="preserve">§ 908 Drohender Gebäudeeinsturz</w:t>
        </w:r>
      </w:hyperlink>
    </w:p>
    <w:p>
      <w:pPr>
        <w:pStyle w:val="Übersicht"/>
        <w:ind w:left="1020"/>
      </w:pPr>
      <w:hyperlink w:anchor="b1369" w:history="1">
        <w:r>
          <w:rPr>
            <w:color w:val="0A3A8C"/>
            <w:u w:val="single"/>
          </w:rPr>
          <w:t xml:space="preserve">§ 909 Vertiefung</w:t>
        </w:r>
      </w:hyperlink>
    </w:p>
    <w:p>
      <w:pPr>
        <w:pStyle w:val="Übersicht"/>
        <w:ind w:left="1020"/>
      </w:pPr>
      <w:hyperlink w:anchor="b1370" w:history="1">
        <w:r>
          <w:rPr>
            <w:color w:val="0A3A8C"/>
            <w:u w:val="single"/>
          </w:rPr>
          <w:t xml:space="preserve">§ 910 Überhang</w:t>
        </w:r>
      </w:hyperlink>
    </w:p>
    <w:p>
      <w:pPr>
        <w:pStyle w:val="Übersicht"/>
        <w:ind w:left="1020"/>
      </w:pPr>
      <w:hyperlink w:anchor="b1371" w:history="1">
        <w:r>
          <w:rPr>
            <w:color w:val="0A3A8C"/>
            <w:u w:val="single"/>
          </w:rPr>
          <w:t xml:space="preserve">§ 911 Überfall</w:t>
        </w:r>
      </w:hyperlink>
    </w:p>
    <w:p>
      <w:pPr>
        <w:pStyle w:val="Übersicht"/>
        <w:ind w:left="1020"/>
      </w:pPr>
      <w:hyperlink w:anchor="b1372" w:history="1">
        <w:r>
          <w:rPr>
            <w:color w:val="0A3A8C"/>
            <w:u w:val="single"/>
          </w:rPr>
          <w:t xml:space="preserve">§ 912 Überbau; Duldungspflicht</w:t>
        </w:r>
      </w:hyperlink>
    </w:p>
    <w:p>
      <w:pPr>
        <w:pStyle w:val="Übersicht"/>
        <w:ind w:left="1020"/>
      </w:pPr>
      <w:hyperlink w:anchor="b1373" w:history="1">
        <w:r>
          <w:rPr>
            <w:color w:val="0A3A8C"/>
            <w:u w:val="single"/>
          </w:rPr>
          <w:t xml:space="preserve">§ 913 Zahlung der Überbaurente</w:t>
        </w:r>
      </w:hyperlink>
    </w:p>
    <w:p>
      <w:pPr>
        <w:pStyle w:val="Übersicht"/>
        <w:ind w:left="1020"/>
      </w:pPr>
      <w:hyperlink w:anchor="b1374" w:history="1">
        <w:r>
          <w:rPr>
            <w:color w:val="0A3A8C"/>
            <w:u w:val="single"/>
          </w:rPr>
          <w:t xml:space="preserve">§ 914 Rang, Eintragung und Erlöschen der Rente</w:t>
        </w:r>
      </w:hyperlink>
    </w:p>
    <w:p>
      <w:pPr>
        <w:pStyle w:val="Übersicht"/>
        <w:ind w:left="1020"/>
      </w:pPr>
      <w:hyperlink w:anchor="b1375" w:history="1">
        <w:r>
          <w:rPr>
            <w:color w:val="0A3A8C"/>
            <w:u w:val="single"/>
          </w:rPr>
          <w:t xml:space="preserve">§ 915 Abkauf</w:t>
        </w:r>
      </w:hyperlink>
    </w:p>
    <w:p>
      <w:pPr>
        <w:pStyle w:val="Übersicht"/>
        <w:ind w:left="1020"/>
      </w:pPr>
      <w:hyperlink w:anchor="b1376" w:history="1">
        <w:r>
          <w:rPr>
            <w:color w:val="0A3A8C"/>
            <w:u w:val="single"/>
          </w:rPr>
          <w:t xml:space="preserve">§ 916 Beeinträchtigung von Erbbaurecht oder Dienstbarkeit</w:t>
        </w:r>
      </w:hyperlink>
    </w:p>
    <w:p>
      <w:pPr>
        <w:pStyle w:val="Übersicht"/>
        <w:ind w:left="1020"/>
      </w:pPr>
      <w:hyperlink w:anchor="b1377" w:history="1">
        <w:r>
          <w:rPr>
            <w:color w:val="0A3A8C"/>
            <w:u w:val="single"/>
          </w:rPr>
          <w:t xml:space="preserve">§ 917 Notweg</w:t>
        </w:r>
      </w:hyperlink>
    </w:p>
    <w:p>
      <w:pPr>
        <w:pStyle w:val="Übersicht"/>
        <w:ind w:left="1020"/>
      </w:pPr>
      <w:hyperlink w:anchor="b1378" w:history="1">
        <w:r>
          <w:rPr>
            <w:color w:val="0A3A8C"/>
            <w:u w:val="single"/>
          </w:rPr>
          <w:t xml:space="preserve">§ 918 Ausschluss des Notwegrechts</w:t>
        </w:r>
      </w:hyperlink>
    </w:p>
    <w:p>
      <w:pPr>
        <w:pStyle w:val="Übersicht"/>
        <w:ind w:left="1020"/>
      </w:pPr>
      <w:hyperlink w:anchor="b1379" w:history="1">
        <w:r>
          <w:rPr>
            <w:color w:val="0A3A8C"/>
            <w:u w:val="single"/>
          </w:rPr>
          <w:t xml:space="preserve">§ 919 Grenzabmarkung</w:t>
        </w:r>
      </w:hyperlink>
    </w:p>
    <w:p>
      <w:pPr>
        <w:pStyle w:val="Übersicht"/>
        <w:ind w:left="1020"/>
      </w:pPr>
      <w:hyperlink w:anchor="b1380" w:history="1">
        <w:r>
          <w:rPr>
            <w:color w:val="0A3A8C"/>
            <w:u w:val="single"/>
          </w:rPr>
          <w:t xml:space="preserve">§ 920 Grenzverwirrung</w:t>
        </w:r>
      </w:hyperlink>
    </w:p>
    <w:p>
      <w:pPr>
        <w:pStyle w:val="Übersicht"/>
        <w:ind w:left="1020"/>
      </w:pPr>
      <w:hyperlink w:anchor="b1381" w:history="1">
        <w:r>
          <w:rPr>
            <w:color w:val="0A3A8C"/>
            <w:u w:val="single"/>
          </w:rPr>
          <w:t xml:space="preserve">§ 921 Gemeinschaftliche Benutzung von Grenzanlagen</w:t>
        </w:r>
      </w:hyperlink>
    </w:p>
    <w:p>
      <w:pPr>
        <w:pStyle w:val="Übersicht"/>
        <w:ind w:left="1020"/>
      </w:pPr>
      <w:hyperlink w:anchor="b1382" w:history="1">
        <w:r>
          <w:rPr>
            <w:color w:val="0A3A8C"/>
            <w:u w:val="single"/>
          </w:rPr>
          <w:t xml:space="preserve">§ 922 Art der Benutzung und Unterhaltung</w:t>
        </w:r>
      </w:hyperlink>
    </w:p>
    <w:p>
      <w:pPr>
        <w:pStyle w:val="Übersicht"/>
        <w:ind w:left="1020"/>
      </w:pPr>
      <w:hyperlink w:anchor="b1383" w:history="1">
        <w:r>
          <w:rPr>
            <w:color w:val="0A3A8C"/>
            <w:u w:val="single"/>
          </w:rPr>
          <w:t xml:space="preserve">§ 923 Grenzbaum</w:t>
        </w:r>
      </w:hyperlink>
    </w:p>
    <w:p>
      <w:pPr>
        <w:pStyle w:val="Übersicht"/>
        <w:ind w:left="1020"/>
      </w:pPr>
      <w:hyperlink w:anchor="b1384" w:history="1">
        <w:r>
          <w:rPr>
            <w:color w:val="0A3A8C"/>
            <w:u w:val="single"/>
          </w:rPr>
          <w:t xml:space="preserve">§ 924 Unverjährbarkeit nachbarrechtlicher Ansprüche</w:t>
        </w:r>
      </w:hyperlink>
    </w:p>
    <w:p>
      <w:pPr>
        <w:pStyle w:val="Übersicht"/>
        <w:ind w:left="680"/>
      </w:pPr>
      <w:hyperlink w:anchor="b1385" w:history="1">
        <w:r>
          <w:rPr>
            <w:b/>
            <w:color w:val="0A3A8C"/>
            <w:u w:val="single"/>
          </w:rPr>
          <w:t xml:space="preserve">Titel 2 Erwerb und Verlust des Eigentums
an Grundstücken</w:t>
        </w:r>
      </w:hyperlink>
    </w:p>
    <w:p>
      <w:pPr>
        <w:pStyle w:val="Übersicht"/>
        <w:ind w:left="1020"/>
      </w:pPr>
      <w:hyperlink w:anchor="b1386" w:history="1">
        <w:r>
          <w:rPr>
            <w:color w:val="0A3A8C"/>
            <w:u w:val="single"/>
          </w:rPr>
          <w:t xml:space="preserve">§ 925 Auflassung</w:t>
        </w:r>
      </w:hyperlink>
    </w:p>
    <w:p>
      <w:pPr>
        <w:pStyle w:val="Übersicht"/>
        <w:ind w:left="1020"/>
      </w:pPr>
      <w:hyperlink w:anchor="b1387" w:history="1">
        <w:r>
          <w:rPr>
            <w:color w:val="0A3A8C"/>
            <w:u w:val="single"/>
          </w:rPr>
          <w:t xml:space="preserve">§ 925a Urkunde über Grundgeschäft</w:t>
        </w:r>
      </w:hyperlink>
    </w:p>
    <w:p>
      <w:pPr>
        <w:pStyle w:val="Übersicht"/>
        <w:ind w:left="1020"/>
      </w:pPr>
      <w:hyperlink w:anchor="b1388" w:history="1">
        <w:r>
          <w:rPr>
            <w:color w:val="0A3A8C"/>
            <w:u w:val="single"/>
          </w:rPr>
          <w:t xml:space="preserve">§ 926 Zubehör des Grundstücks</w:t>
        </w:r>
      </w:hyperlink>
    </w:p>
    <w:p>
      <w:pPr>
        <w:pStyle w:val="Übersicht"/>
        <w:ind w:left="1020"/>
      </w:pPr>
      <w:hyperlink w:anchor="b1389" w:history="1">
        <w:r>
          <w:rPr>
            <w:color w:val="0A3A8C"/>
            <w:u w:val="single"/>
          </w:rPr>
          <w:t xml:space="preserve">§ 927 Aufgebotsverfahren</w:t>
        </w:r>
      </w:hyperlink>
    </w:p>
    <w:p>
      <w:pPr>
        <w:pStyle w:val="Übersicht"/>
        <w:ind w:left="1020"/>
      </w:pPr>
      <w:hyperlink w:anchor="b1390" w:history="1">
        <w:r>
          <w:rPr>
            <w:color w:val="0A3A8C"/>
            <w:u w:val="single"/>
          </w:rPr>
          <w:t xml:space="preserve">§ 928 Aufgabe des Eigentums, Aneignung des Fiskus</w:t>
        </w:r>
      </w:hyperlink>
    </w:p>
    <w:p>
      <w:pPr>
        <w:pStyle w:val="Übersicht"/>
        <w:ind w:left="680"/>
      </w:pPr>
      <w:hyperlink w:anchor="b1391" w:history="1">
        <w:r>
          <w:rPr>
            <w:b/>
            <w:color w:val="0A3A8C"/>
            <w:u w:val="single"/>
          </w:rPr>
          <w:t xml:space="preserve">Titel 3 Erwerb und Verlust des Eigentums
an beweglichen Sachen</w:t>
        </w:r>
      </w:hyperlink>
    </w:p>
    <w:p>
      <w:pPr>
        <w:pStyle w:val="Übersicht"/>
        <w:ind w:left="1020"/>
      </w:pPr>
      <w:hyperlink w:anchor="b1392" w:history="1">
        <w:r>
          <w:rPr>
            <w:b/>
            <w:color w:val="0A3A8C"/>
            <w:u w:val="single"/>
          </w:rPr>
          <w:t xml:space="preserve">Untertitel 1 Übertragung</w:t>
        </w:r>
      </w:hyperlink>
    </w:p>
    <w:p>
      <w:pPr>
        <w:pStyle w:val="Übersicht"/>
        <w:ind w:left="1361"/>
      </w:pPr>
      <w:hyperlink w:anchor="b1393" w:history="1">
        <w:r>
          <w:rPr>
            <w:color w:val="0A3A8C"/>
            <w:u w:val="single"/>
          </w:rPr>
          <w:t xml:space="preserve">§ 929 Einigung und Übergabe</w:t>
        </w:r>
      </w:hyperlink>
    </w:p>
    <w:p>
      <w:pPr>
        <w:pStyle w:val="Übersicht"/>
        <w:ind w:left="1361"/>
      </w:pPr>
      <w:hyperlink w:anchor="b1394" w:history="1">
        <w:r>
          <w:rPr>
            <w:color w:val="0A3A8C"/>
            <w:u w:val="single"/>
          </w:rPr>
          <w:t xml:space="preserve">§ 929a Einigung bei nicht eingetragenem Seeschiff</w:t>
        </w:r>
      </w:hyperlink>
    </w:p>
    <w:p>
      <w:pPr>
        <w:pStyle w:val="Übersicht"/>
        <w:ind w:left="1361"/>
      </w:pPr>
      <w:hyperlink w:anchor="b1395" w:history="1">
        <w:r>
          <w:rPr>
            <w:color w:val="0A3A8C"/>
            <w:u w:val="single"/>
          </w:rPr>
          <w:t xml:space="preserve">§ 930 Besitzkonstitut</w:t>
        </w:r>
      </w:hyperlink>
    </w:p>
    <w:p>
      <w:pPr>
        <w:pStyle w:val="Übersicht"/>
        <w:ind w:left="1361"/>
      </w:pPr>
      <w:hyperlink w:anchor="b1396" w:history="1">
        <w:r>
          <w:rPr>
            <w:color w:val="0A3A8C"/>
            <w:u w:val="single"/>
          </w:rPr>
          <w:t xml:space="preserve">§ 931 Abtretung des Herausgabeanspruchs</w:t>
        </w:r>
      </w:hyperlink>
    </w:p>
    <w:p>
      <w:pPr>
        <w:pStyle w:val="Übersicht"/>
        <w:ind w:left="1361"/>
      </w:pPr>
      <w:hyperlink w:anchor="b1397" w:history="1">
        <w:r>
          <w:rPr>
            <w:color w:val="0A3A8C"/>
            <w:u w:val="single"/>
          </w:rPr>
          <w:t xml:space="preserve">§ 932 Gutgläubiger Erwerb vom Nichtberechtigten</w:t>
        </w:r>
      </w:hyperlink>
    </w:p>
    <w:p>
      <w:pPr>
        <w:pStyle w:val="Übersicht"/>
        <w:ind w:left="1361"/>
      </w:pPr>
      <w:hyperlink w:anchor="b1398" w:history="1">
        <w:r>
          <w:rPr>
            <w:color w:val="0A3A8C"/>
            <w:u w:val="single"/>
          </w:rPr>
          <w:t xml:space="preserve">§ 932a Gutgläubiger Erwerb nicht eingetragener Seeschiffe</w:t>
        </w:r>
      </w:hyperlink>
    </w:p>
    <w:p>
      <w:pPr>
        <w:pStyle w:val="Übersicht"/>
        <w:ind w:left="1361"/>
      </w:pPr>
      <w:hyperlink w:anchor="b1399" w:history="1">
        <w:r>
          <w:rPr>
            <w:color w:val="0A3A8C"/>
            <w:u w:val="single"/>
          </w:rPr>
          <w:t xml:space="preserve">§ 933 Gutgläubiger Erwerb bei Besitzkonstitut</w:t>
        </w:r>
      </w:hyperlink>
    </w:p>
    <w:p>
      <w:pPr>
        <w:pStyle w:val="Übersicht"/>
        <w:ind w:left="1361"/>
      </w:pPr>
      <w:hyperlink w:anchor="b1400" w:history="1">
        <w:r>
          <w:rPr>
            <w:color w:val="0A3A8C"/>
            <w:u w:val="single"/>
          </w:rPr>
          <w:t xml:space="preserve">§ 934 Gutgläubiger Erwerb bei Abtretung des Herausgabeanspruchs</w:t>
        </w:r>
      </w:hyperlink>
    </w:p>
    <w:p>
      <w:pPr>
        <w:pStyle w:val="Übersicht"/>
        <w:ind w:left="1361"/>
      </w:pPr>
      <w:hyperlink w:anchor="b1401" w:history="1">
        <w:r>
          <w:rPr>
            <w:color w:val="0A3A8C"/>
            <w:u w:val="single"/>
          </w:rPr>
          <w:t xml:space="preserve">§ 935 Kein gutgläubiger Erwerb von abhanden gekommenen Sachen</w:t>
        </w:r>
      </w:hyperlink>
    </w:p>
    <w:p>
      <w:pPr>
        <w:pStyle w:val="Übersicht"/>
        <w:ind w:left="1361"/>
      </w:pPr>
      <w:hyperlink w:anchor="b1402" w:history="1">
        <w:r>
          <w:rPr>
            <w:color w:val="0A3A8C"/>
            <w:u w:val="single"/>
          </w:rPr>
          <w:t xml:space="preserve">§ 936 Erlöschen von Rechten Dritter</w:t>
        </w:r>
      </w:hyperlink>
    </w:p>
    <w:p>
      <w:pPr>
        <w:pStyle w:val="Übersicht"/>
        <w:ind w:left="1020"/>
      </w:pPr>
      <w:hyperlink w:anchor="b1403" w:history="1">
        <w:r>
          <w:rPr>
            <w:b/>
            <w:color w:val="0A3A8C"/>
            <w:u w:val="single"/>
          </w:rPr>
          <w:t xml:space="preserve">Untertitel 2 Ersitzung</w:t>
        </w:r>
      </w:hyperlink>
    </w:p>
    <w:p>
      <w:pPr>
        <w:pStyle w:val="Übersicht"/>
        <w:ind w:left="1361"/>
      </w:pPr>
      <w:hyperlink w:anchor="b1404" w:history="1">
        <w:r>
          <w:rPr>
            <w:color w:val="0A3A8C"/>
            <w:u w:val="single"/>
          </w:rPr>
          <w:t xml:space="preserve">§ 937 Voraussetzungen, Ausschluss bei Kenntnis</w:t>
        </w:r>
      </w:hyperlink>
    </w:p>
    <w:p>
      <w:pPr>
        <w:pStyle w:val="Übersicht"/>
        <w:ind w:left="1361"/>
      </w:pPr>
      <w:hyperlink w:anchor="b1405" w:history="1">
        <w:r>
          <w:rPr>
            <w:color w:val="0A3A8C"/>
            <w:u w:val="single"/>
          </w:rPr>
          <w:t xml:space="preserve">§ 938 Vermutung des Eigenbesitzes</w:t>
        </w:r>
      </w:hyperlink>
    </w:p>
    <w:p>
      <w:pPr>
        <w:pStyle w:val="Übersicht"/>
        <w:ind w:left="1361"/>
      </w:pPr>
      <w:hyperlink w:anchor="b1406" w:history="1">
        <w:r>
          <w:rPr>
            <w:color w:val="0A3A8C"/>
            <w:u w:val="single"/>
          </w:rPr>
          <w:t xml:space="preserve">§ 939 Hemmung der Ersitzung</w:t>
        </w:r>
      </w:hyperlink>
    </w:p>
    <w:p>
      <w:pPr>
        <w:pStyle w:val="Übersicht"/>
        <w:ind w:left="1361"/>
      </w:pPr>
      <w:hyperlink w:anchor="b1407" w:history="1">
        <w:r>
          <w:rPr>
            <w:color w:val="0A3A8C"/>
            <w:u w:val="single"/>
          </w:rPr>
          <w:t xml:space="preserve">§ 940 Unterbrechung durch Besitzverlust</w:t>
        </w:r>
      </w:hyperlink>
    </w:p>
    <w:p>
      <w:pPr>
        <w:pStyle w:val="Übersicht"/>
        <w:ind w:left="1361"/>
      </w:pPr>
      <w:hyperlink w:anchor="b1408" w:history="1">
        <w:r>
          <w:rPr>
            <w:color w:val="0A3A8C"/>
            <w:u w:val="single"/>
          </w:rPr>
          <w:t xml:space="preserve">§ 941 Unterbrechung durch Vollstreckungshandlung</w:t>
        </w:r>
      </w:hyperlink>
    </w:p>
    <w:p>
      <w:pPr>
        <w:pStyle w:val="Übersicht"/>
        <w:ind w:left="1361"/>
      </w:pPr>
      <w:hyperlink w:anchor="b1409" w:history="1">
        <w:r>
          <w:rPr>
            <w:color w:val="0A3A8C"/>
            <w:u w:val="single"/>
          </w:rPr>
          <w:t xml:space="preserve">§ 942 Wirkung der Unterbrechung</w:t>
        </w:r>
      </w:hyperlink>
    </w:p>
    <w:p>
      <w:pPr>
        <w:pStyle w:val="Übersicht"/>
        <w:ind w:left="1361"/>
      </w:pPr>
      <w:hyperlink w:anchor="b1410" w:history="1">
        <w:r>
          <w:rPr>
            <w:color w:val="0A3A8C"/>
            <w:u w:val="single"/>
          </w:rPr>
          <w:t xml:space="preserve">§ 943 Ersitzung bei Rechtsnachfolge</w:t>
        </w:r>
      </w:hyperlink>
    </w:p>
    <w:p>
      <w:pPr>
        <w:pStyle w:val="Übersicht"/>
        <w:ind w:left="1361"/>
      </w:pPr>
      <w:hyperlink w:anchor="b1411" w:history="1">
        <w:r>
          <w:rPr>
            <w:color w:val="0A3A8C"/>
            <w:u w:val="single"/>
          </w:rPr>
          <w:t xml:space="preserve">§ 944 Erbschaftsbesitzer</w:t>
        </w:r>
      </w:hyperlink>
    </w:p>
    <w:p>
      <w:pPr>
        <w:pStyle w:val="Übersicht"/>
        <w:ind w:left="1361"/>
      </w:pPr>
      <w:hyperlink w:anchor="b1412" w:history="1">
        <w:r>
          <w:rPr>
            <w:color w:val="0A3A8C"/>
            <w:u w:val="single"/>
          </w:rPr>
          <w:t xml:space="preserve">§ 945 Erlöschen von Rechten Dritter</w:t>
        </w:r>
      </w:hyperlink>
    </w:p>
    <w:p>
      <w:pPr>
        <w:pStyle w:val="Übersicht"/>
        <w:ind w:left="1020"/>
      </w:pPr>
      <w:hyperlink w:anchor="b1413" w:history="1">
        <w:r>
          <w:rPr>
            <w:b/>
            <w:color w:val="0A3A8C"/>
            <w:u w:val="single"/>
          </w:rPr>
          <w:t xml:space="preserve">Untertitel 3 Verbindung, Vermischung, Verarbeitung</w:t>
        </w:r>
      </w:hyperlink>
    </w:p>
    <w:p>
      <w:pPr>
        <w:pStyle w:val="Übersicht"/>
        <w:ind w:left="1361"/>
      </w:pPr>
      <w:hyperlink w:anchor="b1414" w:history="1">
        <w:r>
          <w:rPr>
            <w:color w:val="0A3A8C"/>
            <w:u w:val="single"/>
          </w:rPr>
          <w:t xml:space="preserve">§ 946 Verbindung mit einem Grundstück</w:t>
        </w:r>
      </w:hyperlink>
    </w:p>
    <w:p>
      <w:pPr>
        <w:pStyle w:val="Übersicht"/>
        <w:ind w:left="1361"/>
      </w:pPr>
      <w:hyperlink w:anchor="b1415" w:history="1">
        <w:r>
          <w:rPr>
            <w:color w:val="0A3A8C"/>
            <w:u w:val="single"/>
          </w:rPr>
          <w:t xml:space="preserve">§ 947 Verbindung mit beweglichen Sachen</w:t>
        </w:r>
      </w:hyperlink>
    </w:p>
    <w:p>
      <w:pPr>
        <w:pStyle w:val="Übersicht"/>
        <w:ind w:left="1361"/>
      </w:pPr>
      <w:hyperlink w:anchor="b1416" w:history="1">
        <w:r>
          <w:rPr>
            <w:color w:val="0A3A8C"/>
            <w:u w:val="single"/>
          </w:rPr>
          <w:t xml:space="preserve">§ 948 Vermischung</w:t>
        </w:r>
      </w:hyperlink>
    </w:p>
    <w:p>
      <w:pPr>
        <w:pStyle w:val="Übersicht"/>
        <w:ind w:left="1361"/>
      </w:pPr>
      <w:hyperlink w:anchor="b1417" w:history="1">
        <w:r>
          <w:rPr>
            <w:color w:val="0A3A8C"/>
            <w:u w:val="single"/>
          </w:rPr>
          <w:t xml:space="preserve">§ 949 Erlöschen von Rechten Dritter</w:t>
        </w:r>
      </w:hyperlink>
    </w:p>
    <w:p>
      <w:pPr>
        <w:pStyle w:val="Übersicht"/>
        <w:ind w:left="1361"/>
      </w:pPr>
      <w:hyperlink w:anchor="b1418" w:history="1">
        <w:r>
          <w:rPr>
            <w:color w:val="0A3A8C"/>
            <w:u w:val="single"/>
          </w:rPr>
          <w:t xml:space="preserve">§ 950 Verarbeitung</w:t>
        </w:r>
      </w:hyperlink>
    </w:p>
    <w:p>
      <w:pPr>
        <w:pStyle w:val="Übersicht"/>
        <w:ind w:left="1361"/>
      </w:pPr>
      <w:hyperlink w:anchor="b1419" w:history="1">
        <w:r>
          <w:rPr>
            <w:color w:val="0A3A8C"/>
            <w:u w:val="single"/>
          </w:rPr>
          <w:t xml:space="preserve">§ 951 Entschädigung für Rechtsverlust</w:t>
        </w:r>
      </w:hyperlink>
    </w:p>
    <w:p>
      <w:pPr>
        <w:pStyle w:val="Übersicht"/>
        <w:ind w:left="1361"/>
      </w:pPr>
      <w:hyperlink w:anchor="b1420" w:history="1">
        <w:r>
          <w:rPr>
            <w:color w:val="0A3A8C"/>
            <w:u w:val="single"/>
          </w:rPr>
          <w:t xml:space="preserve">§ 952 Eigentum an Schuldurkunden</w:t>
        </w:r>
      </w:hyperlink>
    </w:p>
    <w:p>
      <w:pPr>
        <w:pStyle w:val="Übersicht"/>
        <w:ind w:left="1020"/>
      </w:pPr>
      <w:hyperlink w:anchor="b1421" w:history="1">
        <w:r>
          <w:rPr>
            <w:b/>
            <w:color w:val="0A3A8C"/>
            <w:u w:val="single"/>
          </w:rPr>
          <w:t xml:space="preserve">Untertitel 4 Erwerb von Erzeugnissen und sonstigen
Bestandteilen einer Sache</w:t>
        </w:r>
      </w:hyperlink>
    </w:p>
    <w:p>
      <w:pPr>
        <w:pStyle w:val="Übersicht"/>
        <w:ind w:left="1361"/>
      </w:pPr>
      <w:hyperlink w:anchor="b1422" w:history="1">
        <w:r>
          <w:rPr>
            <w:color w:val="0A3A8C"/>
            <w:u w:val="single"/>
          </w:rPr>
          <w:t xml:space="preserve">§ 953 Eigentum an getrennten Erzeugnissen und Bestandteilen</w:t>
        </w:r>
      </w:hyperlink>
    </w:p>
    <w:p>
      <w:pPr>
        <w:pStyle w:val="Übersicht"/>
        <w:ind w:left="1361"/>
      </w:pPr>
      <w:hyperlink w:anchor="b1423" w:history="1">
        <w:r>
          <w:rPr>
            <w:color w:val="0A3A8C"/>
            <w:u w:val="single"/>
          </w:rPr>
          <w:t xml:space="preserve">§ 954 Erwerb durch dinglich Berechtigten</w:t>
        </w:r>
      </w:hyperlink>
    </w:p>
    <w:p>
      <w:pPr>
        <w:pStyle w:val="Übersicht"/>
        <w:ind w:left="1361"/>
      </w:pPr>
      <w:hyperlink w:anchor="b1424" w:history="1">
        <w:r>
          <w:rPr>
            <w:color w:val="0A3A8C"/>
            <w:u w:val="single"/>
          </w:rPr>
          <w:t xml:space="preserve">§ 955 Erwerb durch gutgläubigen Eigenbesitzer</w:t>
        </w:r>
      </w:hyperlink>
    </w:p>
    <w:p>
      <w:pPr>
        <w:pStyle w:val="Übersicht"/>
        <w:ind w:left="1361"/>
      </w:pPr>
      <w:hyperlink w:anchor="b1425" w:history="1">
        <w:r>
          <w:rPr>
            <w:color w:val="0A3A8C"/>
            <w:u w:val="single"/>
          </w:rPr>
          <w:t xml:space="preserve">§ 956 Erwerb durch persönlich Berechtigten</w:t>
        </w:r>
      </w:hyperlink>
    </w:p>
    <w:p>
      <w:pPr>
        <w:pStyle w:val="Übersicht"/>
        <w:ind w:left="1361"/>
      </w:pPr>
      <w:hyperlink w:anchor="b1426" w:history="1">
        <w:r>
          <w:rPr>
            <w:color w:val="0A3A8C"/>
            <w:u w:val="single"/>
          </w:rPr>
          <w:t xml:space="preserve">§ 957 Gestattung durch den Nichtberechtigten</w:t>
        </w:r>
      </w:hyperlink>
    </w:p>
    <w:p>
      <w:pPr>
        <w:pStyle w:val="Übersicht"/>
        <w:ind w:left="1020"/>
      </w:pPr>
      <w:hyperlink w:anchor="b1427" w:history="1">
        <w:r>
          <w:rPr>
            <w:b/>
            <w:color w:val="0A3A8C"/>
            <w:u w:val="single"/>
          </w:rPr>
          <w:t xml:space="preserve">Untertitel 5 Aneignung</w:t>
        </w:r>
      </w:hyperlink>
    </w:p>
    <w:p>
      <w:pPr>
        <w:pStyle w:val="Übersicht"/>
        <w:ind w:left="1361"/>
      </w:pPr>
      <w:hyperlink w:anchor="b1428" w:history="1">
        <w:r>
          <w:rPr>
            <w:color w:val="0A3A8C"/>
            <w:u w:val="single"/>
          </w:rPr>
          <w:t xml:space="preserve">§ 958 Eigentumserwerb an beweglichen herrenlosen Sachen</w:t>
        </w:r>
      </w:hyperlink>
    </w:p>
    <w:p>
      <w:pPr>
        <w:pStyle w:val="Übersicht"/>
        <w:ind w:left="1361"/>
      </w:pPr>
      <w:hyperlink w:anchor="b1429" w:history="1">
        <w:r>
          <w:rPr>
            <w:color w:val="0A3A8C"/>
            <w:u w:val="single"/>
          </w:rPr>
          <w:t xml:space="preserve">§ 959 Aufgabe des Eigentums</w:t>
        </w:r>
      </w:hyperlink>
    </w:p>
    <w:p>
      <w:pPr>
        <w:pStyle w:val="Übersicht"/>
        <w:ind w:left="1361"/>
      </w:pPr>
      <w:hyperlink w:anchor="b1430" w:history="1">
        <w:r>
          <w:rPr>
            <w:color w:val="0A3A8C"/>
            <w:u w:val="single"/>
          </w:rPr>
          <w:t xml:space="preserve">§ 960 Wilde Tiere</w:t>
        </w:r>
      </w:hyperlink>
    </w:p>
    <w:p>
      <w:pPr>
        <w:pStyle w:val="Übersicht"/>
        <w:ind w:left="1361"/>
      </w:pPr>
      <w:hyperlink w:anchor="b1431" w:history="1">
        <w:r>
          <w:rPr>
            <w:color w:val="0A3A8C"/>
            <w:u w:val="single"/>
          </w:rPr>
          <w:t xml:space="preserve">§ 961 Eigentumsverlust bei Bienenschwärmen</w:t>
        </w:r>
      </w:hyperlink>
    </w:p>
    <w:p>
      <w:pPr>
        <w:pStyle w:val="Übersicht"/>
        <w:ind w:left="1361"/>
      </w:pPr>
      <w:hyperlink w:anchor="b1432" w:history="1">
        <w:r>
          <w:rPr>
            <w:color w:val="0A3A8C"/>
            <w:u w:val="single"/>
          </w:rPr>
          <w:t xml:space="preserve">§ 962 Verfolgungsrecht des Eigentümers</w:t>
        </w:r>
      </w:hyperlink>
    </w:p>
    <w:p>
      <w:pPr>
        <w:pStyle w:val="Übersicht"/>
        <w:ind w:left="1361"/>
      </w:pPr>
      <w:hyperlink w:anchor="b1433" w:history="1">
        <w:r>
          <w:rPr>
            <w:color w:val="0A3A8C"/>
            <w:u w:val="single"/>
          </w:rPr>
          <w:t xml:space="preserve">§ 963 Vereinigung von Bienenschwärmen</w:t>
        </w:r>
      </w:hyperlink>
    </w:p>
    <w:p>
      <w:pPr>
        <w:pStyle w:val="Übersicht"/>
        <w:ind w:left="1361"/>
      </w:pPr>
      <w:hyperlink w:anchor="b1434" w:history="1">
        <w:r>
          <w:rPr>
            <w:color w:val="0A3A8C"/>
            <w:u w:val="single"/>
          </w:rPr>
          <w:t xml:space="preserve">§ 964 Vermischung von Bienenschwärmen</w:t>
        </w:r>
      </w:hyperlink>
    </w:p>
    <w:p>
      <w:pPr>
        <w:pStyle w:val="Übersicht"/>
        <w:ind w:left="1020"/>
      </w:pPr>
      <w:hyperlink w:anchor="b1435" w:history="1">
        <w:r>
          <w:rPr>
            <w:b/>
            <w:color w:val="0A3A8C"/>
            <w:u w:val="single"/>
          </w:rPr>
          <w:t xml:space="preserve">Untertitel 6 Fund</w:t>
        </w:r>
      </w:hyperlink>
    </w:p>
    <w:p>
      <w:pPr>
        <w:pStyle w:val="Übersicht"/>
        <w:ind w:left="1361"/>
      </w:pPr>
      <w:hyperlink w:anchor="b1436" w:history="1">
        <w:r>
          <w:rPr>
            <w:color w:val="0A3A8C"/>
            <w:u w:val="single"/>
          </w:rPr>
          <w:t xml:space="preserve">§ 965 Anzeigepflicht des Finders</w:t>
        </w:r>
      </w:hyperlink>
    </w:p>
    <w:p>
      <w:pPr>
        <w:pStyle w:val="Übersicht"/>
        <w:ind w:left="1361"/>
      </w:pPr>
      <w:hyperlink w:anchor="b1437" w:history="1">
        <w:r>
          <w:rPr>
            <w:color w:val="0A3A8C"/>
            <w:u w:val="single"/>
          </w:rPr>
          <w:t xml:space="preserve">§ 966 Verwahrungspflicht</w:t>
        </w:r>
      </w:hyperlink>
    </w:p>
    <w:p>
      <w:pPr>
        <w:pStyle w:val="Übersicht"/>
        <w:ind w:left="1361"/>
      </w:pPr>
      <w:hyperlink w:anchor="b1438" w:history="1">
        <w:r>
          <w:rPr>
            <w:color w:val="0A3A8C"/>
            <w:u w:val="single"/>
          </w:rPr>
          <w:t xml:space="preserve">§ 967 Ablieferungspflicht</w:t>
        </w:r>
      </w:hyperlink>
    </w:p>
    <w:p>
      <w:pPr>
        <w:pStyle w:val="Übersicht"/>
        <w:ind w:left="1361"/>
      </w:pPr>
      <w:hyperlink w:anchor="b1439" w:history="1">
        <w:r>
          <w:rPr>
            <w:color w:val="0A3A8C"/>
            <w:u w:val="single"/>
          </w:rPr>
          <w:t xml:space="preserve">§ 968 Umfang der Haftung</w:t>
        </w:r>
      </w:hyperlink>
    </w:p>
    <w:p>
      <w:pPr>
        <w:pStyle w:val="Übersicht"/>
        <w:ind w:left="1361"/>
      </w:pPr>
      <w:hyperlink w:anchor="b1440" w:history="1">
        <w:r>
          <w:rPr>
            <w:color w:val="0A3A8C"/>
            <w:u w:val="single"/>
          </w:rPr>
          <w:t xml:space="preserve">§ 969 Herausgabe an den Verlierer</w:t>
        </w:r>
      </w:hyperlink>
    </w:p>
    <w:p>
      <w:pPr>
        <w:pStyle w:val="Übersicht"/>
        <w:ind w:left="1361"/>
      </w:pPr>
      <w:hyperlink w:anchor="b1441" w:history="1">
        <w:r>
          <w:rPr>
            <w:color w:val="0A3A8C"/>
            <w:u w:val="single"/>
          </w:rPr>
          <w:t xml:space="preserve">§ 970 Ersatz von Aufwendungen</w:t>
        </w:r>
      </w:hyperlink>
    </w:p>
    <w:p>
      <w:pPr>
        <w:pStyle w:val="Übersicht"/>
        <w:ind w:left="1361"/>
      </w:pPr>
      <w:hyperlink w:anchor="b1442" w:history="1">
        <w:r>
          <w:rPr>
            <w:color w:val="0A3A8C"/>
            <w:u w:val="single"/>
          </w:rPr>
          <w:t xml:space="preserve">§ 971 Finderlohn</w:t>
        </w:r>
      </w:hyperlink>
    </w:p>
    <w:p>
      <w:pPr>
        <w:pStyle w:val="Übersicht"/>
        <w:ind w:left="1361"/>
      </w:pPr>
      <w:hyperlink w:anchor="b1443" w:history="1">
        <w:r>
          <w:rPr>
            <w:color w:val="0A3A8C"/>
            <w:u w:val="single"/>
          </w:rPr>
          <w:t xml:space="preserve">§ 972 Zurückbehaltungsrecht des Finders</w:t>
        </w:r>
      </w:hyperlink>
    </w:p>
    <w:p>
      <w:pPr>
        <w:pStyle w:val="Übersicht"/>
        <w:ind w:left="1361"/>
      </w:pPr>
      <w:hyperlink w:anchor="b1444" w:history="1">
        <w:r>
          <w:rPr>
            <w:color w:val="0A3A8C"/>
            <w:u w:val="single"/>
          </w:rPr>
          <w:t xml:space="preserve">§ 973 Eigentumserwerb des Finders</w:t>
        </w:r>
      </w:hyperlink>
    </w:p>
    <w:p>
      <w:pPr>
        <w:pStyle w:val="Übersicht"/>
        <w:ind w:left="1361"/>
      </w:pPr>
      <w:hyperlink w:anchor="b1445" w:history="1">
        <w:r>
          <w:rPr>
            <w:color w:val="0A3A8C"/>
            <w:u w:val="single"/>
          </w:rPr>
          <w:t xml:space="preserve">§ 974 Eigentumserwerb nach Verschweigung</w:t>
        </w:r>
      </w:hyperlink>
    </w:p>
    <w:p>
      <w:pPr>
        <w:pStyle w:val="Übersicht"/>
        <w:ind w:left="1361"/>
      </w:pPr>
      <w:hyperlink w:anchor="b1446" w:history="1">
        <w:r>
          <w:rPr>
            <w:color w:val="0A3A8C"/>
            <w:u w:val="single"/>
          </w:rPr>
          <w:t xml:space="preserve">§ 975 Rechte des Finders nach Ablieferung</w:t>
        </w:r>
      </w:hyperlink>
    </w:p>
    <w:p>
      <w:pPr>
        <w:pStyle w:val="Übersicht"/>
        <w:ind w:left="1361"/>
      </w:pPr>
      <w:hyperlink w:anchor="b1447" w:history="1">
        <w:r>
          <w:rPr>
            <w:color w:val="0A3A8C"/>
            <w:u w:val="single"/>
          </w:rPr>
          <w:t xml:space="preserve">§ 976 Eigentumserwerb der Gemeinde</w:t>
        </w:r>
      </w:hyperlink>
    </w:p>
    <w:p>
      <w:pPr>
        <w:pStyle w:val="Übersicht"/>
        <w:ind w:left="1361"/>
      </w:pPr>
      <w:hyperlink w:anchor="b1448" w:history="1">
        <w:r>
          <w:rPr>
            <w:color w:val="0A3A8C"/>
            <w:u w:val="single"/>
          </w:rPr>
          <w:t xml:space="preserve">§ 977 Bereicherungsanspruch</w:t>
        </w:r>
      </w:hyperlink>
    </w:p>
    <w:p>
      <w:pPr>
        <w:pStyle w:val="Übersicht"/>
        <w:ind w:left="1361"/>
      </w:pPr>
      <w:hyperlink w:anchor="b1449" w:history="1">
        <w:r>
          <w:rPr>
            <w:color w:val="0A3A8C"/>
            <w:u w:val="single"/>
          </w:rPr>
          <w:t xml:space="preserve">§ 978 Fund in öffentlicher Behörde oder Verkehrsanstalt</w:t>
        </w:r>
      </w:hyperlink>
    </w:p>
    <w:p>
      <w:pPr>
        <w:pStyle w:val="Übersicht"/>
        <w:ind w:left="1361"/>
      </w:pPr>
      <w:hyperlink w:anchor="b1450" w:history="1">
        <w:r>
          <w:rPr>
            <w:color w:val="0A3A8C"/>
            <w:u w:val="single"/>
          </w:rPr>
          <w:t xml:space="preserve">§ 979 Verwertung; Verordnungsermächtigung</w:t>
        </w:r>
      </w:hyperlink>
    </w:p>
    <w:p>
      <w:pPr>
        <w:pStyle w:val="Übersicht"/>
        <w:ind w:left="1361"/>
      </w:pPr>
      <w:hyperlink w:anchor="b1451" w:history="1">
        <w:r>
          <w:rPr>
            <w:color w:val="0A3A8C"/>
            <w:u w:val="single"/>
          </w:rPr>
          <w:t xml:space="preserve">§ 980 Öffentliche Bekanntmachung des Fundes</w:t>
        </w:r>
      </w:hyperlink>
    </w:p>
    <w:p>
      <w:pPr>
        <w:pStyle w:val="Übersicht"/>
        <w:ind w:left="1361"/>
      </w:pPr>
      <w:hyperlink w:anchor="b1452" w:history="1">
        <w:r>
          <w:rPr>
            <w:color w:val="0A3A8C"/>
            <w:u w:val="single"/>
          </w:rPr>
          <w:t xml:space="preserve">§ 981 Empfang des Versteigerungserlöses</w:t>
        </w:r>
      </w:hyperlink>
    </w:p>
    <w:p>
      <w:pPr>
        <w:pStyle w:val="Übersicht"/>
        <w:ind w:left="1361"/>
      </w:pPr>
      <w:hyperlink w:anchor="b1453" w:history="1">
        <w:r>
          <w:rPr>
            <w:color w:val="0A3A8C"/>
            <w:u w:val="single"/>
          </w:rPr>
          <w:t xml:space="preserve">§ 982 Ausführungsvorschriften</w:t>
        </w:r>
      </w:hyperlink>
    </w:p>
    <w:p>
      <w:pPr>
        <w:pStyle w:val="Übersicht"/>
        <w:ind w:left="1361"/>
      </w:pPr>
      <w:hyperlink w:anchor="b1454" w:history="1">
        <w:r>
          <w:rPr>
            <w:color w:val="0A3A8C"/>
            <w:u w:val="single"/>
          </w:rPr>
          <w:t xml:space="preserve">§ 983 Unanbringbare Sachen bei Behörden</w:t>
        </w:r>
      </w:hyperlink>
    </w:p>
    <w:p>
      <w:pPr>
        <w:pStyle w:val="Übersicht"/>
        <w:ind w:left="1361"/>
      </w:pPr>
      <w:hyperlink w:anchor="b1455" w:history="1">
        <w:r>
          <w:rPr>
            <w:color w:val="0A3A8C"/>
            <w:u w:val="single"/>
          </w:rPr>
          <w:t xml:space="preserve">§ 984 Schatzfund</w:t>
        </w:r>
      </w:hyperlink>
    </w:p>
    <w:p>
      <w:pPr>
        <w:pStyle w:val="Übersicht"/>
        <w:ind w:left="680"/>
      </w:pPr>
      <w:hyperlink w:anchor="b1456" w:history="1">
        <w:r>
          <w:rPr>
            <w:b/>
            <w:color w:val="0A3A8C"/>
            <w:u w:val="single"/>
          </w:rPr>
          <w:t xml:space="preserve">Titel 4 Ansprüche aus dem Eigentum</w:t>
        </w:r>
      </w:hyperlink>
    </w:p>
    <w:p>
      <w:pPr>
        <w:pStyle w:val="Übersicht"/>
        <w:ind w:left="1020"/>
      </w:pPr>
      <w:hyperlink w:anchor="b1457" w:history="1">
        <w:r>
          <w:rPr>
            <w:color w:val="0A3A8C"/>
            <w:u w:val="single"/>
          </w:rPr>
          <w:t xml:space="preserve">§ 985 Herausgabeanspruch</w:t>
        </w:r>
      </w:hyperlink>
    </w:p>
    <w:p>
      <w:pPr>
        <w:pStyle w:val="Übersicht"/>
        <w:ind w:left="1020"/>
      </w:pPr>
      <w:hyperlink w:anchor="b1458" w:history="1">
        <w:r>
          <w:rPr>
            <w:color w:val="0A3A8C"/>
            <w:u w:val="single"/>
          </w:rPr>
          <w:t xml:space="preserve">§ 986 Einwendungen des Besitzers</w:t>
        </w:r>
      </w:hyperlink>
    </w:p>
    <w:p>
      <w:pPr>
        <w:pStyle w:val="Übersicht"/>
        <w:ind w:left="1020"/>
      </w:pPr>
      <w:hyperlink w:anchor="b1459" w:history="1">
        <w:r>
          <w:rPr>
            <w:color w:val="0A3A8C"/>
            <w:u w:val="single"/>
          </w:rPr>
          <w:t xml:space="preserve">§ 987 Nutzungen nach Rechtshängigkeit</w:t>
        </w:r>
      </w:hyperlink>
    </w:p>
    <w:p>
      <w:pPr>
        <w:pStyle w:val="Übersicht"/>
        <w:ind w:left="1020"/>
      </w:pPr>
      <w:hyperlink w:anchor="b1460" w:history="1">
        <w:r>
          <w:rPr>
            <w:color w:val="0A3A8C"/>
            <w:u w:val="single"/>
          </w:rPr>
          <w:t xml:space="preserve">§ 988 Nutzungen des unentgeltlichen Besitzers</w:t>
        </w:r>
      </w:hyperlink>
    </w:p>
    <w:p>
      <w:pPr>
        <w:pStyle w:val="Übersicht"/>
        <w:ind w:left="1020"/>
      </w:pPr>
      <w:hyperlink w:anchor="b1461" w:history="1">
        <w:r>
          <w:rPr>
            <w:color w:val="0A3A8C"/>
            <w:u w:val="single"/>
          </w:rPr>
          <w:t xml:space="preserve">§ 989 Schadensersatz nach Rechtshängigkeit</w:t>
        </w:r>
      </w:hyperlink>
    </w:p>
    <w:p>
      <w:pPr>
        <w:pStyle w:val="Übersicht"/>
        <w:ind w:left="1020"/>
      </w:pPr>
      <w:hyperlink w:anchor="b1462" w:history="1">
        <w:r>
          <w:rPr>
            <w:color w:val="0A3A8C"/>
            <w:u w:val="single"/>
          </w:rPr>
          <w:t xml:space="preserve">§ 990 Haftung des Besitzers bei Kenntnis</w:t>
        </w:r>
      </w:hyperlink>
    </w:p>
    <w:p>
      <w:pPr>
        <w:pStyle w:val="Übersicht"/>
        <w:ind w:left="1020"/>
      </w:pPr>
      <w:hyperlink w:anchor="b1463" w:history="1">
        <w:r>
          <w:rPr>
            <w:color w:val="0A3A8C"/>
            <w:u w:val="single"/>
          </w:rPr>
          <w:t xml:space="preserve">§ 991 Haftung des Besitzmittlers</w:t>
        </w:r>
      </w:hyperlink>
    </w:p>
    <w:p>
      <w:pPr>
        <w:pStyle w:val="Übersicht"/>
        <w:ind w:left="1020"/>
      </w:pPr>
      <w:hyperlink w:anchor="b1464" w:history="1">
        <w:r>
          <w:rPr>
            <w:color w:val="0A3A8C"/>
            <w:u w:val="single"/>
          </w:rPr>
          <w:t xml:space="preserve">§ 992 Haftung des deliktischen Besitzers</w:t>
        </w:r>
      </w:hyperlink>
    </w:p>
    <w:p>
      <w:pPr>
        <w:pStyle w:val="Übersicht"/>
        <w:ind w:left="1020"/>
      </w:pPr>
      <w:hyperlink w:anchor="b1465" w:history="1">
        <w:r>
          <w:rPr>
            <w:color w:val="0A3A8C"/>
            <w:u w:val="single"/>
          </w:rPr>
          <w:t xml:space="preserve">§ 993 Haftung des redlichen Besitzers</w:t>
        </w:r>
      </w:hyperlink>
    </w:p>
    <w:p>
      <w:pPr>
        <w:pStyle w:val="Übersicht"/>
        <w:ind w:left="1020"/>
      </w:pPr>
      <w:hyperlink w:anchor="b1466" w:history="1">
        <w:r>
          <w:rPr>
            <w:color w:val="0A3A8C"/>
            <w:u w:val="single"/>
          </w:rPr>
          <w:t xml:space="preserve">§ 994 Notwendige Verwendungen</w:t>
        </w:r>
      </w:hyperlink>
    </w:p>
    <w:p>
      <w:pPr>
        <w:pStyle w:val="Übersicht"/>
        <w:ind w:left="1020"/>
      </w:pPr>
      <w:hyperlink w:anchor="b1467" w:history="1">
        <w:r>
          <w:rPr>
            <w:color w:val="0A3A8C"/>
            <w:u w:val="single"/>
          </w:rPr>
          <w:t xml:space="preserve">§ 995 Lasten</w:t>
        </w:r>
      </w:hyperlink>
    </w:p>
    <w:p>
      <w:pPr>
        <w:pStyle w:val="Übersicht"/>
        <w:ind w:left="1020"/>
      </w:pPr>
      <w:hyperlink w:anchor="b1468" w:history="1">
        <w:r>
          <w:rPr>
            <w:color w:val="0A3A8C"/>
            <w:u w:val="single"/>
          </w:rPr>
          <w:t xml:space="preserve">§ 996 Nützliche Verwendungen</w:t>
        </w:r>
      </w:hyperlink>
    </w:p>
    <w:p>
      <w:pPr>
        <w:pStyle w:val="Übersicht"/>
        <w:ind w:left="1020"/>
      </w:pPr>
      <w:hyperlink w:anchor="b1469" w:history="1">
        <w:r>
          <w:rPr>
            <w:color w:val="0A3A8C"/>
            <w:u w:val="single"/>
          </w:rPr>
          <w:t xml:space="preserve">§ 997 Wegnahmerecht</w:t>
        </w:r>
      </w:hyperlink>
    </w:p>
    <w:p>
      <w:pPr>
        <w:pStyle w:val="Übersicht"/>
        <w:ind w:left="1020"/>
      </w:pPr>
      <w:hyperlink w:anchor="b1470" w:history="1">
        <w:r>
          <w:rPr>
            <w:color w:val="0A3A8C"/>
            <w:u w:val="single"/>
          </w:rPr>
          <w:t xml:space="preserve">§ 998 Bestellungskosten bei landwirtschaftlichem Grundstück</w:t>
        </w:r>
      </w:hyperlink>
    </w:p>
    <w:p>
      <w:pPr>
        <w:pStyle w:val="Übersicht"/>
        <w:ind w:left="1020"/>
      </w:pPr>
      <w:hyperlink w:anchor="b1471" w:history="1">
        <w:r>
          <w:rPr>
            <w:color w:val="0A3A8C"/>
            <w:u w:val="single"/>
          </w:rPr>
          <w:t xml:space="preserve">§ 999 Ersatz von Verwendungen des Rechtsvorgängers</w:t>
        </w:r>
      </w:hyperlink>
    </w:p>
    <w:p>
      <w:pPr>
        <w:pStyle w:val="Übersicht"/>
        <w:ind w:left="1020"/>
      </w:pPr>
      <w:hyperlink w:anchor="b1472" w:history="1">
        <w:r>
          <w:rPr>
            <w:color w:val="0A3A8C"/>
            <w:u w:val="single"/>
          </w:rPr>
          <w:t xml:space="preserve">§ 1000 Zurückbehaltungsrecht des Besitzers</w:t>
        </w:r>
      </w:hyperlink>
    </w:p>
    <w:p>
      <w:pPr>
        <w:pStyle w:val="Übersicht"/>
        <w:ind w:left="1020"/>
      </w:pPr>
      <w:hyperlink w:anchor="b1473" w:history="1">
        <w:r>
          <w:rPr>
            <w:color w:val="0A3A8C"/>
            <w:u w:val="single"/>
          </w:rPr>
          <w:t xml:space="preserve">§ 1001 Klage auf Verwendungsersatz</w:t>
        </w:r>
      </w:hyperlink>
    </w:p>
    <w:p>
      <w:pPr>
        <w:pStyle w:val="Übersicht"/>
        <w:ind w:left="1020"/>
      </w:pPr>
      <w:hyperlink w:anchor="b1474" w:history="1">
        <w:r>
          <w:rPr>
            <w:color w:val="0A3A8C"/>
            <w:u w:val="single"/>
          </w:rPr>
          <w:t xml:space="preserve">§ 1002 Erlöschen des Verwendungsanspruchs</w:t>
        </w:r>
      </w:hyperlink>
    </w:p>
    <w:p>
      <w:pPr>
        <w:pStyle w:val="Übersicht"/>
        <w:ind w:left="1020"/>
      </w:pPr>
      <w:hyperlink w:anchor="b1475" w:history="1">
        <w:r>
          <w:rPr>
            <w:color w:val="0A3A8C"/>
            <w:u w:val="single"/>
          </w:rPr>
          <w:t xml:space="preserve">§ 1003 Befriedigungsrecht des Besitzers</w:t>
        </w:r>
      </w:hyperlink>
    </w:p>
    <w:p>
      <w:pPr>
        <w:pStyle w:val="Übersicht"/>
        <w:ind w:left="1020"/>
      </w:pPr>
      <w:hyperlink w:anchor="b1476" w:history="1">
        <w:r>
          <w:rPr>
            <w:color w:val="0A3A8C"/>
            <w:u w:val="single"/>
          </w:rPr>
          <w:t xml:space="preserve">§ 1004 Beseitigungs- und Unterlassungsanspruch</w:t>
        </w:r>
      </w:hyperlink>
    </w:p>
    <w:p>
      <w:pPr>
        <w:pStyle w:val="Übersicht"/>
        <w:ind w:left="1020"/>
      </w:pPr>
      <w:hyperlink w:anchor="b1477" w:history="1">
        <w:r>
          <w:rPr>
            <w:color w:val="0A3A8C"/>
            <w:u w:val="single"/>
          </w:rPr>
          <w:t xml:space="preserve">§ 1005 Verfolgungsrecht</w:t>
        </w:r>
      </w:hyperlink>
    </w:p>
    <w:p>
      <w:pPr>
        <w:pStyle w:val="Übersicht"/>
        <w:ind w:left="1020"/>
      </w:pPr>
      <w:hyperlink w:anchor="b1478" w:history="1">
        <w:r>
          <w:rPr>
            <w:color w:val="0A3A8C"/>
            <w:u w:val="single"/>
          </w:rPr>
          <w:t xml:space="preserve">§ 1006 Eigentumsvermutung für Besitzer</w:t>
        </w:r>
      </w:hyperlink>
    </w:p>
    <w:p>
      <w:pPr>
        <w:pStyle w:val="Übersicht"/>
        <w:ind w:left="1020"/>
      </w:pPr>
      <w:hyperlink w:anchor="b1479" w:history="1">
        <w:r>
          <w:rPr>
            <w:color w:val="0A3A8C"/>
            <w:u w:val="single"/>
          </w:rPr>
          <w:t xml:space="preserve">§ 1007 Ansprüche des früheren Besitzers, Ausschluss bei Kenntnis</w:t>
        </w:r>
      </w:hyperlink>
    </w:p>
    <w:p>
      <w:pPr>
        <w:pStyle w:val="Übersicht"/>
        <w:ind w:left="680"/>
      </w:pPr>
      <w:hyperlink w:anchor="b1480" w:history="1">
        <w:r>
          <w:rPr>
            <w:b/>
            <w:color w:val="0A3A8C"/>
            <w:u w:val="single"/>
          </w:rPr>
          <w:t xml:space="preserve">Titel 5 Miteigentum</w:t>
        </w:r>
      </w:hyperlink>
    </w:p>
    <w:p>
      <w:pPr>
        <w:pStyle w:val="Übersicht"/>
        <w:ind w:left="1020"/>
      </w:pPr>
      <w:hyperlink w:anchor="b1481" w:history="1">
        <w:r>
          <w:rPr>
            <w:color w:val="0A3A8C"/>
            <w:u w:val="single"/>
          </w:rPr>
          <w:t xml:space="preserve">§ 1008 Miteigentum nach Bruchteilen</w:t>
        </w:r>
      </w:hyperlink>
    </w:p>
    <w:p>
      <w:pPr>
        <w:pStyle w:val="Übersicht"/>
        <w:ind w:left="1020"/>
      </w:pPr>
      <w:hyperlink w:anchor="b1482" w:history="1">
        <w:r>
          <w:rPr>
            <w:color w:val="0A3A8C"/>
            <w:u w:val="single"/>
          </w:rPr>
          <w:t xml:space="preserve">§ 1009 Belastung zugunsten eines Miteigentümers</w:t>
        </w:r>
      </w:hyperlink>
    </w:p>
    <w:p>
      <w:pPr>
        <w:pStyle w:val="Übersicht"/>
        <w:ind w:left="1020"/>
      </w:pPr>
      <w:hyperlink w:anchor="b1483" w:history="1">
        <w:r>
          <w:rPr>
            <w:color w:val="0A3A8C"/>
            <w:u w:val="single"/>
          </w:rPr>
          <w:t xml:space="preserve">§ 1010 Sondernachfolger eines Miteigentümers</w:t>
        </w:r>
      </w:hyperlink>
    </w:p>
    <w:p>
      <w:pPr>
        <w:pStyle w:val="Übersicht"/>
        <w:ind w:left="1020"/>
      </w:pPr>
      <w:hyperlink w:anchor="b1484" w:history="1">
        <w:r>
          <w:rPr>
            <w:color w:val="0A3A8C"/>
            <w:u w:val="single"/>
          </w:rPr>
          <w:t xml:space="preserve">§ 1011 Ansprüche aus dem Miteigentum</w:t>
        </w:r>
      </w:hyperlink>
    </w:p>
    <w:p>
      <w:pPr>
        <w:pStyle w:val="Übersicht"/>
        <w:ind w:left="1020"/>
      </w:pPr>
      <w:hyperlink w:anchor="b1485" w:history="1">
        <w:r>
          <w:rPr>
            <w:color w:val="0A3A8C"/>
            <w:u w:val="single"/>
          </w:rPr>
          <w:t xml:space="preserve">§§ 1012 bis 1017 (weggefallen)</w:t>
        </w:r>
      </w:hyperlink>
    </w:p>
    <w:p>
      <w:pPr>
        <w:pStyle w:val="Übersicht"/>
        <w:ind w:left="340"/>
      </w:pPr>
      <w:hyperlink w:anchor="b1486" w:history="1">
        <w:r>
          <w:rPr>
            <w:b/>
            <w:color w:val="0A3A8C"/>
            <w:u w:val="single"/>
          </w:rPr>
          <w:t xml:space="preserve">Abschnitt 4 Dienstbarkeiten</w:t>
        </w:r>
      </w:hyperlink>
    </w:p>
    <w:p>
      <w:pPr>
        <w:pStyle w:val="Übersicht"/>
        <w:ind w:left="680"/>
      </w:pPr>
      <w:hyperlink w:anchor="b1487" w:history="1">
        <w:r>
          <w:rPr>
            <w:b/>
            <w:color w:val="0A3A8C"/>
            <w:u w:val="single"/>
          </w:rPr>
          <w:t xml:space="preserve">Titel 1 Grunddienstbarkeiten</w:t>
        </w:r>
      </w:hyperlink>
    </w:p>
    <w:p>
      <w:pPr>
        <w:pStyle w:val="Übersicht"/>
        <w:ind w:left="1020"/>
      </w:pPr>
      <w:hyperlink w:anchor="b1488" w:history="1">
        <w:r>
          <w:rPr>
            <w:color w:val="0A3A8C"/>
            <w:u w:val="single"/>
          </w:rPr>
          <w:t xml:space="preserve">§ 1018 Gesetzlicher Inhalt der Grunddienstbarkeit</w:t>
        </w:r>
      </w:hyperlink>
    </w:p>
    <w:p>
      <w:pPr>
        <w:pStyle w:val="Übersicht"/>
        <w:ind w:left="1020"/>
      </w:pPr>
      <w:hyperlink w:anchor="b1489" w:history="1">
        <w:r>
          <w:rPr>
            <w:color w:val="0A3A8C"/>
            <w:u w:val="single"/>
          </w:rPr>
          <w:t xml:space="preserve">§ 1019 Vorteil des herrschenden Grundstücks</w:t>
        </w:r>
      </w:hyperlink>
    </w:p>
    <w:p>
      <w:pPr>
        <w:pStyle w:val="Übersicht"/>
        <w:ind w:left="1020"/>
      </w:pPr>
      <w:hyperlink w:anchor="b1490" w:history="1">
        <w:r>
          <w:rPr>
            <w:color w:val="0A3A8C"/>
            <w:u w:val="single"/>
          </w:rPr>
          <w:t xml:space="preserve">§ 1020 Schonende Ausübung</w:t>
        </w:r>
      </w:hyperlink>
    </w:p>
    <w:p>
      <w:pPr>
        <w:pStyle w:val="Übersicht"/>
        <w:ind w:left="1020"/>
      </w:pPr>
      <w:hyperlink w:anchor="b1491" w:history="1">
        <w:r>
          <w:rPr>
            <w:color w:val="0A3A8C"/>
            <w:u w:val="single"/>
          </w:rPr>
          <w:t xml:space="preserve">§ 1021 Vereinbarte Unterhaltungspflicht</w:t>
        </w:r>
      </w:hyperlink>
    </w:p>
    <w:p>
      <w:pPr>
        <w:pStyle w:val="Übersicht"/>
        <w:ind w:left="1020"/>
      </w:pPr>
      <w:hyperlink w:anchor="b1492" w:history="1">
        <w:r>
          <w:rPr>
            <w:color w:val="0A3A8C"/>
            <w:u w:val="single"/>
          </w:rPr>
          <w:t xml:space="preserve">§ 1022 Anlagen auf baulichen Anlagen</w:t>
        </w:r>
      </w:hyperlink>
    </w:p>
    <w:p>
      <w:pPr>
        <w:pStyle w:val="Übersicht"/>
        <w:ind w:left="1020"/>
      </w:pPr>
      <w:hyperlink w:anchor="b1493" w:history="1">
        <w:r>
          <w:rPr>
            <w:color w:val="0A3A8C"/>
            <w:u w:val="single"/>
          </w:rPr>
          <w:t xml:space="preserve">§ 1023 Verlegung der Ausübung</w:t>
        </w:r>
      </w:hyperlink>
    </w:p>
    <w:p>
      <w:pPr>
        <w:pStyle w:val="Übersicht"/>
        <w:ind w:left="1020"/>
      </w:pPr>
      <w:hyperlink w:anchor="b1494" w:history="1">
        <w:r>
          <w:rPr>
            <w:color w:val="0A3A8C"/>
            <w:u w:val="single"/>
          </w:rPr>
          <w:t xml:space="preserve">§ 1024 Zusammentreffen mehrerer Nutzungsrechte</w:t>
        </w:r>
      </w:hyperlink>
    </w:p>
    <w:p>
      <w:pPr>
        <w:pStyle w:val="Übersicht"/>
        <w:ind w:left="1020"/>
      </w:pPr>
      <w:hyperlink w:anchor="b1495" w:history="1">
        <w:r>
          <w:rPr>
            <w:color w:val="0A3A8C"/>
            <w:u w:val="single"/>
          </w:rPr>
          <w:t xml:space="preserve">§ 1025 Teilung des herrschenden Grundstücks</w:t>
        </w:r>
      </w:hyperlink>
    </w:p>
    <w:p>
      <w:pPr>
        <w:pStyle w:val="Übersicht"/>
        <w:ind w:left="1020"/>
      </w:pPr>
      <w:hyperlink w:anchor="b1496" w:history="1">
        <w:r>
          <w:rPr>
            <w:color w:val="0A3A8C"/>
            <w:u w:val="single"/>
          </w:rPr>
          <w:t xml:space="preserve">§ 1026 Teilung des dienenden Grundstücks</w:t>
        </w:r>
      </w:hyperlink>
    </w:p>
    <w:p>
      <w:pPr>
        <w:pStyle w:val="Übersicht"/>
        <w:ind w:left="1020"/>
      </w:pPr>
      <w:hyperlink w:anchor="b1497" w:history="1">
        <w:r>
          <w:rPr>
            <w:color w:val="0A3A8C"/>
            <w:u w:val="single"/>
          </w:rPr>
          <w:t xml:space="preserve">§ 1027 Beeinträchtigung der Grunddienstbarkeit</w:t>
        </w:r>
      </w:hyperlink>
    </w:p>
    <w:p>
      <w:pPr>
        <w:pStyle w:val="Übersicht"/>
        <w:ind w:left="1020"/>
      </w:pPr>
      <w:hyperlink w:anchor="b1498" w:history="1">
        <w:r>
          <w:rPr>
            <w:color w:val="0A3A8C"/>
            <w:u w:val="single"/>
          </w:rPr>
          <w:t xml:space="preserve">§ 1028 Verjährung</w:t>
        </w:r>
      </w:hyperlink>
    </w:p>
    <w:p>
      <w:pPr>
        <w:pStyle w:val="Übersicht"/>
        <w:ind w:left="1020"/>
      </w:pPr>
      <w:hyperlink w:anchor="b1499" w:history="1">
        <w:r>
          <w:rPr>
            <w:color w:val="0A3A8C"/>
            <w:u w:val="single"/>
          </w:rPr>
          <w:t xml:space="preserve">§ 1029 Besitzschutz des Rechtsbesitzers</w:t>
        </w:r>
      </w:hyperlink>
    </w:p>
    <w:p>
      <w:pPr>
        <w:pStyle w:val="Übersicht"/>
        <w:ind w:left="680"/>
      </w:pPr>
      <w:hyperlink w:anchor="b1500" w:history="1">
        <w:r>
          <w:rPr>
            <w:b/>
            <w:color w:val="0A3A8C"/>
            <w:u w:val="single"/>
          </w:rPr>
          <w:t xml:space="preserve">Titel 2 Nießbrauch</w:t>
        </w:r>
      </w:hyperlink>
    </w:p>
    <w:p>
      <w:pPr>
        <w:pStyle w:val="Übersicht"/>
        <w:ind w:left="1020"/>
      </w:pPr>
      <w:hyperlink w:anchor="b1501" w:history="1">
        <w:r>
          <w:rPr>
            <w:b/>
            <w:color w:val="0A3A8C"/>
            <w:u w:val="single"/>
          </w:rPr>
          <w:t xml:space="preserve">Untertitel 1 Nießbrauch an Sachen</w:t>
        </w:r>
      </w:hyperlink>
    </w:p>
    <w:p>
      <w:pPr>
        <w:pStyle w:val="Übersicht"/>
        <w:ind w:left="1361"/>
      </w:pPr>
      <w:hyperlink w:anchor="b1502" w:history="1">
        <w:r>
          <w:rPr>
            <w:color w:val="0A3A8C"/>
            <w:u w:val="single"/>
          </w:rPr>
          <w:t xml:space="preserve">§ 1030 Gesetzlicher Inhalt des Nießbrauchs an Sachen</w:t>
        </w:r>
      </w:hyperlink>
    </w:p>
    <w:p>
      <w:pPr>
        <w:pStyle w:val="Übersicht"/>
        <w:ind w:left="1361"/>
      </w:pPr>
      <w:hyperlink w:anchor="b1503" w:history="1">
        <w:r>
          <w:rPr>
            <w:color w:val="0A3A8C"/>
            <w:u w:val="single"/>
          </w:rPr>
          <w:t xml:space="preserve">§ 1031 Erstreckung auf Zubehör</w:t>
        </w:r>
      </w:hyperlink>
    </w:p>
    <w:p>
      <w:pPr>
        <w:pStyle w:val="Übersicht"/>
        <w:ind w:left="1361"/>
      </w:pPr>
      <w:hyperlink w:anchor="b1504" w:history="1">
        <w:r>
          <w:rPr>
            <w:color w:val="0A3A8C"/>
            <w:u w:val="single"/>
          </w:rPr>
          <w:t xml:space="preserve">§ 1032 Bestellung an beweglichen Sachen</w:t>
        </w:r>
      </w:hyperlink>
    </w:p>
    <w:p>
      <w:pPr>
        <w:pStyle w:val="Übersicht"/>
        <w:ind w:left="1361"/>
      </w:pPr>
      <w:hyperlink w:anchor="b1505" w:history="1">
        <w:r>
          <w:rPr>
            <w:color w:val="0A3A8C"/>
            <w:u w:val="single"/>
          </w:rPr>
          <w:t xml:space="preserve">§ 1033 Erwerb durch Ersitzung</w:t>
        </w:r>
      </w:hyperlink>
    </w:p>
    <w:p>
      <w:pPr>
        <w:pStyle w:val="Übersicht"/>
        <w:ind w:left="1361"/>
      </w:pPr>
      <w:hyperlink w:anchor="b1506" w:history="1">
        <w:r>
          <w:rPr>
            <w:color w:val="0A3A8C"/>
            <w:u w:val="single"/>
          </w:rPr>
          <w:t xml:space="preserve">§ 1034 Feststellung des Zustands</w:t>
        </w:r>
      </w:hyperlink>
    </w:p>
    <w:p>
      <w:pPr>
        <w:pStyle w:val="Übersicht"/>
        <w:ind w:left="1361"/>
      </w:pPr>
      <w:hyperlink w:anchor="b1507" w:history="1">
        <w:r>
          <w:rPr>
            <w:color w:val="0A3A8C"/>
            <w:u w:val="single"/>
          </w:rPr>
          <w:t xml:space="preserve">§ 1035 Nießbrauch an Inbegriff von Sachen; Verzeichnis</w:t>
        </w:r>
      </w:hyperlink>
    </w:p>
    <w:p>
      <w:pPr>
        <w:pStyle w:val="Übersicht"/>
        <w:ind w:left="1361"/>
      </w:pPr>
      <w:hyperlink w:anchor="b1508" w:history="1">
        <w:r>
          <w:rPr>
            <w:color w:val="0A3A8C"/>
            <w:u w:val="single"/>
          </w:rPr>
          <w:t xml:space="preserve">§ 1036 Besitzrecht; Ausübung des Nießbrauchs</w:t>
        </w:r>
      </w:hyperlink>
    </w:p>
    <w:p>
      <w:pPr>
        <w:pStyle w:val="Übersicht"/>
        <w:ind w:left="1361"/>
      </w:pPr>
      <w:hyperlink w:anchor="b1509" w:history="1">
        <w:r>
          <w:rPr>
            <w:color w:val="0A3A8C"/>
            <w:u w:val="single"/>
          </w:rPr>
          <w:t xml:space="preserve">§ 1037 Umgestaltung</w:t>
        </w:r>
      </w:hyperlink>
    </w:p>
    <w:p>
      <w:pPr>
        <w:pStyle w:val="Übersicht"/>
        <w:ind w:left="1361"/>
      </w:pPr>
      <w:hyperlink w:anchor="b1510" w:history="1">
        <w:r>
          <w:rPr>
            <w:color w:val="0A3A8C"/>
            <w:u w:val="single"/>
          </w:rPr>
          <w:t xml:space="preserve">§ 1038 Wirtschaftsplan für Wald und Bergwerk</w:t>
        </w:r>
      </w:hyperlink>
    </w:p>
    <w:p>
      <w:pPr>
        <w:pStyle w:val="Übersicht"/>
        <w:ind w:left="1361"/>
      </w:pPr>
      <w:hyperlink w:anchor="b1511" w:history="1">
        <w:r>
          <w:rPr>
            <w:color w:val="0A3A8C"/>
            <w:u w:val="single"/>
          </w:rPr>
          <w:t xml:space="preserve">§ 1039 Übermäßige Fruchtziehung</w:t>
        </w:r>
      </w:hyperlink>
    </w:p>
    <w:p>
      <w:pPr>
        <w:pStyle w:val="Übersicht"/>
        <w:ind w:left="1361"/>
      </w:pPr>
      <w:hyperlink w:anchor="b1512" w:history="1">
        <w:r>
          <w:rPr>
            <w:color w:val="0A3A8C"/>
            <w:u w:val="single"/>
          </w:rPr>
          <w:t xml:space="preserve">§ 1040 Schatz</w:t>
        </w:r>
      </w:hyperlink>
    </w:p>
    <w:p>
      <w:pPr>
        <w:pStyle w:val="Übersicht"/>
        <w:ind w:left="1361"/>
      </w:pPr>
      <w:hyperlink w:anchor="b1513" w:history="1">
        <w:r>
          <w:rPr>
            <w:color w:val="0A3A8C"/>
            <w:u w:val="single"/>
          </w:rPr>
          <w:t xml:space="preserve">§ 1041 Erhaltung der Sache</w:t>
        </w:r>
      </w:hyperlink>
    </w:p>
    <w:p>
      <w:pPr>
        <w:pStyle w:val="Übersicht"/>
        <w:ind w:left="1361"/>
      </w:pPr>
      <w:hyperlink w:anchor="b1514" w:history="1">
        <w:r>
          <w:rPr>
            <w:color w:val="0A3A8C"/>
            <w:u w:val="single"/>
          </w:rPr>
          <w:t xml:space="preserve">§ 1042 Anzeigepflicht des Nießbrauchers</w:t>
        </w:r>
      </w:hyperlink>
    </w:p>
    <w:p>
      <w:pPr>
        <w:pStyle w:val="Übersicht"/>
        <w:ind w:left="1361"/>
      </w:pPr>
      <w:hyperlink w:anchor="b1515" w:history="1">
        <w:r>
          <w:rPr>
            <w:color w:val="0A3A8C"/>
            <w:u w:val="single"/>
          </w:rPr>
          <w:t xml:space="preserve">§ 1043 Ausbesserung oder Erneuerung</w:t>
        </w:r>
      </w:hyperlink>
    </w:p>
    <w:p>
      <w:pPr>
        <w:pStyle w:val="Übersicht"/>
        <w:ind w:left="1361"/>
      </w:pPr>
      <w:hyperlink w:anchor="b1516" w:history="1">
        <w:r>
          <w:rPr>
            <w:color w:val="0A3A8C"/>
            <w:u w:val="single"/>
          </w:rPr>
          <w:t xml:space="preserve">§ 1044 Duldung von Ausbesserungen</w:t>
        </w:r>
      </w:hyperlink>
    </w:p>
    <w:p>
      <w:pPr>
        <w:pStyle w:val="Übersicht"/>
        <w:ind w:left="1361"/>
      </w:pPr>
      <w:hyperlink w:anchor="b1517" w:history="1">
        <w:r>
          <w:rPr>
            <w:color w:val="0A3A8C"/>
            <w:u w:val="single"/>
          </w:rPr>
          <w:t xml:space="preserve">§ 1045 Versicherungspflicht des Nießbrauchers</w:t>
        </w:r>
      </w:hyperlink>
    </w:p>
    <w:p>
      <w:pPr>
        <w:pStyle w:val="Übersicht"/>
        <w:ind w:left="1361"/>
      </w:pPr>
      <w:hyperlink w:anchor="b1518" w:history="1">
        <w:r>
          <w:rPr>
            <w:color w:val="0A3A8C"/>
            <w:u w:val="single"/>
          </w:rPr>
          <w:t xml:space="preserve">§ 1046 Nießbrauch an der Versicherungsforderung</w:t>
        </w:r>
      </w:hyperlink>
    </w:p>
    <w:p>
      <w:pPr>
        <w:pStyle w:val="Übersicht"/>
        <w:ind w:left="1361"/>
      </w:pPr>
      <w:hyperlink w:anchor="b1519" w:history="1">
        <w:r>
          <w:rPr>
            <w:color w:val="0A3A8C"/>
            <w:u w:val="single"/>
          </w:rPr>
          <w:t xml:space="preserve">§ 1047 Lastentragung</w:t>
        </w:r>
      </w:hyperlink>
    </w:p>
    <w:p>
      <w:pPr>
        <w:pStyle w:val="Übersicht"/>
        <w:ind w:left="1361"/>
      </w:pPr>
      <w:hyperlink w:anchor="b1520" w:history="1">
        <w:r>
          <w:rPr>
            <w:color w:val="0A3A8C"/>
            <w:u w:val="single"/>
          </w:rPr>
          <w:t xml:space="preserve">§ 1048 Nießbrauch an Grundstück mit Inventar</w:t>
        </w:r>
      </w:hyperlink>
    </w:p>
    <w:p>
      <w:pPr>
        <w:pStyle w:val="Übersicht"/>
        <w:ind w:left="1361"/>
      </w:pPr>
      <w:hyperlink w:anchor="b1521" w:history="1">
        <w:r>
          <w:rPr>
            <w:color w:val="0A3A8C"/>
            <w:u w:val="single"/>
          </w:rPr>
          <w:t xml:space="preserve">§ 1049 Ersatz von Verwendungen</w:t>
        </w:r>
      </w:hyperlink>
    </w:p>
    <w:p>
      <w:pPr>
        <w:pStyle w:val="Übersicht"/>
        <w:ind w:left="1361"/>
      </w:pPr>
      <w:hyperlink w:anchor="b1522" w:history="1">
        <w:r>
          <w:rPr>
            <w:color w:val="0A3A8C"/>
            <w:u w:val="single"/>
          </w:rPr>
          <w:t xml:space="preserve">§ 1050 Abnutzung</w:t>
        </w:r>
      </w:hyperlink>
    </w:p>
    <w:p>
      <w:pPr>
        <w:pStyle w:val="Übersicht"/>
        <w:ind w:left="1361"/>
      </w:pPr>
      <w:hyperlink w:anchor="b1523" w:history="1">
        <w:r>
          <w:rPr>
            <w:color w:val="0A3A8C"/>
            <w:u w:val="single"/>
          </w:rPr>
          <w:t xml:space="preserve">§ 1051 Sicherheitsleistung</w:t>
        </w:r>
      </w:hyperlink>
    </w:p>
    <w:p>
      <w:pPr>
        <w:pStyle w:val="Übersicht"/>
        <w:ind w:left="1361"/>
      </w:pPr>
      <w:hyperlink w:anchor="b1524" w:history="1">
        <w:r>
          <w:rPr>
            <w:color w:val="0A3A8C"/>
            <w:u w:val="single"/>
          </w:rPr>
          <w:t xml:space="preserve">§ 1052 Gerichtliche Verwaltung mangels Sicherheitsleistung</w:t>
        </w:r>
      </w:hyperlink>
    </w:p>
    <w:p>
      <w:pPr>
        <w:pStyle w:val="Übersicht"/>
        <w:ind w:left="1361"/>
      </w:pPr>
      <w:hyperlink w:anchor="b1525" w:history="1">
        <w:r>
          <w:rPr>
            <w:color w:val="0A3A8C"/>
            <w:u w:val="single"/>
          </w:rPr>
          <w:t xml:space="preserve">§ 1053 Unterlassungsklage bei unbefugtem Gebrauch</w:t>
        </w:r>
      </w:hyperlink>
    </w:p>
    <w:p>
      <w:pPr>
        <w:pStyle w:val="Übersicht"/>
        <w:ind w:left="1361"/>
      </w:pPr>
      <w:hyperlink w:anchor="b1526" w:history="1">
        <w:r>
          <w:rPr>
            <w:color w:val="0A3A8C"/>
            <w:u w:val="single"/>
          </w:rPr>
          <w:t xml:space="preserve">§ 1054 Gerichtliche Verwaltung wegen Pflichtverletzung</w:t>
        </w:r>
      </w:hyperlink>
    </w:p>
    <w:p>
      <w:pPr>
        <w:pStyle w:val="Übersicht"/>
        <w:ind w:left="1361"/>
      </w:pPr>
      <w:hyperlink w:anchor="b1527" w:history="1">
        <w:r>
          <w:rPr>
            <w:color w:val="0A3A8C"/>
            <w:u w:val="single"/>
          </w:rPr>
          <w:t xml:space="preserve">§ 1055 Rückgabepflicht des Nießbrauchers</w:t>
        </w:r>
      </w:hyperlink>
    </w:p>
    <w:p>
      <w:pPr>
        <w:pStyle w:val="Übersicht"/>
        <w:ind w:left="1361"/>
      </w:pPr>
      <w:hyperlink w:anchor="b1528" w:history="1">
        <w:r>
          <w:rPr>
            <w:color w:val="0A3A8C"/>
            <w:u w:val="single"/>
          </w:rPr>
          <w:t xml:space="preserve">§ 1056 Miet- und Pachtverhältnisse bei Beendigung des Nießbrauchs</w:t>
        </w:r>
      </w:hyperlink>
    </w:p>
    <w:p>
      <w:pPr>
        <w:pStyle w:val="Übersicht"/>
        <w:ind w:left="1361"/>
      </w:pPr>
      <w:hyperlink w:anchor="b1529" w:history="1">
        <w:r>
          <w:rPr>
            <w:color w:val="0A3A8C"/>
            <w:u w:val="single"/>
          </w:rPr>
          <w:t xml:space="preserve">§ 1057 Verjährung der Ersatzansprüche</w:t>
        </w:r>
      </w:hyperlink>
    </w:p>
    <w:p>
      <w:pPr>
        <w:pStyle w:val="Übersicht"/>
        <w:ind w:left="1361"/>
      </w:pPr>
      <w:hyperlink w:anchor="b1530" w:history="1">
        <w:r>
          <w:rPr>
            <w:color w:val="0A3A8C"/>
            <w:u w:val="single"/>
          </w:rPr>
          <w:t xml:space="preserve">§ 1058 Besteller als Eigentümer</w:t>
        </w:r>
      </w:hyperlink>
    </w:p>
    <w:p>
      <w:pPr>
        <w:pStyle w:val="Übersicht"/>
        <w:ind w:left="1361"/>
      </w:pPr>
      <w:hyperlink w:anchor="b1531" w:history="1">
        <w:r>
          <w:rPr>
            <w:color w:val="0A3A8C"/>
            <w:u w:val="single"/>
          </w:rPr>
          <w:t xml:space="preserve">§ 1059 Unübertragbarkeit; Überlassung der Ausübung</w:t>
        </w:r>
      </w:hyperlink>
    </w:p>
    <w:p>
      <w:pPr>
        <w:pStyle w:val="Übersicht"/>
        <w:ind w:left="1361"/>
      </w:pPr>
      <w:hyperlink w:anchor="b1532" w:history="1">
        <w:r>
          <w:rPr>
            <w:color w:val="0A3A8C"/>
            <w:u w:val="single"/>
          </w:rPr>
          <w:t xml:space="preserve">§ 1059a Übertragbarkeit bei juristischer Person oder rechtsfähiger
Personengesellschaft</w:t>
        </w:r>
      </w:hyperlink>
    </w:p>
    <w:p>
      <w:pPr>
        <w:pStyle w:val="Übersicht"/>
        <w:ind w:left="1361"/>
      </w:pPr>
      <w:hyperlink w:anchor="b1533" w:history="1">
        <w:r>
          <w:rPr>
            <w:color w:val="0A3A8C"/>
            <w:u w:val="single"/>
          </w:rPr>
          <w:t xml:space="preserve">§ 1059b Unpfändbarkeit</w:t>
        </w:r>
      </w:hyperlink>
    </w:p>
    <w:p>
      <w:pPr>
        <w:pStyle w:val="Übersicht"/>
        <w:ind w:left="1361"/>
      </w:pPr>
      <w:hyperlink w:anchor="b1534" w:history="1">
        <w:r>
          <w:rPr>
            <w:color w:val="0A3A8C"/>
            <w:u w:val="single"/>
          </w:rPr>
          <w:t xml:space="preserve">§ 1059c Übergang oder Übertragung des Nießbrauchs</w:t>
        </w:r>
      </w:hyperlink>
    </w:p>
    <w:p>
      <w:pPr>
        <w:pStyle w:val="Übersicht"/>
        <w:ind w:left="1361"/>
      </w:pPr>
      <w:hyperlink w:anchor="b1535" w:history="1">
        <w:r>
          <w:rPr>
            <w:color w:val="0A3A8C"/>
            <w:u w:val="single"/>
          </w:rPr>
          <w:t xml:space="preserve">§ 1059d Miet- und Pachtverhältnisse bei Übertragung des Nießbrauchs</w:t>
        </w:r>
      </w:hyperlink>
    </w:p>
    <w:p>
      <w:pPr>
        <w:pStyle w:val="Übersicht"/>
        <w:ind w:left="1361"/>
      </w:pPr>
      <w:hyperlink w:anchor="b1536" w:history="1">
        <w:r>
          <w:rPr>
            <w:color w:val="0A3A8C"/>
            <w:u w:val="single"/>
          </w:rPr>
          <w:t xml:space="preserve">§ 1059e Anspruch auf Einräumung des Nießbrauchs</w:t>
        </w:r>
      </w:hyperlink>
    </w:p>
    <w:p>
      <w:pPr>
        <w:pStyle w:val="Übersicht"/>
        <w:ind w:left="1361"/>
      </w:pPr>
      <w:hyperlink w:anchor="b1537" w:history="1">
        <w:r>
          <w:rPr>
            <w:color w:val="0A3A8C"/>
            <w:u w:val="single"/>
          </w:rPr>
          <w:t xml:space="preserve">§ 1060 Zusammentreffen mehrerer Nutzungsrechte</w:t>
        </w:r>
      </w:hyperlink>
    </w:p>
    <w:p>
      <w:pPr>
        <w:pStyle w:val="Übersicht"/>
        <w:ind w:left="1361"/>
      </w:pPr>
      <w:hyperlink w:anchor="b1538" w:history="1">
        <w:r>
          <w:rPr>
            <w:color w:val="0A3A8C"/>
            <w:u w:val="single"/>
          </w:rPr>
          <w:t xml:space="preserve">§ 1061 Tod des Nießbrauchers</w:t>
        </w:r>
      </w:hyperlink>
    </w:p>
    <w:p>
      <w:pPr>
        <w:pStyle w:val="Übersicht"/>
        <w:ind w:left="1361"/>
      </w:pPr>
      <w:hyperlink w:anchor="b1539" w:history="1">
        <w:r>
          <w:rPr>
            <w:color w:val="0A3A8C"/>
            <w:u w:val="single"/>
          </w:rPr>
          <w:t xml:space="preserve">§ 1062 Erstreckung der Aufhebung auf das Zubehör</w:t>
        </w:r>
      </w:hyperlink>
    </w:p>
    <w:p>
      <w:pPr>
        <w:pStyle w:val="Übersicht"/>
        <w:ind w:left="1361"/>
      </w:pPr>
      <w:hyperlink w:anchor="b1540" w:history="1">
        <w:r>
          <w:rPr>
            <w:color w:val="0A3A8C"/>
            <w:u w:val="single"/>
          </w:rPr>
          <w:t xml:space="preserve">§ 1063 Zusammentreffen mit dem Eigentum</w:t>
        </w:r>
      </w:hyperlink>
    </w:p>
    <w:p>
      <w:pPr>
        <w:pStyle w:val="Übersicht"/>
        <w:ind w:left="1361"/>
      </w:pPr>
      <w:hyperlink w:anchor="b1541" w:history="1">
        <w:r>
          <w:rPr>
            <w:color w:val="0A3A8C"/>
            <w:u w:val="single"/>
          </w:rPr>
          <w:t xml:space="preserve">§ 1064 Aufhebung des Nießbrauchs an beweglichen Sachen</w:t>
        </w:r>
      </w:hyperlink>
    </w:p>
    <w:p>
      <w:pPr>
        <w:pStyle w:val="Übersicht"/>
        <w:ind w:left="1361"/>
      </w:pPr>
      <w:hyperlink w:anchor="b1542" w:history="1">
        <w:r>
          <w:rPr>
            <w:color w:val="0A3A8C"/>
            <w:u w:val="single"/>
          </w:rPr>
          <w:t xml:space="preserve">§ 1065 Beeinträchtigung des Nießbrauchsrechts</w:t>
        </w:r>
      </w:hyperlink>
    </w:p>
    <w:p>
      <w:pPr>
        <w:pStyle w:val="Übersicht"/>
        <w:ind w:left="1361"/>
      </w:pPr>
      <w:hyperlink w:anchor="b1543" w:history="1">
        <w:r>
          <w:rPr>
            <w:color w:val="0A3A8C"/>
            <w:u w:val="single"/>
          </w:rPr>
          <w:t xml:space="preserve">§ 1066 Nießbrauch am Anteil eines Miteigentümers</w:t>
        </w:r>
      </w:hyperlink>
    </w:p>
    <w:p>
      <w:pPr>
        <w:pStyle w:val="Übersicht"/>
        <w:ind w:left="1361"/>
      </w:pPr>
      <w:hyperlink w:anchor="b1544" w:history="1">
        <w:r>
          <w:rPr>
            <w:color w:val="0A3A8C"/>
            <w:u w:val="single"/>
          </w:rPr>
          <w:t xml:space="preserve">§ 1067 Nießbrauch an verbrauchbaren Sachen</w:t>
        </w:r>
      </w:hyperlink>
    </w:p>
    <w:p>
      <w:pPr>
        <w:pStyle w:val="Übersicht"/>
        <w:ind w:left="1020"/>
      </w:pPr>
      <w:hyperlink w:anchor="b1545" w:history="1">
        <w:r>
          <w:rPr>
            <w:b/>
            <w:color w:val="0A3A8C"/>
            <w:u w:val="single"/>
          </w:rPr>
          <w:t xml:space="preserve">Untertitel 2 Nießbrauch an Rechten</w:t>
        </w:r>
      </w:hyperlink>
    </w:p>
    <w:p>
      <w:pPr>
        <w:pStyle w:val="Übersicht"/>
        <w:ind w:left="1361"/>
      </w:pPr>
      <w:hyperlink w:anchor="b1546" w:history="1">
        <w:r>
          <w:rPr>
            <w:color w:val="0A3A8C"/>
            <w:u w:val="single"/>
          </w:rPr>
          <w:t xml:space="preserve">§ 1068 Gesetzlicher Inhalt des Nießbrauchs an Rechten</w:t>
        </w:r>
      </w:hyperlink>
    </w:p>
    <w:p>
      <w:pPr>
        <w:pStyle w:val="Übersicht"/>
        <w:ind w:left="1361"/>
      </w:pPr>
      <w:hyperlink w:anchor="b1547" w:history="1">
        <w:r>
          <w:rPr>
            <w:color w:val="0A3A8C"/>
            <w:u w:val="single"/>
          </w:rPr>
          <w:t xml:space="preserve">§ 1069 Bestellung</w:t>
        </w:r>
      </w:hyperlink>
    </w:p>
    <w:p>
      <w:pPr>
        <w:pStyle w:val="Übersicht"/>
        <w:ind w:left="1361"/>
      </w:pPr>
      <w:hyperlink w:anchor="b1548" w:history="1">
        <w:r>
          <w:rPr>
            <w:color w:val="0A3A8C"/>
            <w:u w:val="single"/>
          </w:rPr>
          <w:t xml:space="preserve">§ 1070 Nießbrauch an Recht auf Leistung</w:t>
        </w:r>
      </w:hyperlink>
    </w:p>
    <w:p>
      <w:pPr>
        <w:pStyle w:val="Übersicht"/>
        <w:ind w:left="1361"/>
      </w:pPr>
      <w:hyperlink w:anchor="b1549" w:history="1">
        <w:r>
          <w:rPr>
            <w:color w:val="0A3A8C"/>
            <w:u w:val="single"/>
          </w:rPr>
          <w:t xml:space="preserve">§ 1071 Aufhebung oder Änderung des belasteten Rechts</w:t>
        </w:r>
      </w:hyperlink>
    </w:p>
    <w:p>
      <w:pPr>
        <w:pStyle w:val="Übersicht"/>
        <w:ind w:left="1361"/>
      </w:pPr>
      <w:hyperlink w:anchor="b1550" w:history="1">
        <w:r>
          <w:rPr>
            <w:color w:val="0A3A8C"/>
            <w:u w:val="single"/>
          </w:rPr>
          <w:t xml:space="preserve">§ 1072 Beendigung des Nießbrauchs</w:t>
        </w:r>
      </w:hyperlink>
    </w:p>
    <w:p>
      <w:pPr>
        <w:pStyle w:val="Übersicht"/>
        <w:ind w:left="1361"/>
      </w:pPr>
      <w:hyperlink w:anchor="b1551" w:history="1">
        <w:r>
          <w:rPr>
            <w:color w:val="0A3A8C"/>
            <w:u w:val="single"/>
          </w:rPr>
          <w:t xml:space="preserve">§ 1073 Nießbrauch an einer Leibrente</w:t>
        </w:r>
      </w:hyperlink>
    </w:p>
    <w:p>
      <w:pPr>
        <w:pStyle w:val="Übersicht"/>
        <w:ind w:left="1361"/>
      </w:pPr>
      <w:hyperlink w:anchor="b1552" w:history="1">
        <w:r>
          <w:rPr>
            <w:color w:val="0A3A8C"/>
            <w:u w:val="single"/>
          </w:rPr>
          <w:t xml:space="preserve">§ 1074 Nießbrauch an einer Forderung; Kündigung und Einziehung</w:t>
        </w:r>
      </w:hyperlink>
    </w:p>
    <w:p>
      <w:pPr>
        <w:pStyle w:val="Übersicht"/>
        <w:ind w:left="1361"/>
      </w:pPr>
      <w:hyperlink w:anchor="b1553" w:history="1">
        <w:r>
          <w:rPr>
            <w:color w:val="0A3A8C"/>
            <w:u w:val="single"/>
          </w:rPr>
          <w:t xml:space="preserve">§ 1075 Wirkung der Leistung</w:t>
        </w:r>
      </w:hyperlink>
    </w:p>
    <w:p>
      <w:pPr>
        <w:pStyle w:val="Übersicht"/>
        <w:ind w:left="1361"/>
      </w:pPr>
      <w:hyperlink w:anchor="b1554" w:history="1">
        <w:r>
          <w:rPr>
            <w:color w:val="0A3A8C"/>
            <w:u w:val="single"/>
          </w:rPr>
          <w:t xml:space="preserve">§ 1076 Nießbrauch an verzinslicher Forderung</w:t>
        </w:r>
      </w:hyperlink>
    </w:p>
    <w:p>
      <w:pPr>
        <w:pStyle w:val="Übersicht"/>
        <w:ind w:left="1361"/>
      </w:pPr>
      <w:hyperlink w:anchor="b1555" w:history="1">
        <w:r>
          <w:rPr>
            <w:color w:val="0A3A8C"/>
            <w:u w:val="single"/>
          </w:rPr>
          <w:t xml:space="preserve">§ 1077 Kündigung und Zahlung</w:t>
        </w:r>
      </w:hyperlink>
    </w:p>
    <w:p>
      <w:pPr>
        <w:pStyle w:val="Übersicht"/>
        <w:ind w:left="1361"/>
      </w:pPr>
      <w:hyperlink w:anchor="b1556" w:history="1">
        <w:r>
          <w:rPr>
            <w:color w:val="0A3A8C"/>
            <w:u w:val="single"/>
          </w:rPr>
          <w:t xml:space="preserve">§ 1078 Mitwirkung zur Einziehung</w:t>
        </w:r>
      </w:hyperlink>
    </w:p>
    <w:p>
      <w:pPr>
        <w:pStyle w:val="Übersicht"/>
        <w:ind w:left="1361"/>
      </w:pPr>
      <w:hyperlink w:anchor="b1557" w:history="1">
        <w:r>
          <w:rPr>
            <w:color w:val="0A3A8C"/>
            <w:u w:val="single"/>
          </w:rPr>
          <w:t xml:space="preserve">§ 1079 Anlegung des Kapitals</w:t>
        </w:r>
      </w:hyperlink>
    </w:p>
    <w:p>
      <w:pPr>
        <w:pStyle w:val="Übersicht"/>
        <w:ind w:left="1361"/>
      </w:pPr>
      <w:hyperlink w:anchor="b1558" w:history="1">
        <w:r>
          <w:rPr>
            <w:color w:val="0A3A8C"/>
            <w:u w:val="single"/>
          </w:rPr>
          <w:t xml:space="preserve">§ 1080 Nießbrauch an Grund- oder Rentenschuld</w:t>
        </w:r>
      </w:hyperlink>
    </w:p>
    <w:p>
      <w:pPr>
        <w:pStyle w:val="Übersicht"/>
        <w:ind w:left="1361"/>
      </w:pPr>
      <w:hyperlink w:anchor="b1559" w:history="1">
        <w:r>
          <w:rPr>
            <w:color w:val="0A3A8C"/>
            <w:u w:val="single"/>
          </w:rPr>
          <w:t xml:space="preserve">§ 1081 Nießbrauch an Inhaber- oder Orderpapieren</w:t>
        </w:r>
      </w:hyperlink>
    </w:p>
    <w:p>
      <w:pPr>
        <w:pStyle w:val="Übersicht"/>
        <w:ind w:left="1361"/>
      </w:pPr>
      <w:hyperlink w:anchor="b1560" w:history="1">
        <w:r>
          <w:rPr>
            <w:color w:val="0A3A8C"/>
            <w:u w:val="single"/>
          </w:rPr>
          <w:t xml:space="preserve">§ 1082 Hinterlegung</w:t>
        </w:r>
      </w:hyperlink>
    </w:p>
    <w:p>
      <w:pPr>
        <w:pStyle w:val="Übersicht"/>
        <w:ind w:left="1361"/>
      </w:pPr>
      <w:hyperlink w:anchor="b1561" w:history="1">
        <w:r>
          <w:rPr>
            <w:color w:val="0A3A8C"/>
            <w:u w:val="single"/>
          </w:rPr>
          <w:t xml:space="preserve">§ 1083 Mitwirkung zur Einziehung</w:t>
        </w:r>
      </w:hyperlink>
    </w:p>
    <w:p>
      <w:pPr>
        <w:pStyle w:val="Übersicht"/>
        <w:ind w:left="1361"/>
      </w:pPr>
      <w:hyperlink w:anchor="b1562" w:history="1">
        <w:r>
          <w:rPr>
            <w:color w:val="0A3A8C"/>
            <w:u w:val="single"/>
          </w:rPr>
          <w:t xml:space="preserve">§ 1084 Verbrauchbare Sachen</w:t>
        </w:r>
      </w:hyperlink>
    </w:p>
    <w:p>
      <w:pPr>
        <w:pStyle w:val="Übersicht"/>
        <w:ind w:left="1020"/>
      </w:pPr>
      <w:hyperlink w:anchor="b1563" w:history="1">
        <w:r>
          <w:rPr>
            <w:b/>
            <w:color w:val="0A3A8C"/>
            <w:u w:val="single"/>
          </w:rPr>
          <w:t xml:space="preserve">Untertitel 3 Nießbrauch an einem Vermögen</w:t>
        </w:r>
      </w:hyperlink>
    </w:p>
    <w:p>
      <w:pPr>
        <w:pStyle w:val="Übersicht"/>
        <w:ind w:left="1361"/>
      </w:pPr>
      <w:hyperlink w:anchor="b1564" w:history="1">
        <w:r>
          <w:rPr>
            <w:color w:val="0A3A8C"/>
            <w:u w:val="single"/>
          </w:rPr>
          <w:t xml:space="preserve">§ 1085 Bestellung des Nießbrauchs an einem Vermögen</w:t>
        </w:r>
      </w:hyperlink>
    </w:p>
    <w:p>
      <w:pPr>
        <w:pStyle w:val="Übersicht"/>
        <w:ind w:left="1361"/>
      </w:pPr>
      <w:hyperlink w:anchor="b1565" w:history="1">
        <w:r>
          <w:rPr>
            <w:color w:val="0A3A8C"/>
            <w:u w:val="single"/>
          </w:rPr>
          <w:t xml:space="preserve">§ 1086 Rechte der Gläubiger des Bestellers</w:t>
        </w:r>
      </w:hyperlink>
    </w:p>
    <w:p>
      <w:pPr>
        <w:pStyle w:val="Übersicht"/>
        <w:ind w:left="1361"/>
      </w:pPr>
      <w:hyperlink w:anchor="b1566" w:history="1">
        <w:r>
          <w:rPr>
            <w:color w:val="0A3A8C"/>
            <w:u w:val="single"/>
          </w:rPr>
          <w:t xml:space="preserve">§ 1087 Verhältnis zwischen Nießbraucher und Besteller</w:t>
        </w:r>
      </w:hyperlink>
    </w:p>
    <w:p>
      <w:pPr>
        <w:pStyle w:val="Übersicht"/>
        <w:ind w:left="1361"/>
      </w:pPr>
      <w:hyperlink w:anchor="b1567" w:history="1">
        <w:r>
          <w:rPr>
            <w:color w:val="0A3A8C"/>
            <w:u w:val="single"/>
          </w:rPr>
          <w:t xml:space="preserve">§ 1088 Haftung des Nießbrauchers</w:t>
        </w:r>
      </w:hyperlink>
    </w:p>
    <w:p>
      <w:pPr>
        <w:pStyle w:val="Übersicht"/>
        <w:ind w:left="1361"/>
      </w:pPr>
      <w:hyperlink w:anchor="b1568" w:history="1">
        <w:r>
          <w:rPr>
            <w:color w:val="0A3A8C"/>
            <w:u w:val="single"/>
          </w:rPr>
          <w:t xml:space="preserve">§ 1089 Nießbrauch an einer Erbschaft</w:t>
        </w:r>
      </w:hyperlink>
    </w:p>
    <w:p>
      <w:pPr>
        <w:pStyle w:val="Übersicht"/>
        <w:ind w:left="680"/>
      </w:pPr>
      <w:hyperlink w:anchor="b1569" w:history="1">
        <w:r>
          <w:rPr>
            <w:b/>
            <w:color w:val="0A3A8C"/>
            <w:u w:val="single"/>
          </w:rPr>
          <w:t xml:space="preserve">Titel 3 Beschränkte persönliche
Dienstbarkeiten</w:t>
        </w:r>
      </w:hyperlink>
    </w:p>
    <w:p>
      <w:pPr>
        <w:pStyle w:val="Übersicht"/>
        <w:ind w:left="1020"/>
      </w:pPr>
      <w:hyperlink w:anchor="b1570" w:history="1">
        <w:r>
          <w:rPr>
            <w:color w:val="0A3A8C"/>
            <w:u w:val="single"/>
          </w:rPr>
          <w:t xml:space="preserve">§ 1090 Gesetzlicher Inhalt der beschränkten persönlichen Dienstbarkeit</w:t>
        </w:r>
      </w:hyperlink>
    </w:p>
    <w:p>
      <w:pPr>
        <w:pStyle w:val="Übersicht"/>
        <w:ind w:left="1020"/>
      </w:pPr>
      <w:hyperlink w:anchor="b1571" w:history="1">
        <w:r>
          <w:rPr>
            <w:color w:val="0A3A8C"/>
            <w:u w:val="single"/>
          </w:rPr>
          <w:t xml:space="preserve">§ 1091 Umfang</w:t>
        </w:r>
      </w:hyperlink>
    </w:p>
    <w:p>
      <w:pPr>
        <w:pStyle w:val="Übersicht"/>
        <w:ind w:left="1020"/>
      </w:pPr>
      <w:hyperlink w:anchor="b1572" w:history="1">
        <w:r>
          <w:rPr>
            <w:color w:val="0A3A8C"/>
            <w:u w:val="single"/>
          </w:rPr>
          <w:t xml:space="preserve">§ 1092 Unübertragbarkeit; Überlassung der Ausübung</w:t>
        </w:r>
      </w:hyperlink>
    </w:p>
    <w:p>
      <w:pPr>
        <w:pStyle w:val="Übersicht"/>
        <w:ind w:left="1020"/>
      </w:pPr>
      <w:hyperlink w:anchor="b1573" w:history="1">
        <w:r>
          <w:rPr>
            <w:color w:val="0A3A8C"/>
            <w:u w:val="single"/>
          </w:rPr>
          <w:t xml:space="preserve">§ 1093 Wohnungsrecht</w:t>
        </w:r>
      </w:hyperlink>
    </w:p>
    <w:p>
      <w:pPr>
        <w:pStyle w:val="Übersicht"/>
        <w:ind w:left="340"/>
      </w:pPr>
      <w:hyperlink w:anchor="b1574" w:history="1">
        <w:r>
          <w:rPr>
            <w:b/>
            <w:color w:val="0A3A8C"/>
            <w:u w:val="single"/>
          </w:rPr>
          <w:t xml:space="preserve">Abschnitt 5 Vorkaufsrecht</w:t>
        </w:r>
      </w:hyperlink>
    </w:p>
    <w:p>
      <w:pPr>
        <w:pStyle w:val="Übersicht"/>
        <w:ind w:left="680"/>
      </w:pPr>
      <w:hyperlink w:anchor="b1575" w:history="1">
        <w:r>
          <w:rPr>
            <w:color w:val="0A3A8C"/>
            <w:u w:val="single"/>
          </w:rPr>
          <w:t xml:space="preserve">§ 1094 Gesetzlicher Inhalt des dinglichen Vorkaufsrechts</w:t>
        </w:r>
      </w:hyperlink>
    </w:p>
    <w:p>
      <w:pPr>
        <w:pStyle w:val="Übersicht"/>
        <w:ind w:left="680"/>
      </w:pPr>
      <w:hyperlink w:anchor="b1576" w:history="1">
        <w:r>
          <w:rPr>
            <w:color w:val="0A3A8C"/>
            <w:u w:val="single"/>
          </w:rPr>
          <w:t xml:space="preserve">§ 1095 Belastung eines Bruchteils</w:t>
        </w:r>
      </w:hyperlink>
    </w:p>
    <w:p>
      <w:pPr>
        <w:pStyle w:val="Übersicht"/>
        <w:ind w:left="680"/>
      </w:pPr>
      <w:hyperlink w:anchor="b1577" w:history="1">
        <w:r>
          <w:rPr>
            <w:color w:val="0A3A8C"/>
            <w:u w:val="single"/>
          </w:rPr>
          <w:t xml:space="preserve">§ 1096 Erstreckung auf Zubehör</w:t>
        </w:r>
      </w:hyperlink>
    </w:p>
    <w:p>
      <w:pPr>
        <w:pStyle w:val="Übersicht"/>
        <w:ind w:left="680"/>
      </w:pPr>
      <w:hyperlink w:anchor="b1578" w:history="1">
        <w:r>
          <w:rPr>
            <w:color w:val="0A3A8C"/>
            <w:u w:val="single"/>
          </w:rPr>
          <w:t xml:space="preserve">§ 1097 Bestellung für einen oder mehrere Verkaufsfälle</w:t>
        </w:r>
      </w:hyperlink>
    </w:p>
    <w:p>
      <w:pPr>
        <w:pStyle w:val="Übersicht"/>
        <w:ind w:left="680"/>
      </w:pPr>
      <w:hyperlink w:anchor="b1579" w:history="1">
        <w:r>
          <w:rPr>
            <w:color w:val="0A3A8C"/>
            <w:u w:val="single"/>
          </w:rPr>
          <w:t xml:space="preserve">§ 1098 Wirkung des Vorkaufsrechts</w:t>
        </w:r>
      </w:hyperlink>
    </w:p>
    <w:p>
      <w:pPr>
        <w:pStyle w:val="Übersicht"/>
        <w:ind w:left="680"/>
      </w:pPr>
      <w:hyperlink w:anchor="b1580" w:history="1">
        <w:r>
          <w:rPr>
            <w:color w:val="0A3A8C"/>
            <w:u w:val="single"/>
          </w:rPr>
          <w:t xml:space="preserve">§ 1099 Mitteilungen</w:t>
        </w:r>
      </w:hyperlink>
    </w:p>
    <w:p>
      <w:pPr>
        <w:pStyle w:val="Übersicht"/>
        <w:ind w:left="680"/>
      </w:pPr>
      <w:hyperlink w:anchor="b1581" w:history="1">
        <w:r>
          <w:rPr>
            <w:color w:val="0A3A8C"/>
            <w:u w:val="single"/>
          </w:rPr>
          <w:t xml:space="preserve">§ 1100 Rechte des Käufers</w:t>
        </w:r>
      </w:hyperlink>
    </w:p>
    <w:p>
      <w:pPr>
        <w:pStyle w:val="Übersicht"/>
        <w:ind w:left="680"/>
      </w:pPr>
      <w:hyperlink w:anchor="b1582" w:history="1">
        <w:r>
          <w:rPr>
            <w:color w:val="0A3A8C"/>
            <w:u w:val="single"/>
          </w:rPr>
          <w:t xml:space="preserve">§ 1101 Befreiung des Berechtigten</w:t>
        </w:r>
      </w:hyperlink>
    </w:p>
    <w:p>
      <w:pPr>
        <w:pStyle w:val="Übersicht"/>
        <w:ind w:left="680"/>
      </w:pPr>
      <w:hyperlink w:anchor="b1583" w:history="1">
        <w:r>
          <w:rPr>
            <w:color w:val="0A3A8C"/>
            <w:u w:val="single"/>
          </w:rPr>
          <w:t xml:space="preserve">§ 1102 Befreiung des Käufers</w:t>
        </w:r>
      </w:hyperlink>
    </w:p>
    <w:p>
      <w:pPr>
        <w:pStyle w:val="Übersicht"/>
        <w:ind w:left="680"/>
      </w:pPr>
      <w:hyperlink w:anchor="b1584" w:history="1">
        <w:r>
          <w:rPr>
            <w:color w:val="0A3A8C"/>
            <w:u w:val="single"/>
          </w:rPr>
          <w:t xml:space="preserve">§ 1103 Subjektiv-dingliches und subjektiv-persönliches Vorkaufsrecht</w:t>
        </w:r>
      </w:hyperlink>
    </w:p>
    <w:p>
      <w:pPr>
        <w:pStyle w:val="Übersicht"/>
        <w:ind w:left="680"/>
      </w:pPr>
      <w:hyperlink w:anchor="b1585" w:history="1">
        <w:r>
          <w:rPr>
            <w:color w:val="0A3A8C"/>
            <w:u w:val="single"/>
          </w:rPr>
          <w:t xml:space="preserve">§ 1104 Ausschluss unbekannter Berechtigter</w:t>
        </w:r>
      </w:hyperlink>
    </w:p>
    <w:p>
      <w:pPr>
        <w:pStyle w:val="Übersicht"/>
        <w:ind w:left="340"/>
      </w:pPr>
      <w:hyperlink w:anchor="b1586" w:history="1">
        <w:r>
          <w:rPr>
            <w:b/>
            <w:color w:val="0A3A8C"/>
            <w:u w:val="single"/>
          </w:rPr>
          <w:t xml:space="preserve">Abschnitt 6 Reallasten</w:t>
        </w:r>
      </w:hyperlink>
    </w:p>
    <w:p>
      <w:pPr>
        <w:pStyle w:val="Übersicht"/>
        <w:ind w:left="680"/>
      </w:pPr>
      <w:hyperlink w:anchor="b1587" w:history="1">
        <w:r>
          <w:rPr>
            <w:color w:val="0A3A8C"/>
            <w:u w:val="single"/>
          </w:rPr>
          <w:t xml:space="preserve">§ 1105 Gesetzlicher Inhalt der Reallast</w:t>
        </w:r>
      </w:hyperlink>
    </w:p>
    <w:p>
      <w:pPr>
        <w:pStyle w:val="Übersicht"/>
        <w:ind w:left="680"/>
      </w:pPr>
      <w:hyperlink w:anchor="b1588" w:history="1">
        <w:r>
          <w:rPr>
            <w:color w:val="0A3A8C"/>
            <w:u w:val="single"/>
          </w:rPr>
          <w:t xml:space="preserve">§ 1106 Belastung eines Bruchteils</w:t>
        </w:r>
      </w:hyperlink>
    </w:p>
    <w:p>
      <w:pPr>
        <w:pStyle w:val="Übersicht"/>
        <w:ind w:left="680"/>
      </w:pPr>
      <w:hyperlink w:anchor="b1589" w:history="1">
        <w:r>
          <w:rPr>
            <w:color w:val="0A3A8C"/>
            <w:u w:val="single"/>
          </w:rPr>
          <w:t xml:space="preserve">§ 1107 Einzelleistungen</w:t>
        </w:r>
      </w:hyperlink>
    </w:p>
    <w:p>
      <w:pPr>
        <w:pStyle w:val="Übersicht"/>
        <w:ind w:left="680"/>
      </w:pPr>
      <w:hyperlink w:anchor="b1590" w:history="1">
        <w:r>
          <w:rPr>
            <w:color w:val="0A3A8C"/>
            <w:u w:val="single"/>
          </w:rPr>
          <w:t xml:space="preserve">§ 1108 Persönliche Haftung des Eigentümers</w:t>
        </w:r>
      </w:hyperlink>
    </w:p>
    <w:p>
      <w:pPr>
        <w:pStyle w:val="Übersicht"/>
        <w:ind w:left="680"/>
      </w:pPr>
      <w:hyperlink w:anchor="b1591" w:history="1">
        <w:r>
          <w:rPr>
            <w:color w:val="0A3A8C"/>
            <w:u w:val="single"/>
          </w:rPr>
          <w:t xml:space="preserve">§ 1109 Teilung des herrschenden Grundstücks</w:t>
        </w:r>
      </w:hyperlink>
    </w:p>
    <w:p>
      <w:pPr>
        <w:pStyle w:val="Übersicht"/>
        <w:ind w:left="680"/>
      </w:pPr>
      <w:hyperlink w:anchor="b1592" w:history="1">
        <w:r>
          <w:rPr>
            <w:color w:val="0A3A8C"/>
            <w:u w:val="single"/>
          </w:rPr>
          <w:t xml:space="preserve">§ 1110 Subjektiv-dingliche Reallast</w:t>
        </w:r>
      </w:hyperlink>
    </w:p>
    <w:p>
      <w:pPr>
        <w:pStyle w:val="Übersicht"/>
        <w:ind w:left="680"/>
      </w:pPr>
      <w:hyperlink w:anchor="b1593" w:history="1">
        <w:r>
          <w:rPr>
            <w:color w:val="0A3A8C"/>
            <w:u w:val="single"/>
          </w:rPr>
          <w:t xml:space="preserve">§ 1111 Subjektiv-persönliche Reallast</w:t>
        </w:r>
      </w:hyperlink>
    </w:p>
    <w:p>
      <w:pPr>
        <w:pStyle w:val="Übersicht"/>
        <w:ind w:left="680"/>
      </w:pPr>
      <w:hyperlink w:anchor="b1594" w:history="1">
        <w:r>
          <w:rPr>
            <w:color w:val="0A3A8C"/>
            <w:u w:val="single"/>
          </w:rPr>
          <w:t xml:space="preserve">§ 1112 Ausschluss unbekannter Berechtigter</w:t>
        </w:r>
      </w:hyperlink>
    </w:p>
    <w:p>
      <w:pPr>
        <w:pStyle w:val="Übersicht"/>
        <w:ind w:left="340"/>
      </w:pPr>
      <w:hyperlink w:anchor="b1595" w:history="1">
        <w:r>
          <w:rPr>
            <w:b/>
            <w:color w:val="0A3A8C"/>
            <w:u w:val="single"/>
          </w:rPr>
          <w:t xml:space="preserve">Abschnitt 7 Hypothek, Grundschuld, Rentenschuld</w:t>
        </w:r>
      </w:hyperlink>
    </w:p>
    <w:p>
      <w:pPr>
        <w:pStyle w:val="Übersicht"/>
        <w:ind w:left="680"/>
      </w:pPr>
      <w:hyperlink w:anchor="b1596" w:history="1">
        <w:r>
          <w:rPr>
            <w:b/>
            <w:color w:val="0A3A8C"/>
            <w:u w:val="single"/>
          </w:rPr>
          <w:t xml:space="preserve">Titel 1 Hypothek</w:t>
        </w:r>
      </w:hyperlink>
    </w:p>
    <w:p>
      <w:pPr>
        <w:pStyle w:val="Übersicht"/>
        <w:ind w:left="1020"/>
      </w:pPr>
      <w:hyperlink w:anchor="b1597" w:history="1">
        <w:r>
          <w:rPr>
            <w:color w:val="0A3A8C"/>
            <w:u w:val="single"/>
          </w:rPr>
          <w:t xml:space="preserve">§ 1113 Gesetzlicher Inhalt der Hypothek</w:t>
        </w:r>
      </w:hyperlink>
    </w:p>
    <w:p>
      <w:pPr>
        <w:pStyle w:val="Übersicht"/>
        <w:ind w:left="1020"/>
      </w:pPr>
      <w:hyperlink w:anchor="b1598" w:history="1">
        <w:r>
          <w:rPr>
            <w:color w:val="0A3A8C"/>
            <w:u w:val="single"/>
          </w:rPr>
          <w:t xml:space="preserve">§ 1114 Belastung eines Bruchteils</w:t>
        </w:r>
      </w:hyperlink>
    </w:p>
    <w:p>
      <w:pPr>
        <w:pStyle w:val="Übersicht"/>
        <w:ind w:left="1020"/>
      </w:pPr>
      <w:hyperlink w:anchor="b1599" w:history="1">
        <w:r>
          <w:rPr>
            <w:color w:val="0A3A8C"/>
            <w:u w:val="single"/>
          </w:rPr>
          <w:t xml:space="preserve">§ 1115 Eintragung der Hypothek</w:t>
        </w:r>
      </w:hyperlink>
    </w:p>
    <w:p>
      <w:pPr>
        <w:pStyle w:val="Übersicht"/>
        <w:ind w:left="1020"/>
      </w:pPr>
      <w:hyperlink w:anchor="b1600" w:history="1">
        <w:r>
          <w:rPr>
            <w:color w:val="0A3A8C"/>
            <w:u w:val="single"/>
          </w:rPr>
          <w:t xml:space="preserve">§ 1116 Brief- und Buchhypothek</w:t>
        </w:r>
      </w:hyperlink>
    </w:p>
    <w:p>
      <w:pPr>
        <w:pStyle w:val="Übersicht"/>
        <w:ind w:left="1020"/>
      </w:pPr>
      <w:hyperlink w:anchor="b1601" w:history="1">
        <w:r>
          <w:rPr>
            <w:color w:val="0A3A8C"/>
            <w:u w:val="single"/>
          </w:rPr>
          <w:t xml:space="preserve">§ 1117 Erwerb der Briefhypothek</w:t>
        </w:r>
      </w:hyperlink>
    </w:p>
    <w:p>
      <w:pPr>
        <w:pStyle w:val="Übersicht"/>
        <w:ind w:left="1020"/>
      </w:pPr>
      <w:hyperlink w:anchor="b1602" w:history="1">
        <w:r>
          <w:rPr>
            <w:color w:val="0A3A8C"/>
            <w:u w:val="single"/>
          </w:rPr>
          <w:t xml:space="preserve">§ 1118 Haftung für Nebenforderungen</w:t>
        </w:r>
      </w:hyperlink>
    </w:p>
    <w:p>
      <w:pPr>
        <w:pStyle w:val="Übersicht"/>
        <w:ind w:left="1020"/>
      </w:pPr>
      <w:hyperlink w:anchor="b1603" w:history="1">
        <w:r>
          <w:rPr>
            <w:color w:val="0A3A8C"/>
            <w:u w:val="single"/>
          </w:rPr>
          <w:t xml:space="preserve">§ 1119 Erweiterung der Haftung für Zinsen</w:t>
        </w:r>
      </w:hyperlink>
    </w:p>
    <w:p>
      <w:pPr>
        <w:pStyle w:val="Übersicht"/>
        <w:ind w:left="1020"/>
      </w:pPr>
      <w:hyperlink w:anchor="b1604" w:history="1">
        <w:r>
          <w:rPr>
            <w:color w:val="0A3A8C"/>
            <w:u w:val="single"/>
          </w:rPr>
          <w:t xml:space="preserve">§ 1120 Erstreckung auf Erzeugnisse, Bestandteile und Zubehör</w:t>
        </w:r>
      </w:hyperlink>
    </w:p>
    <w:p>
      <w:pPr>
        <w:pStyle w:val="Übersicht"/>
        <w:ind w:left="1020"/>
      </w:pPr>
      <w:hyperlink w:anchor="b1605" w:history="1">
        <w:r>
          <w:rPr>
            <w:color w:val="0A3A8C"/>
            <w:u w:val="single"/>
          </w:rPr>
          <w:t xml:space="preserve">§ 1121 Enthaftung durch Veräußerung und Entfernung</w:t>
        </w:r>
      </w:hyperlink>
    </w:p>
    <w:p>
      <w:pPr>
        <w:pStyle w:val="Übersicht"/>
        <w:ind w:left="1020"/>
      </w:pPr>
      <w:hyperlink w:anchor="b1606" w:history="1">
        <w:r>
          <w:rPr>
            <w:color w:val="0A3A8C"/>
            <w:u w:val="single"/>
          </w:rPr>
          <w:t xml:space="preserve">§ 1122 Enthaftung ohne Veräußerung</w:t>
        </w:r>
      </w:hyperlink>
    </w:p>
    <w:p>
      <w:pPr>
        <w:pStyle w:val="Übersicht"/>
        <w:ind w:left="1020"/>
      </w:pPr>
      <w:hyperlink w:anchor="b1607" w:history="1">
        <w:r>
          <w:rPr>
            <w:color w:val="0A3A8C"/>
            <w:u w:val="single"/>
          </w:rPr>
          <w:t xml:space="preserve">§ 1123 Erstreckung auf Miet- oder Pachtforderung</w:t>
        </w:r>
      </w:hyperlink>
    </w:p>
    <w:p>
      <w:pPr>
        <w:pStyle w:val="Übersicht"/>
        <w:ind w:left="1020"/>
      </w:pPr>
      <w:hyperlink w:anchor="b1608" w:history="1">
        <w:r>
          <w:rPr>
            <w:color w:val="0A3A8C"/>
            <w:u w:val="single"/>
          </w:rPr>
          <w:t xml:space="preserve">§ 1124 Vorausverfügung über Miete oder Pacht</w:t>
        </w:r>
      </w:hyperlink>
    </w:p>
    <w:p>
      <w:pPr>
        <w:pStyle w:val="Übersicht"/>
        <w:ind w:left="1020"/>
      </w:pPr>
      <w:hyperlink w:anchor="b1609" w:history="1">
        <w:r>
          <w:rPr>
            <w:color w:val="0A3A8C"/>
            <w:u w:val="single"/>
          </w:rPr>
          <w:t xml:space="preserve">§ 1125 Aufrechnung gegen Miete oder Pacht</w:t>
        </w:r>
      </w:hyperlink>
    </w:p>
    <w:p>
      <w:pPr>
        <w:pStyle w:val="Übersicht"/>
        <w:ind w:left="1020"/>
      </w:pPr>
      <w:hyperlink w:anchor="b1610" w:history="1">
        <w:r>
          <w:rPr>
            <w:color w:val="0A3A8C"/>
            <w:u w:val="single"/>
          </w:rPr>
          <w:t xml:space="preserve">§ 1126 Erstreckung auf wiederkehrende Leistungen</w:t>
        </w:r>
      </w:hyperlink>
    </w:p>
    <w:p>
      <w:pPr>
        <w:pStyle w:val="Übersicht"/>
        <w:ind w:left="1020"/>
      </w:pPr>
      <w:hyperlink w:anchor="b1611" w:history="1">
        <w:r>
          <w:rPr>
            <w:color w:val="0A3A8C"/>
            <w:u w:val="single"/>
          </w:rPr>
          <w:t xml:space="preserve">§ 1127 Erstreckung auf die Versicherungsforderung</w:t>
        </w:r>
      </w:hyperlink>
    </w:p>
    <w:p>
      <w:pPr>
        <w:pStyle w:val="Übersicht"/>
        <w:ind w:left="1020"/>
      </w:pPr>
      <w:hyperlink w:anchor="b1612" w:history="1">
        <w:r>
          <w:rPr>
            <w:color w:val="0A3A8C"/>
            <w:u w:val="single"/>
          </w:rPr>
          <w:t xml:space="preserve">§ 1128 Gebäudeversicherung</w:t>
        </w:r>
      </w:hyperlink>
    </w:p>
    <w:p>
      <w:pPr>
        <w:pStyle w:val="Übersicht"/>
        <w:ind w:left="1020"/>
      </w:pPr>
      <w:hyperlink w:anchor="b1613" w:history="1">
        <w:r>
          <w:rPr>
            <w:color w:val="0A3A8C"/>
            <w:u w:val="single"/>
          </w:rPr>
          <w:t xml:space="preserve">§ 1129 Sonstige Schadensversicherung</w:t>
        </w:r>
      </w:hyperlink>
    </w:p>
    <w:p>
      <w:pPr>
        <w:pStyle w:val="Übersicht"/>
        <w:ind w:left="1020"/>
      </w:pPr>
      <w:hyperlink w:anchor="b1614" w:history="1">
        <w:r>
          <w:rPr>
            <w:color w:val="0A3A8C"/>
            <w:u w:val="single"/>
          </w:rPr>
          <w:t xml:space="preserve">§ 1130 Wiederherstellungsklausel</w:t>
        </w:r>
      </w:hyperlink>
    </w:p>
    <w:p>
      <w:pPr>
        <w:pStyle w:val="Übersicht"/>
        <w:ind w:left="1020"/>
      </w:pPr>
      <w:hyperlink w:anchor="b1615" w:history="1">
        <w:r>
          <w:rPr>
            <w:color w:val="0A3A8C"/>
            <w:u w:val="single"/>
          </w:rPr>
          <w:t xml:space="preserve">§ 1131 Zuschreibung eines Grundstücks</w:t>
        </w:r>
      </w:hyperlink>
    </w:p>
    <w:p>
      <w:pPr>
        <w:pStyle w:val="Übersicht"/>
        <w:ind w:left="1020"/>
      </w:pPr>
      <w:hyperlink w:anchor="b1616" w:history="1">
        <w:r>
          <w:rPr>
            <w:color w:val="0A3A8C"/>
            <w:u w:val="single"/>
          </w:rPr>
          <w:t xml:space="preserve">§ 1132 Gesamthypothek</w:t>
        </w:r>
      </w:hyperlink>
    </w:p>
    <w:p>
      <w:pPr>
        <w:pStyle w:val="Übersicht"/>
        <w:ind w:left="1020"/>
      </w:pPr>
      <w:hyperlink w:anchor="b1617" w:history="1">
        <w:r>
          <w:rPr>
            <w:color w:val="0A3A8C"/>
            <w:u w:val="single"/>
          </w:rPr>
          <w:t xml:space="preserve">§ 1133 Gefährdung der Sicherheit der Hypothek</w:t>
        </w:r>
      </w:hyperlink>
    </w:p>
    <w:p>
      <w:pPr>
        <w:pStyle w:val="Übersicht"/>
        <w:ind w:left="1020"/>
      </w:pPr>
      <w:hyperlink w:anchor="b1618" w:history="1">
        <w:r>
          <w:rPr>
            <w:color w:val="0A3A8C"/>
            <w:u w:val="single"/>
          </w:rPr>
          <w:t xml:space="preserve">§ 1134 Unterlassungsklage</w:t>
        </w:r>
      </w:hyperlink>
    </w:p>
    <w:p>
      <w:pPr>
        <w:pStyle w:val="Übersicht"/>
        <w:ind w:left="1020"/>
      </w:pPr>
      <w:hyperlink w:anchor="b1619" w:history="1">
        <w:r>
          <w:rPr>
            <w:color w:val="0A3A8C"/>
            <w:u w:val="single"/>
          </w:rPr>
          <w:t xml:space="preserve">§ 1135 Verschlechterung des Zubehörs</w:t>
        </w:r>
      </w:hyperlink>
    </w:p>
    <w:p>
      <w:pPr>
        <w:pStyle w:val="Übersicht"/>
        <w:ind w:left="1020"/>
      </w:pPr>
      <w:hyperlink w:anchor="b1620" w:history="1">
        <w:r>
          <w:rPr>
            <w:color w:val="0A3A8C"/>
            <w:u w:val="single"/>
          </w:rPr>
          <w:t xml:space="preserve">§ 1136 Rechtsgeschäftliche Verfügungsbeschränkung</w:t>
        </w:r>
      </w:hyperlink>
    </w:p>
    <w:p>
      <w:pPr>
        <w:pStyle w:val="Übersicht"/>
        <w:ind w:left="1020"/>
      </w:pPr>
      <w:hyperlink w:anchor="b1621" w:history="1">
        <w:r>
          <w:rPr>
            <w:color w:val="0A3A8C"/>
            <w:u w:val="single"/>
          </w:rPr>
          <w:t xml:space="preserve">§ 1137 Einreden des Eigentümers</w:t>
        </w:r>
      </w:hyperlink>
    </w:p>
    <w:p>
      <w:pPr>
        <w:pStyle w:val="Übersicht"/>
        <w:ind w:left="1020"/>
      </w:pPr>
      <w:hyperlink w:anchor="b1622" w:history="1">
        <w:r>
          <w:rPr>
            <w:color w:val="0A3A8C"/>
            <w:u w:val="single"/>
          </w:rPr>
          <w:t xml:space="preserve">§ 1138 Öffentlicher Glaube des Grundbuchs</w:t>
        </w:r>
      </w:hyperlink>
    </w:p>
    <w:p>
      <w:pPr>
        <w:pStyle w:val="Übersicht"/>
        <w:ind w:left="1020"/>
      </w:pPr>
      <w:hyperlink w:anchor="b1623" w:history="1">
        <w:r>
          <w:rPr>
            <w:color w:val="0A3A8C"/>
            <w:u w:val="single"/>
          </w:rPr>
          <w:t xml:space="preserve">§ 1139 Widerspruch bei Darlehensbuchhypothek</w:t>
        </w:r>
      </w:hyperlink>
    </w:p>
    <w:p>
      <w:pPr>
        <w:pStyle w:val="Übersicht"/>
        <w:ind w:left="1020"/>
      </w:pPr>
      <w:hyperlink w:anchor="b1624" w:history="1">
        <w:r>
          <w:rPr>
            <w:color w:val="0A3A8C"/>
            <w:u w:val="single"/>
          </w:rPr>
          <w:t xml:space="preserve">§ 1140 Hypothekenbrief und Unrichtigkeit des Grundbuchs</w:t>
        </w:r>
      </w:hyperlink>
    </w:p>
    <w:p>
      <w:pPr>
        <w:pStyle w:val="Übersicht"/>
        <w:ind w:left="1020"/>
      </w:pPr>
      <w:hyperlink w:anchor="b1625" w:history="1">
        <w:r>
          <w:rPr>
            <w:color w:val="0A3A8C"/>
            <w:u w:val="single"/>
          </w:rPr>
          <w:t xml:space="preserve">§ 1141 Kündigung der Hypothek</w:t>
        </w:r>
      </w:hyperlink>
    </w:p>
    <w:p>
      <w:pPr>
        <w:pStyle w:val="Übersicht"/>
        <w:ind w:left="1020"/>
      </w:pPr>
      <w:hyperlink w:anchor="b1626" w:history="1">
        <w:r>
          <w:rPr>
            <w:color w:val="0A3A8C"/>
            <w:u w:val="single"/>
          </w:rPr>
          <w:t xml:space="preserve">§ 1142 Befriedigungsrecht des Eigentümers</w:t>
        </w:r>
      </w:hyperlink>
    </w:p>
    <w:p>
      <w:pPr>
        <w:pStyle w:val="Übersicht"/>
        <w:ind w:left="1020"/>
      </w:pPr>
      <w:hyperlink w:anchor="b1627" w:history="1">
        <w:r>
          <w:rPr>
            <w:color w:val="0A3A8C"/>
            <w:u w:val="single"/>
          </w:rPr>
          <w:t xml:space="preserve">§ 1143 Übergang der Forderung</w:t>
        </w:r>
      </w:hyperlink>
    </w:p>
    <w:p>
      <w:pPr>
        <w:pStyle w:val="Übersicht"/>
        <w:ind w:left="1020"/>
      </w:pPr>
      <w:hyperlink w:anchor="b1628" w:history="1">
        <w:r>
          <w:rPr>
            <w:color w:val="0A3A8C"/>
            <w:u w:val="single"/>
          </w:rPr>
          <w:t xml:space="preserve">§ 1144 Aushändigung der Urkunden</w:t>
        </w:r>
      </w:hyperlink>
    </w:p>
    <w:p>
      <w:pPr>
        <w:pStyle w:val="Übersicht"/>
        <w:ind w:left="1020"/>
      </w:pPr>
      <w:hyperlink w:anchor="b1629" w:history="1">
        <w:r>
          <w:rPr>
            <w:color w:val="0A3A8C"/>
            <w:u w:val="single"/>
          </w:rPr>
          <w:t xml:space="preserve">§ 1145 Teilweise Befriedigung</w:t>
        </w:r>
      </w:hyperlink>
    </w:p>
    <w:p>
      <w:pPr>
        <w:pStyle w:val="Übersicht"/>
        <w:ind w:left="1020"/>
      </w:pPr>
      <w:hyperlink w:anchor="b1630" w:history="1">
        <w:r>
          <w:rPr>
            <w:color w:val="0A3A8C"/>
            <w:u w:val="single"/>
          </w:rPr>
          <w:t xml:space="preserve">§ 1146 Verzugszinsen</w:t>
        </w:r>
      </w:hyperlink>
    </w:p>
    <w:p>
      <w:pPr>
        <w:pStyle w:val="Übersicht"/>
        <w:ind w:left="1020"/>
      </w:pPr>
      <w:hyperlink w:anchor="b1631" w:history="1">
        <w:r>
          <w:rPr>
            <w:color w:val="0A3A8C"/>
            <w:u w:val="single"/>
          </w:rPr>
          <w:t xml:space="preserve">§ 1147 Befriedigung durch Zwangsvollstreckung</w:t>
        </w:r>
      </w:hyperlink>
    </w:p>
    <w:p>
      <w:pPr>
        <w:pStyle w:val="Übersicht"/>
        <w:ind w:left="1020"/>
      </w:pPr>
      <w:hyperlink w:anchor="b1632" w:history="1">
        <w:r>
          <w:rPr>
            <w:color w:val="0A3A8C"/>
            <w:u w:val="single"/>
          </w:rPr>
          <w:t xml:space="preserve">§ 1148 Eigentumsfiktion</w:t>
        </w:r>
      </w:hyperlink>
    </w:p>
    <w:p>
      <w:pPr>
        <w:pStyle w:val="Übersicht"/>
        <w:ind w:left="1020"/>
      </w:pPr>
      <w:hyperlink w:anchor="b1633" w:history="1">
        <w:r>
          <w:rPr>
            <w:color w:val="0A3A8C"/>
            <w:u w:val="single"/>
          </w:rPr>
          <w:t xml:space="preserve">§ 1149 Unzulässige Befriedigungsabreden</w:t>
        </w:r>
      </w:hyperlink>
    </w:p>
    <w:p>
      <w:pPr>
        <w:pStyle w:val="Übersicht"/>
        <w:ind w:left="1020"/>
      </w:pPr>
      <w:hyperlink w:anchor="b1634" w:history="1">
        <w:r>
          <w:rPr>
            <w:color w:val="0A3A8C"/>
            <w:u w:val="single"/>
          </w:rPr>
          <w:t xml:space="preserve">§ 1150 Ablösungsrecht Dritter</w:t>
        </w:r>
      </w:hyperlink>
    </w:p>
    <w:p>
      <w:pPr>
        <w:pStyle w:val="Übersicht"/>
        <w:ind w:left="1020"/>
      </w:pPr>
      <w:hyperlink w:anchor="b1635" w:history="1">
        <w:r>
          <w:rPr>
            <w:color w:val="0A3A8C"/>
            <w:u w:val="single"/>
          </w:rPr>
          <w:t xml:space="preserve">§ 1151 Rangänderung bei Teilhypotheken</w:t>
        </w:r>
      </w:hyperlink>
    </w:p>
    <w:p>
      <w:pPr>
        <w:pStyle w:val="Übersicht"/>
        <w:ind w:left="1020"/>
      </w:pPr>
      <w:hyperlink w:anchor="b1636" w:history="1">
        <w:r>
          <w:rPr>
            <w:color w:val="0A3A8C"/>
            <w:u w:val="single"/>
          </w:rPr>
          <w:t xml:space="preserve">§ 1152 Teilhypothekenbrief</w:t>
        </w:r>
      </w:hyperlink>
    </w:p>
    <w:p>
      <w:pPr>
        <w:pStyle w:val="Übersicht"/>
        <w:ind w:left="1020"/>
      </w:pPr>
      <w:hyperlink w:anchor="b1637" w:history="1">
        <w:r>
          <w:rPr>
            <w:color w:val="0A3A8C"/>
            <w:u w:val="single"/>
          </w:rPr>
          <w:t xml:space="preserve">§ 1153 Übertragung von Hypothek und Forderung</w:t>
        </w:r>
      </w:hyperlink>
    </w:p>
    <w:p>
      <w:pPr>
        <w:pStyle w:val="Übersicht"/>
        <w:ind w:left="1020"/>
      </w:pPr>
      <w:hyperlink w:anchor="b1638" w:history="1">
        <w:r>
          <w:rPr>
            <w:color w:val="0A3A8C"/>
            <w:u w:val="single"/>
          </w:rPr>
          <w:t xml:space="preserve">§ 1154 Abtretung der Forderung</w:t>
        </w:r>
      </w:hyperlink>
    </w:p>
    <w:p>
      <w:pPr>
        <w:pStyle w:val="Übersicht"/>
        <w:ind w:left="1020"/>
      </w:pPr>
      <w:hyperlink w:anchor="b1639" w:history="1">
        <w:r>
          <w:rPr>
            <w:color w:val="0A3A8C"/>
            <w:u w:val="single"/>
          </w:rPr>
          <w:t xml:space="preserve">§ 1155 Öffentlicher Glaube beglaubigter Abtretungserklärungen</w:t>
        </w:r>
      </w:hyperlink>
    </w:p>
    <w:p>
      <w:pPr>
        <w:pStyle w:val="Übersicht"/>
        <w:ind w:left="1020"/>
      </w:pPr>
      <w:hyperlink w:anchor="b1640" w:history="1">
        <w:r>
          <w:rPr>
            <w:color w:val="0A3A8C"/>
            <w:u w:val="single"/>
          </w:rPr>
          <w:t xml:space="preserve">§ 1156 Rechtsverhältnis zwischen Eigentümer und neuem Gläubiger</w:t>
        </w:r>
      </w:hyperlink>
    </w:p>
    <w:p>
      <w:pPr>
        <w:pStyle w:val="Übersicht"/>
        <w:ind w:left="1020"/>
      </w:pPr>
      <w:hyperlink w:anchor="b1641" w:history="1">
        <w:r>
          <w:rPr>
            <w:color w:val="0A3A8C"/>
            <w:u w:val="single"/>
          </w:rPr>
          <w:t xml:space="preserve">§ 1157 Fortbestehen der Einreden gegen die Hypothek</w:t>
        </w:r>
      </w:hyperlink>
    </w:p>
    <w:p>
      <w:pPr>
        <w:pStyle w:val="Übersicht"/>
        <w:ind w:left="1020"/>
      </w:pPr>
      <w:hyperlink w:anchor="b1642" w:history="1">
        <w:r>
          <w:rPr>
            <w:color w:val="0A3A8C"/>
            <w:u w:val="single"/>
          </w:rPr>
          <w:t xml:space="preserve">§ 1158 Künftige Nebenleistungen</w:t>
        </w:r>
      </w:hyperlink>
    </w:p>
    <w:p>
      <w:pPr>
        <w:pStyle w:val="Übersicht"/>
        <w:ind w:left="1020"/>
      </w:pPr>
      <w:hyperlink w:anchor="b1643" w:history="1">
        <w:r>
          <w:rPr>
            <w:color w:val="0A3A8C"/>
            <w:u w:val="single"/>
          </w:rPr>
          <w:t xml:space="preserve">§ 1159 Rückständige Nebenleistungen</w:t>
        </w:r>
      </w:hyperlink>
    </w:p>
    <w:p>
      <w:pPr>
        <w:pStyle w:val="Übersicht"/>
        <w:ind w:left="1020"/>
      </w:pPr>
      <w:hyperlink w:anchor="b1644" w:history="1">
        <w:r>
          <w:rPr>
            <w:color w:val="0A3A8C"/>
            <w:u w:val="single"/>
          </w:rPr>
          <w:t xml:space="preserve">§ 1160 Geltendmachung der Briefhypothek</w:t>
        </w:r>
      </w:hyperlink>
    </w:p>
    <w:p>
      <w:pPr>
        <w:pStyle w:val="Übersicht"/>
        <w:ind w:left="1020"/>
      </w:pPr>
      <w:hyperlink w:anchor="b1645" w:history="1">
        <w:r>
          <w:rPr>
            <w:color w:val="0A3A8C"/>
            <w:u w:val="single"/>
          </w:rPr>
          <w:t xml:space="preserve">§ 1161 Geltendmachung der Forderung</w:t>
        </w:r>
      </w:hyperlink>
    </w:p>
    <w:p>
      <w:pPr>
        <w:pStyle w:val="Übersicht"/>
        <w:ind w:left="1020"/>
      </w:pPr>
      <w:hyperlink w:anchor="b1646" w:history="1">
        <w:r>
          <w:rPr>
            <w:color w:val="0A3A8C"/>
            <w:u w:val="single"/>
          </w:rPr>
          <w:t xml:space="preserve">§ 1162 Aufgebot des Hypothekenbriefs</w:t>
        </w:r>
      </w:hyperlink>
    </w:p>
    <w:p>
      <w:pPr>
        <w:pStyle w:val="Übersicht"/>
        <w:ind w:left="1020"/>
      </w:pPr>
      <w:hyperlink w:anchor="b1647" w:history="1">
        <w:r>
          <w:rPr>
            <w:color w:val="0A3A8C"/>
            <w:u w:val="single"/>
          </w:rPr>
          <w:t xml:space="preserve">§ 1163 Eigentümerhypothek</w:t>
        </w:r>
      </w:hyperlink>
    </w:p>
    <w:p>
      <w:pPr>
        <w:pStyle w:val="Übersicht"/>
        <w:ind w:left="1020"/>
      </w:pPr>
      <w:hyperlink w:anchor="b1648" w:history="1">
        <w:r>
          <w:rPr>
            <w:color w:val="0A3A8C"/>
            <w:u w:val="single"/>
          </w:rPr>
          <w:t xml:space="preserve">§ 1164 Übergang der Hypothek auf den Schuldner</w:t>
        </w:r>
      </w:hyperlink>
    </w:p>
    <w:p>
      <w:pPr>
        <w:pStyle w:val="Übersicht"/>
        <w:ind w:left="1020"/>
      </w:pPr>
      <w:hyperlink w:anchor="b1649" w:history="1">
        <w:r>
          <w:rPr>
            <w:color w:val="0A3A8C"/>
            <w:u w:val="single"/>
          </w:rPr>
          <w:t xml:space="preserve">§ 1165 Freiwerden des Schuldners</w:t>
        </w:r>
      </w:hyperlink>
    </w:p>
    <w:p>
      <w:pPr>
        <w:pStyle w:val="Übersicht"/>
        <w:ind w:left="1020"/>
      </w:pPr>
      <w:hyperlink w:anchor="b1650" w:history="1">
        <w:r>
          <w:rPr>
            <w:color w:val="0A3A8C"/>
            <w:u w:val="single"/>
          </w:rPr>
          <w:t xml:space="preserve">§ 1166 Benachrichtigung des Schuldners</w:t>
        </w:r>
      </w:hyperlink>
    </w:p>
    <w:p>
      <w:pPr>
        <w:pStyle w:val="Übersicht"/>
        <w:ind w:left="1020"/>
      </w:pPr>
      <w:hyperlink w:anchor="b1651" w:history="1">
        <w:r>
          <w:rPr>
            <w:color w:val="0A3A8C"/>
            <w:u w:val="single"/>
          </w:rPr>
          <w:t xml:space="preserve">§ 1167 Aushändigung der Berichtigungsurkunden</w:t>
        </w:r>
      </w:hyperlink>
    </w:p>
    <w:p>
      <w:pPr>
        <w:pStyle w:val="Übersicht"/>
        <w:ind w:left="1020"/>
      </w:pPr>
      <w:hyperlink w:anchor="b1652" w:history="1">
        <w:r>
          <w:rPr>
            <w:color w:val="0A3A8C"/>
            <w:u w:val="single"/>
          </w:rPr>
          <w:t xml:space="preserve">§ 1168 Verzicht auf die Hypothek</w:t>
        </w:r>
      </w:hyperlink>
    </w:p>
    <w:p>
      <w:pPr>
        <w:pStyle w:val="Übersicht"/>
        <w:ind w:left="1020"/>
      </w:pPr>
      <w:hyperlink w:anchor="b1653" w:history="1">
        <w:r>
          <w:rPr>
            <w:color w:val="0A3A8C"/>
            <w:u w:val="single"/>
          </w:rPr>
          <w:t xml:space="preserve">§ 1169 Rechtszerstörende Einrede</w:t>
        </w:r>
      </w:hyperlink>
    </w:p>
    <w:p>
      <w:pPr>
        <w:pStyle w:val="Übersicht"/>
        <w:ind w:left="1020"/>
      </w:pPr>
      <w:hyperlink w:anchor="b1654" w:history="1">
        <w:r>
          <w:rPr>
            <w:color w:val="0A3A8C"/>
            <w:u w:val="single"/>
          </w:rPr>
          <w:t xml:space="preserve">§ 1170 Ausschluss unbekannter Gläubiger</w:t>
        </w:r>
      </w:hyperlink>
    </w:p>
    <w:p>
      <w:pPr>
        <w:pStyle w:val="Übersicht"/>
        <w:ind w:left="1020"/>
      </w:pPr>
      <w:hyperlink w:anchor="b1655" w:history="1">
        <w:r>
          <w:rPr>
            <w:color w:val="0A3A8C"/>
            <w:u w:val="single"/>
          </w:rPr>
          <w:t xml:space="preserve">§ 1171 Ausschluss durch Hinterlegung</w:t>
        </w:r>
      </w:hyperlink>
    </w:p>
    <w:p>
      <w:pPr>
        <w:pStyle w:val="Übersicht"/>
        <w:ind w:left="1020"/>
      </w:pPr>
      <w:hyperlink w:anchor="b1656" w:history="1">
        <w:r>
          <w:rPr>
            <w:color w:val="0A3A8C"/>
            <w:u w:val="single"/>
          </w:rPr>
          <w:t xml:space="preserve">§ 1172 Eigentümergesamthypothek</w:t>
        </w:r>
      </w:hyperlink>
    </w:p>
    <w:p>
      <w:pPr>
        <w:pStyle w:val="Übersicht"/>
        <w:ind w:left="1020"/>
      </w:pPr>
      <w:hyperlink w:anchor="b1657" w:history="1">
        <w:r>
          <w:rPr>
            <w:color w:val="0A3A8C"/>
            <w:u w:val="single"/>
          </w:rPr>
          <w:t xml:space="preserve">§ 1173 Befriedigung durch einen der Eigentümer</w:t>
        </w:r>
      </w:hyperlink>
    </w:p>
    <w:p>
      <w:pPr>
        <w:pStyle w:val="Übersicht"/>
        <w:ind w:left="1020"/>
      </w:pPr>
      <w:hyperlink w:anchor="b1658" w:history="1">
        <w:r>
          <w:rPr>
            <w:color w:val="0A3A8C"/>
            <w:u w:val="single"/>
          </w:rPr>
          <w:t xml:space="preserve">§ 1174 Befriedigung durch den persönlichen Schuldner</w:t>
        </w:r>
      </w:hyperlink>
    </w:p>
    <w:p>
      <w:pPr>
        <w:pStyle w:val="Übersicht"/>
        <w:ind w:left="1020"/>
      </w:pPr>
      <w:hyperlink w:anchor="b1659" w:history="1">
        <w:r>
          <w:rPr>
            <w:color w:val="0A3A8C"/>
            <w:u w:val="single"/>
          </w:rPr>
          <w:t xml:space="preserve">§ 1175 Verzicht auf die Gesamthypothek</w:t>
        </w:r>
      </w:hyperlink>
    </w:p>
    <w:p>
      <w:pPr>
        <w:pStyle w:val="Übersicht"/>
        <w:ind w:left="1020"/>
      </w:pPr>
      <w:hyperlink w:anchor="b1660" w:history="1">
        <w:r>
          <w:rPr>
            <w:color w:val="0A3A8C"/>
            <w:u w:val="single"/>
          </w:rPr>
          <w:t xml:space="preserve">§ 1176 Eigentümerteilhypothek; Kollisionsklausel</w:t>
        </w:r>
      </w:hyperlink>
    </w:p>
    <w:p>
      <w:pPr>
        <w:pStyle w:val="Übersicht"/>
        <w:ind w:left="1020"/>
      </w:pPr>
      <w:hyperlink w:anchor="b1661" w:history="1">
        <w:r>
          <w:rPr>
            <w:color w:val="0A3A8C"/>
            <w:u w:val="single"/>
          </w:rPr>
          <w:t xml:space="preserve">§ 1177 Eigentümergrundschuld, Eigentümerhypothek</w:t>
        </w:r>
      </w:hyperlink>
    </w:p>
    <w:p>
      <w:pPr>
        <w:pStyle w:val="Übersicht"/>
        <w:ind w:left="1020"/>
      </w:pPr>
      <w:hyperlink w:anchor="b1662" w:history="1">
        <w:r>
          <w:rPr>
            <w:color w:val="0A3A8C"/>
            <w:u w:val="single"/>
          </w:rPr>
          <w:t xml:space="preserve">§ 1178 Hypothek für Nebenleistungen und Kosten</w:t>
        </w:r>
      </w:hyperlink>
    </w:p>
    <w:p>
      <w:pPr>
        <w:pStyle w:val="Übersicht"/>
        <w:ind w:left="1020"/>
      </w:pPr>
      <w:hyperlink w:anchor="b1663" w:history="1">
        <w:r>
          <w:rPr>
            <w:color w:val="0A3A8C"/>
            <w:u w:val="single"/>
          </w:rPr>
          <w:t xml:space="preserve">§ 1179 Löschungsvormerkung</w:t>
        </w:r>
      </w:hyperlink>
    </w:p>
    <w:p>
      <w:pPr>
        <w:pStyle w:val="Übersicht"/>
        <w:ind w:left="1020"/>
      </w:pPr>
      <w:hyperlink w:anchor="b1664" w:history="1">
        <w:r>
          <w:rPr>
            <w:color w:val="0A3A8C"/>
            <w:u w:val="single"/>
          </w:rPr>
          <w:t xml:space="preserve">§ 1179a Löschungsanspruch bei fremden Rechten</w:t>
        </w:r>
      </w:hyperlink>
    </w:p>
    <w:p>
      <w:pPr>
        <w:pStyle w:val="Übersicht"/>
        <w:ind w:left="1020"/>
      </w:pPr>
      <w:hyperlink w:anchor="b1665" w:history="1">
        <w:r>
          <w:rPr>
            <w:color w:val="0A3A8C"/>
            <w:u w:val="single"/>
          </w:rPr>
          <w:t xml:space="preserve">§ 1179b Löschungsanspruch bei eigenem Recht</w:t>
        </w:r>
      </w:hyperlink>
    </w:p>
    <w:p>
      <w:pPr>
        <w:pStyle w:val="Übersicht"/>
        <w:ind w:left="1020"/>
      </w:pPr>
      <w:hyperlink w:anchor="b1666" w:history="1">
        <w:r>
          <w:rPr>
            <w:color w:val="0A3A8C"/>
            <w:u w:val="single"/>
          </w:rPr>
          <w:t xml:space="preserve">§ 1180 Auswechslung der Forderung</w:t>
        </w:r>
      </w:hyperlink>
    </w:p>
    <w:p>
      <w:pPr>
        <w:pStyle w:val="Übersicht"/>
        <w:ind w:left="1020"/>
      </w:pPr>
      <w:hyperlink w:anchor="b1667" w:history="1">
        <w:r>
          <w:rPr>
            <w:color w:val="0A3A8C"/>
            <w:u w:val="single"/>
          </w:rPr>
          <w:t xml:space="preserve">§ 1181 Erlöschen durch Befriedigung aus dem Grundstück</w:t>
        </w:r>
      </w:hyperlink>
    </w:p>
    <w:p>
      <w:pPr>
        <w:pStyle w:val="Übersicht"/>
        <w:ind w:left="1020"/>
      </w:pPr>
      <w:hyperlink w:anchor="b1668" w:history="1">
        <w:r>
          <w:rPr>
            <w:color w:val="0A3A8C"/>
            <w:u w:val="single"/>
          </w:rPr>
          <w:t xml:space="preserve">§ 1182 Übergang bei Befriedigung aus der Gesamthypothek</w:t>
        </w:r>
      </w:hyperlink>
    </w:p>
    <w:p>
      <w:pPr>
        <w:pStyle w:val="Übersicht"/>
        <w:ind w:left="1020"/>
      </w:pPr>
      <w:hyperlink w:anchor="b1669" w:history="1">
        <w:r>
          <w:rPr>
            <w:color w:val="0A3A8C"/>
            <w:u w:val="single"/>
          </w:rPr>
          <w:t xml:space="preserve">§ 1183 Aufhebung der Hypothek</w:t>
        </w:r>
      </w:hyperlink>
    </w:p>
    <w:p>
      <w:pPr>
        <w:pStyle w:val="Übersicht"/>
        <w:ind w:left="1020"/>
      </w:pPr>
      <w:hyperlink w:anchor="b1670" w:history="1">
        <w:r>
          <w:rPr>
            <w:color w:val="0A3A8C"/>
            <w:u w:val="single"/>
          </w:rPr>
          <w:t xml:space="preserve">§ 1184 Sicherungshypothek</w:t>
        </w:r>
      </w:hyperlink>
    </w:p>
    <w:p>
      <w:pPr>
        <w:pStyle w:val="Übersicht"/>
        <w:ind w:left="1020"/>
      </w:pPr>
      <w:hyperlink w:anchor="b1671" w:history="1">
        <w:r>
          <w:rPr>
            <w:color w:val="0A3A8C"/>
            <w:u w:val="single"/>
          </w:rPr>
          <w:t xml:space="preserve">§ 1185 Buchhypothek; unanwendbare Vorschriften</w:t>
        </w:r>
      </w:hyperlink>
    </w:p>
    <w:p>
      <w:pPr>
        <w:pStyle w:val="Übersicht"/>
        <w:ind w:left="1020"/>
      </w:pPr>
      <w:hyperlink w:anchor="b1672" w:history="1">
        <w:r>
          <w:rPr>
            <w:color w:val="0A3A8C"/>
            <w:u w:val="single"/>
          </w:rPr>
          <w:t xml:space="preserve">§ 1186 Zulässige Umwandlungen</w:t>
        </w:r>
      </w:hyperlink>
    </w:p>
    <w:p>
      <w:pPr>
        <w:pStyle w:val="Übersicht"/>
        <w:ind w:left="1020"/>
      </w:pPr>
      <w:hyperlink w:anchor="b1673" w:history="1">
        <w:r>
          <w:rPr>
            <w:color w:val="0A3A8C"/>
            <w:u w:val="single"/>
          </w:rPr>
          <w:t xml:space="preserve">§ 1187 Sicherungshypothek für Inhaber- und Orderpapiere</w:t>
        </w:r>
      </w:hyperlink>
    </w:p>
    <w:p>
      <w:pPr>
        <w:pStyle w:val="Übersicht"/>
        <w:ind w:left="1020"/>
      </w:pPr>
      <w:hyperlink w:anchor="b1674" w:history="1">
        <w:r>
          <w:rPr>
            <w:color w:val="0A3A8C"/>
            <w:u w:val="single"/>
          </w:rPr>
          <w:t xml:space="preserve">§ 1188 Sondervorschrift für Schuldverschreibungen auf den Inhaber</w:t>
        </w:r>
      </w:hyperlink>
    </w:p>
    <w:p>
      <w:pPr>
        <w:pStyle w:val="Übersicht"/>
        <w:ind w:left="1020"/>
      </w:pPr>
      <w:hyperlink w:anchor="b1675" w:history="1">
        <w:r>
          <w:rPr>
            <w:color w:val="0A3A8C"/>
            <w:u w:val="single"/>
          </w:rPr>
          <w:t xml:space="preserve">§ 1189 Bestellung eines Grundbuchvertreters</w:t>
        </w:r>
      </w:hyperlink>
    </w:p>
    <w:p>
      <w:pPr>
        <w:pStyle w:val="Übersicht"/>
        <w:ind w:left="1020"/>
      </w:pPr>
      <w:hyperlink w:anchor="b1676" w:history="1">
        <w:r>
          <w:rPr>
            <w:color w:val="0A3A8C"/>
            <w:u w:val="single"/>
          </w:rPr>
          <w:t xml:space="preserve">§ 1190 Höchstbetragshypothek</w:t>
        </w:r>
      </w:hyperlink>
    </w:p>
    <w:p>
      <w:pPr>
        <w:pStyle w:val="Übersicht"/>
        <w:ind w:left="680"/>
      </w:pPr>
      <w:hyperlink w:anchor="b1677" w:history="1">
        <w:r>
          <w:rPr>
            <w:b/>
            <w:color w:val="0A3A8C"/>
            <w:u w:val="single"/>
          </w:rPr>
          <w:t xml:space="preserve">Titel 2 Grundschuld, Rentenschuld</w:t>
        </w:r>
      </w:hyperlink>
    </w:p>
    <w:p>
      <w:pPr>
        <w:pStyle w:val="Übersicht"/>
        <w:ind w:left="1020"/>
      </w:pPr>
      <w:hyperlink w:anchor="b1678" w:history="1">
        <w:r>
          <w:rPr>
            <w:b/>
            <w:color w:val="0A3A8C"/>
            <w:u w:val="single"/>
          </w:rPr>
          <w:t xml:space="preserve">Untertitel 1 Grundschuld</w:t>
        </w:r>
      </w:hyperlink>
    </w:p>
    <w:p>
      <w:pPr>
        <w:pStyle w:val="Übersicht"/>
        <w:ind w:left="1361"/>
      </w:pPr>
      <w:hyperlink w:anchor="b1679" w:history="1">
        <w:r>
          <w:rPr>
            <w:color w:val="0A3A8C"/>
            <w:u w:val="single"/>
          </w:rPr>
          <w:t xml:space="preserve">§ 1191 Gesetzlicher Inhalt der Grundschuld</w:t>
        </w:r>
      </w:hyperlink>
    </w:p>
    <w:p>
      <w:pPr>
        <w:pStyle w:val="Übersicht"/>
        <w:ind w:left="1361"/>
      </w:pPr>
      <w:hyperlink w:anchor="b1680" w:history="1">
        <w:r>
          <w:rPr>
            <w:color w:val="0A3A8C"/>
            <w:u w:val="single"/>
          </w:rPr>
          <w:t xml:space="preserve">§ 1192 Anwendbare Vorschriften</w:t>
        </w:r>
      </w:hyperlink>
    </w:p>
    <w:p>
      <w:pPr>
        <w:pStyle w:val="Übersicht"/>
        <w:ind w:left="1361"/>
      </w:pPr>
      <w:hyperlink w:anchor="b1681" w:history="1">
        <w:r>
          <w:rPr>
            <w:color w:val="0A3A8C"/>
            <w:u w:val="single"/>
          </w:rPr>
          <w:t xml:space="preserve">§ 1193 Kündigung</w:t>
        </w:r>
      </w:hyperlink>
    </w:p>
    <w:p>
      <w:pPr>
        <w:pStyle w:val="Übersicht"/>
        <w:ind w:left="1361"/>
      </w:pPr>
      <w:hyperlink w:anchor="b1682" w:history="1">
        <w:r>
          <w:rPr>
            <w:color w:val="0A3A8C"/>
            <w:u w:val="single"/>
          </w:rPr>
          <w:t xml:space="preserve">§ 1194 Zahlungsort</w:t>
        </w:r>
      </w:hyperlink>
    </w:p>
    <w:p>
      <w:pPr>
        <w:pStyle w:val="Übersicht"/>
        <w:ind w:left="1361"/>
      </w:pPr>
      <w:hyperlink w:anchor="b1683" w:history="1">
        <w:r>
          <w:rPr>
            <w:color w:val="0A3A8C"/>
            <w:u w:val="single"/>
          </w:rPr>
          <w:t xml:space="preserve">§ 1195 Inhabergrundschuld</w:t>
        </w:r>
      </w:hyperlink>
    </w:p>
    <w:p>
      <w:pPr>
        <w:pStyle w:val="Übersicht"/>
        <w:ind w:left="1361"/>
      </w:pPr>
      <w:hyperlink w:anchor="b1684" w:history="1">
        <w:r>
          <w:rPr>
            <w:color w:val="0A3A8C"/>
            <w:u w:val="single"/>
          </w:rPr>
          <w:t xml:space="preserve">§ 1196 Eigentümergrundschuld</w:t>
        </w:r>
      </w:hyperlink>
    </w:p>
    <w:p>
      <w:pPr>
        <w:pStyle w:val="Übersicht"/>
        <w:ind w:left="1361"/>
      </w:pPr>
      <w:hyperlink w:anchor="b1685" w:history="1">
        <w:r>
          <w:rPr>
            <w:color w:val="0A3A8C"/>
            <w:u w:val="single"/>
          </w:rPr>
          <w:t xml:space="preserve">§ 1197 Abweichungen von der Fremdgrundschuld</w:t>
        </w:r>
      </w:hyperlink>
    </w:p>
    <w:p>
      <w:pPr>
        <w:pStyle w:val="Übersicht"/>
        <w:ind w:left="1361"/>
      </w:pPr>
      <w:hyperlink w:anchor="b1686" w:history="1">
        <w:r>
          <w:rPr>
            <w:color w:val="0A3A8C"/>
            <w:u w:val="single"/>
          </w:rPr>
          <w:t xml:space="preserve">§ 1198 Zulässige Umwandlungen</w:t>
        </w:r>
      </w:hyperlink>
    </w:p>
    <w:p>
      <w:pPr>
        <w:pStyle w:val="Übersicht"/>
        <w:ind w:left="1020"/>
      </w:pPr>
      <w:hyperlink w:anchor="b1687" w:history="1">
        <w:r>
          <w:rPr>
            <w:b/>
            <w:color w:val="0A3A8C"/>
            <w:u w:val="single"/>
          </w:rPr>
          <w:t xml:space="preserve">Untertitel 2 Rentenschuld</w:t>
        </w:r>
      </w:hyperlink>
    </w:p>
    <w:p>
      <w:pPr>
        <w:pStyle w:val="Übersicht"/>
        <w:ind w:left="1361"/>
      </w:pPr>
      <w:hyperlink w:anchor="b1688" w:history="1">
        <w:r>
          <w:rPr>
            <w:color w:val="0A3A8C"/>
            <w:u w:val="single"/>
          </w:rPr>
          <w:t xml:space="preserve">§ 1199 Gesetzlicher Inhalt der Rentenschuld</w:t>
        </w:r>
      </w:hyperlink>
    </w:p>
    <w:p>
      <w:pPr>
        <w:pStyle w:val="Übersicht"/>
        <w:ind w:left="1361"/>
      </w:pPr>
      <w:hyperlink w:anchor="b1689" w:history="1">
        <w:r>
          <w:rPr>
            <w:color w:val="0A3A8C"/>
            <w:u w:val="single"/>
          </w:rPr>
          <w:t xml:space="preserve">§ 1200 Anwendbare Vorschriften</w:t>
        </w:r>
      </w:hyperlink>
    </w:p>
    <w:p>
      <w:pPr>
        <w:pStyle w:val="Übersicht"/>
        <w:ind w:left="1361"/>
      </w:pPr>
      <w:hyperlink w:anchor="b1690" w:history="1">
        <w:r>
          <w:rPr>
            <w:color w:val="0A3A8C"/>
            <w:u w:val="single"/>
          </w:rPr>
          <w:t xml:space="preserve">§ 1201 Ablösungsrecht</w:t>
        </w:r>
      </w:hyperlink>
    </w:p>
    <w:p>
      <w:pPr>
        <w:pStyle w:val="Übersicht"/>
        <w:ind w:left="1361"/>
      </w:pPr>
      <w:hyperlink w:anchor="b1691" w:history="1">
        <w:r>
          <w:rPr>
            <w:color w:val="0A3A8C"/>
            <w:u w:val="single"/>
          </w:rPr>
          <w:t xml:space="preserve">§ 1202 Kündigung</w:t>
        </w:r>
      </w:hyperlink>
    </w:p>
    <w:p>
      <w:pPr>
        <w:pStyle w:val="Übersicht"/>
        <w:ind w:left="1361"/>
      </w:pPr>
      <w:hyperlink w:anchor="b1692" w:history="1">
        <w:r>
          <w:rPr>
            <w:color w:val="0A3A8C"/>
            <w:u w:val="single"/>
          </w:rPr>
          <w:t xml:space="preserve">§ 1203 Zulässige Umwandlungen</w:t>
        </w:r>
      </w:hyperlink>
    </w:p>
    <w:p>
      <w:pPr>
        <w:pStyle w:val="Übersicht"/>
        <w:ind w:left="340"/>
      </w:pPr>
      <w:hyperlink w:anchor="b1693" w:history="1">
        <w:r>
          <w:rPr>
            <w:b/>
            <w:color w:val="0A3A8C"/>
            <w:u w:val="single"/>
          </w:rPr>
          <w:t xml:space="preserve">Abschnitt 8 Pfandrecht an beweglichen Sachen
und an Rechten</w:t>
        </w:r>
      </w:hyperlink>
    </w:p>
    <w:p>
      <w:pPr>
        <w:pStyle w:val="Übersicht"/>
        <w:ind w:left="680"/>
      </w:pPr>
      <w:hyperlink w:anchor="b1694" w:history="1">
        <w:r>
          <w:rPr>
            <w:b/>
            <w:color w:val="0A3A8C"/>
            <w:u w:val="single"/>
          </w:rPr>
          <w:t xml:space="preserve">Titel 1 Pfandrecht an beweglichen Sachen</w:t>
        </w:r>
      </w:hyperlink>
    </w:p>
    <w:p>
      <w:pPr>
        <w:pStyle w:val="Übersicht"/>
        <w:ind w:left="1020"/>
      </w:pPr>
      <w:hyperlink w:anchor="b1695" w:history="1">
        <w:r>
          <w:rPr>
            <w:color w:val="0A3A8C"/>
            <w:u w:val="single"/>
          </w:rPr>
          <w:t xml:space="preserve">§ 1204 Gesetzlicher Inhalt des Pfandrechts an beweglichen Sachen</w:t>
        </w:r>
      </w:hyperlink>
    </w:p>
    <w:p>
      <w:pPr>
        <w:pStyle w:val="Übersicht"/>
        <w:ind w:left="1020"/>
      </w:pPr>
      <w:hyperlink w:anchor="b1696" w:history="1">
        <w:r>
          <w:rPr>
            <w:color w:val="0A3A8C"/>
            <w:u w:val="single"/>
          </w:rPr>
          <w:t xml:space="preserve">§ 1205 Bestellung</w:t>
        </w:r>
      </w:hyperlink>
    </w:p>
    <w:p>
      <w:pPr>
        <w:pStyle w:val="Übersicht"/>
        <w:ind w:left="1020"/>
      </w:pPr>
      <w:hyperlink w:anchor="b1697" w:history="1">
        <w:r>
          <w:rPr>
            <w:color w:val="0A3A8C"/>
            <w:u w:val="single"/>
          </w:rPr>
          <w:t xml:space="preserve">§ 1206 Übergabeersatz durch Einräumung des Mitbesitzes</w:t>
        </w:r>
      </w:hyperlink>
    </w:p>
    <w:p>
      <w:pPr>
        <w:pStyle w:val="Übersicht"/>
        <w:ind w:left="1020"/>
      </w:pPr>
      <w:hyperlink w:anchor="b1698" w:history="1">
        <w:r>
          <w:rPr>
            <w:color w:val="0A3A8C"/>
            <w:u w:val="single"/>
          </w:rPr>
          <w:t xml:space="preserve">§ 1207 Verpfändung durch Nichtberechtigten</w:t>
        </w:r>
      </w:hyperlink>
    </w:p>
    <w:p>
      <w:pPr>
        <w:pStyle w:val="Übersicht"/>
        <w:ind w:left="1020"/>
      </w:pPr>
      <w:hyperlink w:anchor="b1699" w:history="1">
        <w:r>
          <w:rPr>
            <w:color w:val="0A3A8C"/>
            <w:u w:val="single"/>
          </w:rPr>
          <w:t xml:space="preserve">§ 1208 Gutgläubiger Erwerb des Vorrangs</w:t>
        </w:r>
      </w:hyperlink>
    </w:p>
    <w:p>
      <w:pPr>
        <w:pStyle w:val="Übersicht"/>
        <w:ind w:left="1020"/>
      </w:pPr>
      <w:hyperlink w:anchor="b1700" w:history="1">
        <w:r>
          <w:rPr>
            <w:color w:val="0A3A8C"/>
            <w:u w:val="single"/>
          </w:rPr>
          <w:t xml:space="preserve">§ 1209 Rang des Pfandrechts</w:t>
        </w:r>
      </w:hyperlink>
    </w:p>
    <w:p>
      <w:pPr>
        <w:pStyle w:val="Übersicht"/>
        <w:ind w:left="1020"/>
      </w:pPr>
      <w:hyperlink w:anchor="b1701" w:history="1">
        <w:r>
          <w:rPr>
            <w:color w:val="0A3A8C"/>
            <w:u w:val="single"/>
          </w:rPr>
          <w:t xml:space="preserve">§ 1210 Umfang der Haftung des Pfandes</w:t>
        </w:r>
      </w:hyperlink>
    </w:p>
    <w:p>
      <w:pPr>
        <w:pStyle w:val="Übersicht"/>
        <w:ind w:left="1020"/>
      </w:pPr>
      <w:hyperlink w:anchor="b1702" w:history="1">
        <w:r>
          <w:rPr>
            <w:color w:val="0A3A8C"/>
            <w:u w:val="single"/>
          </w:rPr>
          <w:t xml:space="preserve">§ 1211 Einreden des Verpfänders</w:t>
        </w:r>
      </w:hyperlink>
    </w:p>
    <w:p>
      <w:pPr>
        <w:pStyle w:val="Übersicht"/>
        <w:ind w:left="1020"/>
      </w:pPr>
      <w:hyperlink w:anchor="b1703" w:history="1">
        <w:r>
          <w:rPr>
            <w:color w:val="0A3A8C"/>
            <w:u w:val="single"/>
          </w:rPr>
          <w:t xml:space="preserve">§ 1212 Erstreckung auf getrennte Erzeugnisse</w:t>
        </w:r>
      </w:hyperlink>
    </w:p>
    <w:p>
      <w:pPr>
        <w:pStyle w:val="Übersicht"/>
        <w:ind w:left="1020"/>
      </w:pPr>
      <w:hyperlink w:anchor="b1704" w:history="1">
        <w:r>
          <w:rPr>
            <w:color w:val="0A3A8C"/>
            <w:u w:val="single"/>
          </w:rPr>
          <w:t xml:space="preserve">§ 1213 Nutzungspfand</w:t>
        </w:r>
      </w:hyperlink>
    </w:p>
    <w:p>
      <w:pPr>
        <w:pStyle w:val="Übersicht"/>
        <w:ind w:left="1020"/>
      </w:pPr>
      <w:hyperlink w:anchor="b1705" w:history="1">
        <w:r>
          <w:rPr>
            <w:color w:val="0A3A8C"/>
            <w:u w:val="single"/>
          </w:rPr>
          <w:t xml:space="preserve">§ 1214 Pflichten des nutzungsberechtigten Pfandgläubigers</w:t>
        </w:r>
      </w:hyperlink>
    </w:p>
    <w:p>
      <w:pPr>
        <w:pStyle w:val="Übersicht"/>
        <w:ind w:left="1020"/>
      </w:pPr>
      <w:hyperlink w:anchor="b1706" w:history="1">
        <w:r>
          <w:rPr>
            <w:color w:val="0A3A8C"/>
            <w:u w:val="single"/>
          </w:rPr>
          <w:t xml:space="preserve">§ 1215 Verwahrungspflicht</w:t>
        </w:r>
      </w:hyperlink>
    </w:p>
    <w:p>
      <w:pPr>
        <w:pStyle w:val="Übersicht"/>
        <w:ind w:left="1020"/>
      </w:pPr>
      <w:hyperlink w:anchor="b1707" w:history="1">
        <w:r>
          <w:rPr>
            <w:color w:val="0A3A8C"/>
            <w:u w:val="single"/>
          </w:rPr>
          <w:t xml:space="preserve">§ 1216 Ersatz von Verwendungen</w:t>
        </w:r>
      </w:hyperlink>
    </w:p>
    <w:p>
      <w:pPr>
        <w:pStyle w:val="Übersicht"/>
        <w:ind w:left="1020"/>
      </w:pPr>
      <w:hyperlink w:anchor="b1708" w:history="1">
        <w:r>
          <w:rPr>
            <w:color w:val="0A3A8C"/>
            <w:u w:val="single"/>
          </w:rPr>
          <w:t xml:space="preserve">§ 1217 Rechtsverletzung durch den Pfandgläubiger</w:t>
        </w:r>
      </w:hyperlink>
    </w:p>
    <w:p>
      <w:pPr>
        <w:pStyle w:val="Übersicht"/>
        <w:ind w:left="1020"/>
      </w:pPr>
      <w:hyperlink w:anchor="b1709" w:history="1">
        <w:r>
          <w:rPr>
            <w:color w:val="0A3A8C"/>
            <w:u w:val="single"/>
          </w:rPr>
          <w:t xml:space="preserve">§ 1218 Rechte des Verpfänders bei drohendem Verderb</w:t>
        </w:r>
      </w:hyperlink>
    </w:p>
    <w:p>
      <w:pPr>
        <w:pStyle w:val="Übersicht"/>
        <w:ind w:left="1020"/>
      </w:pPr>
      <w:hyperlink w:anchor="b1710" w:history="1">
        <w:r>
          <w:rPr>
            <w:color w:val="0A3A8C"/>
            <w:u w:val="single"/>
          </w:rPr>
          <w:t xml:space="preserve">§ 1219 Rechte des Pfandgläubigers bei drohendem Verderb</w:t>
        </w:r>
      </w:hyperlink>
    </w:p>
    <w:p>
      <w:pPr>
        <w:pStyle w:val="Übersicht"/>
        <w:ind w:left="1020"/>
      </w:pPr>
      <w:hyperlink w:anchor="b1711" w:history="1">
        <w:r>
          <w:rPr>
            <w:color w:val="0A3A8C"/>
            <w:u w:val="single"/>
          </w:rPr>
          <w:t xml:space="preserve">§ 1220 Androhung der Versteigerung</w:t>
        </w:r>
      </w:hyperlink>
    </w:p>
    <w:p>
      <w:pPr>
        <w:pStyle w:val="Übersicht"/>
        <w:ind w:left="1020"/>
      </w:pPr>
      <w:hyperlink w:anchor="b1712" w:history="1">
        <w:r>
          <w:rPr>
            <w:color w:val="0A3A8C"/>
            <w:u w:val="single"/>
          </w:rPr>
          <w:t xml:space="preserve">§ 1221 Freihändiger Verkauf</w:t>
        </w:r>
      </w:hyperlink>
    </w:p>
    <w:p>
      <w:pPr>
        <w:pStyle w:val="Übersicht"/>
        <w:ind w:left="1020"/>
      </w:pPr>
      <w:hyperlink w:anchor="b1713" w:history="1">
        <w:r>
          <w:rPr>
            <w:color w:val="0A3A8C"/>
            <w:u w:val="single"/>
          </w:rPr>
          <w:t xml:space="preserve">§ 1222 Pfandrecht an mehreren Sachen</w:t>
        </w:r>
      </w:hyperlink>
    </w:p>
    <w:p>
      <w:pPr>
        <w:pStyle w:val="Übersicht"/>
        <w:ind w:left="1020"/>
      </w:pPr>
      <w:hyperlink w:anchor="b1714" w:history="1">
        <w:r>
          <w:rPr>
            <w:color w:val="0A3A8C"/>
            <w:u w:val="single"/>
          </w:rPr>
          <w:t xml:space="preserve">§ 1223 Rückgabepflicht; Einlösungsrecht</w:t>
        </w:r>
      </w:hyperlink>
    </w:p>
    <w:p>
      <w:pPr>
        <w:pStyle w:val="Übersicht"/>
        <w:ind w:left="1020"/>
      </w:pPr>
      <w:hyperlink w:anchor="b1715" w:history="1">
        <w:r>
          <w:rPr>
            <w:color w:val="0A3A8C"/>
            <w:u w:val="single"/>
          </w:rPr>
          <w:t xml:space="preserve">§ 1224 Befriedigung durch Hinterlegung oder Aufrechnung</w:t>
        </w:r>
      </w:hyperlink>
    </w:p>
    <w:p>
      <w:pPr>
        <w:pStyle w:val="Übersicht"/>
        <w:ind w:left="1020"/>
      </w:pPr>
      <w:hyperlink w:anchor="b1716" w:history="1">
        <w:r>
          <w:rPr>
            <w:color w:val="0A3A8C"/>
            <w:u w:val="single"/>
          </w:rPr>
          <w:t xml:space="preserve">§ 1225 Forderungsübergang auf den Verpfänder</w:t>
        </w:r>
      </w:hyperlink>
    </w:p>
    <w:p>
      <w:pPr>
        <w:pStyle w:val="Übersicht"/>
        <w:ind w:left="1020"/>
      </w:pPr>
      <w:hyperlink w:anchor="b1717" w:history="1">
        <w:r>
          <w:rPr>
            <w:color w:val="0A3A8C"/>
            <w:u w:val="single"/>
          </w:rPr>
          <w:t xml:space="preserve">§ 1226 Verjährung der Ersatzansprüche</w:t>
        </w:r>
      </w:hyperlink>
    </w:p>
    <w:p>
      <w:pPr>
        <w:pStyle w:val="Übersicht"/>
        <w:ind w:left="1020"/>
      </w:pPr>
      <w:hyperlink w:anchor="b1718" w:history="1">
        <w:r>
          <w:rPr>
            <w:color w:val="0A3A8C"/>
            <w:u w:val="single"/>
          </w:rPr>
          <w:t xml:space="preserve">§ 1227 Schutz des Pfandrechts</w:t>
        </w:r>
      </w:hyperlink>
    </w:p>
    <w:p>
      <w:pPr>
        <w:pStyle w:val="Übersicht"/>
        <w:ind w:left="1020"/>
      </w:pPr>
      <w:hyperlink w:anchor="b1719" w:history="1">
        <w:r>
          <w:rPr>
            <w:color w:val="0A3A8C"/>
            <w:u w:val="single"/>
          </w:rPr>
          <w:t xml:space="preserve">§ 1228 Befriedigung durch Pfandverkauf</w:t>
        </w:r>
      </w:hyperlink>
    </w:p>
    <w:p>
      <w:pPr>
        <w:pStyle w:val="Übersicht"/>
        <w:ind w:left="1020"/>
      </w:pPr>
      <w:hyperlink w:anchor="b1720" w:history="1">
        <w:r>
          <w:rPr>
            <w:color w:val="0A3A8C"/>
            <w:u w:val="single"/>
          </w:rPr>
          <w:t xml:space="preserve">§ 1229 Verbot der Verfallvereinbarung</w:t>
        </w:r>
      </w:hyperlink>
    </w:p>
    <w:p>
      <w:pPr>
        <w:pStyle w:val="Übersicht"/>
        <w:ind w:left="1020"/>
      </w:pPr>
      <w:hyperlink w:anchor="b1721" w:history="1">
        <w:r>
          <w:rPr>
            <w:color w:val="0A3A8C"/>
            <w:u w:val="single"/>
          </w:rPr>
          <w:t xml:space="preserve">§ 1230 Auswahl unter mehreren Pfändern</w:t>
        </w:r>
      </w:hyperlink>
    </w:p>
    <w:p>
      <w:pPr>
        <w:pStyle w:val="Übersicht"/>
        <w:ind w:left="1020"/>
      </w:pPr>
      <w:hyperlink w:anchor="b1722" w:history="1">
        <w:r>
          <w:rPr>
            <w:color w:val="0A3A8C"/>
            <w:u w:val="single"/>
          </w:rPr>
          <w:t xml:space="preserve">§ 1231 Herausgabe des Pfandes zum Verkauf</w:t>
        </w:r>
      </w:hyperlink>
    </w:p>
    <w:p>
      <w:pPr>
        <w:pStyle w:val="Übersicht"/>
        <w:ind w:left="1020"/>
      </w:pPr>
      <w:hyperlink w:anchor="b1723" w:history="1">
        <w:r>
          <w:rPr>
            <w:color w:val="0A3A8C"/>
            <w:u w:val="single"/>
          </w:rPr>
          <w:t xml:space="preserve">§ 1232 Nachstehende Pfandgläubiger</w:t>
        </w:r>
      </w:hyperlink>
    </w:p>
    <w:p>
      <w:pPr>
        <w:pStyle w:val="Übersicht"/>
        <w:ind w:left="1020"/>
      </w:pPr>
      <w:hyperlink w:anchor="b1724" w:history="1">
        <w:r>
          <w:rPr>
            <w:color w:val="0A3A8C"/>
            <w:u w:val="single"/>
          </w:rPr>
          <w:t xml:space="preserve">§ 1233 Ausführung des Verkaufs</w:t>
        </w:r>
      </w:hyperlink>
    </w:p>
    <w:p>
      <w:pPr>
        <w:pStyle w:val="Übersicht"/>
        <w:ind w:left="1020"/>
      </w:pPr>
      <w:hyperlink w:anchor="b1725" w:history="1">
        <w:r>
          <w:rPr>
            <w:color w:val="0A3A8C"/>
            <w:u w:val="single"/>
          </w:rPr>
          <w:t xml:space="preserve">§ 1234 Verkaufsandrohung; Wartefrist</w:t>
        </w:r>
      </w:hyperlink>
    </w:p>
    <w:p>
      <w:pPr>
        <w:pStyle w:val="Übersicht"/>
        <w:ind w:left="1020"/>
      </w:pPr>
      <w:hyperlink w:anchor="b1726" w:history="1">
        <w:r>
          <w:rPr>
            <w:color w:val="0A3A8C"/>
            <w:u w:val="single"/>
          </w:rPr>
          <w:t xml:space="preserve">§ 1235 Öffentliche Versteigerung</w:t>
        </w:r>
      </w:hyperlink>
    </w:p>
    <w:p>
      <w:pPr>
        <w:pStyle w:val="Übersicht"/>
        <w:ind w:left="1020"/>
      </w:pPr>
      <w:hyperlink w:anchor="b1727" w:history="1">
        <w:r>
          <w:rPr>
            <w:color w:val="0A3A8C"/>
            <w:u w:val="single"/>
          </w:rPr>
          <w:t xml:space="preserve">§ 1236 Durchführung der Versteigerung</w:t>
        </w:r>
      </w:hyperlink>
    </w:p>
    <w:p>
      <w:pPr>
        <w:pStyle w:val="Übersicht"/>
        <w:ind w:left="1020"/>
      </w:pPr>
      <w:hyperlink w:anchor="b1728" w:history="1">
        <w:r>
          <w:rPr>
            <w:color w:val="0A3A8C"/>
            <w:u w:val="single"/>
          </w:rPr>
          <w:t xml:space="preserve">§ 1237 Öffentliche Bekanntmachung</w:t>
        </w:r>
      </w:hyperlink>
    </w:p>
    <w:p>
      <w:pPr>
        <w:pStyle w:val="Übersicht"/>
        <w:ind w:left="1020"/>
      </w:pPr>
      <w:hyperlink w:anchor="b1729" w:history="1">
        <w:r>
          <w:rPr>
            <w:color w:val="0A3A8C"/>
            <w:u w:val="single"/>
          </w:rPr>
          <w:t xml:space="preserve">§ 1238 Verkaufsbedingungen</w:t>
        </w:r>
      </w:hyperlink>
    </w:p>
    <w:p>
      <w:pPr>
        <w:pStyle w:val="Übersicht"/>
        <w:ind w:left="1020"/>
      </w:pPr>
      <w:hyperlink w:anchor="b1730" w:history="1">
        <w:r>
          <w:rPr>
            <w:color w:val="0A3A8C"/>
            <w:u w:val="single"/>
          </w:rPr>
          <w:t xml:space="preserve">§ 1239 Mitbieten durch Gläubiger und Eigentümer</w:t>
        </w:r>
      </w:hyperlink>
    </w:p>
    <w:p>
      <w:pPr>
        <w:pStyle w:val="Übersicht"/>
        <w:ind w:left="1020"/>
      </w:pPr>
      <w:hyperlink w:anchor="b1731" w:history="1">
        <w:r>
          <w:rPr>
            <w:color w:val="0A3A8C"/>
            <w:u w:val="single"/>
          </w:rPr>
          <w:t xml:space="preserve">§ 1240 Gold- und Silbersachen</w:t>
        </w:r>
      </w:hyperlink>
    </w:p>
    <w:p>
      <w:pPr>
        <w:pStyle w:val="Übersicht"/>
        <w:ind w:left="1020"/>
      </w:pPr>
      <w:hyperlink w:anchor="b1732" w:history="1">
        <w:r>
          <w:rPr>
            <w:color w:val="0A3A8C"/>
            <w:u w:val="single"/>
          </w:rPr>
          <w:t xml:space="preserve">§ 1241 Benachrichtigung des Eigentümers</w:t>
        </w:r>
      </w:hyperlink>
    </w:p>
    <w:p>
      <w:pPr>
        <w:pStyle w:val="Übersicht"/>
        <w:ind w:left="1020"/>
      </w:pPr>
      <w:hyperlink w:anchor="b1733" w:history="1">
        <w:r>
          <w:rPr>
            <w:color w:val="0A3A8C"/>
            <w:u w:val="single"/>
          </w:rPr>
          <w:t xml:space="preserve">§ 1242 Wirkungen der rechtmäßigen Veräußerung</w:t>
        </w:r>
      </w:hyperlink>
    </w:p>
    <w:p>
      <w:pPr>
        <w:pStyle w:val="Übersicht"/>
        <w:ind w:left="1020"/>
      </w:pPr>
      <w:hyperlink w:anchor="b1734" w:history="1">
        <w:r>
          <w:rPr>
            <w:color w:val="0A3A8C"/>
            <w:u w:val="single"/>
          </w:rPr>
          <w:t xml:space="preserve">§ 1243 Rechtswidrige Veräußerung</w:t>
        </w:r>
      </w:hyperlink>
    </w:p>
    <w:p>
      <w:pPr>
        <w:pStyle w:val="Übersicht"/>
        <w:ind w:left="1020"/>
      </w:pPr>
      <w:hyperlink w:anchor="b1735" w:history="1">
        <w:r>
          <w:rPr>
            <w:color w:val="0A3A8C"/>
            <w:u w:val="single"/>
          </w:rPr>
          <w:t xml:space="preserve">§ 1244 Gutgläubiger Erwerb</w:t>
        </w:r>
      </w:hyperlink>
    </w:p>
    <w:p>
      <w:pPr>
        <w:pStyle w:val="Übersicht"/>
        <w:ind w:left="1020"/>
      </w:pPr>
      <w:hyperlink w:anchor="b1736" w:history="1">
        <w:r>
          <w:rPr>
            <w:color w:val="0A3A8C"/>
            <w:u w:val="single"/>
          </w:rPr>
          <w:t xml:space="preserve">§ 1245 Abweichende Vereinbarungen</w:t>
        </w:r>
      </w:hyperlink>
    </w:p>
    <w:p>
      <w:pPr>
        <w:pStyle w:val="Übersicht"/>
        <w:ind w:left="1020"/>
      </w:pPr>
      <w:hyperlink w:anchor="b1737" w:history="1">
        <w:r>
          <w:rPr>
            <w:color w:val="0A3A8C"/>
            <w:u w:val="single"/>
          </w:rPr>
          <w:t xml:space="preserve">§ 1246 Abweichung aus Billigkeitsgründen</w:t>
        </w:r>
      </w:hyperlink>
    </w:p>
    <w:p>
      <w:pPr>
        <w:pStyle w:val="Übersicht"/>
        <w:ind w:left="1020"/>
      </w:pPr>
      <w:hyperlink w:anchor="b1738" w:history="1">
        <w:r>
          <w:rPr>
            <w:color w:val="0A3A8C"/>
            <w:u w:val="single"/>
          </w:rPr>
          <w:t xml:space="preserve">§ 1247 Erlös aus dem Pfande</w:t>
        </w:r>
      </w:hyperlink>
    </w:p>
    <w:p>
      <w:pPr>
        <w:pStyle w:val="Übersicht"/>
        <w:ind w:left="1020"/>
      </w:pPr>
      <w:hyperlink w:anchor="b1739" w:history="1">
        <w:r>
          <w:rPr>
            <w:color w:val="0A3A8C"/>
            <w:u w:val="single"/>
          </w:rPr>
          <w:t xml:space="preserve">§ 1248 Eigentumsvermutung</w:t>
        </w:r>
      </w:hyperlink>
    </w:p>
    <w:p>
      <w:pPr>
        <w:pStyle w:val="Übersicht"/>
        <w:ind w:left="1020"/>
      </w:pPr>
      <w:hyperlink w:anchor="b1740" w:history="1">
        <w:r>
          <w:rPr>
            <w:color w:val="0A3A8C"/>
            <w:u w:val="single"/>
          </w:rPr>
          <w:t xml:space="preserve">§ 1249 Ablösungsrecht</w:t>
        </w:r>
      </w:hyperlink>
    </w:p>
    <w:p>
      <w:pPr>
        <w:pStyle w:val="Übersicht"/>
        <w:ind w:left="1020"/>
      </w:pPr>
      <w:hyperlink w:anchor="b1741" w:history="1">
        <w:r>
          <w:rPr>
            <w:color w:val="0A3A8C"/>
            <w:u w:val="single"/>
          </w:rPr>
          <w:t xml:space="preserve">§ 1250 Übertragung der Forderung</w:t>
        </w:r>
      </w:hyperlink>
    </w:p>
    <w:p>
      <w:pPr>
        <w:pStyle w:val="Übersicht"/>
        <w:ind w:left="1020"/>
      </w:pPr>
      <w:hyperlink w:anchor="b1742" w:history="1">
        <w:r>
          <w:rPr>
            <w:color w:val="0A3A8C"/>
            <w:u w:val="single"/>
          </w:rPr>
          <w:t xml:space="preserve">§ 1251 Wirkung des Pfandrechtsübergangs</w:t>
        </w:r>
      </w:hyperlink>
    </w:p>
    <w:p>
      <w:pPr>
        <w:pStyle w:val="Übersicht"/>
        <w:ind w:left="1020"/>
      </w:pPr>
      <w:hyperlink w:anchor="b1743" w:history="1">
        <w:r>
          <w:rPr>
            <w:color w:val="0A3A8C"/>
            <w:u w:val="single"/>
          </w:rPr>
          <w:t xml:space="preserve">§ 1252 Erlöschen mit der Forderung</w:t>
        </w:r>
      </w:hyperlink>
    </w:p>
    <w:p>
      <w:pPr>
        <w:pStyle w:val="Übersicht"/>
        <w:ind w:left="1020"/>
      </w:pPr>
      <w:hyperlink w:anchor="b1744" w:history="1">
        <w:r>
          <w:rPr>
            <w:color w:val="0A3A8C"/>
            <w:u w:val="single"/>
          </w:rPr>
          <w:t xml:space="preserve">§ 1253 Erlöschen durch Rückgabe</w:t>
        </w:r>
      </w:hyperlink>
    </w:p>
    <w:p>
      <w:pPr>
        <w:pStyle w:val="Übersicht"/>
        <w:ind w:left="1020"/>
      </w:pPr>
      <w:hyperlink w:anchor="b1745" w:history="1">
        <w:r>
          <w:rPr>
            <w:color w:val="0A3A8C"/>
            <w:u w:val="single"/>
          </w:rPr>
          <w:t xml:space="preserve">§ 1254 Anspruch auf Rückgabe</w:t>
        </w:r>
      </w:hyperlink>
    </w:p>
    <w:p>
      <w:pPr>
        <w:pStyle w:val="Übersicht"/>
        <w:ind w:left="1020"/>
      </w:pPr>
      <w:hyperlink w:anchor="b1746" w:history="1">
        <w:r>
          <w:rPr>
            <w:color w:val="0A3A8C"/>
            <w:u w:val="single"/>
          </w:rPr>
          <w:t xml:space="preserve">§ 1255 Aufhebung des Pfandrechts</w:t>
        </w:r>
      </w:hyperlink>
    </w:p>
    <w:p>
      <w:pPr>
        <w:pStyle w:val="Übersicht"/>
        <w:ind w:left="1020"/>
      </w:pPr>
      <w:hyperlink w:anchor="b1747" w:history="1">
        <w:r>
          <w:rPr>
            <w:color w:val="0A3A8C"/>
            <w:u w:val="single"/>
          </w:rPr>
          <w:t xml:space="preserve">§ 1256 Zusammentreffen von Pfandrecht und Eigentum</w:t>
        </w:r>
      </w:hyperlink>
    </w:p>
    <w:p>
      <w:pPr>
        <w:pStyle w:val="Übersicht"/>
        <w:ind w:left="1020"/>
      </w:pPr>
      <w:hyperlink w:anchor="b1748" w:history="1">
        <w:r>
          <w:rPr>
            <w:color w:val="0A3A8C"/>
            <w:u w:val="single"/>
          </w:rPr>
          <w:t xml:space="preserve">§ 1257 Gesetzliches Pfandrecht</w:t>
        </w:r>
      </w:hyperlink>
    </w:p>
    <w:p>
      <w:pPr>
        <w:pStyle w:val="Übersicht"/>
        <w:ind w:left="1020"/>
      </w:pPr>
      <w:hyperlink w:anchor="b1749" w:history="1">
        <w:r>
          <w:rPr>
            <w:color w:val="0A3A8C"/>
            <w:u w:val="single"/>
          </w:rPr>
          <w:t xml:space="preserve">§ 1258 Pfandrecht am Anteil eines Miteigentümers</w:t>
        </w:r>
      </w:hyperlink>
    </w:p>
    <w:p>
      <w:pPr>
        <w:pStyle w:val="Übersicht"/>
        <w:ind w:left="1020"/>
      </w:pPr>
      <w:hyperlink w:anchor="b1750" w:history="1">
        <w:r>
          <w:rPr>
            <w:color w:val="0A3A8C"/>
            <w:u w:val="single"/>
          </w:rPr>
          <w:t xml:space="preserve">§ 1259 Verwertung des gewerblichen Pfandes</w:t>
        </w:r>
      </w:hyperlink>
    </w:p>
    <w:p>
      <w:pPr>
        <w:pStyle w:val="Übersicht"/>
        <w:ind w:left="1020"/>
      </w:pPr>
      <w:hyperlink w:anchor="b1751" w:history="1">
        <w:r>
          <w:rPr>
            <w:color w:val="0A3A8C"/>
            <w:u w:val="single"/>
          </w:rPr>
          <w:t xml:space="preserve">§§ 1260 bis 1272 (weggefallen)</w:t>
        </w:r>
      </w:hyperlink>
    </w:p>
    <w:p>
      <w:pPr>
        <w:pStyle w:val="Übersicht"/>
        <w:ind w:left="680"/>
      </w:pPr>
      <w:hyperlink w:anchor="b1752" w:history="1">
        <w:r>
          <w:rPr>
            <w:b/>
            <w:color w:val="0A3A8C"/>
            <w:u w:val="single"/>
          </w:rPr>
          <w:t xml:space="preserve">Titel 2 Pfandrecht an Rechten</w:t>
        </w:r>
      </w:hyperlink>
    </w:p>
    <w:p>
      <w:pPr>
        <w:pStyle w:val="Übersicht"/>
        <w:ind w:left="1020"/>
      </w:pPr>
      <w:hyperlink w:anchor="b1753" w:history="1">
        <w:r>
          <w:rPr>
            <w:color w:val="0A3A8C"/>
            <w:u w:val="single"/>
          </w:rPr>
          <w:t xml:space="preserve">§ 1273 Gesetzlicher Inhalt des Pfandrechts an Rechten</w:t>
        </w:r>
      </w:hyperlink>
    </w:p>
    <w:p>
      <w:pPr>
        <w:pStyle w:val="Übersicht"/>
        <w:ind w:left="1020"/>
      </w:pPr>
      <w:hyperlink w:anchor="b1754" w:history="1">
        <w:r>
          <w:rPr>
            <w:color w:val="0A3A8C"/>
            <w:u w:val="single"/>
          </w:rPr>
          <w:t xml:space="preserve">§ 1274 Bestellung</w:t>
        </w:r>
      </w:hyperlink>
    </w:p>
    <w:p>
      <w:pPr>
        <w:pStyle w:val="Übersicht"/>
        <w:ind w:left="1020"/>
      </w:pPr>
      <w:hyperlink w:anchor="b1755" w:history="1">
        <w:r>
          <w:rPr>
            <w:color w:val="0A3A8C"/>
            <w:u w:val="single"/>
          </w:rPr>
          <w:t xml:space="preserve">§ 1275 Pfandrecht an Recht auf Leistung</w:t>
        </w:r>
      </w:hyperlink>
    </w:p>
    <w:p>
      <w:pPr>
        <w:pStyle w:val="Übersicht"/>
        <w:ind w:left="1020"/>
      </w:pPr>
      <w:hyperlink w:anchor="b1756" w:history="1">
        <w:r>
          <w:rPr>
            <w:color w:val="0A3A8C"/>
            <w:u w:val="single"/>
          </w:rPr>
          <w:t xml:space="preserve">§ 1276 Aufhebung oder Änderung des verpfändeten Rechts</w:t>
        </w:r>
      </w:hyperlink>
    </w:p>
    <w:p>
      <w:pPr>
        <w:pStyle w:val="Übersicht"/>
        <w:ind w:left="1020"/>
      </w:pPr>
      <w:hyperlink w:anchor="b1757" w:history="1">
        <w:r>
          <w:rPr>
            <w:color w:val="0A3A8C"/>
            <w:u w:val="single"/>
          </w:rPr>
          <w:t xml:space="preserve">§ 1277 Befriedigung durch Zwangsvollstreckung</w:t>
        </w:r>
      </w:hyperlink>
    </w:p>
    <w:p>
      <w:pPr>
        <w:pStyle w:val="Übersicht"/>
        <w:ind w:left="1020"/>
      </w:pPr>
      <w:hyperlink w:anchor="b1758" w:history="1">
        <w:r>
          <w:rPr>
            <w:color w:val="0A3A8C"/>
            <w:u w:val="single"/>
          </w:rPr>
          <w:t xml:space="preserve">§ 1278 Erlöschen durch Rückgabe</w:t>
        </w:r>
      </w:hyperlink>
    </w:p>
    <w:p>
      <w:pPr>
        <w:pStyle w:val="Übersicht"/>
        <w:ind w:left="1020"/>
      </w:pPr>
      <w:hyperlink w:anchor="b1759" w:history="1">
        <w:r>
          <w:rPr>
            <w:color w:val="0A3A8C"/>
            <w:u w:val="single"/>
          </w:rPr>
          <w:t xml:space="preserve">§ 1279 Pfandrecht an einer Forderung</w:t>
        </w:r>
      </w:hyperlink>
    </w:p>
    <w:p>
      <w:pPr>
        <w:pStyle w:val="Übersicht"/>
        <w:ind w:left="1020"/>
      </w:pPr>
      <w:hyperlink w:anchor="b1760" w:history="1">
        <w:r>
          <w:rPr>
            <w:color w:val="0A3A8C"/>
            <w:u w:val="single"/>
          </w:rPr>
          <w:t xml:space="preserve">§ 1280 Anzeige an den Schuldner</w:t>
        </w:r>
      </w:hyperlink>
    </w:p>
    <w:p>
      <w:pPr>
        <w:pStyle w:val="Übersicht"/>
        <w:ind w:left="1020"/>
      </w:pPr>
      <w:hyperlink w:anchor="b1761" w:history="1">
        <w:r>
          <w:rPr>
            <w:color w:val="0A3A8C"/>
            <w:u w:val="single"/>
          </w:rPr>
          <w:t xml:space="preserve">§ 1281 Leistung vor Fälligkeit</w:t>
        </w:r>
      </w:hyperlink>
    </w:p>
    <w:p>
      <w:pPr>
        <w:pStyle w:val="Übersicht"/>
        <w:ind w:left="1020"/>
      </w:pPr>
      <w:hyperlink w:anchor="b1762" w:history="1">
        <w:r>
          <w:rPr>
            <w:color w:val="0A3A8C"/>
            <w:u w:val="single"/>
          </w:rPr>
          <w:t xml:space="preserve">§ 1282 Leistung nach Fälligkeit</w:t>
        </w:r>
      </w:hyperlink>
    </w:p>
    <w:p>
      <w:pPr>
        <w:pStyle w:val="Übersicht"/>
        <w:ind w:left="1020"/>
      </w:pPr>
      <w:hyperlink w:anchor="b1763" w:history="1">
        <w:r>
          <w:rPr>
            <w:color w:val="0A3A8C"/>
            <w:u w:val="single"/>
          </w:rPr>
          <w:t xml:space="preserve">§ 1283 Kündigung</w:t>
        </w:r>
      </w:hyperlink>
    </w:p>
    <w:p>
      <w:pPr>
        <w:pStyle w:val="Übersicht"/>
        <w:ind w:left="1020"/>
      </w:pPr>
      <w:hyperlink w:anchor="b1764" w:history="1">
        <w:r>
          <w:rPr>
            <w:color w:val="0A3A8C"/>
            <w:u w:val="single"/>
          </w:rPr>
          <w:t xml:space="preserve">§ 1284 Abweichende Vereinbarungen</w:t>
        </w:r>
      </w:hyperlink>
    </w:p>
    <w:p>
      <w:pPr>
        <w:pStyle w:val="Übersicht"/>
        <w:ind w:left="1020"/>
      </w:pPr>
      <w:hyperlink w:anchor="b1765" w:history="1">
        <w:r>
          <w:rPr>
            <w:color w:val="0A3A8C"/>
            <w:u w:val="single"/>
          </w:rPr>
          <w:t xml:space="preserve">§ 1285 Mitwirkung zur Einziehung</w:t>
        </w:r>
      </w:hyperlink>
    </w:p>
    <w:p>
      <w:pPr>
        <w:pStyle w:val="Übersicht"/>
        <w:ind w:left="1020"/>
      </w:pPr>
      <w:hyperlink w:anchor="b1766" w:history="1">
        <w:r>
          <w:rPr>
            <w:color w:val="0A3A8C"/>
            <w:u w:val="single"/>
          </w:rPr>
          <w:t xml:space="preserve">§ 1286 Kündigungspflicht bei Gefährdung</w:t>
        </w:r>
      </w:hyperlink>
    </w:p>
    <w:p>
      <w:pPr>
        <w:pStyle w:val="Übersicht"/>
        <w:ind w:left="1020"/>
      </w:pPr>
      <w:hyperlink w:anchor="b1767" w:history="1">
        <w:r>
          <w:rPr>
            <w:color w:val="0A3A8C"/>
            <w:u w:val="single"/>
          </w:rPr>
          <w:t xml:space="preserve">§ 1287 Wirkung der Leistung</w:t>
        </w:r>
      </w:hyperlink>
    </w:p>
    <w:p>
      <w:pPr>
        <w:pStyle w:val="Übersicht"/>
        <w:ind w:left="1020"/>
      </w:pPr>
      <w:hyperlink w:anchor="b1768" w:history="1">
        <w:r>
          <w:rPr>
            <w:color w:val="0A3A8C"/>
            <w:u w:val="single"/>
          </w:rPr>
          <w:t xml:space="preserve">§ 1288 Anlegung eingezogenen Geldes</w:t>
        </w:r>
      </w:hyperlink>
    </w:p>
    <w:p>
      <w:pPr>
        <w:pStyle w:val="Übersicht"/>
        <w:ind w:left="1020"/>
      </w:pPr>
      <w:hyperlink w:anchor="b1769" w:history="1">
        <w:r>
          <w:rPr>
            <w:color w:val="0A3A8C"/>
            <w:u w:val="single"/>
          </w:rPr>
          <w:t xml:space="preserve">§ 1289 Erstreckung auf die Zinsen</w:t>
        </w:r>
      </w:hyperlink>
    </w:p>
    <w:p>
      <w:pPr>
        <w:pStyle w:val="Übersicht"/>
        <w:ind w:left="1020"/>
      </w:pPr>
      <w:hyperlink w:anchor="b1770" w:history="1">
        <w:r>
          <w:rPr>
            <w:color w:val="0A3A8C"/>
            <w:u w:val="single"/>
          </w:rPr>
          <w:t xml:space="preserve">§ 1290 Einziehung bei mehrfacher Verpfändung</w:t>
        </w:r>
      </w:hyperlink>
    </w:p>
    <w:p>
      <w:pPr>
        <w:pStyle w:val="Übersicht"/>
        <w:ind w:left="1020"/>
      </w:pPr>
      <w:hyperlink w:anchor="b1771" w:history="1">
        <w:r>
          <w:rPr>
            <w:color w:val="0A3A8C"/>
            <w:u w:val="single"/>
          </w:rPr>
          <w:t xml:space="preserve">§ 1291 Pfandrecht an Grund- oder Rentenschuld</w:t>
        </w:r>
      </w:hyperlink>
    </w:p>
    <w:p>
      <w:pPr>
        <w:pStyle w:val="Übersicht"/>
        <w:ind w:left="1020"/>
      </w:pPr>
      <w:hyperlink w:anchor="b1772" w:history="1">
        <w:r>
          <w:rPr>
            <w:color w:val="0A3A8C"/>
            <w:u w:val="single"/>
          </w:rPr>
          <w:t xml:space="preserve">§ 1292 Verpfändung von Orderpapieren</w:t>
        </w:r>
      </w:hyperlink>
    </w:p>
    <w:p>
      <w:pPr>
        <w:pStyle w:val="Übersicht"/>
        <w:ind w:left="1020"/>
      </w:pPr>
      <w:hyperlink w:anchor="b1773" w:history="1">
        <w:r>
          <w:rPr>
            <w:color w:val="0A3A8C"/>
            <w:u w:val="single"/>
          </w:rPr>
          <w:t xml:space="preserve">§ 1293 Pfandrecht an Inhaberpapieren</w:t>
        </w:r>
      </w:hyperlink>
    </w:p>
    <w:p>
      <w:pPr>
        <w:pStyle w:val="Übersicht"/>
        <w:ind w:left="1020"/>
      </w:pPr>
      <w:hyperlink w:anchor="b1774" w:history="1">
        <w:r>
          <w:rPr>
            <w:color w:val="0A3A8C"/>
            <w:u w:val="single"/>
          </w:rPr>
          <w:t xml:space="preserve">§ 1294 Einziehung und Kündigung</w:t>
        </w:r>
      </w:hyperlink>
    </w:p>
    <w:p>
      <w:pPr>
        <w:pStyle w:val="Übersicht"/>
        <w:ind w:left="1020"/>
      </w:pPr>
      <w:hyperlink w:anchor="b1775" w:history="1">
        <w:r>
          <w:rPr>
            <w:color w:val="0A3A8C"/>
            <w:u w:val="single"/>
          </w:rPr>
          <w:t xml:space="preserve">§ 1295 Freihändiger Verkauf von Orderpapieren</w:t>
        </w:r>
      </w:hyperlink>
    </w:p>
    <w:p>
      <w:pPr>
        <w:pStyle w:val="Übersicht"/>
        <w:ind w:left="1020"/>
      </w:pPr>
      <w:hyperlink w:anchor="b1776" w:history="1">
        <w:r>
          <w:rPr>
            <w:color w:val="0A3A8C"/>
            <w:u w:val="single"/>
          </w:rPr>
          <w:t xml:space="preserve">§ 1296 Erstreckung auf Zinsscheine</w:t>
        </w:r>
      </w:hyperlink>
    </w:p>
    <w:p>
      <w:pPr>
        <w:pStyle w:val="Übersicht"/>
        <w:ind w:left="0"/>
      </w:pPr>
      <w:hyperlink w:anchor="b1777" w:history="1">
        <w:r>
          <w:rPr>
            <w:b/>
            <w:color w:val="0A3A8C"/>
            <w:u w:val="single"/>
          </w:rPr>
          <w:t xml:space="preserve">Buch 4 Familienrecht</w:t>
        </w:r>
      </w:hyperlink>
    </w:p>
    <w:p>
      <w:pPr>
        <w:pStyle w:val="Übersicht"/>
        <w:ind w:left="340"/>
      </w:pPr>
      <w:hyperlink w:anchor="b1778" w:history="1">
        <w:r>
          <w:rPr>
            <w:b/>
            <w:color w:val="0A3A8C"/>
            <w:u w:val="single"/>
          </w:rPr>
          <w:t xml:space="preserve">Abschnitt 1 Bürgerliche Ehe</w:t>
        </w:r>
      </w:hyperlink>
    </w:p>
    <w:p>
      <w:pPr>
        <w:pStyle w:val="Übersicht"/>
        <w:ind w:left="680"/>
      </w:pPr>
      <w:hyperlink w:anchor="b1779" w:history="1">
        <w:r>
          <w:rPr>
            <w:b/>
            <w:color w:val="0A3A8C"/>
            <w:u w:val="single"/>
          </w:rPr>
          <w:t xml:space="preserve">Titel 1 Verlöbnis</w:t>
        </w:r>
      </w:hyperlink>
    </w:p>
    <w:p>
      <w:pPr>
        <w:pStyle w:val="Übersicht"/>
        <w:ind w:left="1020"/>
      </w:pPr>
      <w:hyperlink w:anchor="b1780" w:history="1">
        <w:r>
          <w:rPr>
            <w:color w:val="0A3A8C"/>
            <w:u w:val="single"/>
          </w:rPr>
          <w:t xml:space="preserve">§ 1297 Kein Antrag auf Eingehung der Ehe, Nichtigkeit eines Strafversprechens</w:t>
        </w:r>
      </w:hyperlink>
    </w:p>
    <w:p>
      <w:pPr>
        <w:pStyle w:val="Übersicht"/>
        <w:ind w:left="1020"/>
      </w:pPr>
      <w:hyperlink w:anchor="b1781" w:history="1">
        <w:r>
          <w:rPr>
            <w:color w:val="0A3A8C"/>
            <w:u w:val="single"/>
          </w:rPr>
          <w:t xml:space="preserve">§ 1298 Ersatzpflicht bei Rücktritt</w:t>
        </w:r>
      </w:hyperlink>
    </w:p>
    <w:p>
      <w:pPr>
        <w:pStyle w:val="Übersicht"/>
        <w:ind w:left="1020"/>
      </w:pPr>
      <w:hyperlink w:anchor="b1782" w:history="1">
        <w:r>
          <w:rPr>
            <w:color w:val="0A3A8C"/>
            <w:u w:val="single"/>
          </w:rPr>
          <w:t xml:space="preserve">§ 1299 Rücktritt aus Verschulden des anderen Teils</w:t>
        </w:r>
      </w:hyperlink>
    </w:p>
    <w:p>
      <w:pPr>
        <w:pStyle w:val="Übersicht"/>
        <w:ind w:left="1020"/>
      </w:pPr>
      <w:hyperlink w:anchor="b1783" w:history="1">
        <w:r>
          <w:rPr>
            <w:color w:val="0A3A8C"/>
            <w:u w:val="single"/>
          </w:rPr>
          <w:t xml:space="preserve">§ 1300</w:t>
        </w:r>
      </w:hyperlink>
    </w:p>
    <w:p>
      <w:pPr>
        <w:pStyle w:val="Übersicht"/>
        <w:ind w:left="1020"/>
      </w:pPr>
      <w:hyperlink w:anchor="b1784" w:history="1">
        <w:r>
          <w:rPr>
            <w:color w:val="0A3A8C"/>
            <w:u w:val="single"/>
          </w:rPr>
          <w:t xml:space="preserve">§ 1301 Rückgabe der Geschenke</w:t>
        </w:r>
      </w:hyperlink>
    </w:p>
    <w:p>
      <w:pPr>
        <w:pStyle w:val="Übersicht"/>
        <w:ind w:left="1020"/>
      </w:pPr>
      <w:hyperlink w:anchor="b1785" w:history="1">
        <w:r>
          <w:rPr>
            <w:color w:val="0A3A8C"/>
            <w:u w:val="single"/>
          </w:rPr>
          <w:t xml:space="preserve">§ 1302 Verjährung</w:t>
        </w:r>
      </w:hyperlink>
    </w:p>
    <w:p>
      <w:pPr>
        <w:pStyle w:val="Übersicht"/>
        <w:ind w:left="680"/>
      </w:pPr>
      <w:hyperlink w:anchor="b1786" w:history="1">
        <w:r>
          <w:rPr>
            <w:b/>
            <w:color w:val="0A3A8C"/>
            <w:u w:val="single"/>
          </w:rPr>
          <w:t xml:space="preserve">Titel 2 Eingehung der Ehe</w:t>
        </w:r>
      </w:hyperlink>
    </w:p>
    <w:p>
      <w:pPr>
        <w:pStyle w:val="Übersicht"/>
        <w:ind w:left="1020"/>
      </w:pPr>
      <w:hyperlink w:anchor="b1787" w:history="1">
        <w:r>
          <w:rPr>
            <w:b/>
            <w:color w:val="0A3A8C"/>
            <w:u w:val="single"/>
          </w:rPr>
          <w:t xml:space="preserve">Untertitel 1 Ehefähigkeit</w:t>
        </w:r>
      </w:hyperlink>
    </w:p>
    <w:p>
      <w:pPr>
        <w:pStyle w:val="Übersicht"/>
        <w:ind w:left="1361"/>
      </w:pPr>
      <w:hyperlink w:anchor="b1788" w:history="1">
        <w:r>
          <w:rPr>
            <w:color w:val="0A3A8C"/>
            <w:u w:val="single"/>
          </w:rPr>
          <w:t xml:space="preserve">§ 1303 Ehemündigkeit</w:t>
        </w:r>
      </w:hyperlink>
    </w:p>
    <w:p>
      <w:pPr>
        <w:pStyle w:val="Übersicht"/>
        <w:ind w:left="1361"/>
      </w:pPr>
      <w:hyperlink w:anchor="b1789" w:history="1">
        <w:r>
          <w:rPr>
            <w:color w:val="0A3A8C"/>
            <w:u w:val="single"/>
          </w:rPr>
          <w:t xml:space="preserve">§ 1304 Geschäftsunfähigkeit</w:t>
        </w:r>
      </w:hyperlink>
    </w:p>
    <w:p>
      <w:pPr>
        <w:pStyle w:val="Übersicht"/>
        <w:ind w:left="1361"/>
      </w:pPr>
      <w:hyperlink w:anchor="b1790" w:history="1">
        <w:r>
          <w:rPr>
            <w:color w:val="0A3A8C"/>
            <w:u w:val="single"/>
          </w:rPr>
          <w:t xml:space="preserve">§ 1305 Folgen und Heilung unwirksamer Minderjährigenehen</w:t>
        </w:r>
      </w:hyperlink>
    </w:p>
    <w:p>
      <w:pPr>
        <w:pStyle w:val="Übersicht"/>
        <w:ind w:left="1020"/>
      </w:pPr>
      <w:hyperlink w:anchor="b1791" w:history="1">
        <w:r>
          <w:rPr>
            <w:b/>
            <w:color w:val="0A3A8C"/>
            <w:u w:val="single"/>
          </w:rPr>
          <w:t xml:space="preserve">Untertitel 2 Eheverbote</w:t>
        </w:r>
      </w:hyperlink>
    </w:p>
    <w:p>
      <w:pPr>
        <w:pStyle w:val="Übersicht"/>
        <w:ind w:left="1361"/>
      </w:pPr>
      <w:hyperlink w:anchor="b1792" w:history="1">
        <w:r>
          <w:rPr>
            <w:color w:val="0A3A8C"/>
            <w:u w:val="single"/>
          </w:rPr>
          <w:t xml:space="preserve">§ 1306 Bestehende Ehe oder Lebenspartnerschaft</w:t>
        </w:r>
      </w:hyperlink>
    </w:p>
    <w:p>
      <w:pPr>
        <w:pStyle w:val="Übersicht"/>
        <w:ind w:left="1361"/>
      </w:pPr>
      <w:hyperlink w:anchor="b1793" w:history="1">
        <w:r>
          <w:rPr>
            <w:color w:val="0A3A8C"/>
            <w:u w:val="single"/>
          </w:rPr>
          <w:t xml:space="preserve">§ 1307 Verwandtschaft</w:t>
        </w:r>
      </w:hyperlink>
    </w:p>
    <w:p>
      <w:pPr>
        <w:pStyle w:val="Übersicht"/>
        <w:ind w:left="1361"/>
      </w:pPr>
      <w:hyperlink w:anchor="b1794" w:history="1">
        <w:r>
          <w:rPr>
            <w:color w:val="0A3A8C"/>
            <w:u w:val="single"/>
          </w:rPr>
          <w:t xml:space="preserve">§ 1308 Annahme als Kind</w:t>
        </w:r>
      </w:hyperlink>
    </w:p>
    <w:p>
      <w:pPr>
        <w:pStyle w:val="Übersicht"/>
        <w:ind w:left="1020"/>
      </w:pPr>
      <w:hyperlink w:anchor="b1795" w:history="1">
        <w:r>
          <w:rPr>
            <w:b/>
            <w:color w:val="0A3A8C"/>
            <w:u w:val="single"/>
          </w:rPr>
          <w:t xml:space="preserve">Untertitel 3 Ehefähigkeitszeugnis</w:t>
        </w:r>
      </w:hyperlink>
    </w:p>
    <w:p>
      <w:pPr>
        <w:pStyle w:val="Übersicht"/>
        <w:ind w:left="1361"/>
      </w:pPr>
      <w:hyperlink w:anchor="b1796" w:history="1">
        <w:r>
          <w:rPr>
            <w:color w:val="0A3A8C"/>
            <w:u w:val="single"/>
          </w:rPr>
          <w:t xml:space="preserve">§ 1309 Ehefähigkeitszeugnis für Ausländer</w:t>
        </w:r>
      </w:hyperlink>
    </w:p>
    <w:p>
      <w:pPr>
        <w:pStyle w:val="Übersicht"/>
        <w:ind w:left="1020"/>
      </w:pPr>
      <w:hyperlink w:anchor="b1797" w:history="1">
        <w:r>
          <w:rPr>
            <w:b/>
            <w:color w:val="0A3A8C"/>
            <w:u w:val="single"/>
          </w:rPr>
          <w:t xml:space="preserve">Untertitel 4 Eheschließung</w:t>
        </w:r>
      </w:hyperlink>
    </w:p>
    <w:p>
      <w:pPr>
        <w:pStyle w:val="Übersicht"/>
        <w:ind w:left="1361"/>
      </w:pPr>
      <w:hyperlink w:anchor="b1798" w:history="1">
        <w:r>
          <w:rPr>
            <w:color w:val="0A3A8C"/>
            <w:u w:val="single"/>
          </w:rPr>
          <w:t xml:space="preserve">§ 1310 Zuständigkeit des Standesbeamten, Heilung fehlerhafter Ehen</w:t>
        </w:r>
      </w:hyperlink>
    </w:p>
    <w:p>
      <w:pPr>
        <w:pStyle w:val="Übersicht"/>
        <w:ind w:left="1361"/>
      </w:pPr>
      <w:hyperlink w:anchor="b1799" w:history="1">
        <w:r>
          <w:rPr>
            <w:color w:val="0A3A8C"/>
            <w:u w:val="single"/>
          </w:rPr>
          <w:t xml:space="preserve">§ 1311 Persönliche Erklärung</w:t>
        </w:r>
      </w:hyperlink>
    </w:p>
    <w:p>
      <w:pPr>
        <w:pStyle w:val="Übersicht"/>
        <w:ind w:left="1361"/>
      </w:pPr>
      <w:hyperlink w:anchor="b1800" w:history="1">
        <w:r>
          <w:rPr>
            <w:color w:val="0A3A8C"/>
            <w:u w:val="single"/>
          </w:rPr>
          <w:t xml:space="preserve">§ 1312 Trauung</w:t>
        </w:r>
      </w:hyperlink>
    </w:p>
    <w:p>
      <w:pPr>
        <w:pStyle w:val="Übersicht"/>
        <w:ind w:left="680"/>
      </w:pPr>
      <w:hyperlink w:anchor="b1801" w:history="1">
        <w:r>
          <w:rPr>
            <w:b/>
            <w:color w:val="0A3A8C"/>
            <w:u w:val="single"/>
          </w:rPr>
          <w:t xml:space="preserve">Titel 3 Aufhebung der Ehe</w:t>
        </w:r>
      </w:hyperlink>
    </w:p>
    <w:p>
      <w:pPr>
        <w:pStyle w:val="Übersicht"/>
        <w:ind w:left="1020"/>
      </w:pPr>
      <w:hyperlink w:anchor="b1802" w:history="1">
        <w:r>
          <w:rPr>
            <w:color w:val="0A3A8C"/>
            <w:u w:val="single"/>
          </w:rPr>
          <w:t xml:space="preserve">§ 1313 Aufhebung durch richterliche Entscheidung</w:t>
        </w:r>
      </w:hyperlink>
    </w:p>
    <w:p>
      <w:pPr>
        <w:pStyle w:val="Übersicht"/>
        <w:ind w:left="1020"/>
      </w:pPr>
      <w:hyperlink w:anchor="b1803" w:history="1">
        <w:r>
          <w:rPr>
            <w:color w:val="0A3A8C"/>
            <w:u w:val="single"/>
          </w:rPr>
          <w:t xml:space="preserve">§ 1314 Aufhebungsgründe</w:t>
        </w:r>
      </w:hyperlink>
    </w:p>
    <w:p>
      <w:pPr>
        <w:pStyle w:val="Übersicht"/>
        <w:ind w:left="1020"/>
      </w:pPr>
      <w:hyperlink w:anchor="b1804" w:history="1">
        <w:r>
          <w:rPr>
            <w:color w:val="0A3A8C"/>
            <w:u w:val="single"/>
          </w:rPr>
          <w:t xml:space="preserve">§ 1315 Ausschluss der Aufhebung</w:t>
        </w:r>
      </w:hyperlink>
    </w:p>
    <w:p>
      <w:pPr>
        <w:pStyle w:val="Übersicht"/>
        <w:ind w:left="1020"/>
      </w:pPr>
      <w:hyperlink w:anchor="b1805" w:history="1">
        <w:r>
          <w:rPr>
            <w:color w:val="0A3A8C"/>
            <w:u w:val="single"/>
          </w:rPr>
          <w:t xml:space="preserve">§ 1316 Antragsberechtigung</w:t>
        </w:r>
      </w:hyperlink>
    </w:p>
    <w:p>
      <w:pPr>
        <w:pStyle w:val="Übersicht"/>
        <w:ind w:left="1020"/>
      </w:pPr>
      <w:hyperlink w:anchor="b1806" w:history="1">
        <w:r>
          <w:rPr>
            <w:color w:val="0A3A8C"/>
            <w:u w:val="single"/>
          </w:rPr>
          <w:t xml:space="preserve">§ 1317 Antragsfrist</w:t>
        </w:r>
      </w:hyperlink>
    </w:p>
    <w:p>
      <w:pPr>
        <w:pStyle w:val="Übersicht"/>
        <w:ind w:left="1020"/>
      </w:pPr>
      <w:hyperlink w:anchor="b1807" w:history="1">
        <w:r>
          <w:rPr>
            <w:color w:val="0A3A8C"/>
            <w:u w:val="single"/>
          </w:rPr>
          <w:t xml:space="preserve">§ 1318 Folgen der Aufhebung</w:t>
        </w:r>
      </w:hyperlink>
    </w:p>
    <w:p>
      <w:pPr>
        <w:pStyle w:val="Übersicht"/>
        <w:ind w:left="680"/>
      </w:pPr>
      <w:hyperlink w:anchor="b1808" w:history="1">
        <w:r>
          <w:rPr>
            <w:b/>
            <w:color w:val="0A3A8C"/>
            <w:u w:val="single"/>
          </w:rPr>
          <w:t xml:space="preserve">Titel 4 Wiederverheiratung nach
Todeserklärung</w:t>
        </w:r>
      </w:hyperlink>
    </w:p>
    <w:p>
      <w:pPr>
        <w:pStyle w:val="Übersicht"/>
        <w:ind w:left="1020"/>
      </w:pPr>
      <w:hyperlink w:anchor="b1809" w:history="1">
        <w:r>
          <w:rPr>
            <w:color w:val="0A3A8C"/>
            <w:u w:val="single"/>
          </w:rPr>
          <w:t xml:space="preserve">§ 1319 Aufhebung der bisherigen Ehe</w:t>
        </w:r>
      </w:hyperlink>
    </w:p>
    <w:p>
      <w:pPr>
        <w:pStyle w:val="Übersicht"/>
        <w:ind w:left="1020"/>
      </w:pPr>
      <w:hyperlink w:anchor="b1810" w:history="1">
        <w:r>
          <w:rPr>
            <w:color w:val="0A3A8C"/>
            <w:u w:val="single"/>
          </w:rPr>
          <w:t xml:space="preserve">§ 1320 Aufhebung der neuen Ehe</w:t>
        </w:r>
      </w:hyperlink>
    </w:p>
    <w:p>
      <w:pPr>
        <w:pStyle w:val="Übersicht"/>
        <w:ind w:left="1020"/>
      </w:pPr>
      <w:hyperlink w:anchor="b1811" w:history="1">
        <w:r>
          <w:rPr>
            <w:color w:val="0A3A8C"/>
            <w:u w:val="single"/>
          </w:rPr>
          <w:t xml:space="preserve">§§ 1321 bis 1352 (weggefallen)</w:t>
        </w:r>
      </w:hyperlink>
    </w:p>
    <w:p>
      <w:pPr>
        <w:pStyle w:val="Übersicht"/>
        <w:ind w:left="680"/>
      </w:pPr>
      <w:hyperlink w:anchor="b1812" w:history="1">
        <w:r>
          <w:rPr>
            <w:b/>
            <w:color w:val="0A3A8C"/>
            <w:u w:val="single"/>
          </w:rPr>
          <w:t xml:space="preserve">Titel 5 Wirkungen der Ehe im Allgemeinen</w:t>
        </w:r>
      </w:hyperlink>
    </w:p>
    <w:p>
      <w:pPr>
        <w:pStyle w:val="Übersicht"/>
        <w:ind w:left="1020"/>
      </w:pPr>
      <w:hyperlink w:anchor="b1813" w:history="1">
        <w:r>
          <w:rPr>
            <w:color w:val="0A3A8C"/>
            <w:u w:val="single"/>
          </w:rPr>
          <w:t xml:space="preserve">§ 1353 Eheliche Lebensgemeinschaft</w:t>
        </w:r>
      </w:hyperlink>
    </w:p>
    <w:p>
      <w:pPr>
        <w:pStyle w:val="Übersicht"/>
        <w:ind w:left="1020"/>
      </w:pPr>
      <w:hyperlink w:anchor="b1814" w:history="1">
        <w:r>
          <w:rPr>
            <w:color w:val="0A3A8C"/>
            <w:u w:val="single"/>
          </w:rPr>
          <w:t xml:space="preserve">§ 1354</w:t>
        </w:r>
      </w:hyperlink>
    </w:p>
    <w:p>
      <w:pPr>
        <w:pStyle w:val="Übersicht"/>
        <w:ind w:left="1020"/>
      </w:pPr>
      <w:hyperlink w:anchor="b1815" w:history="1">
        <w:r>
          <w:rPr>
            <w:color w:val="0A3A8C"/>
            <w:u w:val="single"/>
          </w:rPr>
          <w:t xml:space="preserve">§ 1355 Ehename</w:t>
        </w:r>
      </w:hyperlink>
    </w:p>
    <w:p>
      <w:pPr>
        <w:pStyle w:val="Übersicht"/>
        <w:ind w:left="1020"/>
      </w:pPr>
      <w:hyperlink w:anchor="b1816" w:history="1">
        <w:r>
          <w:rPr>
            <w:color w:val="0A3A8C"/>
            <w:u w:val="single"/>
          </w:rPr>
          <w:t xml:space="preserve">§ 1355a Begleitname</w:t>
        </w:r>
      </w:hyperlink>
    </w:p>
    <w:p>
      <w:pPr>
        <w:pStyle w:val="Übersicht"/>
        <w:ind w:left="1020"/>
      </w:pPr>
      <w:hyperlink w:anchor="b1817" w:history="1">
        <w:r>
          <w:rPr>
            <w:color w:val="0A3A8C"/>
            <w:u w:val="single"/>
          </w:rPr>
          <w:t xml:space="preserve">§ 1355b Geschlechtsangepasste Form des Ehenamens nach sorbischer Tradition und ausländischen Rechtsordnungen</w:t>
        </w:r>
      </w:hyperlink>
    </w:p>
    <w:p>
      <w:pPr>
        <w:pStyle w:val="Übersicht"/>
        <w:ind w:left="1020"/>
      </w:pPr>
      <w:hyperlink w:anchor="b1818" w:history="1">
        <w:r>
          <w:rPr>
            <w:color w:val="0A3A8C"/>
            <w:u w:val="single"/>
          </w:rPr>
          <w:t xml:space="preserve">§ 1356 Haushaltsführung, Erwerbstätigkeit</w:t>
        </w:r>
      </w:hyperlink>
    </w:p>
    <w:p>
      <w:pPr>
        <w:pStyle w:val="Übersicht"/>
        <w:ind w:left="1020"/>
      </w:pPr>
      <w:hyperlink w:anchor="b1819" w:history="1">
        <w:r>
          <w:rPr>
            <w:color w:val="0A3A8C"/>
            <w:u w:val="single"/>
          </w:rPr>
          <w:t xml:space="preserve">§ 1357 Geschäfte zur Deckung des Lebensbedarfs</w:t>
        </w:r>
      </w:hyperlink>
    </w:p>
    <w:p>
      <w:pPr>
        <w:pStyle w:val="Übersicht"/>
        <w:ind w:left="1020"/>
      </w:pPr>
      <w:hyperlink w:anchor="b1820" w:history="1">
        <w:r>
          <w:rPr>
            <w:color w:val="0A3A8C"/>
            <w:u w:val="single"/>
          </w:rPr>
          <w:t xml:space="preserve">§ 1358 Gegenseitige Vertretung von Ehegatten in Angelegenheiten der Gesundheitssorge</w:t>
        </w:r>
      </w:hyperlink>
    </w:p>
    <w:p>
      <w:pPr>
        <w:pStyle w:val="Übersicht"/>
        <w:ind w:left="1020"/>
      </w:pPr>
      <w:hyperlink w:anchor="b1821" w:history="1">
        <w:r>
          <w:rPr>
            <w:color w:val="0A3A8C"/>
            <w:u w:val="single"/>
          </w:rPr>
          <w:t xml:space="preserve">§ 1359 Umfang der Sorgfaltspflicht</w:t>
        </w:r>
      </w:hyperlink>
    </w:p>
    <w:p>
      <w:pPr>
        <w:pStyle w:val="Übersicht"/>
        <w:ind w:left="1020"/>
      </w:pPr>
      <w:hyperlink w:anchor="b1822" w:history="1">
        <w:r>
          <w:rPr>
            <w:color w:val="0A3A8C"/>
            <w:u w:val="single"/>
          </w:rPr>
          <w:t xml:space="preserve">§ 1360 Verpflichtung zum Familienunterhalt</w:t>
        </w:r>
      </w:hyperlink>
    </w:p>
    <w:p>
      <w:pPr>
        <w:pStyle w:val="Übersicht"/>
        <w:ind w:left="1020"/>
      </w:pPr>
      <w:hyperlink w:anchor="b1823" w:history="1">
        <w:r>
          <w:rPr>
            <w:color w:val="0A3A8C"/>
            <w:u w:val="single"/>
          </w:rPr>
          <w:t xml:space="preserve">§ 1360a Umfang der Unterhaltspflicht</w:t>
        </w:r>
      </w:hyperlink>
    </w:p>
    <w:p>
      <w:pPr>
        <w:pStyle w:val="Übersicht"/>
        <w:ind w:left="1020"/>
      </w:pPr>
      <w:hyperlink w:anchor="b1824" w:history="1">
        <w:r>
          <w:rPr>
            <w:color w:val="0A3A8C"/>
            <w:u w:val="single"/>
          </w:rPr>
          <w:t xml:space="preserve">§ 1360b Zuvielleistung</w:t>
        </w:r>
      </w:hyperlink>
    </w:p>
    <w:p>
      <w:pPr>
        <w:pStyle w:val="Übersicht"/>
        <w:ind w:left="1020"/>
      </w:pPr>
      <w:hyperlink w:anchor="b1825" w:history="1">
        <w:r>
          <w:rPr>
            <w:color w:val="0A3A8C"/>
            <w:u w:val="single"/>
          </w:rPr>
          <w:t xml:space="preserve">§ 1361 Unterhalt bei Getrenntleben</w:t>
        </w:r>
      </w:hyperlink>
    </w:p>
    <w:p>
      <w:pPr>
        <w:pStyle w:val="Übersicht"/>
        <w:ind w:left="1020"/>
      </w:pPr>
      <w:hyperlink w:anchor="b1826" w:history="1">
        <w:r>
          <w:rPr>
            <w:color w:val="0A3A8C"/>
            <w:u w:val="single"/>
          </w:rPr>
          <w:t xml:space="preserve">§ 1361a Verteilung der Haushaltsgegenstände bei Getrenntleben</w:t>
        </w:r>
      </w:hyperlink>
    </w:p>
    <w:p>
      <w:pPr>
        <w:pStyle w:val="Übersicht"/>
        <w:ind w:left="1020"/>
      </w:pPr>
      <w:hyperlink w:anchor="b1827" w:history="1">
        <w:r>
          <w:rPr>
            <w:color w:val="0A3A8C"/>
            <w:u w:val="single"/>
          </w:rPr>
          <w:t xml:space="preserve">§ 1361b Ehewohnung bei Getrenntleben</w:t>
        </w:r>
      </w:hyperlink>
    </w:p>
    <w:p>
      <w:pPr>
        <w:pStyle w:val="Übersicht"/>
        <w:ind w:left="1020"/>
      </w:pPr>
      <w:hyperlink w:anchor="b1828" w:history="1">
        <w:r>
          <w:rPr>
            <w:color w:val="0A3A8C"/>
            <w:u w:val="single"/>
          </w:rPr>
          <w:t xml:space="preserve">§ 1362 Eigentumsvermutung</w:t>
        </w:r>
      </w:hyperlink>
    </w:p>
    <w:p>
      <w:pPr>
        <w:pStyle w:val="Übersicht"/>
        <w:ind w:left="680"/>
      </w:pPr>
      <w:hyperlink w:anchor="b1829" w:history="1">
        <w:r>
          <w:rPr>
            <w:b/>
            <w:color w:val="0A3A8C"/>
            <w:u w:val="single"/>
          </w:rPr>
          <w:t xml:space="preserve">Titel 6 Eheliches Güterrecht</w:t>
        </w:r>
      </w:hyperlink>
    </w:p>
    <w:p>
      <w:pPr>
        <w:pStyle w:val="Übersicht"/>
        <w:ind w:left="1020"/>
      </w:pPr>
      <w:hyperlink w:anchor="b1830" w:history="1">
        <w:r>
          <w:rPr>
            <w:b/>
            <w:color w:val="0A3A8C"/>
            <w:u w:val="single"/>
          </w:rPr>
          <w:t xml:space="preserve">Untertitel 1 Gesetzliches Güterrecht</w:t>
        </w:r>
      </w:hyperlink>
    </w:p>
    <w:p>
      <w:pPr>
        <w:pStyle w:val="Übersicht"/>
        <w:ind w:left="1361"/>
      </w:pPr>
      <w:hyperlink w:anchor="b1831" w:history="1">
        <w:r>
          <w:rPr>
            <w:color w:val="0A3A8C"/>
            <w:u w:val="single"/>
          </w:rPr>
          <w:t xml:space="preserve">§ 1363 Zugewinngemeinschaft</w:t>
        </w:r>
      </w:hyperlink>
    </w:p>
    <w:p>
      <w:pPr>
        <w:pStyle w:val="Übersicht"/>
        <w:ind w:left="1361"/>
      </w:pPr>
      <w:hyperlink w:anchor="b1832" w:history="1">
        <w:r>
          <w:rPr>
            <w:color w:val="0A3A8C"/>
            <w:u w:val="single"/>
          </w:rPr>
          <w:t xml:space="preserve">§ 1364 Vermögensverwaltung</w:t>
        </w:r>
      </w:hyperlink>
    </w:p>
    <w:p>
      <w:pPr>
        <w:pStyle w:val="Übersicht"/>
        <w:ind w:left="1361"/>
      </w:pPr>
      <w:hyperlink w:anchor="b1833" w:history="1">
        <w:r>
          <w:rPr>
            <w:color w:val="0A3A8C"/>
            <w:u w:val="single"/>
          </w:rPr>
          <w:t xml:space="preserve">§ 1365 Verfügung über Vermögen im Ganzen</w:t>
        </w:r>
      </w:hyperlink>
    </w:p>
    <w:p>
      <w:pPr>
        <w:pStyle w:val="Übersicht"/>
        <w:ind w:left="1361"/>
      </w:pPr>
      <w:hyperlink w:anchor="b1834" w:history="1">
        <w:r>
          <w:rPr>
            <w:color w:val="0A3A8C"/>
            <w:u w:val="single"/>
          </w:rPr>
          <w:t xml:space="preserve">§ 1366 Genehmigung von Verträgen</w:t>
        </w:r>
      </w:hyperlink>
    </w:p>
    <w:p>
      <w:pPr>
        <w:pStyle w:val="Übersicht"/>
        <w:ind w:left="1361"/>
      </w:pPr>
      <w:hyperlink w:anchor="b1835" w:history="1">
        <w:r>
          <w:rPr>
            <w:color w:val="0A3A8C"/>
            <w:u w:val="single"/>
          </w:rPr>
          <w:t xml:space="preserve">§ 1367 Einseitige Rechtsgeschäfte</w:t>
        </w:r>
      </w:hyperlink>
    </w:p>
    <w:p>
      <w:pPr>
        <w:pStyle w:val="Übersicht"/>
        <w:ind w:left="1361"/>
      </w:pPr>
      <w:hyperlink w:anchor="b1836" w:history="1">
        <w:r>
          <w:rPr>
            <w:color w:val="0A3A8C"/>
            <w:u w:val="single"/>
          </w:rPr>
          <w:t xml:space="preserve">§ 1368 Geltendmachung der Unwirksamkeit</w:t>
        </w:r>
      </w:hyperlink>
    </w:p>
    <w:p>
      <w:pPr>
        <w:pStyle w:val="Übersicht"/>
        <w:ind w:left="1361"/>
      </w:pPr>
      <w:hyperlink w:anchor="b1837" w:history="1">
        <w:r>
          <w:rPr>
            <w:color w:val="0A3A8C"/>
            <w:u w:val="single"/>
          </w:rPr>
          <w:t xml:space="preserve">§ 1369 Verfügungen über Haushaltsgegenstände</w:t>
        </w:r>
      </w:hyperlink>
    </w:p>
    <w:p>
      <w:pPr>
        <w:pStyle w:val="Übersicht"/>
        <w:ind w:left="1361"/>
      </w:pPr>
      <w:hyperlink w:anchor="b1838" w:history="1">
        <w:r>
          <w:rPr>
            <w:color w:val="0A3A8C"/>
            <w:u w:val="single"/>
          </w:rPr>
          <w:t xml:space="preserve">§ 1370 (weggefallen)</w:t>
        </w:r>
      </w:hyperlink>
    </w:p>
    <w:p>
      <w:pPr>
        <w:pStyle w:val="Übersicht"/>
        <w:ind w:left="1361"/>
      </w:pPr>
      <w:hyperlink w:anchor="b1839" w:history="1">
        <w:r>
          <w:rPr>
            <w:color w:val="0A3A8C"/>
            <w:u w:val="single"/>
          </w:rPr>
          <w:t xml:space="preserve">§ 1371 Zugewinnausgleich im Todesfall</w:t>
        </w:r>
      </w:hyperlink>
    </w:p>
    <w:p>
      <w:pPr>
        <w:pStyle w:val="Übersicht"/>
        <w:ind w:left="1361"/>
      </w:pPr>
      <w:hyperlink w:anchor="b1840" w:history="1">
        <w:r>
          <w:rPr>
            <w:color w:val="0A3A8C"/>
            <w:u w:val="single"/>
          </w:rPr>
          <w:t xml:space="preserve">§ 1372 Zugewinnausgleich in anderen Fällen</w:t>
        </w:r>
      </w:hyperlink>
    </w:p>
    <w:p>
      <w:pPr>
        <w:pStyle w:val="Übersicht"/>
        <w:ind w:left="1361"/>
      </w:pPr>
      <w:hyperlink w:anchor="b1841" w:history="1">
        <w:r>
          <w:rPr>
            <w:color w:val="0A3A8C"/>
            <w:u w:val="single"/>
          </w:rPr>
          <w:t xml:space="preserve">§ 1373 Zugewinn</w:t>
        </w:r>
      </w:hyperlink>
    </w:p>
    <w:p>
      <w:pPr>
        <w:pStyle w:val="Übersicht"/>
        <w:ind w:left="1361"/>
      </w:pPr>
      <w:hyperlink w:anchor="b1842" w:history="1">
        <w:r>
          <w:rPr>
            <w:color w:val="0A3A8C"/>
            <w:u w:val="single"/>
          </w:rPr>
          <w:t xml:space="preserve">§ 1374 Anfangsvermögen</w:t>
        </w:r>
      </w:hyperlink>
    </w:p>
    <w:p>
      <w:pPr>
        <w:pStyle w:val="Übersicht"/>
        <w:ind w:left="1361"/>
      </w:pPr>
      <w:hyperlink w:anchor="b1843" w:history="1">
        <w:r>
          <w:rPr>
            <w:color w:val="0A3A8C"/>
            <w:u w:val="single"/>
          </w:rPr>
          <w:t xml:space="preserve">§ 1375 Endvermögen</w:t>
        </w:r>
      </w:hyperlink>
    </w:p>
    <w:p>
      <w:pPr>
        <w:pStyle w:val="Übersicht"/>
        <w:ind w:left="1361"/>
      </w:pPr>
      <w:hyperlink w:anchor="b1844" w:history="1">
        <w:r>
          <w:rPr>
            <w:color w:val="0A3A8C"/>
            <w:u w:val="single"/>
          </w:rPr>
          <w:t xml:space="preserve">§ 1376 Wertermittlung des Anfangs- und Endvermögens</w:t>
        </w:r>
      </w:hyperlink>
    </w:p>
    <w:p>
      <w:pPr>
        <w:pStyle w:val="Übersicht"/>
        <w:ind w:left="1361"/>
      </w:pPr>
      <w:hyperlink w:anchor="b1845" w:history="1">
        <w:r>
          <w:rPr>
            <w:color w:val="0A3A8C"/>
            <w:u w:val="single"/>
          </w:rPr>
          <w:t xml:space="preserve">§ 1377 Verzeichnis des Anfangsvermögens</w:t>
        </w:r>
      </w:hyperlink>
    </w:p>
    <w:p>
      <w:pPr>
        <w:pStyle w:val="Übersicht"/>
        <w:ind w:left="1361"/>
      </w:pPr>
      <w:hyperlink w:anchor="b1846" w:history="1">
        <w:r>
          <w:rPr>
            <w:color w:val="0A3A8C"/>
            <w:u w:val="single"/>
          </w:rPr>
          <w:t xml:space="preserve">§ 1378 Ausgleichsforderung</w:t>
        </w:r>
      </w:hyperlink>
    </w:p>
    <w:p>
      <w:pPr>
        <w:pStyle w:val="Übersicht"/>
        <w:ind w:left="1361"/>
      </w:pPr>
      <w:hyperlink w:anchor="b1847" w:history="1">
        <w:r>
          <w:rPr>
            <w:color w:val="0A3A8C"/>
            <w:u w:val="single"/>
          </w:rPr>
          <w:t xml:space="preserve">§ 1379 Auskunftspflicht</w:t>
        </w:r>
      </w:hyperlink>
    </w:p>
    <w:p>
      <w:pPr>
        <w:pStyle w:val="Übersicht"/>
        <w:ind w:left="1361"/>
      </w:pPr>
      <w:hyperlink w:anchor="b1848" w:history="1">
        <w:r>
          <w:rPr>
            <w:color w:val="0A3A8C"/>
            <w:u w:val="single"/>
          </w:rPr>
          <w:t xml:space="preserve">§ 1380 Anrechnung von Vorausempfängen</w:t>
        </w:r>
      </w:hyperlink>
    </w:p>
    <w:p>
      <w:pPr>
        <w:pStyle w:val="Übersicht"/>
        <w:ind w:left="1361"/>
      </w:pPr>
      <w:hyperlink w:anchor="b1849" w:history="1">
        <w:r>
          <w:rPr>
            <w:color w:val="0A3A8C"/>
            <w:u w:val="single"/>
          </w:rPr>
          <w:t xml:space="preserve">§ 1381 Leistungsverweigerung wegen grober Unbilligkeit</w:t>
        </w:r>
      </w:hyperlink>
    </w:p>
    <w:p>
      <w:pPr>
        <w:pStyle w:val="Übersicht"/>
        <w:ind w:left="1361"/>
      </w:pPr>
      <w:hyperlink w:anchor="b1850" w:history="1">
        <w:r>
          <w:rPr>
            <w:color w:val="0A3A8C"/>
            <w:u w:val="single"/>
          </w:rPr>
          <w:t xml:space="preserve">§ 1382 Stundung</w:t>
        </w:r>
      </w:hyperlink>
    </w:p>
    <w:p>
      <w:pPr>
        <w:pStyle w:val="Übersicht"/>
        <w:ind w:left="1361"/>
      </w:pPr>
      <w:hyperlink w:anchor="b1851" w:history="1">
        <w:r>
          <w:rPr>
            <w:color w:val="0A3A8C"/>
            <w:u w:val="single"/>
          </w:rPr>
          <w:t xml:space="preserve">§ 1383 Übertragung von Vermögensgegenständen</w:t>
        </w:r>
      </w:hyperlink>
    </w:p>
    <w:p>
      <w:pPr>
        <w:pStyle w:val="Übersicht"/>
        <w:ind w:left="1361"/>
      </w:pPr>
      <w:hyperlink w:anchor="b1852" w:history="1">
        <w:r>
          <w:rPr>
            <w:color w:val="0A3A8C"/>
            <w:u w:val="single"/>
          </w:rPr>
          <w:t xml:space="preserve">§ 1384 Berechnungszeitpunkt des Zugewinns und Höhe der Ausgleichsforderung bei Scheidung</w:t>
        </w:r>
      </w:hyperlink>
    </w:p>
    <w:p>
      <w:pPr>
        <w:pStyle w:val="Übersicht"/>
        <w:ind w:left="1361"/>
      </w:pPr>
      <w:hyperlink w:anchor="b1853" w:history="1">
        <w:r>
          <w:rPr>
            <w:color w:val="0A3A8C"/>
            <w:u w:val="single"/>
          </w:rPr>
          <w:t xml:space="preserve">§ 1385 Vorzeitiger Zugewinnausgleich des ausgleichsberechtigten Ehegatten bei vorzeitiger Aufhebung der Zugewinngemeinschaft</w:t>
        </w:r>
      </w:hyperlink>
    </w:p>
    <w:p>
      <w:pPr>
        <w:pStyle w:val="Übersicht"/>
        <w:ind w:left="1361"/>
      </w:pPr>
      <w:hyperlink w:anchor="b1854" w:history="1">
        <w:r>
          <w:rPr>
            <w:color w:val="0A3A8C"/>
            <w:u w:val="single"/>
          </w:rPr>
          <w:t xml:space="preserve">§ 1386 Vorzeitige Aufhebung der Zugewinngemeinschaft</w:t>
        </w:r>
      </w:hyperlink>
    </w:p>
    <w:p>
      <w:pPr>
        <w:pStyle w:val="Übersicht"/>
        <w:ind w:left="1361"/>
      </w:pPr>
      <w:hyperlink w:anchor="b1855" w:history="1">
        <w:r>
          <w:rPr>
            <w:color w:val="0A3A8C"/>
            <w:u w:val="single"/>
          </w:rPr>
          <w:t xml:space="preserve">§ 1387 Berechnungszeitpunkt des Zugewinns und Höhe der Ausgleichsforderung bei vorzeitigem Ausgleich oder vorzeitiger Aufhebung</w:t>
        </w:r>
      </w:hyperlink>
    </w:p>
    <w:p>
      <w:pPr>
        <w:pStyle w:val="Übersicht"/>
        <w:ind w:left="1361"/>
      </w:pPr>
      <w:hyperlink w:anchor="b1856" w:history="1">
        <w:r>
          <w:rPr>
            <w:color w:val="0A3A8C"/>
            <w:u w:val="single"/>
          </w:rPr>
          <w:t xml:space="preserve">§ 1388 Eintritt der Gütertrennung</w:t>
        </w:r>
      </w:hyperlink>
    </w:p>
    <w:p>
      <w:pPr>
        <w:pStyle w:val="Übersicht"/>
        <w:ind w:left="1361"/>
      </w:pPr>
      <w:hyperlink w:anchor="b1857" w:history="1">
        <w:r>
          <w:rPr>
            <w:color w:val="0A3A8C"/>
            <w:u w:val="single"/>
          </w:rPr>
          <w:t xml:space="preserve">§ 1389 (weggefallen)</w:t>
        </w:r>
      </w:hyperlink>
    </w:p>
    <w:p>
      <w:pPr>
        <w:pStyle w:val="Übersicht"/>
        <w:ind w:left="1361"/>
      </w:pPr>
      <w:hyperlink w:anchor="b1858" w:history="1">
        <w:r>
          <w:rPr>
            <w:color w:val="0A3A8C"/>
            <w:u w:val="single"/>
          </w:rPr>
          <w:t xml:space="preserve">§ 1390 Ansprüche des Ausgleichsberechtigten gegen Dritte</w:t>
        </w:r>
      </w:hyperlink>
    </w:p>
    <w:p>
      <w:pPr>
        <w:pStyle w:val="Übersicht"/>
        <w:ind w:left="1361"/>
      </w:pPr>
      <w:hyperlink w:anchor="b1859" w:history="1">
        <w:r>
          <w:rPr>
            <w:color w:val="0A3A8C"/>
            <w:u w:val="single"/>
          </w:rPr>
          <w:t xml:space="preserve">§§ 1391 bis 1407 (weggefallen)</w:t>
        </w:r>
      </w:hyperlink>
    </w:p>
    <w:p>
      <w:pPr>
        <w:pStyle w:val="Übersicht"/>
        <w:ind w:left="1020"/>
      </w:pPr>
      <w:hyperlink w:anchor="b1860" w:history="1">
        <w:r>
          <w:rPr>
            <w:b/>
            <w:color w:val="0A3A8C"/>
            <w:u w:val="single"/>
          </w:rPr>
          <w:t xml:space="preserve">Untertitel 2 Vertragliches Güterrecht</w:t>
        </w:r>
      </w:hyperlink>
    </w:p>
    <w:p>
      <w:pPr>
        <w:pStyle w:val="Übersicht"/>
        <w:ind w:left="1361"/>
      </w:pPr>
      <w:hyperlink w:anchor="b1861" w:history="1">
        <w:r>
          <w:rPr>
            <w:b/>
            <w:color w:val="0A3A8C"/>
            <w:u w:val="single"/>
          </w:rPr>
          <w:t xml:space="preserve">Kapitel 1 Allgemeine Vorschriften</w:t>
        </w:r>
      </w:hyperlink>
    </w:p>
    <w:p>
      <w:pPr>
        <w:pStyle w:val="Übersicht"/>
        <w:ind w:left="1701"/>
      </w:pPr>
      <w:hyperlink w:anchor="b1862" w:history="1">
        <w:r>
          <w:rPr>
            <w:color w:val="0A3A8C"/>
            <w:u w:val="single"/>
          </w:rPr>
          <w:t xml:space="preserve">§ 1408 Ehevertrag, Vertragsfreiheit</w:t>
        </w:r>
      </w:hyperlink>
    </w:p>
    <w:p>
      <w:pPr>
        <w:pStyle w:val="Übersicht"/>
        <w:ind w:left="1701"/>
      </w:pPr>
      <w:hyperlink w:anchor="b1863" w:history="1">
        <w:r>
          <w:rPr>
            <w:color w:val="0A3A8C"/>
            <w:u w:val="single"/>
          </w:rPr>
          <w:t xml:space="preserve">§ 1409 Beschränkung der Vertragsfreiheit</w:t>
        </w:r>
      </w:hyperlink>
    </w:p>
    <w:p>
      <w:pPr>
        <w:pStyle w:val="Übersicht"/>
        <w:ind w:left="1701"/>
      </w:pPr>
      <w:hyperlink w:anchor="b1864" w:history="1">
        <w:r>
          <w:rPr>
            <w:color w:val="0A3A8C"/>
            <w:u w:val="single"/>
          </w:rPr>
          <w:t xml:space="preserve">§ 1410 Form</w:t>
        </w:r>
      </w:hyperlink>
    </w:p>
    <w:p>
      <w:pPr>
        <w:pStyle w:val="Übersicht"/>
        <w:ind w:left="1701"/>
      </w:pPr>
      <w:hyperlink w:anchor="b1865" w:history="1">
        <w:r>
          <w:rPr>
            <w:color w:val="0A3A8C"/>
            <w:u w:val="single"/>
          </w:rPr>
          <w:t xml:space="preserve">§ 1411 Eheverträge Betreuter</w:t>
        </w:r>
      </w:hyperlink>
    </w:p>
    <w:p>
      <w:pPr>
        <w:pStyle w:val="Übersicht"/>
        <w:ind w:left="1701"/>
      </w:pPr>
      <w:hyperlink w:anchor="b1866" w:history="1">
        <w:r>
          <w:rPr>
            <w:color w:val="0A3A8C"/>
            <w:u w:val="single"/>
          </w:rPr>
          <w:t xml:space="preserve">§ 1412 Wirkungen gegenüber Dritten</w:t>
        </w:r>
      </w:hyperlink>
    </w:p>
    <w:p>
      <w:pPr>
        <w:pStyle w:val="Übersicht"/>
        <w:ind w:left="1701"/>
      </w:pPr>
      <w:hyperlink w:anchor="b1867" w:history="1">
        <w:r>
          <w:rPr>
            <w:color w:val="0A3A8C"/>
            <w:u w:val="single"/>
          </w:rPr>
          <w:t xml:space="preserve">§ 1413 Widerruf der Überlassung der Vermögensverwaltung</w:t>
        </w:r>
      </w:hyperlink>
    </w:p>
    <w:p>
      <w:pPr>
        <w:pStyle w:val="Übersicht"/>
        <w:ind w:left="1361"/>
      </w:pPr>
      <w:hyperlink w:anchor="b1868" w:history="1">
        <w:r>
          <w:rPr>
            <w:b/>
            <w:color w:val="0A3A8C"/>
            <w:u w:val="single"/>
          </w:rPr>
          <w:t xml:space="preserve">Kapitel 2 Gütertrennung</w:t>
        </w:r>
      </w:hyperlink>
    </w:p>
    <w:p>
      <w:pPr>
        <w:pStyle w:val="Übersicht"/>
        <w:ind w:left="1701"/>
      </w:pPr>
      <w:hyperlink w:anchor="b1869" w:history="1">
        <w:r>
          <w:rPr>
            <w:color w:val="0A3A8C"/>
            <w:u w:val="single"/>
          </w:rPr>
          <w:t xml:space="preserve">§ 1414 Eintritt der Gütertrennung</w:t>
        </w:r>
      </w:hyperlink>
    </w:p>
    <w:p>
      <w:pPr>
        <w:pStyle w:val="Übersicht"/>
        <w:ind w:left="1361"/>
      </w:pPr>
      <w:hyperlink w:anchor="b1870" w:history="1">
        <w:r>
          <w:rPr>
            <w:b/>
            <w:color w:val="0A3A8C"/>
            <w:u w:val="single"/>
          </w:rPr>
          <w:t xml:space="preserve">Kapitel 3 Gütergemeinschaft</w:t>
        </w:r>
      </w:hyperlink>
    </w:p>
    <w:p>
      <w:pPr>
        <w:pStyle w:val="Übersicht"/>
        <w:ind w:left="1701"/>
      </w:pPr>
      <w:hyperlink w:anchor="b1871" w:history="1">
        <w:r>
          <w:rPr>
            <w:b/>
            <w:color w:val="0A3A8C"/>
            <w:u w:val="single"/>
          </w:rPr>
          <w:t xml:space="preserve">Unterkapitel 1 Allgemeine Vorschriften</w:t>
        </w:r>
      </w:hyperlink>
    </w:p>
    <w:p>
      <w:pPr>
        <w:pStyle w:val="Übersicht"/>
        <w:ind w:left="2041"/>
      </w:pPr>
      <w:hyperlink w:anchor="b1872" w:history="1">
        <w:r>
          <w:rPr>
            <w:color w:val="0A3A8C"/>
            <w:u w:val="single"/>
          </w:rPr>
          <w:t xml:space="preserve">§ 1415 Vereinbarung durch Ehevertrag</w:t>
        </w:r>
      </w:hyperlink>
    </w:p>
    <w:p>
      <w:pPr>
        <w:pStyle w:val="Übersicht"/>
        <w:ind w:left="2041"/>
      </w:pPr>
      <w:hyperlink w:anchor="b1873" w:history="1">
        <w:r>
          <w:rPr>
            <w:color w:val="0A3A8C"/>
            <w:u w:val="single"/>
          </w:rPr>
          <w:t xml:space="preserve">§ 1416 Gesamtgut</w:t>
        </w:r>
      </w:hyperlink>
    </w:p>
    <w:p>
      <w:pPr>
        <w:pStyle w:val="Übersicht"/>
        <w:ind w:left="2041"/>
      </w:pPr>
      <w:hyperlink w:anchor="b1874" w:history="1">
        <w:r>
          <w:rPr>
            <w:color w:val="0A3A8C"/>
            <w:u w:val="single"/>
          </w:rPr>
          <w:t xml:space="preserve">§ 1417 Sondergut</w:t>
        </w:r>
      </w:hyperlink>
    </w:p>
    <w:p>
      <w:pPr>
        <w:pStyle w:val="Übersicht"/>
        <w:ind w:left="2041"/>
      </w:pPr>
      <w:hyperlink w:anchor="b1875" w:history="1">
        <w:r>
          <w:rPr>
            <w:color w:val="0A3A8C"/>
            <w:u w:val="single"/>
          </w:rPr>
          <w:t xml:space="preserve">§ 1418 Vorbehaltsgut</w:t>
        </w:r>
      </w:hyperlink>
    </w:p>
    <w:p>
      <w:pPr>
        <w:pStyle w:val="Übersicht"/>
        <w:ind w:left="2041"/>
      </w:pPr>
      <w:hyperlink w:anchor="b1876" w:history="1">
        <w:r>
          <w:rPr>
            <w:color w:val="0A3A8C"/>
            <w:u w:val="single"/>
          </w:rPr>
          <w:t xml:space="preserve">§ 1419 Gesamthandsgemeinschaft</w:t>
        </w:r>
      </w:hyperlink>
    </w:p>
    <w:p>
      <w:pPr>
        <w:pStyle w:val="Übersicht"/>
        <w:ind w:left="2041"/>
      </w:pPr>
      <w:hyperlink w:anchor="b1877" w:history="1">
        <w:r>
          <w:rPr>
            <w:color w:val="0A3A8C"/>
            <w:u w:val="single"/>
          </w:rPr>
          <w:t xml:space="preserve">§ 1420 Verwendung zum Unterhalt</w:t>
        </w:r>
      </w:hyperlink>
    </w:p>
    <w:p>
      <w:pPr>
        <w:pStyle w:val="Übersicht"/>
        <w:ind w:left="2041"/>
      </w:pPr>
      <w:hyperlink w:anchor="b1878" w:history="1">
        <w:r>
          <w:rPr>
            <w:color w:val="0A3A8C"/>
            <w:u w:val="single"/>
          </w:rPr>
          <w:t xml:space="preserve">§ 1421 Verwaltung des Gesamtguts</w:t>
        </w:r>
      </w:hyperlink>
    </w:p>
    <w:p>
      <w:pPr>
        <w:pStyle w:val="Übersicht"/>
        <w:ind w:left="1701"/>
      </w:pPr>
      <w:hyperlink w:anchor="b1879" w:history="1">
        <w:r>
          <w:rPr>
            <w:b/>
            <w:color w:val="0A3A8C"/>
            <w:u w:val="single"/>
          </w:rPr>
          <w:t xml:space="preserve">Unterkapitel 2 Verwaltung des Gesamtguts durch einen Ehegatten</w:t>
        </w:r>
      </w:hyperlink>
    </w:p>
    <w:p>
      <w:pPr>
        <w:pStyle w:val="Übersicht"/>
        <w:ind w:left="2041"/>
      </w:pPr>
      <w:hyperlink w:anchor="b1880" w:history="1">
        <w:r>
          <w:rPr>
            <w:color w:val="0A3A8C"/>
            <w:u w:val="single"/>
          </w:rPr>
          <w:t xml:space="preserve">§ 1422 Inhalt des Verwaltungsrechts</w:t>
        </w:r>
      </w:hyperlink>
    </w:p>
    <w:p>
      <w:pPr>
        <w:pStyle w:val="Übersicht"/>
        <w:ind w:left="2041"/>
      </w:pPr>
      <w:hyperlink w:anchor="b1881" w:history="1">
        <w:r>
          <w:rPr>
            <w:color w:val="0A3A8C"/>
            <w:u w:val="single"/>
          </w:rPr>
          <w:t xml:space="preserve">§ 1423 Verfügung über das Gesamtgut im Ganzen</w:t>
        </w:r>
      </w:hyperlink>
    </w:p>
    <w:p>
      <w:pPr>
        <w:pStyle w:val="Übersicht"/>
        <w:ind w:left="2041"/>
      </w:pPr>
      <w:hyperlink w:anchor="b1882" w:history="1">
        <w:r>
          <w:rPr>
            <w:color w:val="0A3A8C"/>
            <w:u w:val="single"/>
          </w:rPr>
          <w:t xml:space="preserve">§ 1424 Verfügung über Grundstücke, Schiffe oder Schiffsbauwerke</w:t>
        </w:r>
      </w:hyperlink>
    </w:p>
    <w:p>
      <w:pPr>
        <w:pStyle w:val="Übersicht"/>
        <w:ind w:left="2041"/>
      </w:pPr>
      <w:hyperlink w:anchor="b1883" w:history="1">
        <w:r>
          <w:rPr>
            <w:color w:val="0A3A8C"/>
            <w:u w:val="single"/>
          </w:rPr>
          <w:t xml:space="preserve">§ 1425 Schenkungen</w:t>
        </w:r>
      </w:hyperlink>
    </w:p>
    <w:p>
      <w:pPr>
        <w:pStyle w:val="Übersicht"/>
        <w:ind w:left="2041"/>
      </w:pPr>
      <w:hyperlink w:anchor="b1884" w:history="1">
        <w:r>
          <w:rPr>
            <w:color w:val="0A3A8C"/>
            <w:u w:val="single"/>
          </w:rPr>
          <w:t xml:space="preserve">§ 1426 Ersetzung der Zustimmung des anderen Ehegatten</w:t>
        </w:r>
      </w:hyperlink>
    </w:p>
    <w:p>
      <w:pPr>
        <w:pStyle w:val="Übersicht"/>
        <w:ind w:left="2041"/>
      </w:pPr>
      <w:hyperlink w:anchor="b1885" w:history="1">
        <w:r>
          <w:rPr>
            <w:color w:val="0A3A8C"/>
            <w:u w:val="single"/>
          </w:rPr>
          <w:t xml:space="preserve">§ 1427 Rechtsfolgen fehlender Einwilligung</w:t>
        </w:r>
      </w:hyperlink>
    </w:p>
    <w:p>
      <w:pPr>
        <w:pStyle w:val="Übersicht"/>
        <w:ind w:left="2041"/>
      </w:pPr>
      <w:hyperlink w:anchor="b1886" w:history="1">
        <w:r>
          <w:rPr>
            <w:color w:val="0A3A8C"/>
            <w:u w:val="single"/>
          </w:rPr>
          <w:t xml:space="preserve">§ 1428 Verfügungen ohne Zustimmung</w:t>
        </w:r>
      </w:hyperlink>
    </w:p>
    <w:p>
      <w:pPr>
        <w:pStyle w:val="Übersicht"/>
        <w:ind w:left="2041"/>
      </w:pPr>
      <w:hyperlink w:anchor="b1887" w:history="1">
        <w:r>
          <w:rPr>
            <w:color w:val="0A3A8C"/>
            <w:u w:val="single"/>
          </w:rPr>
          <w:t xml:space="preserve">§ 1429 Notverwaltungsrecht</w:t>
        </w:r>
      </w:hyperlink>
    </w:p>
    <w:p>
      <w:pPr>
        <w:pStyle w:val="Übersicht"/>
        <w:ind w:left="2041"/>
      </w:pPr>
      <w:hyperlink w:anchor="b1888" w:history="1">
        <w:r>
          <w:rPr>
            <w:color w:val="0A3A8C"/>
            <w:u w:val="single"/>
          </w:rPr>
          <w:t xml:space="preserve">§ 1430 Ersetzung der Zustimmung des Verwalters</w:t>
        </w:r>
      </w:hyperlink>
    </w:p>
    <w:p>
      <w:pPr>
        <w:pStyle w:val="Übersicht"/>
        <w:ind w:left="2041"/>
      </w:pPr>
      <w:hyperlink w:anchor="b1889" w:history="1">
        <w:r>
          <w:rPr>
            <w:color w:val="0A3A8C"/>
            <w:u w:val="single"/>
          </w:rPr>
          <w:t xml:space="preserve">§ 1431 Selbständiges Erwerbsgeschäft</w:t>
        </w:r>
      </w:hyperlink>
    </w:p>
    <w:p>
      <w:pPr>
        <w:pStyle w:val="Übersicht"/>
        <w:ind w:left="2041"/>
      </w:pPr>
      <w:hyperlink w:anchor="b1890" w:history="1">
        <w:r>
          <w:rPr>
            <w:color w:val="0A3A8C"/>
            <w:u w:val="single"/>
          </w:rPr>
          <w:t xml:space="preserve">§ 1432 Annahme einer Erbschaft; Ablehnung von Vertragsantrag oder Schenkung</w:t>
        </w:r>
      </w:hyperlink>
    </w:p>
    <w:p>
      <w:pPr>
        <w:pStyle w:val="Übersicht"/>
        <w:ind w:left="2041"/>
      </w:pPr>
      <w:hyperlink w:anchor="b1891" w:history="1">
        <w:r>
          <w:rPr>
            <w:color w:val="0A3A8C"/>
            <w:u w:val="single"/>
          </w:rPr>
          <w:t xml:space="preserve">§ 1433 Fortsetzung eines Rechtsstreits</w:t>
        </w:r>
      </w:hyperlink>
    </w:p>
    <w:p>
      <w:pPr>
        <w:pStyle w:val="Übersicht"/>
        <w:ind w:left="2041"/>
      </w:pPr>
      <w:hyperlink w:anchor="b1892" w:history="1">
        <w:r>
          <w:rPr>
            <w:color w:val="0A3A8C"/>
            <w:u w:val="single"/>
          </w:rPr>
          <w:t xml:space="preserve">§ 1434 Ungerechtfertigte Bereicherung des Gesamtguts</w:t>
        </w:r>
      </w:hyperlink>
    </w:p>
    <w:p>
      <w:pPr>
        <w:pStyle w:val="Übersicht"/>
        <w:ind w:left="2041"/>
      </w:pPr>
      <w:hyperlink w:anchor="b1893" w:history="1">
        <w:r>
          <w:rPr>
            <w:color w:val="0A3A8C"/>
            <w:u w:val="single"/>
          </w:rPr>
          <w:t xml:space="preserve">§ 1435 Pflichten des Verwalters</w:t>
        </w:r>
      </w:hyperlink>
    </w:p>
    <w:p>
      <w:pPr>
        <w:pStyle w:val="Übersicht"/>
        <w:ind w:left="2041"/>
      </w:pPr>
      <w:hyperlink w:anchor="b1894" w:history="1">
        <w:r>
          <w:rPr>
            <w:color w:val="0A3A8C"/>
            <w:u w:val="single"/>
          </w:rPr>
          <w:t xml:space="preserve">§ 1436 Verwaltung durch einen Betreuer</w:t>
        </w:r>
      </w:hyperlink>
    </w:p>
    <w:p>
      <w:pPr>
        <w:pStyle w:val="Übersicht"/>
        <w:ind w:left="2041"/>
      </w:pPr>
      <w:hyperlink w:anchor="b1895" w:history="1">
        <w:r>
          <w:rPr>
            <w:color w:val="0A3A8C"/>
            <w:u w:val="single"/>
          </w:rPr>
          <w:t xml:space="preserve">§ 1437 Gesamtgutsverbindlichkeiten; persönliche Haftung</w:t>
        </w:r>
      </w:hyperlink>
    </w:p>
    <w:p>
      <w:pPr>
        <w:pStyle w:val="Übersicht"/>
        <w:ind w:left="2041"/>
      </w:pPr>
      <w:hyperlink w:anchor="b1896" w:history="1">
        <w:r>
          <w:rPr>
            <w:color w:val="0A3A8C"/>
            <w:u w:val="single"/>
          </w:rPr>
          <w:t xml:space="preserve">§ 1438 Haftung des Gesamtguts</w:t>
        </w:r>
      </w:hyperlink>
    </w:p>
    <w:p>
      <w:pPr>
        <w:pStyle w:val="Übersicht"/>
        <w:ind w:left="2041"/>
      </w:pPr>
      <w:hyperlink w:anchor="b1897" w:history="1">
        <w:r>
          <w:rPr>
            <w:color w:val="0A3A8C"/>
            <w:u w:val="single"/>
          </w:rPr>
          <w:t xml:space="preserve">§ 1439 Keine Haftung bei Erwerb einer Erbschaft</w:t>
        </w:r>
      </w:hyperlink>
    </w:p>
    <w:p>
      <w:pPr>
        <w:pStyle w:val="Übersicht"/>
        <w:ind w:left="2041"/>
      </w:pPr>
      <w:hyperlink w:anchor="b1898" w:history="1">
        <w:r>
          <w:rPr>
            <w:color w:val="0A3A8C"/>
            <w:u w:val="single"/>
          </w:rPr>
          <w:t xml:space="preserve">§ 1440 Haftung für Vorbehalts- oder Sondergut</w:t>
        </w:r>
      </w:hyperlink>
    </w:p>
    <w:p>
      <w:pPr>
        <w:pStyle w:val="Übersicht"/>
        <w:ind w:left="2041"/>
      </w:pPr>
      <w:hyperlink w:anchor="b1899" w:history="1">
        <w:r>
          <w:rPr>
            <w:color w:val="0A3A8C"/>
            <w:u w:val="single"/>
          </w:rPr>
          <w:t xml:space="preserve">§ 1441 Haftung im Innenverhältnis</w:t>
        </w:r>
      </w:hyperlink>
    </w:p>
    <w:p>
      <w:pPr>
        <w:pStyle w:val="Übersicht"/>
        <w:ind w:left="2041"/>
      </w:pPr>
      <w:hyperlink w:anchor="b1900" w:history="1">
        <w:r>
          <w:rPr>
            <w:color w:val="0A3A8C"/>
            <w:u w:val="single"/>
          </w:rPr>
          <w:t xml:space="preserve">§ 1442 Verbindlichkeiten des Sonderguts und eines Erwerbsgeschäfts</w:t>
        </w:r>
      </w:hyperlink>
    </w:p>
    <w:p>
      <w:pPr>
        <w:pStyle w:val="Übersicht"/>
        <w:ind w:left="2041"/>
      </w:pPr>
      <w:hyperlink w:anchor="b1901" w:history="1">
        <w:r>
          <w:rPr>
            <w:color w:val="0A3A8C"/>
            <w:u w:val="single"/>
          </w:rPr>
          <w:t xml:space="preserve">§ 1443 Prozesskosten</w:t>
        </w:r>
      </w:hyperlink>
    </w:p>
    <w:p>
      <w:pPr>
        <w:pStyle w:val="Übersicht"/>
        <w:ind w:left="2041"/>
      </w:pPr>
      <w:hyperlink w:anchor="b1902" w:history="1">
        <w:r>
          <w:rPr>
            <w:color w:val="0A3A8C"/>
            <w:u w:val="single"/>
          </w:rPr>
          <w:t xml:space="preserve">§ 1444 Kosten der Ausstattung eines Kindes</w:t>
        </w:r>
      </w:hyperlink>
    </w:p>
    <w:p>
      <w:pPr>
        <w:pStyle w:val="Übersicht"/>
        <w:ind w:left="2041"/>
      </w:pPr>
      <w:hyperlink w:anchor="b1903" w:history="1">
        <w:r>
          <w:rPr>
            <w:color w:val="0A3A8C"/>
            <w:u w:val="single"/>
          </w:rPr>
          <w:t xml:space="preserve">§ 1445 Ausgleichung zwischen Vorbehalts-, Sonder- und Gesamtgut</w:t>
        </w:r>
      </w:hyperlink>
    </w:p>
    <w:p>
      <w:pPr>
        <w:pStyle w:val="Übersicht"/>
        <w:ind w:left="2041"/>
      </w:pPr>
      <w:hyperlink w:anchor="b1904" w:history="1">
        <w:r>
          <w:rPr>
            <w:color w:val="0A3A8C"/>
            <w:u w:val="single"/>
          </w:rPr>
          <w:t xml:space="preserve">§ 1446 Fälligkeit des Ausgleichsanspruchs</w:t>
        </w:r>
      </w:hyperlink>
    </w:p>
    <w:p>
      <w:pPr>
        <w:pStyle w:val="Übersicht"/>
        <w:ind w:left="2041"/>
      </w:pPr>
      <w:hyperlink w:anchor="b1905" w:history="1">
        <w:r>
          <w:rPr>
            <w:color w:val="0A3A8C"/>
            <w:u w:val="single"/>
          </w:rPr>
          <w:t xml:space="preserve">§ 1447 Aufhebungsantrag des nicht verwaltenden Ehegatten</w:t>
        </w:r>
      </w:hyperlink>
    </w:p>
    <w:p>
      <w:pPr>
        <w:pStyle w:val="Übersicht"/>
        <w:ind w:left="2041"/>
      </w:pPr>
      <w:hyperlink w:anchor="b1906" w:history="1">
        <w:r>
          <w:rPr>
            <w:color w:val="0A3A8C"/>
            <w:u w:val="single"/>
          </w:rPr>
          <w:t xml:space="preserve">§ 1448 Aufhebungsantrag des Verwalters</w:t>
        </w:r>
      </w:hyperlink>
    </w:p>
    <w:p>
      <w:pPr>
        <w:pStyle w:val="Übersicht"/>
        <w:ind w:left="2041"/>
      </w:pPr>
      <w:hyperlink w:anchor="b1907" w:history="1">
        <w:r>
          <w:rPr>
            <w:color w:val="0A3A8C"/>
            <w:u w:val="single"/>
          </w:rPr>
          <w:t xml:space="preserve">§ 1449 Wirkung der richterlichen Aufhebungsentscheidung</w:t>
        </w:r>
      </w:hyperlink>
    </w:p>
    <w:p>
      <w:pPr>
        <w:pStyle w:val="Übersicht"/>
        <w:ind w:left="1701"/>
      </w:pPr>
      <w:hyperlink w:anchor="b1908" w:history="1">
        <w:r>
          <w:rPr>
            <w:b/>
            <w:color w:val="0A3A8C"/>
            <w:u w:val="single"/>
          </w:rPr>
          <w:t xml:space="preserve">Unterkapitel 3 Gemeinschaftliche Verwaltung
des Gesamtguts durch die Ehegatten</w:t>
        </w:r>
      </w:hyperlink>
    </w:p>
    <w:p>
      <w:pPr>
        <w:pStyle w:val="Übersicht"/>
        <w:ind w:left="2041"/>
      </w:pPr>
      <w:hyperlink w:anchor="b1909" w:history="1">
        <w:r>
          <w:rPr>
            <w:color w:val="0A3A8C"/>
            <w:u w:val="single"/>
          </w:rPr>
          <w:t xml:space="preserve">§ 1450 Gemeinschaftliche Verwaltung durch die Ehegatten</w:t>
        </w:r>
      </w:hyperlink>
    </w:p>
    <w:p>
      <w:pPr>
        <w:pStyle w:val="Übersicht"/>
        <w:ind w:left="2041"/>
      </w:pPr>
      <w:hyperlink w:anchor="b1910" w:history="1">
        <w:r>
          <w:rPr>
            <w:color w:val="0A3A8C"/>
            <w:u w:val="single"/>
          </w:rPr>
          <w:t xml:space="preserve">§ 1451 Mitwirkungspflicht beider Ehegatten</w:t>
        </w:r>
      </w:hyperlink>
    </w:p>
    <w:p>
      <w:pPr>
        <w:pStyle w:val="Übersicht"/>
        <w:ind w:left="2041"/>
      </w:pPr>
      <w:hyperlink w:anchor="b1911" w:history="1">
        <w:r>
          <w:rPr>
            <w:color w:val="0A3A8C"/>
            <w:u w:val="single"/>
          </w:rPr>
          <w:t xml:space="preserve">§ 1452 Ersetzung der Zustimmung</w:t>
        </w:r>
      </w:hyperlink>
    </w:p>
    <w:p>
      <w:pPr>
        <w:pStyle w:val="Übersicht"/>
        <w:ind w:left="2041"/>
      </w:pPr>
      <w:hyperlink w:anchor="b1912" w:history="1">
        <w:r>
          <w:rPr>
            <w:color w:val="0A3A8C"/>
            <w:u w:val="single"/>
          </w:rPr>
          <w:t xml:space="preserve">§ 1453 Verfügung ohne Einwilligung</w:t>
        </w:r>
      </w:hyperlink>
    </w:p>
    <w:p>
      <w:pPr>
        <w:pStyle w:val="Übersicht"/>
        <w:ind w:left="2041"/>
      </w:pPr>
      <w:hyperlink w:anchor="b1913" w:history="1">
        <w:r>
          <w:rPr>
            <w:color w:val="0A3A8C"/>
            <w:u w:val="single"/>
          </w:rPr>
          <w:t xml:space="preserve">§ 1454 Notverwaltungsrecht</w:t>
        </w:r>
      </w:hyperlink>
    </w:p>
    <w:p>
      <w:pPr>
        <w:pStyle w:val="Übersicht"/>
        <w:ind w:left="2041"/>
      </w:pPr>
      <w:hyperlink w:anchor="b1914" w:history="1">
        <w:r>
          <w:rPr>
            <w:color w:val="0A3A8C"/>
            <w:u w:val="single"/>
          </w:rPr>
          <w:t xml:space="preserve">§ 1455 Verwaltungshandlungen ohne Mitwirkung des anderen Ehegatten</w:t>
        </w:r>
      </w:hyperlink>
    </w:p>
    <w:p>
      <w:pPr>
        <w:pStyle w:val="Übersicht"/>
        <w:ind w:left="2041"/>
      </w:pPr>
      <w:hyperlink w:anchor="b1915" w:history="1">
        <w:r>
          <w:rPr>
            <w:color w:val="0A3A8C"/>
            <w:u w:val="single"/>
          </w:rPr>
          <w:t xml:space="preserve">§ 1456 Selbständiges Erwerbsgeschäft</w:t>
        </w:r>
      </w:hyperlink>
    </w:p>
    <w:p>
      <w:pPr>
        <w:pStyle w:val="Übersicht"/>
        <w:ind w:left="2041"/>
      </w:pPr>
      <w:hyperlink w:anchor="b1916" w:history="1">
        <w:r>
          <w:rPr>
            <w:color w:val="0A3A8C"/>
            <w:u w:val="single"/>
          </w:rPr>
          <w:t xml:space="preserve">§ 1457 Ungerechtfertigte Bereicherung des Gesamtguts</w:t>
        </w:r>
      </w:hyperlink>
    </w:p>
    <w:p>
      <w:pPr>
        <w:pStyle w:val="Übersicht"/>
        <w:ind w:left="2041"/>
      </w:pPr>
      <w:hyperlink w:anchor="b1917" w:history="1">
        <w:r>
          <w:rPr>
            <w:color w:val="0A3A8C"/>
            <w:u w:val="single"/>
          </w:rPr>
          <w:t xml:space="preserve">§ 1458 (weggefallen)</w:t>
        </w:r>
      </w:hyperlink>
    </w:p>
    <w:p>
      <w:pPr>
        <w:pStyle w:val="Übersicht"/>
        <w:ind w:left="2041"/>
      </w:pPr>
      <w:hyperlink w:anchor="b1918" w:history="1">
        <w:r>
          <w:rPr>
            <w:color w:val="0A3A8C"/>
            <w:u w:val="single"/>
          </w:rPr>
          <w:t xml:space="preserve">§ 1459 Gesamtgutsverbindlichkeiten; persönliche Haftung</w:t>
        </w:r>
      </w:hyperlink>
    </w:p>
    <w:p>
      <w:pPr>
        <w:pStyle w:val="Übersicht"/>
        <w:ind w:left="2041"/>
      </w:pPr>
      <w:hyperlink w:anchor="b1919" w:history="1">
        <w:r>
          <w:rPr>
            <w:color w:val="0A3A8C"/>
            <w:u w:val="single"/>
          </w:rPr>
          <w:t xml:space="preserve">§ 1460 Haftung des Gesamtguts</w:t>
        </w:r>
      </w:hyperlink>
    </w:p>
    <w:p>
      <w:pPr>
        <w:pStyle w:val="Übersicht"/>
        <w:ind w:left="2041"/>
      </w:pPr>
      <w:hyperlink w:anchor="b1920" w:history="1">
        <w:r>
          <w:rPr>
            <w:color w:val="0A3A8C"/>
            <w:u w:val="single"/>
          </w:rPr>
          <w:t xml:space="preserve">§ 1461 Keine Haftung bei Erwerb einer Erbschaft</w:t>
        </w:r>
      </w:hyperlink>
    </w:p>
    <w:p>
      <w:pPr>
        <w:pStyle w:val="Übersicht"/>
        <w:ind w:left="2041"/>
      </w:pPr>
      <w:hyperlink w:anchor="b1921" w:history="1">
        <w:r>
          <w:rPr>
            <w:color w:val="0A3A8C"/>
            <w:u w:val="single"/>
          </w:rPr>
          <w:t xml:space="preserve">§ 1462 Haftung für Vorbehalts- oder Sondergut</w:t>
        </w:r>
      </w:hyperlink>
    </w:p>
    <w:p>
      <w:pPr>
        <w:pStyle w:val="Übersicht"/>
        <w:ind w:left="2041"/>
      </w:pPr>
      <w:hyperlink w:anchor="b1922" w:history="1">
        <w:r>
          <w:rPr>
            <w:color w:val="0A3A8C"/>
            <w:u w:val="single"/>
          </w:rPr>
          <w:t xml:space="preserve">§ 1463 Haftung im Innenverhältnis</w:t>
        </w:r>
      </w:hyperlink>
    </w:p>
    <w:p>
      <w:pPr>
        <w:pStyle w:val="Übersicht"/>
        <w:ind w:left="2041"/>
      </w:pPr>
      <w:hyperlink w:anchor="b1923" w:history="1">
        <w:r>
          <w:rPr>
            <w:color w:val="0A3A8C"/>
            <w:u w:val="single"/>
          </w:rPr>
          <w:t xml:space="preserve">§ 1464 Verbindlichkeiten des Sonderguts und eines Erwerbsgeschäfts</w:t>
        </w:r>
      </w:hyperlink>
    </w:p>
    <w:p>
      <w:pPr>
        <w:pStyle w:val="Übersicht"/>
        <w:ind w:left="2041"/>
      </w:pPr>
      <w:hyperlink w:anchor="b1924" w:history="1">
        <w:r>
          <w:rPr>
            <w:color w:val="0A3A8C"/>
            <w:u w:val="single"/>
          </w:rPr>
          <w:t xml:space="preserve">§ 1465 Prozesskosten</w:t>
        </w:r>
      </w:hyperlink>
    </w:p>
    <w:p>
      <w:pPr>
        <w:pStyle w:val="Übersicht"/>
        <w:ind w:left="2041"/>
      </w:pPr>
      <w:hyperlink w:anchor="b1925" w:history="1">
        <w:r>
          <w:rPr>
            <w:color w:val="0A3A8C"/>
            <w:u w:val="single"/>
          </w:rPr>
          <w:t xml:space="preserve">§ 1466 Kosten der Ausstattung eines nicht gemeinschaftlichen Kindes</w:t>
        </w:r>
      </w:hyperlink>
    </w:p>
    <w:p>
      <w:pPr>
        <w:pStyle w:val="Übersicht"/>
        <w:ind w:left="2041"/>
      </w:pPr>
      <w:hyperlink w:anchor="b1926" w:history="1">
        <w:r>
          <w:rPr>
            <w:color w:val="0A3A8C"/>
            <w:u w:val="single"/>
          </w:rPr>
          <w:t xml:space="preserve">§ 1467 Ausgleichung zwischen Vorbehalts-, Sonder- und Gesamtgut</w:t>
        </w:r>
      </w:hyperlink>
    </w:p>
    <w:p>
      <w:pPr>
        <w:pStyle w:val="Übersicht"/>
        <w:ind w:left="2041"/>
      </w:pPr>
      <w:hyperlink w:anchor="b1927" w:history="1">
        <w:r>
          <w:rPr>
            <w:color w:val="0A3A8C"/>
            <w:u w:val="single"/>
          </w:rPr>
          <w:t xml:space="preserve">§ 1468 Fälligkeit des Ausgleichsanspruchs</w:t>
        </w:r>
      </w:hyperlink>
    </w:p>
    <w:p>
      <w:pPr>
        <w:pStyle w:val="Übersicht"/>
        <w:ind w:left="2041"/>
      </w:pPr>
      <w:hyperlink w:anchor="b1928" w:history="1">
        <w:r>
          <w:rPr>
            <w:color w:val="0A3A8C"/>
            <w:u w:val="single"/>
          </w:rPr>
          <w:t xml:space="preserve">§ 1469 Aufhebungsantrag</w:t>
        </w:r>
      </w:hyperlink>
    </w:p>
    <w:p>
      <w:pPr>
        <w:pStyle w:val="Übersicht"/>
        <w:ind w:left="2041"/>
      </w:pPr>
      <w:hyperlink w:anchor="b1929" w:history="1">
        <w:r>
          <w:rPr>
            <w:color w:val="0A3A8C"/>
            <w:u w:val="single"/>
          </w:rPr>
          <w:t xml:space="preserve">§ 1470 Wirkung der richterlichen Aufhebungsentscheidung</w:t>
        </w:r>
      </w:hyperlink>
    </w:p>
    <w:p>
      <w:pPr>
        <w:pStyle w:val="Übersicht"/>
        <w:ind w:left="1701"/>
      </w:pPr>
      <w:hyperlink w:anchor="b1930" w:history="1">
        <w:r>
          <w:rPr>
            <w:b/>
            <w:color w:val="0A3A8C"/>
            <w:u w:val="single"/>
          </w:rPr>
          <w:t xml:space="preserve">Unterkapitel 4 Auseinandersetzung des Gesamtguts</w:t>
        </w:r>
      </w:hyperlink>
    </w:p>
    <w:p>
      <w:pPr>
        <w:pStyle w:val="Übersicht"/>
        <w:ind w:left="2041"/>
      </w:pPr>
      <w:hyperlink w:anchor="b1931" w:history="1">
        <w:r>
          <w:rPr>
            <w:color w:val="0A3A8C"/>
            <w:u w:val="single"/>
          </w:rPr>
          <w:t xml:space="preserve">§ 1471 Beginn der Auseinandersetzung</w:t>
        </w:r>
      </w:hyperlink>
    </w:p>
    <w:p>
      <w:pPr>
        <w:pStyle w:val="Übersicht"/>
        <w:ind w:left="2041"/>
      </w:pPr>
      <w:hyperlink w:anchor="b1932" w:history="1">
        <w:r>
          <w:rPr>
            <w:color w:val="0A3A8C"/>
            <w:u w:val="single"/>
          </w:rPr>
          <w:t xml:space="preserve">§ 1472 Gemeinschaftliche Verwaltung des Gesamtguts</w:t>
        </w:r>
      </w:hyperlink>
    </w:p>
    <w:p>
      <w:pPr>
        <w:pStyle w:val="Übersicht"/>
        <w:ind w:left="2041"/>
      </w:pPr>
      <w:hyperlink w:anchor="b1933" w:history="1">
        <w:r>
          <w:rPr>
            <w:color w:val="0A3A8C"/>
            <w:u w:val="single"/>
          </w:rPr>
          <w:t xml:space="preserve">§ 1473 Unmittelbare Ersetzung</w:t>
        </w:r>
      </w:hyperlink>
    </w:p>
    <w:p>
      <w:pPr>
        <w:pStyle w:val="Übersicht"/>
        <w:ind w:left="2041"/>
      </w:pPr>
      <w:hyperlink w:anchor="b1934" w:history="1">
        <w:r>
          <w:rPr>
            <w:color w:val="0A3A8C"/>
            <w:u w:val="single"/>
          </w:rPr>
          <w:t xml:space="preserve">§ 1474 Durchführung der Auseinandersetzung</w:t>
        </w:r>
      </w:hyperlink>
    </w:p>
    <w:p>
      <w:pPr>
        <w:pStyle w:val="Übersicht"/>
        <w:ind w:left="2041"/>
      </w:pPr>
      <w:hyperlink w:anchor="b1935" w:history="1">
        <w:r>
          <w:rPr>
            <w:color w:val="0A3A8C"/>
            <w:u w:val="single"/>
          </w:rPr>
          <w:t xml:space="preserve">§ 1475 Berichtigung der Gesamtgutsverbindlichkeiten</w:t>
        </w:r>
      </w:hyperlink>
    </w:p>
    <w:p>
      <w:pPr>
        <w:pStyle w:val="Übersicht"/>
        <w:ind w:left="2041"/>
      </w:pPr>
      <w:hyperlink w:anchor="b1936" w:history="1">
        <w:r>
          <w:rPr>
            <w:color w:val="0A3A8C"/>
            <w:u w:val="single"/>
          </w:rPr>
          <w:t xml:space="preserve">§ 1476 Teilung des Überschusses</w:t>
        </w:r>
      </w:hyperlink>
    </w:p>
    <w:p>
      <w:pPr>
        <w:pStyle w:val="Übersicht"/>
        <w:ind w:left="2041"/>
      </w:pPr>
      <w:hyperlink w:anchor="b1937" w:history="1">
        <w:r>
          <w:rPr>
            <w:color w:val="0A3A8C"/>
            <w:u w:val="single"/>
          </w:rPr>
          <w:t xml:space="preserve">§ 1477 Durchführung der Teilung</w:t>
        </w:r>
      </w:hyperlink>
    </w:p>
    <w:p>
      <w:pPr>
        <w:pStyle w:val="Übersicht"/>
        <w:ind w:left="2041"/>
      </w:pPr>
      <w:hyperlink w:anchor="b1938" w:history="1">
        <w:r>
          <w:rPr>
            <w:color w:val="0A3A8C"/>
            <w:u w:val="single"/>
          </w:rPr>
          <w:t xml:space="preserve">§ 1478 Auseinandersetzung nach Scheidung</w:t>
        </w:r>
      </w:hyperlink>
    </w:p>
    <w:p>
      <w:pPr>
        <w:pStyle w:val="Übersicht"/>
        <w:ind w:left="2041"/>
      </w:pPr>
      <w:hyperlink w:anchor="b1939" w:history="1">
        <w:r>
          <w:rPr>
            <w:color w:val="0A3A8C"/>
            <w:u w:val="single"/>
          </w:rPr>
          <w:t xml:space="preserve">§ 1479 Auseinandersetzung nach richterlicher Aufhebungsentscheidung</w:t>
        </w:r>
      </w:hyperlink>
    </w:p>
    <w:p>
      <w:pPr>
        <w:pStyle w:val="Übersicht"/>
        <w:ind w:left="2041"/>
      </w:pPr>
      <w:hyperlink w:anchor="b1940" w:history="1">
        <w:r>
          <w:rPr>
            <w:color w:val="0A3A8C"/>
            <w:u w:val="single"/>
          </w:rPr>
          <w:t xml:space="preserve">§ 1480 Haftung nach der Teilung gegenüber Dritten</w:t>
        </w:r>
      </w:hyperlink>
    </w:p>
    <w:p>
      <w:pPr>
        <w:pStyle w:val="Übersicht"/>
        <w:ind w:left="2041"/>
      </w:pPr>
      <w:hyperlink w:anchor="b1941" w:history="1">
        <w:r>
          <w:rPr>
            <w:color w:val="0A3A8C"/>
            <w:u w:val="single"/>
          </w:rPr>
          <w:t xml:space="preserve">§ 1481 Haftung der Ehegatten untereinander</w:t>
        </w:r>
      </w:hyperlink>
    </w:p>
    <w:p>
      <w:pPr>
        <w:pStyle w:val="Übersicht"/>
        <w:ind w:left="2041"/>
      </w:pPr>
      <w:hyperlink w:anchor="b1942" w:history="1">
        <w:r>
          <w:rPr>
            <w:color w:val="0A3A8C"/>
            <w:u w:val="single"/>
          </w:rPr>
          <w:t xml:space="preserve">§ 1482 Eheauflösung durch Tod</w:t>
        </w:r>
      </w:hyperlink>
    </w:p>
    <w:p>
      <w:pPr>
        <w:pStyle w:val="Übersicht"/>
        <w:ind w:left="1701"/>
      </w:pPr>
      <w:hyperlink w:anchor="b1943" w:history="1">
        <w:r>
          <w:rPr>
            <w:b/>
            <w:color w:val="0A3A8C"/>
            <w:u w:val="single"/>
          </w:rPr>
          <w:t xml:space="preserve">Unterkapitel 5 Fortgesetzte Gütergemeinschaft</w:t>
        </w:r>
      </w:hyperlink>
    </w:p>
    <w:p>
      <w:pPr>
        <w:pStyle w:val="Übersicht"/>
        <w:ind w:left="2041"/>
      </w:pPr>
      <w:hyperlink w:anchor="b1944" w:history="1">
        <w:r>
          <w:rPr>
            <w:color w:val="0A3A8C"/>
            <w:u w:val="single"/>
          </w:rPr>
          <w:t xml:space="preserve">§ 1483 Eintritt der fortgesetzten Gütergemeinschaft</w:t>
        </w:r>
      </w:hyperlink>
    </w:p>
    <w:p>
      <w:pPr>
        <w:pStyle w:val="Übersicht"/>
        <w:ind w:left="2041"/>
      </w:pPr>
      <w:hyperlink w:anchor="b1945" w:history="1">
        <w:r>
          <w:rPr>
            <w:color w:val="0A3A8C"/>
            <w:u w:val="single"/>
          </w:rPr>
          <w:t xml:space="preserve">§ 1484 Ablehnung der fortgesetzten Gütergemeinschaft</w:t>
        </w:r>
      </w:hyperlink>
    </w:p>
    <w:p>
      <w:pPr>
        <w:pStyle w:val="Übersicht"/>
        <w:ind w:left="2041"/>
      </w:pPr>
      <w:hyperlink w:anchor="b1946" w:history="1">
        <w:r>
          <w:rPr>
            <w:color w:val="0A3A8C"/>
            <w:u w:val="single"/>
          </w:rPr>
          <w:t xml:space="preserve">§ 1485 Gesamtgut</w:t>
        </w:r>
      </w:hyperlink>
    </w:p>
    <w:p>
      <w:pPr>
        <w:pStyle w:val="Übersicht"/>
        <w:ind w:left="2041"/>
      </w:pPr>
      <w:hyperlink w:anchor="b1947" w:history="1">
        <w:r>
          <w:rPr>
            <w:color w:val="0A3A8C"/>
            <w:u w:val="single"/>
          </w:rPr>
          <w:t xml:space="preserve">§ 1486 Vorbehaltsgut; Sondergut</w:t>
        </w:r>
      </w:hyperlink>
    </w:p>
    <w:p>
      <w:pPr>
        <w:pStyle w:val="Übersicht"/>
        <w:ind w:left="2041"/>
      </w:pPr>
      <w:hyperlink w:anchor="b1948" w:history="1">
        <w:r>
          <w:rPr>
            <w:color w:val="0A3A8C"/>
            <w:u w:val="single"/>
          </w:rPr>
          <w:t xml:space="preserve">§ 1487 Rechtsstellung des Ehegatten und der Abkömmlinge</w:t>
        </w:r>
      </w:hyperlink>
    </w:p>
    <w:p>
      <w:pPr>
        <w:pStyle w:val="Übersicht"/>
        <w:ind w:left="2041"/>
      </w:pPr>
      <w:hyperlink w:anchor="b1949" w:history="1">
        <w:r>
          <w:rPr>
            <w:color w:val="0A3A8C"/>
            <w:u w:val="single"/>
          </w:rPr>
          <w:t xml:space="preserve">§ 1488 Gesamtgutsverbindlichkeiten</w:t>
        </w:r>
      </w:hyperlink>
    </w:p>
    <w:p>
      <w:pPr>
        <w:pStyle w:val="Übersicht"/>
        <w:ind w:left="2041"/>
      </w:pPr>
      <w:hyperlink w:anchor="b1950" w:history="1">
        <w:r>
          <w:rPr>
            <w:color w:val="0A3A8C"/>
            <w:u w:val="single"/>
          </w:rPr>
          <w:t xml:space="preserve">§ 1489 Persönliche Haftung für die Gesamtgutsverbindlichkeiten</w:t>
        </w:r>
      </w:hyperlink>
    </w:p>
    <w:p>
      <w:pPr>
        <w:pStyle w:val="Übersicht"/>
        <w:ind w:left="2041"/>
      </w:pPr>
      <w:hyperlink w:anchor="b1951" w:history="1">
        <w:r>
          <w:rPr>
            <w:color w:val="0A3A8C"/>
            <w:u w:val="single"/>
          </w:rPr>
          <w:t xml:space="preserve">§ 1490 Tod eines Abkömmlings</w:t>
        </w:r>
      </w:hyperlink>
    </w:p>
    <w:p>
      <w:pPr>
        <w:pStyle w:val="Übersicht"/>
        <w:ind w:left="2041"/>
      </w:pPr>
      <w:hyperlink w:anchor="b1952" w:history="1">
        <w:r>
          <w:rPr>
            <w:color w:val="0A3A8C"/>
            <w:u w:val="single"/>
          </w:rPr>
          <w:t xml:space="preserve">§ 1491 Verzicht eines Abkömmlings</w:t>
        </w:r>
      </w:hyperlink>
    </w:p>
    <w:p>
      <w:pPr>
        <w:pStyle w:val="Übersicht"/>
        <w:ind w:left="2041"/>
      </w:pPr>
      <w:hyperlink w:anchor="b1953" w:history="1">
        <w:r>
          <w:rPr>
            <w:color w:val="0A3A8C"/>
            <w:u w:val="single"/>
          </w:rPr>
          <w:t xml:space="preserve">§ 1492 Aufhebung durch den überlebenden Ehegatten</w:t>
        </w:r>
      </w:hyperlink>
    </w:p>
    <w:p>
      <w:pPr>
        <w:pStyle w:val="Übersicht"/>
        <w:ind w:left="2041"/>
      </w:pPr>
      <w:hyperlink w:anchor="b1954" w:history="1">
        <w:r>
          <w:rPr>
            <w:color w:val="0A3A8C"/>
            <w:u w:val="single"/>
          </w:rPr>
          <w:t xml:space="preserve">§ 1493 Wiederverheiratung oder Begründung einer Lebenspartnerschaft des überlebenden Ehegatten</w:t>
        </w:r>
      </w:hyperlink>
    </w:p>
    <w:p>
      <w:pPr>
        <w:pStyle w:val="Übersicht"/>
        <w:ind w:left="2041"/>
      </w:pPr>
      <w:hyperlink w:anchor="b1955" w:history="1">
        <w:r>
          <w:rPr>
            <w:color w:val="0A3A8C"/>
            <w:u w:val="single"/>
          </w:rPr>
          <w:t xml:space="preserve">§ 1494 Tod des überlebenden Ehegatten</w:t>
        </w:r>
      </w:hyperlink>
    </w:p>
    <w:p>
      <w:pPr>
        <w:pStyle w:val="Übersicht"/>
        <w:ind w:left="2041"/>
      </w:pPr>
      <w:hyperlink w:anchor="b1956" w:history="1">
        <w:r>
          <w:rPr>
            <w:color w:val="0A3A8C"/>
            <w:u w:val="single"/>
          </w:rPr>
          <w:t xml:space="preserve">§ 1495 Aufhebungsantrag eines Abkömmlings</w:t>
        </w:r>
      </w:hyperlink>
    </w:p>
    <w:p>
      <w:pPr>
        <w:pStyle w:val="Übersicht"/>
        <w:ind w:left="2041"/>
      </w:pPr>
      <w:hyperlink w:anchor="b1957" w:history="1">
        <w:r>
          <w:rPr>
            <w:color w:val="0A3A8C"/>
            <w:u w:val="single"/>
          </w:rPr>
          <w:t xml:space="preserve">§ 1496 Wirkung der richterlichen Aufhebungsentscheidung</w:t>
        </w:r>
      </w:hyperlink>
    </w:p>
    <w:p>
      <w:pPr>
        <w:pStyle w:val="Übersicht"/>
        <w:ind w:left="2041"/>
      </w:pPr>
      <w:hyperlink w:anchor="b1958" w:history="1">
        <w:r>
          <w:rPr>
            <w:color w:val="0A3A8C"/>
            <w:u w:val="single"/>
          </w:rPr>
          <w:t xml:space="preserve">§ 1497 Rechtsverhältnis bis zur Auseinandersetzung</w:t>
        </w:r>
      </w:hyperlink>
    </w:p>
    <w:p>
      <w:pPr>
        <w:pStyle w:val="Übersicht"/>
        <w:ind w:left="2041"/>
      </w:pPr>
      <w:hyperlink w:anchor="b1959" w:history="1">
        <w:r>
          <w:rPr>
            <w:color w:val="0A3A8C"/>
            <w:u w:val="single"/>
          </w:rPr>
          <w:t xml:space="preserve">§ 1498 Durchführung der Auseinandersetzung</w:t>
        </w:r>
      </w:hyperlink>
    </w:p>
    <w:p>
      <w:pPr>
        <w:pStyle w:val="Übersicht"/>
        <w:ind w:left="2041"/>
      </w:pPr>
      <w:hyperlink w:anchor="b1960" w:history="1">
        <w:r>
          <w:rPr>
            <w:color w:val="0A3A8C"/>
            <w:u w:val="single"/>
          </w:rPr>
          <w:t xml:space="preserve">§ 1499 Verbindlichkeiten zu Lasten des überlebenden Ehegatten</w:t>
        </w:r>
      </w:hyperlink>
    </w:p>
    <w:p>
      <w:pPr>
        <w:pStyle w:val="Übersicht"/>
        <w:ind w:left="2041"/>
      </w:pPr>
      <w:hyperlink w:anchor="b1961" w:history="1">
        <w:r>
          <w:rPr>
            <w:color w:val="0A3A8C"/>
            <w:u w:val="single"/>
          </w:rPr>
          <w:t xml:space="preserve">§ 1500 Verbindlichkeiten zu Lasten der Abkömmlinge</w:t>
        </w:r>
      </w:hyperlink>
    </w:p>
    <w:p>
      <w:pPr>
        <w:pStyle w:val="Übersicht"/>
        <w:ind w:left="2041"/>
      </w:pPr>
      <w:hyperlink w:anchor="b1962" w:history="1">
        <w:r>
          <w:rPr>
            <w:color w:val="0A3A8C"/>
            <w:u w:val="single"/>
          </w:rPr>
          <w:t xml:space="preserve">§ 1501 Anrechnung von Abfindungen</w:t>
        </w:r>
      </w:hyperlink>
    </w:p>
    <w:p>
      <w:pPr>
        <w:pStyle w:val="Übersicht"/>
        <w:ind w:left="2041"/>
      </w:pPr>
      <w:hyperlink w:anchor="b1963" w:history="1">
        <w:r>
          <w:rPr>
            <w:color w:val="0A3A8C"/>
            <w:u w:val="single"/>
          </w:rPr>
          <w:t xml:space="preserve">§ 1502 Übernahmerecht des überlebenden Ehegatten</w:t>
        </w:r>
      </w:hyperlink>
    </w:p>
    <w:p>
      <w:pPr>
        <w:pStyle w:val="Übersicht"/>
        <w:ind w:left="2041"/>
      </w:pPr>
      <w:hyperlink w:anchor="b1964" w:history="1">
        <w:r>
          <w:rPr>
            <w:color w:val="0A3A8C"/>
            <w:u w:val="single"/>
          </w:rPr>
          <w:t xml:space="preserve">§ 1503 Teilung unter den Abkömmlingen</w:t>
        </w:r>
      </w:hyperlink>
    </w:p>
    <w:p>
      <w:pPr>
        <w:pStyle w:val="Übersicht"/>
        <w:ind w:left="2041"/>
      </w:pPr>
      <w:hyperlink w:anchor="b1965" w:history="1">
        <w:r>
          <w:rPr>
            <w:color w:val="0A3A8C"/>
            <w:u w:val="single"/>
          </w:rPr>
          <w:t xml:space="preserve">§ 1504 Haftungsausgleich unter Abkömmlingen</w:t>
        </w:r>
      </w:hyperlink>
    </w:p>
    <w:p>
      <w:pPr>
        <w:pStyle w:val="Übersicht"/>
        <w:ind w:left="2041"/>
      </w:pPr>
      <w:hyperlink w:anchor="b1966" w:history="1">
        <w:r>
          <w:rPr>
            <w:color w:val="0A3A8C"/>
            <w:u w:val="single"/>
          </w:rPr>
          <w:t xml:space="preserve">§ 1505 Ergänzung des Anteils des Abkömmlings</w:t>
        </w:r>
      </w:hyperlink>
    </w:p>
    <w:p>
      <w:pPr>
        <w:pStyle w:val="Übersicht"/>
        <w:ind w:left="2041"/>
      </w:pPr>
      <w:hyperlink w:anchor="b1967" w:history="1">
        <w:r>
          <w:rPr>
            <w:color w:val="0A3A8C"/>
            <w:u w:val="single"/>
          </w:rPr>
          <w:t xml:space="preserve">§ 1506 Anteilsunwürdigkeit</w:t>
        </w:r>
      </w:hyperlink>
    </w:p>
    <w:p>
      <w:pPr>
        <w:pStyle w:val="Übersicht"/>
        <w:ind w:left="2041"/>
      </w:pPr>
      <w:hyperlink w:anchor="b1968" w:history="1">
        <w:r>
          <w:rPr>
            <w:color w:val="0A3A8C"/>
            <w:u w:val="single"/>
          </w:rPr>
          <w:t xml:space="preserve">§ 1507 Zeugnis über Fortsetzung der Gütergemeinschaft</w:t>
        </w:r>
      </w:hyperlink>
    </w:p>
    <w:p>
      <w:pPr>
        <w:pStyle w:val="Übersicht"/>
        <w:ind w:left="2041"/>
      </w:pPr>
      <w:hyperlink w:anchor="b1969" w:history="1">
        <w:r>
          <w:rPr>
            <w:color w:val="0A3A8C"/>
            <w:u w:val="single"/>
          </w:rPr>
          <w:t xml:space="preserve">§ 1508</w:t>
        </w:r>
      </w:hyperlink>
    </w:p>
    <w:p>
      <w:pPr>
        <w:pStyle w:val="Übersicht"/>
        <w:ind w:left="2041"/>
      </w:pPr>
      <w:hyperlink w:anchor="b1970" w:history="1">
        <w:r>
          <w:rPr>
            <w:color w:val="0A3A8C"/>
            <w:u w:val="single"/>
          </w:rPr>
          <w:t xml:space="preserve">§ 1509 Ausschließung der fortgesetzten Gütergemeinschaft durch letztwillige Verfügung</w:t>
        </w:r>
      </w:hyperlink>
    </w:p>
    <w:p>
      <w:pPr>
        <w:pStyle w:val="Übersicht"/>
        <w:ind w:left="2041"/>
      </w:pPr>
      <w:hyperlink w:anchor="b1971" w:history="1">
        <w:r>
          <w:rPr>
            <w:color w:val="0A3A8C"/>
            <w:u w:val="single"/>
          </w:rPr>
          <w:t xml:space="preserve">§ 1510 Wirkung der Ausschließung</w:t>
        </w:r>
      </w:hyperlink>
    </w:p>
    <w:p>
      <w:pPr>
        <w:pStyle w:val="Übersicht"/>
        <w:ind w:left="2041"/>
      </w:pPr>
      <w:hyperlink w:anchor="b1972" w:history="1">
        <w:r>
          <w:rPr>
            <w:color w:val="0A3A8C"/>
            <w:u w:val="single"/>
          </w:rPr>
          <w:t xml:space="preserve">§ 1511 Ausschließung eines Abkömmlings</w:t>
        </w:r>
      </w:hyperlink>
    </w:p>
    <w:p>
      <w:pPr>
        <w:pStyle w:val="Übersicht"/>
        <w:ind w:left="2041"/>
      </w:pPr>
      <w:hyperlink w:anchor="b1973" w:history="1">
        <w:r>
          <w:rPr>
            <w:color w:val="0A3A8C"/>
            <w:u w:val="single"/>
          </w:rPr>
          <w:t xml:space="preserve">§ 1512 Herabsetzung des Anteils</w:t>
        </w:r>
      </w:hyperlink>
    </w:p>
    <w:p>
      <w:pPr>
        <w:pStyle w:val="Übersicht"/>
        <w:ind w:left="2041"/>
      </w:pPr>
      <w:hyperlink w:anchor="b1974" w:history="1">
        <w:r>
          <w:rPr>
            <w:color w:val="0A3A8C"/>
            <w:u w:val="single"/>
          </w:rPr>
          <w:t xml:space="preserve">§ 1513 Entziehung des Anteils</w:t>
        </w:r>
      </w:hyperlink>
    </w:p>
    <w:p>
      <w:pPr>
        <w:pStyle w:val="Übersicht"/>
        <w:ind w:left="2041"/>
      </w:pPr>
      <w:hyperlink w:anchor="b1975" w:history="1">
        <w:r>
          <w:rPr>
            <w:color w:val="0A3A8C"/>
            <w:u w:val="single"/>
          </w:rPr>
          <w:t xml:space="preserve">§ 1514 Zuwendung des entzogenen Betrags</w:t>
        </w:r>
      </w:hyperlink>
    </w:p>
    <w:p>
      <w:pPr>
        <w:pStyle w:val="Übersicht"/>
        <w:ind w:left="2041"/>
      </w:pPr>
      <w:hyperlink w:anchor="b1976" w:history="1">
        <w:r>
          <w:rPr>
            <w:color w:val="0A3A8C"/>
            <w:u w:val="single"/>
          </w:rPr>
          <w:t xml:space="preserve">§ 1515 Übernahmerecht eines Abkömmlings und des Ehegatten</w:t>
        </w:r>
      </w:hyperlink>
    </w:p>
    <w:p>
      <w:pPr>
        <w:pStyle w:val="Übersicht"/>
        <w:ind w:left="2041"/>
      </w:pPr>
      <w:hyperlink w:anchor="b1977" w:history="1">
        <w:r>
          <w:rPr>
            <w:color w:val="0A3A8C"/>
            <w:u w:val="single"/>
          </w:rPr>
          <w:t xml:space="preserve">§ 1516 Zustimmung des anderen Ehegatten</w:t>
        </w:r>
      </w:hyperlink>
    </w:p>
    <w:p>
      <w:pPr>
        <w:pStyle w:val="Übersicht"/>
        <w:ind w:left="2041"/>
      </w:pPr>
      <w:hyperlink w:anchor="b1978" w:history="1">
        <w:r>
          <w:rPr>
            <w:color w:val="0A3A8C"/>
            <w:u w:val="single"/>
          </w:rPr>
          <w:t xml:space="preserve">§ 1517 Verzicht eines Abkömmlings auf seinen Anteil</w:t>
        </w:r>
      </w:hyperlink>
    </w:p>
    <w:p>
      <w:pPr>
        <w:pStyle w:val="Übersicht"/>
        <w:ind w:left="2041"/>
      </w:pPr>
      <w:hyperlink w:anchor="b1979" w:history="1">
        <w:r>
          <w:rPr>
            <w:color w:val="0A3A8C"/>
            <w:u w:val="single"/>
          </w:rPr>
          <w:t xml:space="preserve">§ 1518 Zwingendes Recht</w:t>
        </w:r>
      </w:hyperlink>
    </w:p>
    <w:p>
      <w:pPr>
        <w:pStyle w:val="Übersicht"/>
        <w:ind w:left="1361"/>
      </w:pPr>
      <w:hyperlink w:anchor="b1980" w:history="1">
        <w:r>
          <w:rPr>
            <w:b/>
            <w:color w:val="0A3A8C"/>
            <w:u w:val="single"/>
          </w:rPr>
          <w:t xml:space="preserve">Kapitel 4 Wahl-Zugewinngemeinschaft</w:t>
        </w:r>
      </w:hyperlink>
    </w:p>
    <w:p>
      <w:pPr>
        <w:pStyle w:val="Übersicht"/>
        <w:ind w:left="1701"/>
      </w:pPr>
      <w:hyperlink w:anchor="b1981" w:history="1">
        <w:r>
          <w:rPr>
            <w:color w:val="0A3A8C"/>
            <w:u w:val="single"/>
          </w:rPr>
          <w:t xml:space="preserve">§ 1519 Vereinbarung durch Ehevertrag</w:t>
        </w:r>
      </w:hyperlink>
    </w:p>
    <w:p>
      <w:pPr>
        <w:pStyle w:val="Übersicht"/>
        <w:ind w:left="1701"/>
      </w:pPr>
      <w:hyperlink w:anchor="b1982" w:history="1">
        <w:r>
          <w:rPr>
            <w:color w:val="0A3A8C"/>
            <w:u w:val="single"/>
          </w:rPr>
          <w:t xml:space="preserve">§§ 1520 bis 1557 (weggefallen)</w:t>
        </w:r>
      </w:hyperlink>
    </w:p>
    <w:p>
      <w:pPr>
        <w:pStyle w:val="Übersicht"/>
        <w:ind w:left="1701"/>
      </w:pPr>
      <w:hyperlink w:anchor="b1983" w:history="1">
        <w:r>
          <w:rPr>
            <w:color w:val="0A3A8C"/>
            <w:u w:val="single"/>
          </w:rPr>
          <w:t xml:space="preserve">§§ 1558 bis 1563 (weggefallen)</w:t>
        </w:r>
      </w:hyperlink>
    </w:p>
    <w:p>
      <w:pPr>
        <w:pStyle w:val="Übersicht"/>
        <w:ind w:left="680"/>
      </w:pPr>
      <w:hyperlink w:anchor="b1984" w:history="1">
        <w:r>
          <w:rPr>
            <w:b/>
            <w:color w:val="0A3A8C"/>
            <w:u w:val="single"/>
          </w:rPr>
          <w:t xml:space="preserve">Titel 7 Scheidung der Ehe</w:t>
        </w:r>
      </w:hyperlink>
    </w:p>
    <w:p>
      <w:pPr>
        <w:pStyle w:val="Übersicht"/>
        <w:ind w:left="1020"/>
      </w:pPr>
      <w:hyperlink w:anchor="b1985" w:history="1">
        <w:r>
          <w:rPr>
            <w:b/>
            <w:color w:val="0A3A8C"/>
            <w:u w:val="single"/>
          </w:rPr>
          <w:t xml:space="preserve">Untertitel 1 Scheidungsgründe</w:t>
        </w:r>
      </w:hyperlink>
    </w:p>
    <w:p>
      <w:pPr>
        <w:pStyle w:val="Übersicht"/>
        <w:ind w:left="1361"/>
      </w:pPr>
      <w:hyperlink w:anchor="b1986" w:history="1">
        <w:r>
          <w:rPr>
            <w:color w:val="0A3A8C"/>
            <w:u w:val="single"/>
          </w:rPr>
          <w:t xml:space="preserve">§ 1564 Scheidung durch richterliche Entscheidung</w:t>
        </w:r>
      </w:hyperlink>
    </w:p>
    <w:p>
      <w:pPr>
        <w:pStyle w:val="Übersicht"/>
        <w:ind w:left="1361"/>
      </w:pPr>
      <w:hyperlink w:anchor="b1987" w:history="1">
        <w:r>
          <w:rPr>
            <w:color w:val="0A3A8C"/>
            <w:u w:val="single"/>
          </w:rPr>
          <w:t xml:space="preserve">§ 1565 Scheitern der Ehe</w:t>
        </w:r>
      </w:hyperlink>
    </w:p>
    <w:p>
      <w:pPr>
        <w:pStyle w:val="Übersicht"/>
        <w:ind w:left="1361"/>
      </w:pPr>
      <w:hyperlink w:anchor="b1988" w:history="1">
        <w:r>
          <w:rPr>
            <w:color w:val="0A3A8C"/>
            <w:u w:val="single"/>
          </w:rPr>
          <w:t xml:space="preserve">§ 1566 Vermutung für das Scheitern</w:t>
        </w:r>
      </w:hyperlink>
    </w:p>
    <w:p>
      <w:pPr>
        <w:pStyle w:val="Übersicht"/>
        <w:ind w:left="1361"/>
      </w:pPr>
      <w:hyperlink w:anchor="b1989" w:history="1">
        <w:r>
          <w:rPr>
            <w:color w:val="0A3A8C"/>
            <w:u w:val="single"/>
          </w:rPr>
          <w:t xml:space="preserve">§ 1567 Getrenntleben</w:t>
        </w:r>
      </w:hyperlink>
    </w:p>
    <w:p>
      <w:pPr>
        <w:pStyle w:val="Übersicht"/>
        <w:ind w:left="1361"/>
      </w:pPr>
      <w:hyperlink w:anchor="b1990" w:history="1">
        <w:r>
          <w:rPr>
            <w:color w:val="0A3A8C"/>
            <w:u w:val="single"/>
          </w:rPr>
          <w:t xml:space="preserve">§ 1568 Härteklausel</w:t>
        </w:r>
      </w:hyperlink>
    </w:p>
    <w:p>
      <w:pPr>
        <w:pStyle w:val="Übersicht"/>
        <w:ind w:left="1020"/>
      </w:pPr>
      <w:hyperlink w:anchor="b1991" w:history="1">
        <w:r>
          <w:rPr>
            <w:b/>
            <w:color w:val="0A3A8C"/>
            <w:u w:val="single"/>
          </w:rPr>
          <w:t xml:space="preserve">Untertitel 1a Behandlung der Ehewohnung und der Haushaltsgegenstände anlässlich der Scheidung</w:t>
        </w:r>
      </w:hyperlink>
    </w:p>
    <w:p>
      <w:pPr>
        <w:pStyle w:val="Übersicht"/>
        <w:ind w:left="1361"/>
      </w:pPr>
      <w:hyperlink w:anchor="b1992" w:history="1">
        <w:r>
          <w:rPr>
            <w:color w:val="0A3A8C"/>
            <w:u w:val="single"/>
          </w:rPr>
          <w:t xml:space="preserve">§ 1568a Ehewohnung</w:t>
        </w:r>
      </w:hyperlink>
    </w:p>
    <w:p>
      <w:pPr>
        <w:pStyle w:val="Übersicht"/>
        <w:ind w:left="1361"/>
      </w:pPr>
      <w:hyperlink w:anchor="b1993" w:history="1">
        <w:r>
          <w:rPr>
            <w:color w:val="0A3A8C"/>
            <w:u w:val="single"/>
          </w:rPr>
          <w:t xml:space="preserve">§ 1568b Haushaltsgegenstände</w:t>
        </w:r>
      </w:hyperlink>
    </w:p>
    <w:p>
      <w:pPr>
        <w:pStyle w:val="Übersicht"/>
        <w:ind w:left="1020"/>
      </w:pPr>
      <w:hyperlink w:anchor="b1994" w:history="1">
        <w:r>
          <w:rPr>
            <w:b/>
            <w:color w:val="0A3A8C"/>
            <w:u w:val="single"/>
          </w:rPr>
          <w:t xml:space="preserve">Untertitel 2 Unterhalt des geschiedenen Ehegatten</w:t>
        </w:r>
      </w:hyperlink>
    </w:p>
    <w:p>
      <w:pPr>
        <w:pStyle w:val="Übersicht"/>
        <w:ind w:left="1361"/>
      </w:pPr>
      <w:hyperlink w:anchor="b1995" w:history="1">
        <w:r>
          <w:rPr>
            <w:b/>
            <w:color w:val="0A3A8C"/>
            <w:u w:val="single"/>
          </w:rPr>
          <w:t xml:space="preserve">Kapitel 1 Grundsatz</w:t>
        </w:r>
      </w:hyperlink>
    </w:p>
    <w:p>
      <w:pPr>
        <w:pStyle w:val="Übersicht"/>
        <w:ind w:left="1701"/>
      </w:pPr>
      <w:hyperlink w:anchor="b1996" w:history="1">
        <w:r>
          <w:rPr>
            <w:color w:val="0A3A8C"/>
            <w:u w:val="single"/>
          </w:rPr>
          <w:t xml:space="preserve">§ 1569 Grundsatz der Eigenverantwortung</w:t>
        </w:r>
      </w:hyperlink>
    </w:p>
    <w:p>
      <w:pPr>
        <w:pStyle w:val="Übersicht"/>
        <w:ind w:left="1361"/>
      </w:pPr>
      <w:hyperlink w:anchor="b1997" w:history="1">
        <w:r>
          <w:rPr>
            <w:b/>
            <w:color w:val="0A3A8C"/>
            <w:u w:val="single"/>
          </w:rPr>
          <w:t xml:space="preserve">Kapitel 2 Unterhaltsberechtigung</w:t>
        </w:r>
      </w:hyperlink>
    </w:p>
    <w:p>
      <w:pPr>
        <w:pStyle w:val="Übersicht"/>
        <w:ind w:left="1701"/>
      </w:pPr>
      <w:hyperlink w:anchor="b1998" w:history="1">
        <w:r>
          <w:rPr>
            <w:color w:val="0A3A8C"/>
            <w:u w:val="single"/>
          </w:rPr>
          <w:t xml:space="preserve">§ 1570 Unterhalt wegen Betreuung eines Kindes</w:t>
        </w:r>
      </w:hyperlink>
    </w:p>
    <w:p>
      <w:pPr>
        <w:pStyle w:val="Übersicht"/>
        <w:ind w:left="1701"/>
      </w:pPr>
      <w:hyperlink w:anchor="b1999" w:history="1">
        <w:r>
          <w:rPr>
            <w:color w:val="0A3A8C"/>
            <w:u w:val="single"/>
          </w:rPr>
          <w:t xml:space="preserve">§ 1571 Unterhalt wegen Alters</w:t>
        </w:r>
      </w:hyperlink>
    </w:p>
    <w:p>
      <w:pPr>
        <w:pStyle w:val="Übersicht"/>
        <w:ind w:left="1701"/>
      </w:pPr>
      <w:hyperlink w:anchor="b2000" w:history="1">
        <w:r>
          <w:rPr>
            <w:color w:val="0A3A8C"/>
            <w:u w:val="single"/>
          </w:rPr>
          <w:t xml:space="preserve">§ 1572 Unterhalt wegen Krankheit oder Gebrechen</w:t>
        </w:r>
      </w:hyperlink>
    </w:p>
    <w:p>
      <w:pPr>
        <w:pStyle w:val="Übersicht"/>
        <w:ind w:left="1701"/>
      </w:pPr>
      <w:hyperlink w:anchor="b2001" w:history="1">
        <w:r>
          <w:rPr>
            <w:color w:val="0A3A8C"/>
            <w:u w:val="single"/>
          </w:rPr>
          <w:t xml:space="preserve">§ 1573 Unterhalt wegen Erwerbslosigkeit und Aufstockungsunterhalt</w:t>
        </w:r>
      </w:hyperlink>
    </w:p>
    <w:p>
      <w:pPr>
        <w:pStyle w:val="Übersicht"/>
        <w:ind w:left="1701"/>
      </w:pPr>
      <w:hyperlink w:anchor="b2002" w:history="1">
        <w:r>
          <w:rPr>
            <w:color w:val="0A3A8C"/>
            <w:u w:val="single"/>
          </w:rPr>
          <w:t xml:space="preserve">§ 1574 Angemessene Erwerbstätigkeit</w:t>
        </w:r>
      </w:hyperlink>
    </w:p>
    <w:p>
      <w:pPr>
        <w:pStyle w:val="Übersicht"/>
        <w:ind w:left="1701"/>
      </w:pPr>
      <w:hyperlink w:anchor="b2003" w:history="1">
        <w:r>
          <w:rPr>
            <w:color w:val="0A3A8C"/>
            <w:u w:val="single"/>
          </w:rPr>
          <w:t xml:space="preserve">§ 1575 Ausbildung, Fortbildung oder Umschulung</w:t>
        </w:r>
      </w:hyperlink>
    </w:p>
    <w:p>
      <w:pPr>
        <w:pStyle w:val="Übersicht"/>
        <w:ind w:left="1701"/>
      </w:pPr>
      <w:hyperlink w:anchor="b2004" w:history="1">
        <w:r>
          <w:rPr>
            <w:color w:val="0A3A8C"/>
            <w:u w:val="single"/>
          </w:rPr>
          <w:t xml:space="preserve">§ 1576 Unterhalt aus Billigkeitsgründen</w:t>
        </w:r>
      </w:hyperlink>
    </w:p>
    <w:p>
      <w:pPr>
        <w:pStyle w:val="Übersicht"/>
        <w:ind w:left="1701"/>
      </w:pPr>
      <w:hyperlink w:anchor="b2005" w:history="1">
        <w:r>
          <w:rPr>
            <w:color w:val="0A3A8C"/>
            <w:u w:val="single"/>
          </w:rPr>
          <w:t xml:space="preserve">§ 1577 Bedürftigkeit</w:t>
        </w:r>
      </w:hyperlink>
    </w:p>
    <w:p>
      <w:pPr>
        <w:pStyle w:val="Übersicht"/>
        <w:ind w:left="1701"/>
      </w:pPr>
      <w:hyperlink w:anchor="b2006" w:history="1">
        <w:r>
          <w:rPr>
            <w:color w:val="0A3A8C"/>
            <w:u w:val="single"/>
          </w:rPr>
          <w:t xml:space="preserve">§ 1578 Maß des Unterhalts</w:t>
        </w:r>
      </w:hyperlink>
    </w:p>
    <w:p>
      <w:pPr>
        <w:pStyle w:val="Übersicht"/>
        <w:ind w:left="1701"/>
      </w:pPr>
      <w:hyperlink w:anchor="b2007" w:history="1">
        <w:r>
          <w:rPr>
            <w:color w:val="0A3A8C"/>
            <w:u w:val="single"/>
          </w:rPr>
          <w:t xml:space="preserve">§ 1578a Deckungsvermutung bei schadensbedingten Mehraufwendungen</w:t>
        </w:r>
      </w:hyperlink>
    </w:p>
    <w:p>
      <w:pPr>
        <w:pStyle w:val="Übersicht"/>
        <w:ind w:left="1701"/>
      </w:pPr>
      <w:hyperlink w:anchor="b2008" w:history="1">
        <w:r>
          <w:rPr>
            <w:color w:val="0A3A8C"/>
            <w:u w:val="single"/>
          </w:rPr>
          <w:t xml:space="preserve">§ 1578b Herabsetzung und zeitliche Begrenzung des Unterhalts wegen Unbilligkeit</w:t>
        </w:r>
      </w:hyperlink>
    </w:p>
    <w:p>
      <w:pPr>
        <w:pStyle w:val="Übersicht"/>
        <w:ind w:left="1701"/>
      </w:pPr>
      <w:hyperlink w:anchor="b2009" w:history="1">
        <w:r>
          <w:rPr>
            <w:color w:val="0A3A8C"/>
            <w:u w:val="single"/>
          </w:rPr>
          <w:t xml:space="preserve">§ 1579 Beschränkung oder Versagung des Unterhalts wegen grober Unbilligkeit</w:t>
        </w:r>
      </w:hyperlink>
    </w:p>
    <w:p>
      <w:pPr>
        <w:pStyle w:val="Übersicht"/>
        <w:ind w:left="1701"/>
      </w:pPr>
      <w:hyperlink w:anchor="b2010" w:history="1">
        <w:r>
          <w:rPr>
            <w:color w:val="0A3A8C"/>
            <w:u w:val="single"/>
          </w:rPr>
          <w:t xml:space="preserve">§ 1580 Auskunftspflicht</w:t>
        </w:r>
      </w:hyperlink>
    </w:p>
    <w:p>
      <w:pPr>
        <w:pStyle w:val="Übersicht"/>
        <w:ind w:left="1361"/>
      </w:pPr>
      <w:hyperlink w:anchor="b2011" w:history="1">
        <w:r>
          <w:rPr>
            <w:b/>
            <w:color w:val="0A3A8C"/>
            <w:u w:val="single"/>
          </w:rPr>
          <w:t xml:space="preserve">Kapitel 3 Leistungsfähigkeit und Rangfolge</w:t>
        </w:r>
      </w:hyperlink>
    </w:p>
    <w:p>
      <w:pPr>
        <w:pStyle w:val="Übersicht"/>
        <w:ind w:left="1701"/>
      </w:pPr>
      <w:hyperlink w:anchor="b2012" w:history="1">
        <w:r>
          <w:rPr>
            <w:color w:val="0A3A8C"/>
            <w:u w:val="single"/>
          </w:rPr>
          <w:t xml:space="preserve">§ 1581 Leistungsfähigkeit</w:t>
        </w:r>
      </w:hyperlink>
    </w:p>
    <w:p>
      <w:pPr>
        <w:pStyle w:val="Übersicht"/>
        <w:ind w:left="1701"/>
      </w:pPr>
      <w:hyperlink w:anchor="b2013" w:history="1">
        <w:r>
          <w:rPr>
            <w:color w:val="0A3A8C"/>
            <w:u w:val="single"/>
          </w:rPr>
          <w:t xml:space="preserve">§ 1582 Rang des geschiedenen Ehegatten bei mehreren Unterhaltsberechtigten</w:t>
        </w:r>
      </w:hyperlink>
    </w:p>
    <w:p>
      <w:pPr>
        <w:pStyle w:val="Übersicht"/>
        <w:ind w:left="1701"/>
      </w:pPr>
      <w:hyperlink w:anchor="b2014" w:history="1">
        <w:r>
          <w:rPr>
            <w:color w:val="0A3A8C"/>
            <w:u w:val="single"/>
          </w:rPr>
          <w:t xml:space="preserve">§ 1583 Einfluss des Güterstands</w:t>
        </w:r>
      </w:hyperlink>
    </w:p>
    <w:p>
      <w:pPr>
        <w:pStyle w:val="Übersicht"/>
        <w:ind w:left="1701"/>
      </w:pPr>
      <w:hyperlink w:anchor="b2015" w:history="1">
        <w:r>
          <w:rPr>
            <w:color w:val="0A3A8C"/>
            <w:u w:val="single"/>
          </w:rPr>
          <w:t xml:space="preserve">§ 1584 Rangverhältnisse mehrerer Unterhaltsverpflichteter</w:t>
        </w:r>
      </w:hyperlink>
    </w:p>
    <w:p>
      <w:pPr>
        <w:pStyle w:val="Übersicht"/>
        <w:ind w:left="1361"/>
      </w:pPr>
      <w:hyperlink w:anchor="b2016" w:history="1">
        <w:r>
          <w:rPr>
            <w:b/>
            <w:color w:val="0A3A8C"/>
            <w:u w:val="single"/>
          </w:rPr>
          <w:t xml:space="preserve">Kapitel 4 Gestaltung des Unterhaltsanspruchs</w:t>
        </w:r>
      </w:hyperlink>
    </w:p>
    <w:p>
      <w:pPr>
        <w:pStyle w:val="Übersicht"/>
        <w:ind w:left="1701"/>
      </w:pPr>
      <w:hyperlink w:anchor="b2017" w:history="1">
        <w:r>
          <w:rPr>
            <w:color w:val="0A3A8C"/>
            <w:u w:val="single"/>
          </w:rPr>
          <w:t xml:space="preserve">§ 1585 Art der Unterhaltsgewährung</w:t>
        </w:r>
      </w:hyperlink>
    </w:p>
    <w:p>
      <w:pPr>
        <w:pStyle w:val="Übersicht"/>
        <w:ind w:left="1701"/>
      </w:pPr>
      <w:hyperlink w:anchor="b2018" w:history="1">
        <w:r>
          <w:rPr>
            <w:color w:val="0A3A8C"/>
            <w:u w:val="single"/>
          </w:rPr>
          <w:t xml:space="preserve">§ 1585a Sicherheitsleistung</w:t>
        </w:r>
      </w:hyperlink>
    </w:p>
    <w:p>
      <w:pPr>
        <w:pStyle w:val="Übersicht"/>
        <w:ind w:left="1701"/>
      </w:pPr>
      <w:hyperlink w:anchor="b2019" w:history="1">
        <w:r>
          <w:rPr>
            <w:color w:val="0A3A8C"/>
            <w:u w:val="single"/>
          </w:rPr>
          <w:t xml:space="preserve">§ 1585b Unterhalt für die Vergangenheit</w:t>
        </w:r>
      </w:hyperlink>
    </w:p>
    <w:p>
      <w:pPr>
        <w:pStyle w:val="Übersicht"/>
        <w:ind w:left="1701"/>
      </w:pPr>
      <w:hyperlink w:anchor="b2020" w:history="1">
        <w:r>
          <w:rPr>
            <w:color w:val="0A3A8C"/>
            <w:u w:val="single"/>
          </w:rPr>
          <w:t xml:space="preserve">§ 1585c Vereinbarungen über den Unterhalt</w:t>
        </w:r>
      </w:hyperlink>
    </w:p>
    <w:p>
      <w:pPr>
        <w:pStyle w:val="Übersicht"/>
        <w:ind w:left="1361"/>
      </w:pPr>
      <w:hyperlink w:anchor="b2021" w:history="1">
        <w:r>
          <w:rPr>
            <w:b/>
            <w:color w:val="0A3A8C"/>
            <w:u w:val="single"/>
          </w:rPr>
          <w:t xml:space="preserve">Kapitel 5 Ende des Unterhaltsanspruchs</w:t>
        </w:r>
      </w:hyperlink>
    </w:p>
    <w:p>
      <w:pPr>
        <w:pStyle w:val="Übersicht"/>
        <w:ind w:left="1701"/>
      </w:pPr>
      <w:hyperlink w:anchor="b2022" w:history="1">
        <w:r>
          <w:rPr>
            <w:color w:val="0A3A8C"/>
            <w:u w:val="single"/>
          </w:rPr>
          <w:t xml:space="preserve">§ 1586 Wiederverheiratung, Begründung einer Lebenspartnerschaft oder Tod des
Berechtigten</w:t>
        </w:r>
      </w:hyperlink>
    </w:p>
    <w:p>
      <w:pPr>
        <w:pStyle w:val="Übersicht"/>
        <w:ind w:left="1701"/>
      </w:pPr>
      <w:hyperlink w:anchor="b2023" w:history="1">
        <w:r>
          <w:rPr>
            <w:color w:val="0A3A8C"/>
            <w:u w:val="single"/>
          </w:rPr>
          <w:t xml:space="preserve">§ 1586a Wiederaufleben des Unterhaltsanspruchs</w:t>
        </w:r>
      </w:hyperlink>
    </w:p>
    <w:p>
      <w:pPr>
        <w:pStyle w:val="Übersicht"/>
        <w:ind w:left="1701"/>
      </w:pPr>
      <w:hyperlink w:anchor="b2024" w:history="1">
        <w:r>
          <w:rPr>
            <w:color w:val="0A3A8C"/>
            <w:u w:val="single"/>
          </w:rPr>
          <w:t xml:space="preserve">§ 1586b Kein Erlöschen bei Tod des Verpflichteten</w:t>
        </w:r>
      </w:hyperlink>
    </w:p>
    <w:p>
      <w:pPr>
        <w:pStyle w:val="Übersicht"/>
        <w:ind w:left="1020"/>
      </w:pPr>
      <w:hyperlink w:anchor="b2025" w:history="1">
        <w:r>
          <w:rPr>
            <w:b/>
            <w:color w:val="0A3A8C"/>
            <w:u w:val="single"/>
          </w:rPr>
          <w:t xml:space="preserve">Untertitel 3 Versorgungsausgleich</w:t>
        </w:r>
      </w:hyperlink>
    </w:p>
    <w:p>
      <w:pPr>
        <w:pStyle w:val="Übersicht"/>
        <w:ind w:left="1361"/>
      </w:pPr>
      <w:hyperlink w:anchor="b2026" w:history="1">
        <w:r>
          <w:rPr>
            <w:color w:val="0A3A8C"/>
            <w:u w:val="single"/>
          </w:rPr>
          <w:t xml:space="preserve">§ 1587 Verweis auf das Versorgungsausgleichsgesetz</w:t>
        </w:r>
      </w:hyperlink>
    </w:p>
    <w:p>
      <w:pPr>
        <w:pStyle w:val="Übersicht"/>
        <w:ind w:left="680"/>
      </w:pPr>
      <w:hyperlink w:anchor="b2027" w:history="1">
        <w:r>
          <w:rPr>
            <w:b/>
            <w:color w:val="0A3A8C"/>
            <w:u w:val="single"/>
          </w:rPr>
          <w:t xml:space="preserve">Titel 8 Kirchliche Verpflichtungen</w:t>
        </w:r>
      </w:hyperlink>
    </w:p>
    <w:p>
      <w:pPr>
        <w:pStyle w:val="Übersicht"/>
        <w:ind w:left="1020"/>
      </w:pPr>
      <w:hyperlink w:anchor="b2028" w:history="1">
        <w:r>
          <w:rPr>
            <w:color w:val="0A3A8C"/>
            <w:u w:val="single"/>
          </w:rPr>
          <w:t xml:space="preserve">§ 1588 (keine Überschrift)</w:t>
        </w:r>
      </w:hyperlink>
    </w:p>
    <w:p>
      <w:pPr>
        <w:pStyle w:val="Übersicht"/>
        <w:ind w:left="340"/>
      </w:pPr>
      <w:hyperlink w:anchor="b2029" w:history="1">
        <w:r>
          <w:rPr>
            <w:b/>
            <w:color w:val="0A3A8C"/>
            <w:u w:val="single"/>
          </w:rPr>
          <w:t xml:space="preserve">Abschnitt 2 Verwandtschaft</w:t>
        </w:r>
      </w:hyperlink>
    </w:p>
    <w:p>
      <w:pPr>
        <w:pStyle w:val="Übersicht"/>
        <w:ind w:left="680"/>
      </w:pPr>
      <w:hyperlink w:anchor="b2030" w:history="1">
        <w:r>
          <w:rPr>
            <w:b/>
            <w:color w:val="0A3A8C"/>
            <w:u w:val="single"/>
          </w:rPr>
          <w:t xml:space="preserve">Titel 1 Allgemeine Vorschriften</w:t>
        </w:r>
      </w:hyperlink>
    </w:p>
    <w:p>
      <w:pPr>
        <w:pStyle w:val="Übersicht"/>
        <w:ind w:left="1020"/>
      </w:pPr>
      <w:hyperlink w:anchor="b2031" w:history="1">
        <w:r>
          <w:rPr>
            <w:color w:val="0A3A8C"/>
            <w:u w:val="single"/>
          </w:rPr>
          <w:t xml:space="preserve">§ 1589 Verwandtschaft</w:t>
        </w:r>
      </w:hyperlink>
    </w:p>
    <w:p>
      <w:pPr>
        <w:pStyle w:val="Übersicht"/>
        <w:ind w:left="1020"/>
      </w:pPr>
      <w:hyperlink w:anchor="b2032" w:history="1">
        <w:r>
          <w:rPr>
            <w:color w:val="0A3A8C"/>
            <w:u w:val="single"/>
          </w:rPr>
          <w:t xml:space="preserve">§ 1590 Schwägerschaft</w:t>
        </w:r>
      </w:hyperlink>
    </w:p>
    <w:p>
      <w:pPr>
        <w:pStyle w:val="Übersicht"/>
        <w:ind w:left="680"/>
      </w:pPr>
      <w:hyperlink w:anchor="b2033" w:history="1">
        <w:r>
          <w:rPr>
            <w:b/>
            <w:color w:val="0A3A8C"/>
            <w:u w:val="single"/>
          </w:rPr>
          <w:t xml:space="preserve">Titel 2 Abstammung</w:t>
        </w:r>
      </w:hyperlink>
    </w:p>
    <w:p>
      <w:pPr>
        <w:pStyle w:val="Übersicht"/>
        <w:ind w:left="1020"/>
      </w:pPr>
      <w:hyperlink w:anchor="b2034" w:history="1">
        <w:r>
          <w:rPr>
            <w:color w:val="0A3A8C"/>
            <w:u w:val="single"/>
          </w:rPr>
          <w:t xml:space="preserve">§ 1591 Mutterschaft</w:t>
        </w:r>
      </w:hyperlink>
    </w:p>
    <w:p>
      <w:pPr>
        <w:pStyle w:val="Übersicht"/>
        <w:ind w:left="1020"/>
      </w:pPr>
      <w:hyperlink w:anchor="b2035" w:history="1">
        <w:r>
          <w:rPr>
            <w:color w:val="0A3A8C"/>
            <w:u w:val="single"/>
          </w:rPr>
          <w:t xml:space="preserve">§ 1592 Vaterschaft</w:t>
        </w:r>
      </w:hyperlink>
    </w:p>
    <w:p>
      <w:pPr>
        <w:pStyle w:val="Übersicht"/>
        <w:ind w:left="1020"/>
      </w:pPr>
      <w:hyperlink w:anchor="b2036" w:history="1">
        <w:r>
          <w:rPr>
            <w:color w:val="0A3A8C"/>
            <w:u w:val="single"/>
          </w:rPr>
          <w:t xml:space="preserve">§ 1593 Vaterschaft bei Auflösung der Ehe durch Tod</w:t>
        </w:r>
      </w:hyperlink>
    </w:p>
    <w:p>
      <w:pPr>
        <w:pStyle w:val="Übersicht"/>
        <w:ind w:left="1020"/>
      </w:pPr>
      <w:hyperlink w:anchor="b2037" w:history="1">
        <w:r>
          <w:rPr>
            <w:color w:val="0A3A8C"/>
            <w:u w:val="single"/>
          </w:rPr>
          <w:t xml:space="preserve">§ 1594 Anerkennung der Vaterschaft</w:t>
        </w:r>
      </w:hyperlink>
    </w:p>
    <w:p>
      <w:pPr>
        <w:pStyle w:val="Übersicht"/>
        <w:ind w:left="1020"/>
      </w:pPr>
      <w:hyperlink w:anchor="b2038" w:history="1">
        <w:r>
          <w:rPr>
            <w:color w:val="0A3A8C"/>
            <w:u w:val="single"/>
          </w:rPr>
          <w:t xml:space="preserve">§ 1595 Zustimmungsbedürftigkeit der Anerkennung</w:t>
        </w:r>
      </w:hyperlink>
    </w:p>
    <w:p>
      <w:pPr>
        <w:pStyle w:val="Übersicht"/>
        <w:ind w:left="1020"/>
      </w:pPr>
      <w:hyperlink w:anchor="b2039" w:history="1">
        <w:r>
          <w:rPr>
            <w:color w:val="0A3A8C"/>
            <w:u w:val="single"/>
          </w:rPr>
          <w:t xml:space="preserve">§ 1595a Anerkennung trotz bestehender Vaterschaft</w:t>
        </w:r>
      </w:hyperlink>
    </w:p>
    <w:p>
      <w:pPr>
        <w:pStyle w:val="Übersicht"/>
        <w:ind w:left="1020"/>
      </w:pPr>
      <w:hyperlink w:anchor="b2040" w:history="1">
        <w:r>
          <w:rPr>
            <w:color w:val="0A3A8C"/>
            <w:u w:val="single"/>
          </w:rPr>
          <w:t xml:space="preserve">§ 1596 Anerkennung und Zustimmung als persönliche Erklärungen</w:t>
        </w:r>
      </w:hyperlink>
    </w:p>
    <w:p>
      <w:pPr>
        <w:pStyle w:val="Übersicht"/>
        <w:ind w:left="1020"/>
      </w:pPr>
      <w:hyperlink w:anchor="b2041" w:history="1">
        <w:r>
          <w:rPr>
            <w:color w:val="0A3A8C"/>
            <w:u w:val="single"/>
          </w:rPr>
          <w:t xml:space="preserve">§ 1597 Form</w:t>
        </w:r>
      </w:hyperlink>
    </w:p>
    <w:p>
      <w:pPr>
        <w:pStyle w:val="Übersicht"/>
        <w:ind w:left="1020"/>
      </w:pPr>
      <w:hyperlink w:anchor="b2042" w:history="1">
        <w:r>
          <w:rPr>
            <w:color w:val="0A3A8C"/>
            <w:u w:val="single"/>
          </w:rPr>
          <w:t xml:space="preserve">§ 1598 Unwirksamkeit von Anerkennung und Zustimmung; sorgerechtliche Begleitregelung</w:t>
        </w:r>
      </w:hyperlink>
    </w:p>
    <w:p>
      <w:pPr>
        <w:pStyle w:val="Übersicht"/>
        <w:ind w:left="1020"/>
      </w:pPr>
      <w:hyperlink w:anchor="b2043" w:history="1">
        <w:r>
          <w:rPr>
            <w:color w:val="0A3A8C"/>
            <w:u w:val="single"/>
          </w:rPr>
          <w:t xml:space="preserve">§ 1598a Anspruch auf Einwilligung in eine genetische Untersuchung zur Klärung der leiblichen Abstammung</w:t>
        </w:r>
      </w:hyperlink>
    </w:p>
    <w:p>
      <w:pPr>
        <w:pStyle w:val="Übersicht"/>
        <w:ind w:left="1020"/>
      </w:pPr>
      <w:hyperlink w:anchor="b2044" w:history="1">
        <w:r>
          <w:rPr>
            <w:color w:val="0A3A8C"/>
            <w:u w:val="single"/>
          </w:rPr>
          <w:t xml:space="preserve">§ 1599 Anfechtbarkeit der Vaterschaft; Unanfechtbarkeit der Mutterschaft</w:t>
        </w:r>
      </w:hyperlink>
    </w:p>
    <w:p>
      <w:pPr>
        <w:pStyle w:val="Übersicht"/>
        <w:ind w:left="1020"/>
      </w:pPr>
      <w:hyperlink w:anchor="b2045" w:history="1">
        <w:r>
          <w:rPr>
            <w:color w:val="0A3A8C"/>
            <w:u w:val="single"/>
          </w:rPr>
          <w:t xml:space="preserve">§ 1600 Anfechtungsberechtigte; Ausschluss der Anfechtung</w:t>
        </w:r>
      </w:hyperlink>
    </w:p>
    <w:p>
      <w:pPr>
        <w:pStyle w:val="Übersicht"/>
        <w:ind w:left="1020"/>
      </w:pPr>
      <w:hyperlink w:anchor="b2046" w:history="1">
        <w:r>
          <w:rPr>
            <w:color w:val="0A3A8C"/>
            <w:u w:val="single"/>
          </w:rPr>
          <w:t xml:space="preserve">§ 1600a Persönliche Anfechtung; Anfechtung bei fehlender oder beschränkter Geschäftsfähigkeit</w:t>
        </w:r>
      </w:hyperlink>
    </w:p>
    <w:p>
      <w:pPr>
        <w:pStyle w:val="Übersicht"/>
        <w:ind w:left="1020"/>
      </w:pPr>
      <w:hyperlink w:anchor="b2047" w:history="1">
        <w:r>
          <w:rPr>
            <w:color w:val="0A3A8C"/>
            <w:u w:val="single"/>
          </w:rPr>
          <w:t xml:space="preserve">§ 1600b Anfechtungsfristen</w:t>
        </w:r>
      </w:hyperlink>
    </w:p>
    <w:p>
      <w:pPr>
        <w:pStyle w:val="Übersicht"/>
        <w:ind w:left="1020"/>
      </w:pPr>
      <w:hyperlink w:anchor="b2048" w:history="1">
        <w:r>
          <w:rPr>
            <w:color w:val="0A3A8C"/>
            <w:u w:val="single"/>
          </w:rPr>
          <w:t xml:space="preserve">§ 1600c Vaterschaftsvermutung im Anfechtungsverfahren</w:t>
        </w:r>
      </w:hyperlink>
    </w:p>
    <w:p>
      <w:pPr>
        <w:pStyle w:val="Übersicht"/>
        <w:ind w:left="1020"/>
      </w:pPr>
      <w:hyperlink w:anchor="b2049" w:history="1">
        <w:r>
          <w:rPr>
            <w:color w:val="0A3A8C"/>
            <w:u w:val="single"/>
          </w:rPr>
          <w:t xml:space="preserve">§ 1600d Gerichtliche Feststellung der Vaterschaft</w:t>
        </w:r>
      </w:hyperlink>
    </w:p>
    <w:p>
      <w:pPr>
        <w:pStyle w:val="Übersicht"/>
        <w:ind w:left="680"/>
      </w:pPr>
      <w:hyperlink w:anchor="b2050" w:history="1">
        <w:r>
          <w:rPr>
            <w:b/>
            <w:color w:val="0A3A8C"/>
            <w:u w:val="single"/>
          </w:rPr>
          <w:t xml:space="preserve">Titel 3 Unterhaltspflicht</w:t>
        </w:r>
      </w:hyperlink>
    </w:p>
    <w:p>
      <w:pPr>
        <w:pStyle w:val="Übersicht"/>
        <w:ind w:left="1020"/>
      </w:pPr>
      <w:hyperlink w:anchor="b2051" w:history="1">
        <w:r>
          <w:rPr>
            <w:b/>
            <w:color w:val="0A3A8C"/>
            <w:u w:val="single"/>
          </w:rPr>
          <w:t xml:space="preserve">Untertitel 1 Allgemeine Vorschriften</w:t>
        </w:r>
      </w:hyperlink>
    </w:p>
    <w:p>
      <w:pPr>
        <w:pStyle w:val="Übersicht"/>
        <w:ind w:left="1361"/>
      </w:pPr>
      <w:hyperlink w:anchor="b2052" w:history="1">
        <w:r>
          <w:rPr>
            <w:color w:val="0A3A8C"/>
            <w:u w:val="single"/>
          </w:rPr>
          <w:t xml:space="preserve">§ 1601 Unterhaltsverpflichtete</w:t>
        </w:r>
      </w:hyperlink>
    </w:p>
    <w:p>
      <w:pPr>
        <w:pStyle w:val="Übersicht"/>
        <w:ind w:left="1361"/>
      </w:pPr>
      <w:hyperlink w:anchor="b2053" w:history="1">
        <w:r>
          <w:rPr>
            <w:color w:val="0A3A8C"/>
            <w:u w:val="single"/>
          </w:rPr>
          <w:t xml:space="preserve">§ 1602 Bedürftigkeit</w:t>
        </w:r>
      </w:hyperlink>
    </w:p>
    <w:p>
      <w:pPr>
        <w:pStyle w:val="Übersicht"/>
        <w:ind w:left="1361"/>
      </w:pPr>
      <w:hyperlink w:anchor="b2054" w:history="1">
        <w:r>
          <w:rPr>
            <w:color w:val="0A3A8C"/>
            <w:u w:val="single"/>
          </w:rPr>
          <w:t xml:space="preserve">§ 1603 Leistungsfähigkeit</w:t>
        </w:r>
      </w:hyperlink>
    </w:p>
    <w:p>
      <w:pPr>
        <w:pStyle w:val="Übersicht"/>
        <w:ind w:left="1361"/>
      </w:pPr>
      <w:hyperlink w:anchor="b2055" w:history="1">
        <w:r>
          <w:rPr>
            <w:color w:val="0A3A8C"/>
            <w:u w:val="single"/>
          </w:rPr>
          <w:t xml:space="preserve">§ 1604 Einfluss des Güterstands</w:t>
        </w:r>
      </w:hyperlink>
    </w:p>
    <w:p>
      <w:pPr>
        <w:pStyle w:val="Übersicht"/>
        <w:ind w:left="1361"/>
      </w:pPr>
      <w:hyperlink w:anchor="b2056" w:history="1">
        <w:r>
          <w:rPr>
            <w:color w:val="0A3A8C"/>
            <w:u w:val="single"/>
          </w:rPr>
          <w:t xml:space="preserve">§ 1605 Auskunftspflicht</w:t>
        </w:r>
      </w:hyperlink>
    </w:p>
    <w:p>
      <w:pPr>
        <w:pStyle w:val="Übersicht"/>
        <w:ind w:left="1361"/>
      </w:pPr>
      <w:hyperlink w:anchor="b2057" w:history="1">
        <w:r>
          <w:rPr>
            <w:color w:val="0A3A8C"/>
            <w:u w:val="single"/>
          </w:rPr>
          <w:t xml:space="preserve">§ 1606 Rangverhältnisse mehrerer Pflichtiger</w:t>
        </w:r>
      </w:hyperlink>
    </w:p>
    <w:p>
      <w:pPr>
        <w:pStyle w:val="Übersicht"/>
        <w:ind w:left="1361"/>
      </w:pPr>
      <w:hyperlink w:anchor="b2058" w:history="1">
        <w:r>
          <w:rPr>
            <w:color w:val="0A3A8C"/>
            <w:u w:val="single"/>
          </w:rPr>
          <w:t xml:space="preserve">§ 1607 Ersatzhaftung und gesetzlicher Forderungsübergang</w:t>
        </w:r>
      </w:hyperlink>
    </w:p>
    <w:p>
      <w:pPr>
        <w:pStyle w:val="Übersicht"/>
        <w:ind w:left="1361"/>
      </w:pPr>
      <w:hyperlink w:anchor="b2059" w:history="1">
        <w:r>
          <w:rPr>
            <w:color w:val="0A3A8C"/>
            <w:u w:val="single"/>
          </w:rPr>
          <w:t xml:space="preserve">§ 1608 Haftung des Ehegatten oder Lebenspartners</w:t>
        </w:r>
      </w:hyperlink>
    </w:p>
    <w:p>
      <w:pPr>
        <w:pStyle w:val="Übersicht"/>
        <w:ind w:left="1361"/>
      </w:pPr>
      <w:hyperlink w:anchor="b2060" w:history="1">
        <w:r>
          <w:rPr>
            <w:color w:val="0A3A8C"/>
            <w:u w:val="single"/>
          </w:rPr>
          <w:t xml:space="preserve">§ 1609 Rangfolge mehrerer Unterhaltsberechtigter</w:t>
        </w:r>
      </w:hyperlink>
    </w:p>
    <w:p>
      <w:pPr>
        <w:pStyle w:val="Übersicht"/>
        <w:ind w:left="1361"/>
      </w:pPr>
      <w:hyperlink w:anchor="b2061" w:history="1">
        <w:r>
          <w:rPr>
            <w:color w:val="0A3A8C"/>
            <w:u w:val="single"/>
          </w:rPr>
          <w:t xml:space="preserve">§ 1610 Maß des Unterhalts</w:t>
        </w:r>
      </w:hyperlink>
    </w:p>
    <w:p>
      <w:pPr>
        <w:pStyle w:val="Übersicht"/>
        <w:ind w:left="1361"/>
      </w:pPr>
      <w:hyperlink w:anchor="b2062" w:history="1">
        <w:r>
          <w:rPr>
            <w:color w:val="0A3A8C"/>
            <w:u w:val="single"/>
          </w:rPr>
          <w:t xml:space="preserve">§ 1610a Deckungsvermutung bei schadensbedingten Mehraufwendungen</w:t>
        </w:r>
      </w:hyperlink>
    </w:p>
    <w:p>
      <w:pPr>
        <w:pStyle w:val="Übersicht"/>
        <w:ind w:left="1361"/>
      </w:pPr>
      <w:hyperlink w:anchor="b2063" w:history="1">
        <w:r>
          <w:rPr>
            <w:color w:val="0A3A8C"/>
            <w:u w:val="single"/>
          </w:rPr>
          <w:t xml:space="preserve">§ 1611 Beschränkung oder Wegfall der Verpflichtung</w:t>
        </w:r>
      </w:hyperlink>
    </w:p>
    <w:p>
      <w:pPr>
        <w:pStyle w:val="Übersicht"/>
        <w:ind w:left="1361"/>
      </w:pPr>
      <w:hyperlink w:anchor="b2064" w:history="1">
        <w:r>
          <w:rPr>
            <w:color w:val="0A3A8C"/>
            <w:u w:val="single"/>
          </w:rPr>
          <w:t xml:space="preserve">§ 1612 Art der Unterhaltsgewährung</w:t>
        </w:r>
      </w:hyperlink>
    </w:p>
    <w:p>
      <w:pPr>
        <w:pStyle w:val="Übersicht"/>
        <w:ind w:left="1361"/>
      </w:pPr>
      <w:hyperlink w:anchor="b2065" w:history="1">
        <w:r>
          <w:rPr>
            <w:color w:val="0A3A8C"/>
            <w:u w:val="single"/>
          </w:rPr>
          <w:t xml:space="preserve">§ 1612a Mindestunterhalt minderjähriger Kinder; Verordnungsermächtigung</w:t>
        </w:r>
      </w:hyperlink>
    </w:p>
    <w:p>
      <w:pPr>
        <w:pStyle w:val="Übersicht"/>
        <w:ind w:left="1361"/>
      </w:pPr>
      <w:hyperlink w:anchor="b2066" w:history="1">
        <w:r>
          <w:rPr>
            <w:color w:val="0A3A8C"/>
            <w:u w:val="single"/>
          </w:rPr>
          <w:t xml:space="preserve">§ 1612b Deckung des Barbedarfs durch Kindergeld</w:t>
        </w:r>
      </w:hyperlink>
    </w:p>
    <w:p>
      <w:pPr>
        <w:pStyle w:val="Übersicht"/>
        <w:ind w:left="1361"/>
      </w:pPr>
      <w:hyperlink w:anchor="b2067" w:history="1">
        <w:r>
          <w:rPr>
            <w:color w:val="0A3A8C"/>
            <w:u w:val="single"/>
          </w:rPr>
          <w:t xml:space="preserve">§ 1612c Anrechnung anderer kindbezogener Leistungen</w:t>
        </w:r>
      </w:hyperlink>
    </w:p>
    <w:p>
      <w:pPr>
        <w:pStyle w:val="Übersicht"/>
        <w:ind w:left="1361"/>
      </w:pPr>
      <w:hyperlink w:anchor="b2068" w:history="1">
        <w:r>
          <w:rPr>
            <w:color w:val="0A3A8C"/>
            <w:u w:val="single"/>
          </w:rPr>
          <w:t xml:space="preserve">§ 1613 Unterhalt für die Vergangenheit</w:t>
        </w:r>
      </w:hyperlink>
    </w:p>
    <w:p>
      <w:pPr>
        <w:pStyle w:val="Übersicht"/>
        <w:ind w:left="1361"/>
      </w:pPr>
      <w:hyperlink w:anchor="b2069" w:history="1">
        <w:r>
          <w:rPr>
            <w:color w:val="0A3A8C"/>
            <w:u w:val="single"/>
          </w:rPr>
          <w:t xml:space="preserve">§ 1614 Verzicht auf den Unterhaltsanspruch; Vorausleistung</w:t>
        </w:r>
      </w:hyperlink>
    </w:p>
    <w:p>
      <w:pPr>
        <w:pStyle w:val="Übersicht"/>
        <w:ind w:left="1361"/>
      </w:pPr>
      <w:hyperlink w:anchor="b2070" w:history="1">
        <w:r>
          <w:rPr>
            <w:color w:val="0A3A8C"/>
            <w:u w:val="single"/>
          </w:rPr>
          <w:t xml:space="preserve">§ 1615 Erlöschen des Unterhaltsanspruchs</w:t>
        </w:r>
      </w:hyperlink>
    </w:p>
    <w:p>
      <w:pPr>
        <w:pStyle w:val="Übersicht"/>
        <w:ind w:left="1020"/>
      </w:pPr>
      <w:hyperlink w:anchor="b2071" w:history="1">
        <w:r>
          <w:rPr>
            <w:b/>
            <w:color w:val="0A3A8C"/>
            <w:u w:val="single"/>
          </w:rPr>
          <w:t xml:space="preserve">Untertitel 2 Besondere Vorschriften für das
Kind und seine nicht miteinander verheirateten Eltern</w:t>
        </w:r>
      </w:hyperlink>
    </w:p>
    <w:p>
      <w:pPr>
        <w:pStyle w:val="Übersicht"/>
        <w:ind w:left="1361"/>
      </w:pPr>
      <w:hyperlink w:anchor="b2072" w:history="1">
        <w:r>
          <w:rPr>
            <w:color w:val="0A3A8C"/>
            <w:u w:val="single"/>
          </w:rPr>
          <w:t xml:space="preserve">§ 1615a Anwendbare Vorschriften</w:t>
        </w:r>
      </w:hyperlink>
    </w:p>
    <w:p>
      <w:pPr>
        <w:pStyle w:val="Übersicht"/>
        <w:ind w:left="1361"/>
      </w:pPr>
      <w:hyperlink w:anchor="b2073" w:history="1">
        <w:r>
          <w:rPr>
            <w:color w:val="0A3A8C"/>
            <w:u w:val="single"/>
          </w:rPr>
          <w:t xml:space="preserve">§§ 1615b bis 1615k (weggefallen)</w:t>
        </w:r>
      </w:hyperlink>
    </w:p>
    <w:p>
      <w:pPr>
        <w:pStyle w:val="Übersicht"/>
        <w:ind w:left="1361"/>
      </w:pPr>
      <w:hyperlink w:anchor="b2074" w:history="1">
        <w:r>
          <w:rPr>
            <w:color w:val="0A3A8C"/>
            <w:u w:val="single"/>
          </w:rPr>
          <w:t xml:space="preserve">§ 1615l Unterhaltsanspruch von Mutter und Vater aus Anlass der Geburt</w:t>
        </w:r>
      </w:hyperlink>
    </w:p>
    <w:p>
      <w:pPr>
        <w:pStyle w:val="Übersicht"/>
        <w:ind w:left="1361"/>
      </w:pPr>
      <w:hyperlink w:anchor="b2075" w:history="1">
        <w:r>
          <w:rPr>
            <w:color w:val="0A3A8C"/>
            <w:u w:val="single"/>
          </w:rPr>
          <w:t xml:space="preserve">§ 1615m Beerdigungskosten für die Mutter</w:t>
        </w:r>
      </w:hyperlink>
    </w:p>
    <w:p>
      <w:pPr>
        <w:pStyle w:val="Übersicht"/>
        <w:ind w:left="1361"/>
      </w:pPr>
      <w:hyperlink w:anchor="b2076" w:history="1">
        <w:r>
          <w:rPr>
            <w:color w:val="0A3A8C"/>
            <w:u w:val="single"/>
          </w:rPr>
          <w:t xml:space="preserve">§ 1615n Kein Erlöschen bei Tod des Vaters oder Totgeburt</w:t>
        </w:r>
      </w:hyperlink>
    </w:p>
    <w:p>
      <w:pPr>
        <w:pStyle w:val="Übersicht"/>
        <w:ind w:left="680"/>
      </w:pPr>
      <w:hyperlink w:anchor="b2077" w:history="1">
        <w:r>
          <w:rPr>
            <w:b/>
            <w:color w:val="0A3A8C"/>
            <w:u w:val="single"/>
          </w:rPr>
          <w:t xml:space="preserve">Titel 4 Rechtsverhältnis zwischen den
Eltern und dem Kind im Allgemeinen</w:t>
        </w:r>
      </w:hyperlink>
    </w:p>
    <w:p>
      <w:pPr>
        <w:pStyle w:val="Übersicht"/>
        <w:ind w:left="1020"/>
      </w:pPr>
      <w:hyperlink w:anchor="b2078" w:history="1">
        <w:r>
          <w:rPr>
            <w:color w:val="0A3A8C"/>
            <w:u w:val="single"/>
          </w:rPr>
          <w:t xml:space="preserve">§ 1616 Geburtsname bei Eltern mit Ehenamen</w:t>
        </w:r>
      </w:hyperlink>
    </w:p>
    <w:p>
      <w:pPr>
        <w:pStyle w:val="Übersicht"/>
        <w:ind w:left="1020"/>
      </w:pPr>
      <w:hyperlink w:anchor="b2079" w:history="1">
        <w:r>
          <w:rPr>
            <w:color w:val="0A3A8C"/>
            <w:u w:val="single"/>
          </w:rPr>
          <w:t xml:space="preserve">§ 1617 Geburtsname bei Eltern ohne Ehenamen und gemeinsamer Sorge</w:t>
        </w:r>
      </w:hyperlink>
    </w:p>
    <w:p>
      <w:pPr>
        <w:pStyle w:val="Übersicht"/>
        <w:ind w:left="1020"/>
      </w:pPr>
      <w:hyperlink w:anchor="b2080" w:history="1">
        <w:r>
          <w:rPr>
            <w:color w:val="0A3A8C"/>
            <w:u w:val="single"/>
          </w:rPr>
          <w:t xml:space="preserve">§ 1617a Geburtsname bei Eltern ohne Ehenamen und Alleinsorge</w:t>
        </w:r>
      </w:hyperlink>
    </w:p>
    <w:p>
      <w:pPr>
        <w:pStyle w:val="Übersicht"/>
        <w:ind w:left="1020"/>
      </w:pPr>
      <w:hyperlink w:anchor="b2081" w:history="1">
        <w:r>
          <w:rPr>
            <w:color w:val="0A3A8C"/>
            <w:u w:val="single"/>
          </w:rPr>
          <w:t xml:space="preserve">§ 1617b Name bei nachträglicher gemeinsamer Sorge oder Scheinvaterschaft</w:t>
        </w:r>
      </w:hyperlink>
    </w:p>
    <w:p>
      <w:pPr>
        <w:pStyle w:val="Übersicht"/>
        <w:ind w:left="1020"/>
      </w:pPr>
      <w:hyperlink w:anchor="b2082" w:history="1">
        <w:r>
          <w:rPr>
            <w:color w:val="0A3A8C"/>
            <w:u w:val="single"/>
          </w:rPr>
          <w:t xml:space="preserve">§ 1617c Name bei Namensänderung der Eltern</w:t>
        </w:r>
      </w:hyperlink>
    </w:p>
    <w:p>
      <w:pPr>
        <w:pStyle w:val="Übersicht"/>
        <w:ind w:left="1020"/>
      </w:pPr>
      <w:hyperlink w:anchor="b2083" w:history="1">
        <w:r>
          <w:rPr>
            <w:color w:val="0A3A8C"/>
            <w:u w:val="single"/>
          </w:rPr>
          <w:t xml:space="preserve">§ 1617d Name nach Scheidung der Eltern oder Tod eines Elternteils</w:t>
        </w:r>
      </w:hyperlink>
    </w:p>
    <w:p>
      <w:pPr>
        <w:pStyle w:val="Übersicht"/>
        <w:ind w:left="1020"/>
      </w:pPr>
      <w:hyperlink w:anchor="b2084" w:history="1">
        <w:r>
          <w:rPr>
            <w:color w:val="0A3A8C"/>
            <w:u w:val="single"/>
          </w:rPr>
          <w:t xml:space="preserve">§ 1617e Einbenennung, Rückbenennung</w:t>
        </w:r>
      </w:hyperlink>
    </w:p>
    <w:p>
      <w:pPr>
        <w:pStyle w:val="Übersicht"/>
        <w:ind w:left="1020"/>
      </w:pPr>
      <w:hyperlink w:anchor="b2085" w:history="1">
        <w:r>
          <w:rPr>
            <w:color w:val="0A3A8C"/>
            <w:u w:val="single"/>
          </w:rPr>
          <w:t xml:space="preserve">§ 1617f Geschlechtsangepasste Form des Geburtsnamens nach sorbischer Tradition und ausländischen Rechtsordnungen</w:t>
        </w:r>
      </w:hyperlink>
    </w:p>
    <w:p>
      <w:pPr>
        <w:pStyle w:val="Übersicht"/>
        <w:ind w:left="1020"/>
      </w:pPr>
      <w:hyperlink w:anchor="b2086" w:history="1">
        <w:r>
          <w:rPr>
            <w:color w:val="0A3A8C"/>
            <w:u w:val="single"/>
          </w:rPr>
          <w:t xml:space="preserve">§ 1617g Geburtsname nach friesischer Tradition</w:t>
        </w:r>
      </w:hyperlink>
    </w:p>
    <w:p>
      <w:pPr>
        <w:pStyle w:val="Übersicht"/>
        <w:ind w:left="1020"/>
      </w:pPr>
      <w:hyperlink w:anchor="b2087" w:history="1">
        <w:r>
          <w:rPr>
            <w:color w:val="0A3A8C"/>
            <w:u w:val="single"/>
          </w:rPr>
          <w:t xml:space="preserve">§ 1617h Geburtsname nach dänischer Tradition</w:t>
        </w:r>
      </w:hyperlink>
    </w:p>
    <w:p>
      <w:pPr>
        <w:pStyle w:val="Übersicht"/>
        <w:ind w:left="1020"/>
      </w:pPr>
      <w:hyperlink w:anchor="b2088" w:history="1">
        <w:r>
          <w:rPr>
            <w:color w:val="0A3A8C"/>
            <w:u w:val="single"/>
          </w:rPr>
          <w:t xml:space="preserve">§ 1617i Neubestimmung des Familiennamens durch volljährige Personen</w:t>
        </w:r>
      </w:hyperlink>
    </w:p>
    <w:p>
      <w:pPr>
        <w:pStyle w:val="Übersicht"/>
        <w:ind w:left="1020"/>
      </w:pPr>
      <w:hyperlink w:anchor="b2089" w:history="1">
        <w:r>
          <w:rPr>
            <w:color w:val="0A3A8C"/>
            <w:u w:val="single"/>
          </w:rPr>
          <w:t xml:space="preserve">§ 1618 Pflicht zu Beistand und Rücksicht</w:t>
        </w:r>
      </w:hyperlink>
    </w:p>
    <w:p>
      <w:pPr>
        <w:pStyle w:val="Übersicht"/>
        <w:ind w:left="1020"/>
      </w:pPr>
      <w:hyperlink w:anchor="b2090" w:history="1">
        <w:r>
          <w:rPr>
            <w:color w:val="0A3A8C"/>
            <w:u w:val="single"/>
          </w:rPr>
          <w:t xml:space="preserve">§ 1619 Dienstleistungen in Haus und Geschäft</w:t>
        </w:r>
      </w:hyperlink>
    </w:p>
    <w:p>
      <w:pPr>
        <w:pStyle w:val="Übersicht"/>
        <w:ind w:left="1020"/>
      </w:pPr>
      <w:hyperlink w:anchor="b2091" w:history="1">
        <w:r>
          <w:rPr>
            <w:color w:val="0A3A8C"/>
            <w:u w:val="single"/>
          </w:rPr>
          <w:t xml:space="preserve">§ 1620 Aufwendungen des Kindes für den elterlichen Haushalt</w:t>
        </w:r>
      </w:hyperlink>
    </w:p>
    <w:p>
      <w:pPr>
        <w:pStyle w:val="Übersicht"/>
        <w:ind w:left="1020"/>
      </w:pPr>
      <w:hyperlink w:anchor="b2092" w:history="1">
        <w:r>
          <w:rPr>
            <w:color w:val="0A3A8C"/>
            <w:u w:val="single"/>
          </w:rPr>
          <w:t xml:space="preserve">§§ 1621 bis 1623 (weggefallen)</w:t>
        </w:r>
      </w:hyperlink>
    </w:p>
    <w:p>
      <w:pPr>
        <w:pStyle w:val="Übersicht"/>
        <w:ind w:left="1020"/>
      </w:pPr>
      <w:hyperlink w:anchor="b2093" w:history="1">
        <w:r>
          <w:rPr>
            <w:color w:val="0A3A8C"/>
            <w:u w:val="single"/>
          </w:rPr>
          <w:t xml:space="preserve">§ 1624 Ausstattung aus dem Elternvermögen</w:t>
        </w:r>
      </w:hyperlink>
    </w:p>
    <w:p>
      <w:pPr>
        <w:pStyle w:val="Übersicht"/>
        <w:ind w:left="1020"/>
      </w:pPr>
      <w:hyperlink w:anchor="b2094" w:history="1">
        <w:r>
          <w:rPr>
            <w:color w:val="0A3A8C"/>
            <w:u w:val="single"/>
          </w:rPr>
          <w:t xml:space="preserve">§ 1625 Ausstattung aus dem Kindesvermögen</w:t>
        </w:r>
      </w:hyperlink>
    </w:p>
    <w:p>
      <w:pPr>
        <w:pStyle w:val="Übersicht"/>
        <w:ind w:left="680"/>
      </w:pPr>
      <w:hyperlink w:anchor="b2095" w:history="1">
        <w:r>
          <w:rPr>
            <w:b/>
            <w:color w:val="0A3A8C"/>
            <w:u w:val="single"/>
          </w:rPr>
          <w:t xml:space="preserve">Titel 5 Elterliche Sorge</w:t>
        </w:r>
      </w:hyperlink>
    </w:p>
    <w:p>
      <w:pPr>
        <w:pStyle w:val="Übersicht"/>
        <w:ind w:left="1020"/>
      </w:pPr>
      <w:hyperlink w:anchor="b2096" w:history="1">
        <w:r>
          <w:rPr>
            <w:color w:val="0A3A8C"/>
            <w:u w:val="single"/>
          </w:rPr>
          <w:t xml:space="preserve">§ 1626 Elterliche Sorge, Grundsätze</w:t>
        </w:r>
      </w:hyperlink>
    </w:p>
    <w:p>
      <w:pPr>
        <w:pStyle w:val="Übersicht"/>
        <w:ind w:left="1020"/>
      </w:pPr>
      <w:hyperlink w:anchor="b2097" w:history="1">
        <w:r>
          <w:rPr>
            <w:color w:val="0A3A8C"/>
            <w:u w:val="single"/>
          </w:rPr>
          <w:t xml:space="preserve">§ 1626a Elterliche Sorge nicht miteinander verheirateter Eltern; Sorgeerklärungen</w:t>
        </w:r>
      </w:hyperlink>
    </w:p>
    <w:p>
      <w:pPr>
        <w:pStyle w:val="Übersicht"/>
        <w:ind w:left="1020"/>
      </w:pPr>
      <w:hyperlink w:anchor="b2098" w:history="1">
        <w:r>
          <w:rPr>
            <w:color w:val="0A3A8C"/>
            <w:u w:val="single"/>
          </w:rPr>
          <w:t xml:space="preserve">§ 1626b Besondere Wirksamkeitsvoraussetzungen der Sorgeerklärung</w:t>
        </w:r>
      </w:hyperlink>
    </w:p>
    <w:p>
      <w:pPr>
        <w:pStyle w:val="Übersicht"/>
        <w:ind w:left="1020"/>
      </w:pPr>
      <w:hyperlink w:anchor="b2099" w:history="1">
        <w:r>
          <w:rPr>
            <w:color w:val="0A3A8C"/>
            <w:u w:val="single"/>
          </w:rPr>
          <w:t xml:space="preserve">§ 1626c Persönliche Abgabe; beschränkt geschäftsfähiger Elternteil</w:t>
        </w:r>
      </w:hyperlink>
    </w:p>
    <w:p>
      <w:pPr>
        <w:pStyle w:val="Übersicht"/>
        <w:ind w:left="1020"/>
      </w:pPr>
      <w:hyperlink w:anchor="b2100" w:history="1">
        <w:r>
          <w:rPr>
            <w:color w:val="0A3A8C"/>
            <w:u w:val="single"/>
          </w:rPr>
          <w:t xml:space="preserve">§ 1626d Form; Mitteilungspflicht</w:t>
        </w:r>
      </w:hyperlink>
    </w:p>
    <w:p>
      <w:pPr>
        <w:pStyle w:val="Übersicht"/>
        <w:ind w:left="1020"/>
      </w:pPr>
      <w:hyperlink w:anchor="b2101" w:history="1">
        <w:r>
          <w:rPr>
            <w:color w:val="0A3A8C"/>
            <w:u w:val="single"/>
          </w:rPr>
          <w:t xml:space="preserve">§ 1626e Unwirksamkeit</w:t>
        </w:r>
      </w:hyperlink>
    </w:p>
    <w:p>
      <w:pPr>
        <w:pStyle w:val="Übersicht"/>
        <w:ind w:left="1020"/>
      </w:pPr>
      <w:hyperlink w:anchor="b2102" w:history="1">
        <w:r>
          <w:rPr>
            <w:color w:val="0A3A8C"/>
            <w:u w:val="single"/>
          </w:rPr>
          <w:t xml:space="preserve">§ 1627 Ausübung der elterlichen Sorge</w:t>
        </w:r>
      </w:hyperlink>
    </w:p>
    <w:p>
      <w:pPr>
        <w:pStyle w:val="Übersicht"/>
        <w:ind w:left="1020"/>
      </w:pPr>
      <w:hyperlink w:anchor="b2103" w:history="1">
        <w:r>
          <w:rPr>
            <w:color w:val="0A3A8C"/>
            <w:u w:val="single"/>
          </w:rPr>
          <w:t xml:space="preserve">§ 1628 Gerichtliche Entscheidung bei Meinungsverschiedenheiten
der Eltern</w:t>
        </w:r>
      </w:hyperlink>
    </w:p>
    <w:p>
      <w:pPr>
        <w:pStyle w:val="Übersicht"/>
        <w:ind w:left="1020"/>
      </w:pPr>
      <w:hyperlink w:anchor="b2104" w:history="1">
        <w:r>
          <w:rPr>
            <w:color w:val="0A3A8C"/>
            <w:u w:val="single"/>
          </w:rPr>
          <w:t xml:space="preserve">§ 1629 Vertretung des Kindes</w:t>
        </w:r>
      </w:hyperlink>
    </w:p>
    <w:p>
      <w:pPr>
        <w:pStyle w:val="Übersicht"/>
        <w:ind w:left="1020"/>
      </w:pPr>
      <w:hyperlink w:anchor="b2105" w:history="1">
        <w:r>
          <w:rPr>
            <w:color w:val="0A3A8C"/>
            <w:u w:val="single"/>
          </w:rPr>
          <w:t xml:space="preserve">§ 1629a Beschränkung der Minderjährigenhaftung</w:t>
        </w:r>
      </w:hyperlink>
    </w:p>
    <w:p>
      <w:pPr>
        <w:pStyle w:val="Übersicht"/>
        <w:ind w:left="1020"/>
      </w:pPr>
      <w:hyperlink w:anchor="b2106" w:history="1">
        <w:r>
          <w:rPr>
            <w:color w:val="0A3A8C"/>
            <w:u w:val="single"/>
          </w:rPr>
          <w:t xml:space="preserve">§ 1630 Elterliche Sorge bei Pflegerbestellung oder Familienpflege</w:t>
        </w:r>
      </w:hyperlink>
    </w:p>
    <w:p>
      <w:pPr>
        <w:pStyle w:val="Übersicht"/>
        <w:ind w:left="1020"/>
      </w:pPr>
      <w:hyperlink w:anchor="b2107" w:history="1">
        <w:r>
          <w:rPr>
            <w:color w:val="0A3A8C"/>
            <w:u w:val="single"/>
          </w:rPr>
          <w:t xml:space="preserve">§ 1631 Inhalt und Grenzen der Personensorge</w:t>
        </w:r>
      </w:hyperlink>
    </w:p>
    <w:p>
      <w:pPr>
        <w:pStyle w:val="Übersicht"/>
        <w:ind w:left="1020"/>
      </w:pPr>
      <w:hyperlink w:anchor="b2108" w:history="1">
        <w:r>
          <w:rPr>
            <w:color w:val="0A3A8C"/>
            <w:u w:val="single"/>
          </w:rPr>
          <w:t xml:space="preserve">§ 1631a Ausbildung und Beruf</w:t>
        </w:r>
      </w:hyperlink>
    </w:p>
    <w:p>
      <w:pPr>
        <w:pStyle w:val="Übersicht"/>
        <w:ind w:left="1020"/>
      </w:pPr>
      <w:hyperlink w:anchor="b2109" w:history="1">
        <w:r>
          <w:rPr>
            <w:color w:val="0A3A8C"/>
            <w:u w:val="single"/>
          </w:rPr>
          <w:t xml:space="preserve">§ 1631b Freiheitsentziehende Unterbringung und freiheitsentziehende Maßnahmen</w:t>
        </w:r>
      </w:hyperlink>
    </w:p>
    <w:p>
      <w:pPr>
        <w:pStyle w:val="Übersicht"/>
        <w:ind w:left="1020"/>
      </w:pPr>
      <w:hyperlink w:anchor="b2110" w:history="1">
        <w:r>
          <w:rPr>
            <w:color w:val="0A3A8C"/>
            <w:u w:val="single"/>
          </w:rPr>
          <w:t xml:space="preserve">§ 1631c Verbot der Sterilisation</w:t>
        </w:r>
      </w:hyperlink>
    </w:p>
    <w:p>
      <w:pPr>
        <w:pStyle w:val="Übersicht"/>
        <w:ind w:left="1020"/>
      </w:pPr>
      <w:hyperlink w:anchor="b2111" w:history="1">
        <w:r>
          <w:rPr>
            <w:color w:val="0A3A8C"/>
            <w:u w:val="single"/>
          </w:rPr>
          <w:t xml:space="preserve">§ 1631d Beschneidung des männlichen Kindes</w:t>
        </w:r>
      </w:hyperlink>
    </w:p>
    <w:p>
      <w:pPr>
        <w:pStyle w:val="Übersicht"/>
        <w:ind w:left="1020"/>
      </w:pPr>
      <w:hyperlink w:anchor="b2112" w:history="1">
        <w:r>
          <w:rPr>
            <w:color w:val="0A3A8C"/>
            <w:u w:val="single"/>
          </w:rPr>
          <w:t xml:space="preserve">§ 1631e Behandlung von Kindern mit Varianten der Geschlechtsentwicklung</w:t>
        </w:r>
      </w:hyperlink>
    </w:p>
    <w:p>
      <w:pPr>
        <w:pStyle w:val="Übersicht"/>
        <w:ind w:left="1020"/>
      </w:pPr>
      <w:hyperlink w:anchor="b2113" w:history="1">
        <w:r>
          <w:rPr>
            <w:color w:val="0A3A8C"/>
            <w:u w:val="single"/>
          </w:rPr>
          <w:t xml:space="preserve">§ 1632 Herausgabe des Kindes; Bestimmung des Umgangs; Verbleibensanordnung bei Familienpflege</w:t>
        </w:r>
      </w:hyperlink>
    </w:p>
    <w:p>
      <w:pPr>
        <w:pStyle w:val="Übersicht"/>
        <w:ind w:left="1020"/>
      </w:pPr>
      <w:hyperlink w:anchor="b2114" w:history="1">
        <w:r>
          <w:rPr>
            <w:color w:val="0A3A8C"/>
            <w:u w:val="single"/>
          </w:rPr>
          <w:t xml:space="preserve">§ 1633 (weggefallen)</w:t>
        </w:r>
      </w:hyperlink>
    </w:p>
    <w:p>
      <w:pPr>
        <w:pStyle w:val="Übersicht"/>
        <w:ind w:left="1020"/>
      </w:pPr>
      <w:hyperlink w:anchor="b2115" w:history="1">
        <w:r>
          <w:rPr>
            <w:color w:val="0A3A8C"/>
            <w:u w:val="single"/>
          </w:rPr>
          <w:t xml:space="preserve">§§ 1634 bis 1637 (weggefallen)</w:t>
        </w:r>
      </w:hyperlink>
    </w:p>
    <w:p>
      <w:pPr>
        <w:pStyle w:val="Übersicht"/>
        <w:ind w:left="1020"/>
      </w:pPr>
      <w:hyperlink w:anchor="b2116" w:history="1">
        <w:r>
          <w:rPr>
            <w:color w:val="0A3A8C"/>
            <w:u w:val="single"/>
          </w:rPr>
          <w:t xml:space="preserve">§ 1638 Beschränkung der Vermögenssorge</w:t>
        </w:r>
      </w:hyperlink>
    </w:p>
    <w:p>
      <w:pPr>
        <w:pStyle w:val="Übersicht"/>
        <w:ind w:left="1020"/>
      </w:pPr>
      <w:hyperlink w:anchor="b2117" w:history="1">
        <w:r>
          <w:rPr>
            <w:color w:val="0A3A8C"/>
            <w:u w:val="single"/>
          </w:rPr>
          <w:t xml:space="preserve">§ 1639 Anordnungen des Erblassers oder Zuwendenden</w:t>
        </w:r>
      </w:hyperlink>
    </w:p>
    <w:p>
      <w:pPr>
        <w:pStyle w:val="Übersicht"/>
        <w:ind w:left="1020"/>
      </w:pPr>
      <w:hyperlink w:anchor="b2118" w:history="1">
        <w:r>
          <w:rPr>
            <w:color w:val="0A3A8C"/>
            <w:u w:val="single"/>
          </w:rPr>
          <w:t xml:space="preserve">§ 1640 Vermögensverzeichnis</w:t>
        </w:r>
      </w:hyperlink>
    </w:p>
    <w:p>
      <w:pPr>
        <w:pStyle w:val="Übersicht"/>
        <w:ind w:left="1020"/>
      </w:pPr>
      <w:hyperlink w:anchor="b2119" w:history="1">
        <w:r>
          <w:rPr>
            <w:color w:val="0A3A8C"/>
            <w:u w:val="single"/>
          </w:rPr>
          <w:t xml:space="preserve">§ 1641 Schenkungsverbot</w:t>
        </w:r>
      </w:hyperlink>
    </w:p>
    <w:p>
      <w:pPr>
        <w:pStyle w:val="Übersicht"/>
        <w:ind w:left="1020"/>
      </w:pPr>
      <w:hyperlink w:anchor="b2120" w:history="1">
        <w:r>
          <w:rPr>
            <w:color w:val="0A3A8C"/>
            <w:u w:val="single"/>
          </w:rPr>
          <w:t xml:space="preserve">§ 1642 Anlegung von Geld</w:t>
        </w:r>
      </w:hyperlink>
    </w:p>
    <w:p>
      <w:pPr>
        <w:pStyle w:val="Übersicht"/>
        <w:ind w:left="1020"/>
      </w:pPr>
      <w:hyperlink w:anchor="b2121" w:history="1">
        <w:r>
          <w:rPr>
            <w:color w:val="0A3A8C"/>
            <w:u w:val="single"/>
          </w:rPr>
          <w:t xml:space="preserve">§ 1643 Genehmigungsbedürftige Rechtsgeschäfte</w:t>
        </w:r>
      </w:hyperlink>
    </w:p>
    <w:p>
      <w:pPr>
        <w:pStyle w:val="Übersicht"/>
        <w:ind w:left="1020"/>
      </w:pPr>
      <w:hyperlink w:anchor="b2122" w:history="1">
        <w:r>
          <w:rPr>
            <w:color w:val="0A3A8C"/>
            <w:u w:val="single"/>
          </w:rPr>
          <w:t xml:space="preserve">§ 1644 Ergänzende Vorschriften für genehmigungsbedürftige Rechtsgeschäfte</w:t>
        </w:r>
      </w:hyperlink>
    </w:p>
    <w:p>
      <w:pPr>
        <w:pStyle w:val="Übersicht"/>
        <w:ind w:left="1020"/>
      </w:pPr>
      <w:hyperlink w:anchor="b2123" w:history="1">
        <w:r>
          <w:rPr>
            <w:color w:val="0A3A8C"/>
            <w:u w:val="single"/>
          </w:rPr>
          <w:t xml:space="preserve">§ 1645 Anzeigepflicht für Erwerbsgeschäfte</w:t>
        </w:r>
      </w:hyperlink>
    </w:p>
    <w:p>
      <w:pPr>
        <w:pStyle w:val="Übersicht"/>
        <w:ind w:left="1020"/>
      </w:pPr>
      <w:hyperlink w:anchor="b2124" w:history="1">
        <w:r>
          <w:rPr>
            <w:color w:val="0A3A8C"/>
            <w:u w:val="single"/>
          </w:rPr>
          <w:t xml:space="preserve">§ 1646 Erwerb mit Mitteln des Kindes</w:t>
        </w:r>
      </w:hyperlink>
    </w:p>
    <w:p>
      <w:pPr>
        <w:pStyle w:val="Übersicht"/>
        <w:ind w:left="1020"/>
      </w:pPr>
      <w:hyperlink w:anchor="b2125" w:history="1">
        <w:r>
          <w:rPr>
            <w:color w:val="0A3A8C"/>
            <w:u w:val="single"/>
          </w:rPr>
          <w:t xml:space="preserve">§ 1647</w:t>
        </w:r>
      </w:hyperlink>
    </w:p>
    <w:p>
      <w:pPr>
        <w:pStyle w:val="Übersicht"/>
        <w:ind w:left="1020"/>
      </w:pPr>
      <w:hyperlink w:anchor="b2126" w:history="1">
        <w:r>
          <w:rPr>
            <w:color w:val="0A3A8C"/>
            <w:u w:val="single"/>
          </w:rPr>
          <w:t xml:space="preserve">§ 1648 Ersatz von Aufwendungen</w:t>
        </w:r>
      </w:hyperlink>
    </w:p>
    <w:p>
      <w:pPr>
        <w:pStyle w:val="Übersicht"/>
        <w:ind w:left="1020"/>
      </w:pPr>
      <w:hyperlink w:anchor="b2127" w:history="1">
        <w:r>
          <w:rPr>
            <w:color w:val="0A3A8C"/>
            <w:u w:val="single"/>
          </w:rPr>
          <w:t xml:space="preserve">§ 1649 Verwendung der Einkünfte des Kindesvermögens</w:t>
        </w:r>
      </w:hyperlink>
    </w:p>
    <w:p>
      <w:pPr>
        <w:pStyle w:val="Übersicht"/>
        <w:ind w:left="1020"/>
      </w:pPr>
      <w:hyperlink w:anchor="b2128" w:history="1">
        <w:r>
          <w:rPr>
            <w:color w:val="0A3A8C"/>
            <w:u w:val="single"/>
          </w:rPr>
          <w:t xml:space="preserve">§§ 1650 bis 1663 (weggefallen)</w:t>
        </w:r>
      </w:hyperlink>
    </w:p>
    <w:p>
      <w:pPr>
        <w:pStyle w:val="Übersicht"/>
        <w:ind w:left="1020"/>
      </w:pPr>
      <w:hyperlink w:anchor="b2129" w:history="1">
        <w:r>
          <w:rPr>
            <w:color w:val="0A3A8C"/>
            <w:u w:val="single"/>
          </w:rPr>
          <w:t xml:space="preserve">§ 1664 Beschränkte Haftung der Eltern</w:t>
        </w:r>
      </w:hyperlink>
    </w:p>
    <w:p>
      <w:pPr>
        <w:pStyle w:val="Übersicht"/>
        <w:ind w:left="1020"/>
      </w:pPr>
      <w:hyperlink w:anchor="b2130" w:history="1">
        <w:r>
          <w:rPr>
            <w:color w:val="0A3A8C"/>
            <w:u w:val="single"/>
          </w:rPr>
          <w:t xml:space="preserve">§ 1665</w:t>
        </w:r>
      </w:hyperlink>
    </w:p>
    <w:p>
      <w:pPr>
        <w:pStyle w:val="Übersicht"/>
        <w:ind w:left="1020"/>
      </w:pPr>
      <w:hyperlink w:anchor="b2131" w:history="1">
        <w:r>
          <w:rPr>
            <w:color w:val="0A3A8C"/>
            <w:u w:val="single"/>
          </w:rPr>
          <w:t xml:space="preserve">§ 1666 Gerichtliche Maßnahmen bei Gefährdung des Kindeswohls</w:t>
        </w:r>
      </w:hyperlink>
    </w:p>
    <w:p>
      <w:pPr>
        <w:pStyle w:val="Übersicht"/>
        <w:ind w:left="1020"/>
      </w:pPr>
      <w:hyperlink w:anchor="b2132" w:history="1">
        <w:r>
          <w:rPr>
            <w:color w:val="0A3A8C"/>
            <w:u w:val="single"/>
          </w:rPr>
          <w:t xml:space="preserve">§ 1666a Grundsatz der Verhältnismäßigkeit; Vorrang öffentlicher Hilfen</w:t>
        </w:r>
      </w:hyperlink>
    </w:p>
    <w:p>
      <w:pPr>
        <w:pStyle w:val="Übersicht"/>
        <w:ind w:left="1020"/>
      </w:pPr>
      <w:hyperlink w:anchor="b2133" w:history="1">
        <w:r>
          <w:rPr>
            <w:color w:val="0A3A8C"/>
            <w:u w:val="single"/>
          </w:rPr>
          <w:t xml:space="preserve">§ 1667 Gerichtliche Maßnahmen bei Gefährdung des Kindesvermögens</w:t>
        </w:r>
      </w:hyperlink>
    </w:p>
    <w:p>
      <w:pPr>
        <w:pStyle w:val="Übersicht"/>
        <w:ind w:left="1020"/>
      </w:pPr>
      <w:hyperlink w:anchor="b2134" w:history="1">
        <w:r>
          <w:rPr>
            <w:color w:val="0A3A8C"/>
            <w:u w:val="single"/>
          </w:rPr>
          <w:t xml:space="preserve">§§ 1668 bis 1670 (weggefallen)</w:t>
        </w:r>
      </w:hyperlink>
    </w:p>
    <w:p>
      <w:pPr>
        <w:pStyle w:val="Übersicht"/>
        <w:ind w:left="1020"/>
      </w:pPr>
      <w:hyperlink w:anchor="b2135" w:history="1">
        <w:r>
          <w:rPr>
            <w:color w:val="0A3A8C"/>
            <w:u w:val="single"/>
          </w:rPr>
          <w:t xml:space="preserve">§ 1671 Übertragung der Alleinsorge bei Getrenntleben der Eltern</w:t>
        </w:r>
      </w:hyperlink>
    </w:p>
    <w:p>
      <w:pPr>
        <w:pStyle w:val="Übersicht"/>
        <w:ind w:left="1020"/>
      </w:pPr>
      <w:hyperlink w:anchor="b2136" w:history="1">
        <w:r>
          <w:rPr>
            <w:color w:val="0A3A8C"/>
            <w:u w:val="single"/>
          </w:rPr>
          <w:t xml:space="preserve">§ 1672 (weggefallen)</w:t>
        </w:r>
      </w:hyperlink>
    </w:p>
    <w:p>
      <w:pPr>
        <w:pStyle w:val="Übersicht"/>
        <w:ind w:left="1020"/>
      </w:pPr>
      <w:hyperlink w:anchor="b2137" w:history="1">
        <w:r>
          <w:rPr>
            <w:color w:val="0A3A8C"/>
            <w:u w:val="single"/>
          </w:rPr>
          <w:t xml:space="preserve">§ 1673 Ruhen der elterlichen Sorge bei rechtlichem Hindernis</w:t>
        </w:r>
      </w:hyperlink>
    </w:p>
    <w:p>
      <w:pPr>
        <w:pStyle w:val="Übersicht"/>
        <w:ind w:left="1020"/>
      </w:pPr>
      <w:hyperlink w:anchor="b2138" w:history="1">
        <w:r>
          <w:rPr>
            <w:color w:val="0A3A8C"/>
            <w:u w:val="single"/>
          </w:rPr>
          <w:t xml:space="preserve">§ 1674 Ruhen der elterlichen Sorge bei tatsächlichem Hindernis</w:t>
        </w:r>
      </w:hyperlink>
    </w:p>
    <w:p>
      <w:pPr>
        <w:pStyle w:val="Übersicht"/>
        <w:ind w:left="1020"/>
      </w:pPr>
      <w:hyperlink w:anchor="b2139" w:history="1">
        <w:r>
          <w:rPr>
            <w:color w:val="0A3A8C"/>
            <w:u w:val="single"/>
          </w:rPr>
          <w:t xml:space="preserve">§ 1674a Ruhen der elterlichen Sorge für ein vertraulich geborenes Kind</w:t>
        </w:r>
      </w:hyperlink>
    </w:p>
    <w:p>
      <w:pPr>
        <w:pStyle w:val="Übersicht"/>
        <w:ind w:left="1020"/>
      </w:pPr>
      <w:hyperlink w:anchor="b2140" w:history="1">
        <w:r>
          <w:rPr>
            <w:color w:val="0A3A8C"/>
            <w:u w:val="single"/>
          </w:rPr>
          <w:t xml:space="preserve">§ 1675 Wirkung des Ruhens</w:t>
        </w:r>
      </w:hyperlink>
    </w:p>
    <w:p>
      <w:pPr>
        <w:pStyle w:val="Übersicht"/>
        <w:ind w:left="1020"/>
      </w:pPr>
      <w:hyperlink w:anchor="b2141" w:history="1">
        <w:r>
          <w:rPr>
            <w:color w:val="0A3A8C"/>
            <w:u w:val="single"/>
          </w:rPr>
          <w:t xml:space="preserve">§ 1676</w:t>
        </w:r>
      </w:hyperlink>
    </w:p>
    <w:p>
      <w:pPr>
        <w:pStyle w:val="Übersicht"/>
        <w:ind w:left="1020"/>
      </w:pPr>
      <w:hyperlink w:anchor="b2142" w:history="1">
        <w:r>
          <w:rPr>
            <w:color w:val="0A3A8C"/>
            <w:u w:val="single"/>
          </w:rPr>
          <w:t xml:space="preserve">§ 1677 Beendigung der Sorge durch Todeserklärung</w:t>
        </w:r>
      </w:hyperlink>
    </w:p>
    <w:p>
      <w:pPr>
        <w:pStyle w:val="Übersicht"/>
        <w:ind w:left="1020"/>
      </w:pPr>
      <w:hyperlink w:anchor="b2143" w:history="1">
        <w:r>
          <w:rPr>
            <w:color w:val="0A3A8C"/>
            <w:u w:val="single"/>
          </w:rPr>
          <w:t xml:space="preserve">§ 1678 Folgen der tatsächlichen Verhinderung oder des Ruhens für den anderen Elternteil</w:t>
        </w:r>
      </w:hyperlink>
    </w:p>
    <w:p>
      <w:pPr>
        <w:pStyle w:val="Übersicht"/>
        <w:ind w:left="1020"/>
      </w:pPr>
      <w:hyperlink w:anchor="b2144" w:history="1">
        <w:r>
          <w:rPr>
            <w:color w:val="0A3A8C"/>
            <w:u w:val="single"/>
          </w:rPr>
          <w:t xml:space="preserve">§ 1679</w:t>
        </w:r>
      </w:hyperlink>
    </w:p>
    <w:p>
      <w:pPr>
        <w:pStyle w:val="Übersicht"/>
        <w:ind w:left="1020"/>
      </w:pPr>
      <w:hyperlink w:anchor="b2145" w:history="1">
        <w:r>
          <w:rPr>
            <w:color w:val="0A3A8C"/>
            <w:u w:val="single"/>
          </w:rPr>
          <w:t xml:space="preserve">§ 1680 Tod eines Elternteils oder Entziehung des Sorgerechts</w:t>
        </w:r>
      </w:hyperlink>
    </w:p>
    <w:p>
      <w:pPr>
        <w:pStyle w:val="Übersicht"/>
        <w:ind w:left="1020"/>
      </w:pPr>
      <w:hyperlink w:anchor="b2146" w:history="1">
        <w:r>
          <w:rPr>
            <w:color w:val="0A3A8C"/>
            <w:u w:val="single"/>
          </w:rPr>
          <w:t xml:space="preserve">§ 1681 Todeserklärung eines Elternteils</w:t>
        </w:r>
      </w:hyperlink>
    </w:p>
    <w:p>
      <w:pPr>
        <w:pStyle w:val="Übersicht"/>
        <w:ind w:left="1020"/>
      </w:pPr>
      <w:hyperlink w:anchor="b2147" w:history="1">
        <w:r>
          <w:rPr>
            <w:color w:val="0A3A8C"/>
            <w:u w:val="single"/>
          </w:rPr>
          <w:t xml:space="preserve">§ 1682 Verbleibensanordnung zugunsten von Bezugspersonen</w:t>
        </w:r>
      </w:hyperlink>
    </w:p>
    <w:p>
      <w:pPr>
        <w:pStyle w:val="Übersicht"/>
        <w:ind w:left="1020"/>
      </w:pPr>
      <w:hyperlink w:anchor="b2148" w:history="1">
        <w:r>
          <w:rPr>
            <w:color w:val="0A3A8C"/>
            <w:u w:val="single"/>
          </w:rPr>
          <w:t xml:space="preserve">§ 1683 (weggefallen)</w:t>
        </w:r>
      </w:hyperlink>
    </w:p>
    <w:p>
      <w:pPr>
        <w:pStyle w:val="Übersicht"/>
        <w:ind w:left="1020"/>
      </w:pPr>
      <w:hyperlink w:anchor="b2149" w:history="1">
        <w:r>
          <w:rPr>
            <w:color w:val="0A3A8C"/>
            <w:u w:val="single"/>
          </w:rPr>
          <w:t xml:space="preserve">§ 1684 Umgang des Kindes mit den Eltern</w:t>
        </w:r>
      </w:hyperlink>
    </w:p>
    <w:p>
      <w:pPr>
        <w:pStyle w:val="Übersicht"/>
        <w:ind w:left="1020"/>
      </w:pPr>
      <w:hyperlink w:anchor="b2150" w:history="1">
        <w:r>
          <w:rPr>
            <w:color w:val="0A3A8C"/>
            <w:u w:val="single"/>
          </w:rPr>
          <w:t xml:space="preserve">§ 1685 Umgang des Kindes mit anderen Bezugspersonen</w:t>
        </w:r>
      </w:hyperlink>
    </w:p>
    <w:p>
      <w:pPr>
        <w:pStyle w:val="Übersicht"/>
        <w:ind w:left="1020"/>
      </w:pPr>
      <w:hyperlink w:anchor="b2151" w:history="1">
        <w:r>
          <w:rPr>
            <w:color w:val="0A3A8C"/>
            <w:u w:val="single"/>
          </w:rPr>
          <w:t xml:space="preserve">§ 1686 Auskunft über die persönlichen Verhältnisse des Kindes</w:t>
        </w:r>
      </w:hyperlink>
    </w:p>
    <w:p>
      <w:pPr>
        <w:pStyle w:val="Übersicht"/>
        <w:ind w:left="1020"/>
      </w:pPr>
      <w:hyperlink w:anchor="b2152" w:history="1">
        <w:r>
          <w:rPr>
            <w:color w:val="0A3A8C"/>
            <w:u w:val="single"/>
          </w:rPr>
          <w:t xml:space="preserve">§ 1686a Rechte des leiblichen, nicht rechtlichen Vaters</w:t>
        </w:r>
      </w:hyperlink>
    </w:p>
    <w:p>
      <w:pPr>
        <w:pStyle w:val="Übersicht"/>
        <w:ind w:left="1020"/>
      </w:pPr>
      <w:hyperlink w:anchor="b2153" w:history="1">
        <w:r>
          <w:rPr>
            <w:color w:val="0A3A8C"/>
            <w:u w:val="single"/>
          </w:rPr>
          <w:t xml:space="preserve">§ 1687 Ausübung der gemeinsamen Sorge bei Getrenntleben</w:t>
        </w:r>
      </w:hyperlink>
    </w:p>
    <w:p>
      <w:pPr>
        <w:pStyle w:val="Übersicht"/>
        <w:ind w:left="1020"/>
      </w:pPr>
      <w:hyperlink w:anchor="b2154" w:history="1">
        <w:r>
          <w:rPr>
            <w:color w:val="0A3A8C"/>
            <w:u w:val="single"/>
          </w:rPr>
          <w:t xml:space="preserve">§ 1687a Entscheidungsbefugnisse des nicht sorgeberechtigten Elternteils</w:t>
        </w:r>
      </w:hyperlink>
    </w:p>
    <w:p>
      <w:pPr>
        <w:pStyle w:val="Übersicht"/>
        <w:ind w:left="1020"/>
      </w:pPr>
      <w:hyperlink w:anchor="b2155" w:history="1">
        <w:r>
          <w:rPr>
            <w:color w:val="0A3A8C"/>
            <w:u w:val="single"/>
          </w:rPr>
          <w:t xml:space="preserve">§ 1687b Sorgerechtliche Befugnisse des Ehegatten</w:t>
        </w:r>
      </w:hyperlink>
    </w:p>
    <w:p>
      <w:pPr>
        <w:pStyle w:val="Übersicht"/>
        <w:ind w:left="1020"/>
      </w:pPr>
      <w:hyperlink w:anchor="b2156" w:history="1">
        <w:r>
          <w:rPr>
            <w:color w:val="0A3A8C"/>
            <w:u w:val="single"/>
          </w:rPr>
          <w:t xml:space="preserve">§ 1688 Entscheidungsbefugnisse der Pflegeperson</w:t>
        </w:r>
      </w:hyperlink>
    </w:p>
    <w:p>
      <w:pPr>
        <w:pStyle w:val="Übersicht"/>
        <w:ind w:left="1020"/>
      </w:pPr>
      <w:hyperlink w:anchor="b2157" w:history="1">
        <w:r>
          <w:rPr>
            <w:color w:val="0A3A8C"/>
            <w:u w:val="single"/>
          </w:rPr>
          <w:t xml:space="preserve">§§ 1689 bis 1692 (weggefallen)</w:t>
        </w:r>
      </w:hyperlink>
    </w:p>
    <w:p>
      <w:pPr>
        <w:pStyle w:val="Übersicht"/>
        <w:ind w:left="1020"/>
      </w:pPr>
      <w:hyperlink w:anchor="b2158" w:history="1">
        <w:r>
          <w:rPr>
            <w:color w:val="0A3A8C"/>
            <w:u w:val="single"/>
          </w:rPr>
          <w:t xml:space="preserve">§ 1693 Gerichtliche Maßnahmen bei Verhinderung der Eltern</w:t>
        </w:r>
      </w:hyperlink>
    </w:p>
    <w:p>
      <w:pPr>
        <w:pStyle w:val="Übersicht"/>
        <w:ind w:left="1020"/>
      </w:pPr>
      <w:hyperlink w:anchor="b2159" w:history="1">
        <w:r>
          <w:rPr>
            <w:color w:val="0A3A8C"/>
            <w:u w:val="single"/>
          </w:rPr>
          <w:t xml:space="preserve">§§ 1694 und 1695 (weggefallen)</w:t>
        </w:r>
      </w:hyperlink>
    </w:p>
    <w:p>
      <w:pPr>
        <w:pStyle w:val="Übersicht"/>
        <w:ind w:left="1020"/>
      </w:pPr>
      <w:hyperlink w:anchor="b2160" w:history="1">
        <w:r>
          <w:rPr>
            <w:color w:val="0A3A8C"/>
            <w:u w:val="single"/>
          </w:rPr>
          <w:t xml:space="preserve">§ 1696 Abänderung gerichtlicher Entscheidungen und gerichtlich gebilligter Vergleiche</w:t>
        </w:r>
      </w:hyperlink>
    </w:p>
    <w:p>
      <w:pPr>
        <w:pStyle w:val="Übersicht"/>
        <w:ind w:left="1020"/>
      </w:pPr>
      <w:hyperlink w:anchor="b2161" w:history="1">
        <w:r>
          <w:rPr>
            <w:color w:val="0A3A8C"/>
            <w:u w:val="single"/>
          </w:rPr>
          <w:t xml:space="preserve">§ 1697 (weggefallen)</w:t>
        </w:r>
      </w:hyperlink>
    </w:p>
    <w:p>
      <w:pPr>
        <w:pStyle w:val="Übersicht"/>
        <w:ind w:left="1020"/>
      </w:pPr>
      <w:hyperlink w:anchor="b2162" w:history="1">
        <w:r>
          <w:rPr>
            <w:color w:val="0A3A8C"/>
            <w:u w:val="single"/>
          </w:rPr>
          <w:t xml:space="preserve">§ 1697a Kindeswohlprinzip</w:t>
        </w:r>
      </w:hyperlink>
    </w:p>
    <w:p>
      <w:pPr>
        <w:pStyle w:val="Übersicht"/>
        <w:ind w:left="1020"/>
      </w:pPr>
      <w:hyperlink w:anchor="b2163" w:history="1">
        <w:r>
          <w:rPr>
            <w:color w:val="0A3A8C"/>
            <w:u w:val="single"/>
          </w:rPr>
          <w:t xml:space="preserve">§ 1698 Herausgabe des Kindesvermögens; Rechnungslegung</w:t>
        </w:r>
      </w:hyperlink>
    </w:p>
    <w:p>
      <w:pPr>
        <w:pStyle w:val="Übersicht"/>
        <w:ind w:left="1020"/>
      </w:pPr>
      <w:hyperlink w:anchor="b2164" w:history="1">
        <w:r>
          <w:rPr>
            <w:color w:val="0A3A8C"/>
            <w:u w:val="single"/>
          </w:rPr>
          <w:t xml:space="preserve">§ 1698a Fortführung der Geschäfte in Unkenntnis der Beendigung
der elterlichen Sorge</w:t>
        </w:r>
      </w:hyperlink>
    </w:p>
    <w:p>
      <w:pPr>
        <w:pStyle w:val="Übersicht"/>
        <w:ind w:left="1020"/>
      </w:pPr>
      <w:hyperlink w:anchor="b2165" w:history="1">
        <w:r>
          <w:rPr>
            <w:color w:val="0A3A8C"/>
            <w:u w:val="single"/>
          </w:rPr>
          <w:t xml:space="preserve">§ 1698b Fortführung dringender Geschäfte nach Tod des Kindes</w:t>
        </w:r>
      </w:hyperlink>
    </w:p>
    <w:p>
      <w:pPr>
        <w:pStyle w:val="Übersicht"/>
        <w:ind w:left="1020"/>
      </w:pPr>
      <w:hyperlink w:anchor="b2166" w:history="1">
        <w:r>
          <w:rPr>
            <w:color w:val="0A3A8C"/>
            <w:u w:val="single"/>
          </w:rPr>
          <w:t xml:space="preserve">§§ 1699 bis 1711 (weggefallen)</w:t>
        </w:r>
      </w:hyperlink>
    </w:p>
    <w:p>
      <w:pPr>
        <w:pStyle w:val="Übersicht"/>
        <w:ind w:left="680"/>
      </w:pPr>
      <w:hyperlink w:anchor="b2167" w:history="1">
        <w:r>
          <w:rPr>
            <w:b/>
            <w:color w:val="0A3A8C"/>
            <w:u w:val="single"/>
          </w:rPr>
          <w:t xml:space="preserve">Titel 6 Beistandschaft</w:t>
        </w:r>
      </w:hyperlink>
    </w:p>
    <w:p>
      <w:pPr>
        <w:pStyle w:val="Übersicht"/>
        <w:ind w:left="1020"/>
      </w:pPr>
      <w:hyperlink w:anchor="b2168" w:history="1">
        <w:r>
          <w:rPr>
            <w:color w:val="0A3A8C"/>
            <w:u w:val="single"/>
          </w:rPr>
          <w:t xml:space="preserve">§ 1712 Beistandschaft des Jugendamts; Aufgaben</w:t>
        </w:r>
      </w:hyperlink>
    </w:p>
    <w:p>
      <w:pPr>
        <w:pStyle w:val="Übersicht"/>
        <w:ind w:left="1020"/>
      </w:pPr>
      <w:hyperlink w:anchor="b2169" w:history="1">
        <w:r>
          <w:rPr>
            <w:color w:val="0A3A8C"/>
            <w:u w:val="single"/>
          </w:rPr>
          <w:t xml:space="preserve">§ 1713 Antragsberechtigte</w:t>
        </w:r>
      </w:hyperlink>
    </w:p>
    <w:p>
      <w:pPr>
        <w:pStyle w:val="Übersicht"/>
        <w:ind w:left="1020"/>
      </w:pPr>
      <w:hyperlink w:anchor="b2170" w:history="1">
        <w:r>
          <w:rPr>
            <w:color w:val="0A3A8C"/>
            <w:u w:val="single"/>
          </w:rPr>
          <w:t xml:space="preserve">§ 1714 Eintritt der Beistandschaft</w:t>
        </w:r>
      </w:hyperlink>
    </w:p>
    <w:p>
      <w:pPr>
        <w:pStyle w:val="Übersicht"/>
        <w:ind w:left="1020"/>
      </w:pPr>
      <w:hyperlink w:anchor="b2171" w:history="1">
        <w:r>
          <w:rPr>
            <w:color w:val="0A3A8C"/>
            <w:u w:val="single"/>
          </w:rPr>
          <w:t xml:space="preserve">§ 1715 Beendigung der Beistandschaft</w:t>
        </w:r>
      </w:hyperlink>
    </w:p>
    <w:p>
      <w:pPr>
        <w:pStyle w:val="Übersicht"/>
        <w:ind w:left="1020"/>
      </w:pPr>
      <w:hyperlink w:anchor="b2172" w:history="1">
        <w:r>
          <w:rPr>
            <w:color w:val="0A3A8C"/>
            <w:u w:val="single"/>
          </w:rPr>
          <w:t xml:space="preserve">§ 1716 Wirkungen der Beistandschaft</w:t>
        </w:r>
      </w:hyperlink>
    </w:p>
    <w:p>
      <w:pPr>
        <w:pStyle w:val="Übersicht"/>
        <w:ind w:left="1020"/>
      </w:pPr>
      <w:hyperlink w:anchor="b2173" w:history="1">
        <w:r>
          <w:rPr>
            <w:color w:val="0A3A8C"/>
            <w:u w:val="single"/>
          </w:rPr>
          <w:t xml:space="preserve">§ 1717 Erfordernis des gewöhnlichen Aufenthalts im Inland</w:t>
        </w:r>
      </w:hyperlink>
    </w:p>
    <w:p>
      <w:pPr>
        <w:pStyle w:val="Übersicht"/>
        <w:ind w:left="1020"/>
      </w:pPr>
      <w:hyperlink w:anchor="b2174" w:history="1">
        <w:r>
          <w:rPr>
            <w:color w:val="0A3A8C"/>
            <w:u w:val="single"/>
          </w:rPr>
          <w:t xml:space="preserve">§§ 1718 bis 1740 (weggefallen)</w:t>
        </w:r>
      </w:hyperlink>
    </w:p>
    <w:p>
      <w:pPr>
        <w:pStyle w:val="Übersicht"/>
        <w:ind w:left="680"/>
      </w:pPr>
      <w:hyperlink w:anchor="b2175" w:history="1">
        <w:r>
          <w:rPr>
            <w:b/>
            <w:color w:val="0A3A8C"/>
            <w:u w:val="single"/>
          </w:rPr>
          <w:t xml:space="preserve">Titel 7 Annahme als Kind</w:t>
        </w:r>
      </w:hyperlink>
    </w:p>
    <w:p>
      <w:pPr>
        <w:pStyle w:val="Übersicht"/>
        <w:ind w:left="1020"/>
      </w:pPr>
      <w:hyperlink w:anchor="b2176" w:history="1">
        <w:r>
          <w:rPr>
            <w:b/>
            <w:color w:val="0A3A8C"/>
            <w:u w:val="single"/>
          </w:rPr>
          <w:t xml:space="preserve">Untertitel 1 Annahme Minderjähriger</w:t>
        </w:r>
      </w:hyperlink>
    </w:p>
    <w:p>
      <w:pPr>
        <w:pStyle w:val="Übersicht"/>
        <w:ind w:left="1361"/>
      </w:pPr>
      <w:hyperlink w:anchor="b2177" w:history="1">
        <w:r>
          <w:rPr>
            <w:color w:val="0A3A8C"/>
            <w:u w:val="single"/>
          </w:rPr>
          <w:t xml:space="preserve">§ 1741 Zulässigkeit der Annahme</w:t>
        </w:r>
      </w:hyperlink>
    </w:p>
    <w:p>
      <w:pPr>
        <w:pStyle w:val="Übersicht"/>
        <w:ind w:left="1361"/>
      </w:pPr>
      <w:hyperlink w:anchor="b2178" w:history="1">
        <w:r>
          <w:rPr>
            <w:color w:val="0A3A8C"/>
            <w:u w:val="single"/>
          </w:rPr>
          <w:t xml:space="preserve">§ 1742 Annahme nur als gemeinschaftliches Kind</w:t>
        </w:r>
      </w:hyperlink>
    </w:p>
    <w:p>
      <w:pPr>
        <w:pStyle w:val="Übersicht"/>
        <w:ind w:left="1361"/>
      </w:pPr>
      <w:hyperlink w:anchor="b2179" w:history="1">
        <w:r>
          <w:rPr>
            <w:color w:val="0A3A8C"/>
            <w:u w:val="single"/>
          </w:rPr>
          <w:t xml:space="preserve">§ 1743 Mindestalter</w:t>
        </w:r>
      </w:hyperlink>
    </w:p>
    <w:p>
      <w:pPr>
        <w:pStyle w:val="Übersicht"/>
        <w:ind w:left="1361"/>
      </w:pPr>
      <w:hyperlink w:anchor="b2180" w:history="1">
        <w:r>
          <w:rPr>
            <w:color w:val="0A3A8C"/>
            <w:u w:val="single"/>
          </w:rPr>
          <w:t xml:space="preserve">§ 1744 Probezeit</w:t>
        </w:r>
      </w:hyperlink>
    </w:p>
    <w:p>
      <w:pPr>
        <w:pStyle w:val="Übersicht"/>
        <w:ind w:left="1361"/>
      </w:pPr>
      <w:hyperlink w:anchor="b2181" w:history="1">
        <w:r>
          <w:rPr>
            <w:color w:val="0A3A8C"/>
            <w:u w:val="single"/>
          </w:rPr>
          <w:t xml:space="preserve">§ 1745 Verbot der Annahme</w:t>
        </w:r>
      </w:hyperlink>
    </w:p>
    <w:p>
      <w:pPr>
        <w:pStyle w:val="Übersicht"/>
        <w:ind w:left="1361"/>
      </w:pPr>
      <w:hyperlink w:anchor="b2182" w:history="1">
        <w:r>
          <w:rPr>
            <w:color w:val="0A3A8C"/>
            <w:u w:val="single"/>
          </w:rPr>
          <w:t xml:space="preserve">§ 1746 Einwilligung des Kindes</w:t>
        </w:r>
      </w:hyperlink>
    </w:p>
    <w:p>
      <w:pPr>
        <w:pStyle w:val="Übersicht"/>
        <w:ind w:left="1361"/>
      </w:pPr>
      <w:hyperlink w:anchor="b2183" w:history="1">
        <w:r>
          <w:rPr>
            <w:color w:val="0A3A8C"/>
            <w:u w:val="single"/>
          </w:rPr>
          <w:t xml:space="preserve">§ 1747 Einwilligung der Eltern des Kindes</w:t>
        </w:r>
      </w:hyperlink>
    </w:p>
    <w:p>
      <w:pPr>
        <w:pStyle w:val="Übersicht"/>
        <w:ind w:left="1361"/>
      </w:pPr>
      <w:hyperlink w:anchor="b2184" w:history="1">
        <w:r>
          <w:rPr>
            <w:color w:val="0A3A8C"/>
            <w:u w:val="single"/>
          </w:rPr>
          <w:t xml:space="preserve">§ 1748 Ersetzung der Einwilligung eines Elternteils</w:t>
        </w:r>
      </w:hyperlink>
    </w:p>
    <w:p>
      <w:pPr>
        <w:pStyle w:val="Übersicht"/>
        <w:ind w:left="1361"/>
      </w:pPr>
      <w:hyperlink w:anchor="b2185" w:history="1">
        <w:r>
          <w:rPr>
            <w:color w:val="0A3A8C"/>
            <w:u w:val="single"/>
          </w:rPr>
          <w:t xml:space="preserve">§ 1749 Einwilligung des Ehegatten</w:t>
        </w:r>
      </w:hyperlink>
    </w:p>
    <w:p>
      <w:pPr>
        <w:pStyle w:val="Übersicht"/>
        <w:ind w:left="1361"/>
      </w:pPr>
      <w:hyperlink w:anchor="b2186" w:history="1">
        <w:r>
          <w:rPr>
            <w:color w:val="0A3A8C"/>
            <w:u w:val="single"/>
          </w:rPr>
          <w:t xml:space="preserve">§ 1750 Einwilligungserklärung</w:t>
        </w:r>
      </w:hyperlink>
    </w:p>
    <w:p>
      <w:pPr>
        <w:pStyle w:val="Übersicht"/>
        <w:ind w:left="1361"/>
      </w:pPr>
      <w:hyperlink w:anchor="b2187" w:history="1">
        <w:r>
          <w:rPr>
            <w:color w:val="0A3A8C"/>
            <w:u w:val="single"/>
          </w:rPr>
          <w:t xml:space="preserve">§ 1751 Wirkung der elterlichen Einwilligung, Verpflichtung zum Unterhalt</w:t>
        </w:r>
      </w:hyperlink>
    </w:p>
    <w:p>
      <w:pPr>
        <w:pStyle w:val="Übersicht"/>
        <w:ind w:left="1361"/>
      </w:pPr>
      <w:hyperlink w:anchor="b2188" w:history="1">
        <w:r>
          <w:rPr>
            <w:color w:val="0A3A8C"/>
            <w:u w:val="single"/>
          </w:rPr>
          <w:t xml:space="preserve">§ 1752 Beschluss des Familiengerichts, Antrag</w:t>
        </w:r>
      </w:hyperlink>
    </w:p>
    <w:p>
      <w:pPr>
        <w:pStyle w:val="Übersicht"/>
        <w:ind w:left="1361"/>
      </w:pPr>
      <w:hyperlink w:anchor="b2189" w:history="1">
        <w:r>
          <w:rPr>
            <w:color w:val="0A3A8C"/>
            <w:u w:val="single"/>
          </w:rPr>
          <w:t xml:space="preserve">§ 1753 Annahme nach dem Tode</w:t>
        </w:r>
      </w:hyperlink>
    </w:p>
    <w:p>
      <w:pPr>
        <w:pStyle w:val="Übersicht"/>
        <w:ind w:left="1361"/>
      </w:pPr>
      <w:hyperlink w:anchor="b2190" w:history="1">
        <w:r>
          <w:rPr>
            <w:color w:val="0A3A8C"/>
            <w:u w:val="single"/>
          </w:rPr>
          <w:t xml:space="preserve">§ 1754 Wirkung der Annahme</w:t>
        </w:r>
      </w:hyperlink>
    </w:p>
    <w:p>
      <w:pPr>
        <w:pStyle w:val="Übersicht"/>
        <w:ind w:left="1361"/>
      </w:pPr>
      <w:hyperlink w:anchor="b2191" w:history="1">
        <w:r>
          <w:rPr>
            <w:color w:val="0A3A8C"/>
            <w:u w:val="single"/>
          </w:rPr>
          <w:t xml:space="preserve">§ 1755 Erlöschen von Verwandtschaftsverhältnissen</w:t>
        </w:r>
      </w:hyperlink>
    </w:p>
    <w:p>
      <w:pPr>
        <w:pStyle w:val="Übersicht"/>
        <w:ind w:left="1361"/>
      </w:pPr>
      <w:hyperlink w:anchor="b2192" w:history="1">
        <w:r>
          <w:rPr>
            <w:color w:val="0A3A8C"/>
            <w:u w:val="single"/>
          </w:rPr>
          <w:t xml:space="preserve">§ 1756 Bestehenbleiben von Verwandtschaftsverhältnissen</w:t>
        </w:r>
      </w:hyperlink>
    </w:p>
    <w:p>
      <w:pPr>
        <w:pStyle w:val="Übersicht"/>
        <w:ind w:left="1361"/>
      </w:pPr>
      <w:hyperlink w:anchor="b2193" w:history="1">
        <w:r>
          <w:rPr>
            <w:color w:val="0A3A8C"/>
            <w:u w:val="single"/>
          </w:rPr>
          <w:t xml:space="preserve">§ 1757 Name des Kindes</w:t>
        </w:r>
      </w:hyperlink>
    </w:p>
    <w:p>
      <w:pPr>
        <w:pStyle w:val="Übersicht"/>
        <w:ind w:left="1361"/>
      </w:pPr>
      <w:hyperlink w:anchor="b2194" w:history="1">
        <w:r>
          <w:rPr>
            <w:color w:val="0A3A8C"/>
            <w:u w:val="single"/>
          </w:rPr>
          <w:t xml:space="preserve">§ 1758 Offenbarungs- und Ausforschungsverbot</w:t>
        </w:r>
      </w:hyperlink>
    </w:p>
    <w:p>
      <w:pPr>
        <w:pStyle w:val="Übersicht"/>
        <w:ind w:left="1361"/>
      </w:pPr>
      <w:hyperlink w:anchor="b2195" w:history="1">
        <w:r>
          <w:rPr>
            <w:color w:val="0A3A8C"/>
            <w:u w:val="single"/>
          </w:rPr>
          <w:t xml:space="preserve">§ 1759 Aufhebung des Annahmeverhältnisses</w:t>
        </w:r>
      </w:hyperlink>
    </w:p>
    <w:p>
      <w:pPr>
        <w:pStyle w:val="Übersicht"/>
        <w:ind w:left="1361"/>
      </w:pPr>
      <w:hyperlink w:anchor="b2196" w:history="1">
        <w:r>
          <w:rPr>
            <w:color w:val="0A3A8C"/>
            <w:u w:val="single"/>
          </w:rPr>
          <w:t xml:space="preserve">§ 1760 Aufhebung wegen fehlender Erklärungen</w:t>
        </w:r>
      </w:hyperlink>
    </w:p>
    <w:p>
      <w:pPr>
        <w:pStyle w:val="Übersicht"/>
        <w:ind w:left="1361"/>
      </w:pPr>
      <w:hyperlink w:anchor="b2197" w:history="1">
        <w:r>
          <w:rPr>
            <w:color w:val="0A3A8C"/>
            <w:u w:val="single"/>
          </w:rPr>
          <w:t xml:space="preserve">§ 1761 Aufhebungshindernisse</w:t>
        </w:r>
      </w:hyperlink>
    </w:p>
    <w:p>
      <w:pPr>
        <w:pStyle w:val="Übersicht"/>
        <w:ind w:left="1361"/>
      </w:pPr>
      <w:hyperlink w:anchor="b2198" w:history="1">
        <w:r>
          <w:rPr>
            <w:color w:val="0A3A8C"/>
            <w:u w:val="single"/>
          </w:rPr>
          <w:t xml:space="preserve">§ 1762 Antragsberechtigung; Antragsfrist, Form</w:t>
        </w:r>
      </w:hyperlink>
    </w:p>
    <w:p>
      <w:pPr>
        <w:pStyle w:val="Übersicht"/>
        <w:ind w:left="1361"/>
      </w:pPr>
      <w:hyperlink w:anchor="b2199" w:history="1">
        <w:r>
          <w:rPr>
            <w:color w:val="0A3A8C"/>
            <w:u w:val="single"/>
          </w:rPr>
          <w:t xml:space="preserve">§ 1763 Aufhebung von Amts wegen</w:t>
        </w:r>
      </w:hyperlink>
    </w:p>
    <w:p>
      <w:pPr>
        <w:pStyle w:val="Übersicht"/>
        <w:ind w:left="1361"/>
      </w:pPr>
      <w:hyperlink w:anchor="b2200" w:history="1">
        <w:r>
          <w:rPr>
            <w:color w:val="0A3A8C"/>
            <w:u w:val="single"/>
          </w:rPr>
          <w:t xml:space="preserve">§ 1764 Wirkung der Aufhebung</w:t>
        </w:r>
      </w:hyperlink>
    </w:p>
    <w:p>
      <w:pPr>
        <w:pStyle w:val="Übersicht"/>
        <w:ind w:left="1361"/>
      </w:pPr>
      <w:hyperlink w:anchor="b2201" w:history="1">
        <w:r>
          <w:rPr>
            <w:color w:val="0A3A8C"/>
            <w:u w:val="single"/>
          </w:rPr>
          <w:t xml:space="preserve">§ 1765 Name des Kindes nach der Aufhebung</w:t>
        </w:r>
      </w:hyperlink>
    </w:p>
    <w:p>
      <w:pPr>
        <w:pStyle w:val="Übersicht"/>
        <w:ind w:left="1361"/>
      </w:pPr>
      <w:hyperlink w:anchor="b2202" w:history="1">
        <w:r>
          <w:rPr>
            <w:color w:val="0A3A8C"/>
            <w:u w:val="single"/>
          </w:rPr>
          <w:t xml:space="preserve">§ 1766 Ehe zwischen Annehmendem und Kind</w:t>
        </w:r>
      </w:hyperlink>
    </w:p>
    <w:p>
      <w:pPr>
        <w:pStyle w:val="Übersicht"/>
        <w:ind w:left="1361"/>
      </w:pPr>
      <w:hyperlink w:anchor="b2203" w:history="1">
        <w:r>
          <w:rPr>
            <w:color w:val="0A3A8C"/>
            <w:u w:val="single"/>
          </w:rPr>
          <w:t xml:space="preserve">§ 1766a Annahme von Kindern des nichtehelichen Partners</w:t>
        </w:r>
      </w:hyperlink>
    </w:p>
    <w:p>
      <w:pPr>
        <w:pStyle w:val="Übersicht"/>
        <w:ind w:left="1020"/>
      </w:pPr>
      <w:hyperlink w:anchor="b2204" w:history="1">
        <w:r>
          <w:rPr>
            <w:b/>
            <w:color w:val="0A3A8C"/>
            <w:u w:val="single"/>
          </w:rPr>
          <w:t xml:space="preserve">Untertitel 2 Annahme Volljähriger</w:t>
        </w:r>
      </w:hyperlink>
    </w:p>
    <w:p>
      <w:pPr>
        <w:pStyle w:val="Übersicht"/>
        <w:ind w:left="1361"/>
      </w:pPr>
      <w:hyperlink w:anchor="b2205" w:history="1">
        <w:r>
          <w:rPr>
            <w:color w:val="0A3A8C"/>
            <w:u w:val="single"/>
          </w:rPr>
          <w:t xml:space="preserve">§ 1767 Zulässigkeit der Annahme, anzuwendende Vorschriften</w:t>
        </w:r>
      </w:hyperlink>
    </w:p>
    <w:p>
      <w:pPr>
        <w:pStyle w:val="Übersicht"/>
        <w:ind w:left="1361"/>
      </w:pPr>
      <w:hyperlink w:anchor="b2206" w:history="1">
        <w:r>
          <w:rPr>
            <w:color w:val="0A3A8C"/>
            <w:u w:val="single"/>
          </w:rPr>
          <w:t xml:space="preserve">§ 1768 Antrag</w:t>
        </w:r>
      </w:hyperlink>
    </w:p>
    <w:p>
      <w:pPr>
        <w:pStyle w:val="Übersicht"/>
        <w:ind w:left="1361"/>
      </w:pPr>
      <w:hyperlink w:anchor="b2207" w:history="1">
        <w:r>
          <w:rPr>
            <w:color w:val="0A3A8C"/>
            <w:u w:val="single"/>
          </w:rPr>
          <w:t xml:space="preserve">§ 1769 Verbot der Annahme</w:t>
        </w:r>
      </w:hyperlink>
    </w:p>
    <w:p>
      <w:pPr>
        <w:pStyle w:val="Übersicht"/>
        <w:ind w:left="1361"/>
      </w:pPr>
      <w:hyperlink w:anchor="b2208" w:history="1">
        <w:r>
          <w:rPr>
            <w:color w:val="0A3A8C"/>
            <w:u w:val="single"/>
          </w:rPr>
          <w:t xml:space="preserve">§ 1770 Wirkung der Annahme</w:t>
        </w:r>
      </w:hyperlink>
    </w:p>
    <w:p>
      <w:pPr>
        <w:pStyle w:val="Übersicht"/>
        <w:ind w:left="1361"/>
      </w:pPr>
      <w:hyperlink w:anchor="b2209" w:history="1">
        <w:r>
          <w:rPr>
            <w:color w:val="0A3A8C"/>
            <w:u w:val="single"/>
          </w:rPr>
          <w:t xml:space="preserve">§ 1771 Aufhebung des Annahmeverhältnisses</w:t>
        </w:r>
      </w:hyperlink>
    </w:p>
    <w:p>
      <w:pPr>
        <w:pStyle w:val="Übersicht"/>
        <w:ind w:left="1361"/>
      </w:pPr>
      <w:hyperlink w:anchor="b2210" w:history="1">
        <w:r>
          <w:rPr>
            <w:color w:val="0A3A8C"/>
            <w:u w:val="single"/>
          </w:rPr>
          <w:t xml:space="preserve">§ 1772 Annahme mit den Wirkungen der Minderjährigenannahme</w:t>
        </w:r>
      </w:hyperlink>
    </w:p>
    <w:p>
      <w:pPr>
        <w:pStyle w:val="Übersicht"/>
        <w:ind w:left="340"/>
      </w:pPr>
      <w:hyperlink w:anchor="b2211" w:history="1">
        <w:r>
          <w:rPr>
            <w:b/>
            <w:color w:val="0A3A8C"/>
            <w:u w:val="single"/>
          </w:rPr>
          <w:t xml:space="preserve">Abschnitt 3 Vormundschaft, Pflegschaft für Minderjährige, rechtliche Betreuung, sonstige Pflegschaft</w:t>
        </w:r>
      </w:hyperlink>
    </w:p>
    <w:p>
      <w:pPr>
        <w:pStyle w:val="Übersicht"/>
        <w:ind w:left="680"/>
      </w:pPr>
      <w:hyperlink w:anchor="b2212" w:history="1">
        <w:r>
          <w:rPr>
            <w:b/>
            <w:color w:val="0A3A8C"/>
            <w:u w:val="single"/>
          </w:rPr>
          <w:t xml:space="preserve">Titel 1 Vormundschaft</w:t>
        </w:r>
      </w:hyperlink>
    </w:p>
    <w:p>
      <w:pPr>
        <w:pStyle w:val="Übersicht"/>
        <w:ind w:left="1020"/>
      </w:pPr>
      <w:hyperlink w:anchor="b2213" w:history="1">
        <w:r>
          <w:rPr>
            <w:b/>
            <w:color w:val="0A3A8C"/>
            <w:u w:val="single"/>
          </w:rPr>
          <w:t xml:space="preserve">Untertitel 1 Begründung der Vormundschaft</w:t>
        </w:r>
      </w:hyperlink>
    </w:p>
    <w:p>
      <w:pPr>
        <w:pStyle w:val="Übersicht"/>
        <w:ind w:left="1361"/>
      </w:pPr>
      <w:hyperlink w:anchor="b2214" w:history="1">
        <w:r>
          <w:rPr>
            <w:b/>
            <w:color w:val="0A3A8C"/>
            <w:u w:val="single"/>
          </w:rPr>
          <w:t xml:space="preserve">Kapitel 1 Bestellte Vormundschaft</w:t>
        </w:r>
      </w:hyperlink>
    </w:p>
    <w:p>
      <w:pPr>
        <w:pStyle w:val="Übersicht"/>
        <w:ind w:left="1701"/>
      </w:pPr>
      <w:hyperlink w:anchor="b2215" w:history="1">
        <w:r>
          <w:rPr>
            <w:b/>
            <w:color w:val="0A3A8C"/>
            <w:u w:val="single"/>
          </w:rPr>
          <w:t xml:space="preserve">Unterkapitel 1 Allgemeine Vorschriften</w:t>
        </w:r>
      </w:hyperlink>
    </w:p>
    <w:p>
      <w:pPr>
        <w:pStyle w:val="Übersicht"/>
        <w:ind w:left="2041"/>
      </w:pPr>
      <w:hyperlink w:anchor="b2216" w:history="1">
        <w:r>
          <w:rPr>
            <w:color w:val="0A3A8C"/>
            <w:u w:val="single"/>
          </w:rPr>
          <w:t xml:space="preserve">§ 1773 Voraussetzungen der Vormundschaft; Bestellung des Vormunds</w:t>
        </w:r>
      </w:hyperlink>
    </w:p>
    <w:p>
      <w:pPr>
        <w:pStyle w:val="Übersicht"/>
        <w:ind w:left="2041"/>
      </w:pPr>
      <w:hyperlink w:anchor="b2217" w:history="1">
        <w:r>
          <w:rPr>
            <w:color w:val="0A3A8C"/>
            <w:u w:val="single"/>
          </w:rPr>
          <w:t xml:space="preserve">§ 1774 Vormund</w:t>
        </w:r>
      </w:hyperlink>
    </w:p>
    <w:p>
      <w:pPr>
        <w:pStyle w:val="Übersicht"/>
        <w:ind w:left="2041"/>
      </w:pPr>
      <w:hyperlink w:anchor="b2218" w:history="1">
        <w:r>
          <w:rPr>
            <w:color w:val="0A3A8C"/>
            <w:u w:val="single"/>
          </w:rPr>
          <w:t xml:space="preserve">§ 1775 Mehrere Vormünder</w:t>
        </w:r>
      </w:hyperlink>
    </w:p>
    <w:p>
      <w:pPr>
        <w:pStyle w:val="Übersicht"/>
        <w:ind w:left="2041"/>
      </w:pPr>
      <w:hyperlink w:anchor="b2219" w:history="1">
        <w:r>
          <w:rPr>
            <w:color w:val="0A3A8C"/>
            <w:u w:val="single"/>
          </w:rPr>
          <w:t xml:space="preserve">§ 1776 Zusätzlicher Pfleger</w:t>
        </w:r>
      </w:hyperlink>
    </w:p>
    <w:p>
      <w:pPr>
        <w:pStyle w:val="Übersicht"/>
        <w:ind w:left="2041"/>
      </w:pPr>
      <w:hyperlink w:anchor="b2220" w:history="1">
        <w:r>
          <w:rPr>
            <w:color w:val="0A3A8C"/>
            <w:u w:val="single"/>
          </w:rPr>
          <w:t xml:space="preserve">§ 1777 Übertragung von Sorgeangelegenheiten auf die Pflegeperson als Pfleger</w:t>
        </w:r>
      </w:hyperlink>
    </w:p>
    <w:p>
      <w:pPr>
        <w:pStyle w:val="Übersicht"/>
        <w:ind w:left="1701"/>
      </w:pPr>
      <w:hyperlink w:anchor="b2221" w:history="1">
        <w:r>
          <w:rPr>
            <w:b/>
            <w:color w:val="0A3A8C"/>
            <w:u w:val="single"/>
          </w:rPr>
          <w:t xml:space="preserve">Unterkapitel 2 Auswahl des Vormunds</w:t>
        </w:r>
      </w:hyperlink>
    </w:p>
    <w:p>
      <w:pPr>
        <w:pStyle w:val="Übersicht"/>
        <w:ind w:left="2041"/>
      </w:pPr>
      <w:hyperlink w:anchor="b2222" w:history="1">
        <w:r>
          <w:rPr>
            <w:color w:val="0A3A8C"/>
            <w:u w:val="single"/>
          </w:rPr>
          <w:t xml:space="preserve">§ 1778 Auswahl des Vormunds durch das Familiengericht</w:t>
        </w:r>
      </w:hyperlink>
    </w:p>
    <w:p>
      <w:pPr>
        <w:pStyle w:val="Übersicht"/>
        <w:ind w:left="2041"/>
      </w:pPr>
      <w:hyperlink w:anchor="b2223" w:history="1">
        <w:r>
          <w:rPr>
            <w:color w:val="0A3A8C"/>
            <w:u w:val="single"/>
          </w:rPr>
          <w:t xml:space="preserve">§ 1779 Eignung der Person; Vorrang des ehrenamtlichen Vormunds</w:t>
        </w:r>
      </w:hyperlink>
    </w:p>
    <w:p>
      <w:pPr>
        <w:pStyle w:val="Übersicht"/>
        <w:ind w:left="2041"/>
      </w:pPr>
      <w:hyperlink w:anchor="b2224" w:history="1">
        <w:r>
          <w:rPr>
            <w:color w:val="0A3A8C"/>
            <w:u w:val="single"/>
          </w:rPr>
          <w:t xml:space="preserve">§ 1780 Berücksichtigung der beruflichen Belastung des Berufs- und Vereinsvormunds</w:t>
        </w:r>
      </w:hyperlink>
    </w:p>
    <w:p>
      <w:pPr>
        <w:pStyle w:val="Übersicht"/>
        <w:ind w:left="2041"/>
      </w:pPr>
      <w:hyperlink w:anchor="b2225" w:history="1">
        <w:r>
          <w:rPr>
            <w:color w:val="0A3A8C"/>
            <w:u w:val="single"/>
          </w:rPr>
          <w:t xml:space="preserve">§ 1781 Bestellung eines vorläufigen Vormunds</w:t>
        </w:r>
      </w:hyperlink>
    </w:p>
    <w:p>
      <w:pPr>
        <w:pStyle w:val="Übersicht"/>
        <w:ind w:left="2041"/>
      </w:pPr>
      <w:hyperlink w:anchor="b2226" w:history="1">
        <w:r>
          <w:rPr>
            <w:color w:val="0A3A8C"/>
            <w:u w:val="single"/>
          </w:rPr>
          <w:t xml:space="preserve">§ 1782 Benennung und Ausschluss als Vormund durch die Eltern</w:t>
        </w:r>
      </w:hyperlink>
    </w:p>
    <w:p>
      <w:pPr>
        <w:pStyle w:val="Übersicht"/>
        <w:ind w:left="2041"/>
      </w:pPr>
      <w:hyperlink w:anchor="b2227" w:history="1">
        <w:r>
          <w:rPr>
            <w:color w:val="0A3A8C"/>
            <w:u w:val="single"/>
          </w:rPr>
          <w:t xml:space="preserve">§ 1783 Übergehen der benannten Person</w:t>
        </w:r>
      </w:hyperlink>
    </w:p>
    <w:p>
      <w:pPr>
        <w:pStyle w:val="Übersicht"/>
        <w:ind w:left="2041"/>
      </w:pPr>
      <w:hyperlink w:anchor="b2228" w:history="1">
        <w:r>
          <w:rPr>
            <w:color w:val="0A3A8C"/>
            <w:u w:val="single"/>
          </w:rPr>
          <w:t xml:space="preserve">§ 1784 Ausschlussgründe</w:t>
        </w:r>
      </w:hyperlink>
    </w:p>
    <w:p>
      <w:pPr>
        <w:pStyle w:val="Übersicht"/>
        <w:ind w:left="2041"/>
      </w:pPr>
      <w:hyperlink w:anchor="b2229" w:history="1">
        <w:r>
          <w:rPr>
            <w:color w:val="0A3A8C"/>
            <w:u w:val="single"/>
          </w:rPr>
          <w:t xml:space="preserve">§ 1785 Übernahmepflicht; weitere Bestellungsvoraussetzungen</w:t>
        </w:r>
      </w:hyperlink>
    </w:p>
    <w:p>
      <w:pPr>
        <w:pStyle w:val="Übersicht"/>
        <w:ind w:left="1361"/>
      </w:pPr>
      <w:hyperlink w:anchor="b2230" w:history="1">
        <w:r>
          <w:rPr>
            <w:b/>
            <w:color w:val="0A3A8C"/>
            <w:u w:val="single"/>
          </w:rPr>
          <w:t xml:space="preserve">Kapitel 2 Gesetzliche Amtsvormundschaft</w:t>
        </w:r>
      </w:hyperlink>
    </w:p>
    <w:p>
      <w:pPr>
        <w:pStyle w:val="Übersicht"/>
        <w:ind w:left="1701"/>
      </w:pPr>
      <w:hyperlink w:anchor="b2231" w:history="1">
        <w:r>
          <w:rPr>
            <w:color w:val="0A3A8C"/>
            <w:u w:val="single"/>
          </w:rPr>
          <w:t xml:space="preserve">§ 1786 Amtsvormundschaft bei Fehlen eines sorgeberechtigten Elternteils</w:t>
        </w:r>
      </w:hyperlink>
    </w:p>
    <w:p>
      <w:pPr>
        <w:pStyle w:val="Übersicht"/>
        <w:ind w:left="1701"/>
      </w:pPr>
      <w:hyperlink w:anchor="b2232" w:history="1">
        <w:r>
          <w:rPr>
            <w:color w:val="0A3A8C"/>
            <w:u w:val="single"/>
          </w:rPr>
          <w:t xml:space="preserve">§ 1787 Amtsvormundschaft bei vertraulicher Geburt</w:t>
        </w:r>
      </w:hyperlink>
    </w:p>
    <w:p>
      <w:pPr>
        <w:pStyle w:val="Übersicht"/>
        <w:ind w:left="1020"/>
      </w:pPr>
      <w:hyperlink w:anchor="b2233" w:history="1">
        <w:r>
          <w:rPr>
            <w:b/>
            <w:color w:val="0A3A8C"/>
            <w:u w:val="single"/>
          </w:rPr>
          <w:t xml:space="preserve">Untertitel 2 Führung der Vormundschaft</w:t>
        </w:r>
      </w:hyperlink>
    </w:p>
    <w:p>
      <w:pPr>
        <w:pStyle w:val="Übersicht"/>
        <w:ind w:left="1361"/>
      </w:pPr>
      <w:hyperlink w:anchor="b2234" w:history="1">
        <w:r>
          <w:rPr>
            <w:b/>
            <w:color w:val="0A3A8C"/>
            <w:u w:val="single"/>
          </w:rPr>
          <w:t xml:space="preserve">Kapitel 1 Allgemeine Vorschriften</w:t>
        </w:r>
      </w:hyperlink>
    </w:p>
    <w:p>
      <w:pPr>
        <w:pStyle w:val="Übersicht"/>
        <w:ind w:left="1701"/>
      </w:pPr>
      <w:hyperlink w:anchor="b2235" w:history="1">
        <w:r>
          <w:rPr>
            <w:color w:val="0A3A8C"/>
            <w:u w:val="single"/>
          </w:rPr>
          <w:t xml:space="preserve">§ 1788 Rechte des Mündels</w:t>
        </w:r>
      </w:hyperlink>
    </w:p>
    <w:p>
      <w:pPr>
        <w:pStyle w:val="Übersicht"/>
        <w:ind w:left="1701"/>
      </w:pPr>
      <w:hyperlink w:anchor="b2236" w:history="1">
        <w:r>
          <w:rPr>
            <w:color w:val="0A3A8C"/>
            <w:u w:val="single"/>
          </w:rPr>
          <w:t xml:space="preserve">§ 1789 Sorge des Vormunds; Vertretung und Haftung des Mündels</w:t>
        </w:r>
      </w:hyperlink>
    </w:p>
    <w:p>
      <w:pPr>
        <w:pStyle w:val="Übersicht"/>
        <w:ind w:left="1701"/>
      </w:pPr>
      <w:hyperlink w:anchor="b2237" w:history="1">
        <w:r>
          <w:rPr>
            <w:color w:val="0A3A8C"/>
            <w:u w:val="single"/>
          </w:rPr>
          <w:t xml:space="preserve">§ 1790 Amtsführung des Vormunds; Auskunftspflicht</w:t>
        </w:r>
      </w:hyperlink>
    </w:p>
    <w:p>
      <w:pPr>
        <w:pStyle w:val="Übersicht"/>
        <w:ind w:left="1701"/>
      </w:pPr>
      <w:hyperlink w:anchor="b2238" w:history="1">
        <w:r>
          <w:rPr>
            <w:color w:val="0A3A8C"/>
            <w:u w:val="single"/>
          </w:rPr>
          <w:t xml:space="preserve">§ 1791 Aufnahme des Mündels in den Haushalt des Vormunds</w:t>
        </w:r>
      </w:hyperlink>
    </w:p>
    <w:p>
      <w:pPr>
        <w:pStyle w:val="Übersicht"/>
        <w:ind w:left="1701"/>
      </w:pPr>
      <w:hyperlink w:anchor="b2239" w:history="1">
        <w:r>
          <w:rPr>
            <w:color w:val="0A3A8C"/>
            <w:u w:val="single"/>
          </w:rPr>
          <w:t xml:space="preserve">§ 1792 Gemeinschaftliche Führung der Vormundschaft, Zusammenarbeit von Vormund und Pfleger</w:t>
        </w:r>
      </w:hyperlink>
    </w:p>
    <w:p>
      <w:pPr>
        <w:pStyle w:val="Übersicht"/>
        <w:ind w:left="1701"/>
      </w:pPr>
      <w:hyperlink w:anchor="b2240" w:history="1">
        <w:r>
          <w:rPr>
            <w:color w:val="0A3A8C"/>
            <w:u w:val="single"/>
          </w:rPr>
          <w:t xml:space="preserve">§ 1793 Entscheidung bei Meinungsverschiedenheiten</w:t>
        </w:r>
      </w:hyperlink>
    </w:p>
    <w:p>
      <w:pPr>
        <w:pStyle w:val="Übersicht"/>
        <w:ind w:left="1701"/>
      </w:pPr>
      <w:hyperlink w:anchor="b2241" w:history="1">
        <w:r>
          <w:rPr>
            <w:color w:val="0A3A8C"/>
            <w:u w:val="single"/>
          </w:rPr>
          <w:t xml:space="preserve">§ 1794 Haftung des Vormunds</w:t>
        </w:r>
      </w:hyperlink>
    </w:p>
    <w:p>
      <w:pPr>
        <w:pStyle w:val="Übersicht"/>
        <w:ind w:left="1361"/>
      </w:pPr>
      <w:hyperlink w:anchor="b2242" w:history="1">
        <w:r>
          <w:rPr>
            <w:b/>
            <w:color w:val="0A3A8C"/>
            <w:u w:val="single"/>
          </w:rPr>
          <w:t xml:space="preserve">Kapitel 2 Personensorge</w:t>
        </w:r>
      </w:hyperlink>
    </w:p>
    <w:p>
      <w:pPr>
        <w:pStyle w:val="Übersicht"/>
        <w:ind w:left="1701"/>
      </w:pPr>
      <w:hyperlink w:anchor="b2243" w:history="1">
        <w:r>
          <w:rPr>
            <w:color w:val="0A3A8C"/>
            <w:u w:val="single"/>
          </w:rPr>
          <w:t xml:space="preserve">§ 1795 Gegenstand der Personensorge; Genehmigungspflichten</w:t>
        </w:r>
      </w:hyperlink>
    </w:p>
    <w:p>
      <w:pPr>
        <w:pStyle w:val="Übersicht"/>
        <w:ind w:left="1701"/>
      </w:pPr>
      <w:hyperlink w:anchor="b2244" w:history="1">
        <w:r>
          <w:rPr>
            <w:color w:val="0A3A8C"/>
            <w:u w:val="single"/>
          </w:rPr>
          <w:t xml:space="preserve">§ 1796 Verhältnis zwischen Vormund und Pflegeperson</w:t>
        </w:r>
      </w:hyperlink>
    </w:p>
    <w:p>
      <w:pPr>
        <w:pStyle w:val="Übersicht"/>
        <w:ind w:left="1701"/>
      </w:pPr>
      <w:hyperlink w:anchor="b2245" w:history="1">
        <w:r>
          <w:rPr>
            <w:color w:val="0A3A8C"/>
            <w:u w:val="single"/>
          </w:rPr>
          <w:t xml:space="preserve">§ 1797 Entscheidungsbefugnis der Pflegeperson</w:t>
        </w:r>
      </w:hyperlink>
    </w:p>
    <w:p>
      <w:pPr>
        <w:pStyle w:val="Übersicht"/>
        <w:ind w:left="1361"/>
      </w:pPr>
      <w:hyperlink w:anchor="b2246" w:history="1">
        <w:r>
          <w:rPr>
            <w:b/>
            <w:color w:val="0A3A8C"/>
            <w:u w:val="single"/>
          </w:rPr>
          <w:t xml:space="preserve">Kapitel 3 Vermögenssorge</w:t>
        </w:r>
      </w:hyperlink>
    </w:p>
    <w:p>
      <w:pPr>
        <w:pStyle w:val="Übersicht"/>
        <w:ind w:left="1701"/>
      </w:pPr>
      <w:hyperlink w:anchor="b2247" w:history="1">
        <w:r>
          <w:rPr>
            <w:color w:val="0A3A8C"/>
            <w:u w:val="single"/>
          </w:rPr>
          <w:t xml:space="preserve">§ 1798 Grundsätze und Pflichten des Vormunds in der Vermögenssorge</w:t>
        </w:r>
      </w:hyperlink>
    </w:p>
    <w:p>
      <w:pPr>
        <w:pStyle w:val="Übersicht"/>
        <w:ind w:left="1701"/>
      </w:pPr>
      <w:hyperlink w:anchor="b2248" w:history="1">
        <w:r>
          <w:rPr>
            <w:color w:val="0A3A8C"/>
            <w:u w:val="single"/>
          </w:rPr>
          <w:t xml:space="preserve">§ 1799 Genehmigungsbedürftige Rechtsgeschäfte</w:t>
        </w:r>
      </w:hyperlink>
    </w:p>
    <w:p>
      <w:pPr>
        <w:pStyle w:val="Übersicht"/>
        <w:ind w:left="1701"/>
      </w:pPr>
      <w:hyperlink w:anchor="b2249" w:history="1">
        <w:r>
          <w:rPr>
            <w:color w:val="0A3A8C"/>
            <w:u w:val="single"/>
          </w:rPr>
          <w:t xml:space="preserve">§ 1800 Erteilung der Genehmigung</w:t>
        </w:r>
      </w:hyperlink>
    </w:p>
    <w:p>
      <w:pPr>
        <w:pStyle w:val="Übersicht"/>
        <w:ind w:left="1701"/>
      </w:pPr>
      <w:hyperlink w:anchor="b2250" w:history="1">
        <w:r>
          <w:rPr>
            <w:color w:val="0A3A8C"/>
            <w:u w:val="single"/>
          </w:rPr>
          <w:t xml:space="preserve">§ 1801 Befreite Vormundschaft</w:t>
        </w:r>
      </w:hyperlink>
    </w:p>
    <w:p>
      <w:pPr>
        <w:pStyle w:val="Übersicht"/>
        <w:ind w:left="1020"/>
      </w:pPr>
      <w:hyperlink w:anchor="b2251" w:history="1">
        <w:r>
          <w:rPr>
            <w:b/>
            <w:color w:val="0A3A8C"/>
            <w:u w:val="single"/>
          </w:rPr>
          <w:t xml:space="preserve">Untertitel 3 Beratung und Aufsicht durch das Familiengericht</w:t>
        </w:r>
      </w:hyperlink>
    </w:p>
    <w:p>
      <w:pPr>
        <w:pStyle w:val="Übersicht"/>
        <w:ind w:left="1361"/>
      </w:pPr>
      <w:hyperlink w:anchor="b2252" w:history="1">
        <w:r>
          <w:rPr>
            <w:color w:val="0A3A8C"/>
            <w:u w:val="single"/>
          </w:rPr>
          <w:t xml:space="preserve">§ 1802 Allgemeine Vorschriften</w:t>
        </w:r>
      </w:hyperlink>
    </w:p>
    <w:p>
      <w:pPr>
        <w:pStyle w:val="Übersicht"/>
        <w:ind w:left="1361"/>
      </w:pPr>
      <w:hyperlink w:anchor="b2253" w:history="1">
        <w:r>
          <w:rPr>
            <w:color w:val="0A3A8C"/>
            <w:u w:val="single"/>
          </w:rPr>
          <w:t xml:space="preserve">§ 1803 Persönliche Anhörung; Besprechung mit dem Mündel</w:t>
        </w:r>
      </w:hyperlink>
    </w:p>
    <w:p>
      <w:pPr>
        <w:pStyle w:val="Übersicht"/>
        <w:ind w:left="1020"/>
      </w:pPr>
      <w:hyperlink w:anchor="b2254" w:history="1">
        <w:r>
          <w:rPr>
            <w:b/>
            <w:color w:val="0A3A8C"/>
            <w:u w:val="single"/>
          </w:rPr>
          <w:t xml:space="preserve">Untertitel 4 Beendigung der Vormundschaft</w:t>
        </w:r>
      </w:hyperlink>
    </w:p>
    <w:p>
      <w:pPr>
        <w:pStyle w:val="Übersicht"/>
        <w:ind w:left="1361"/>
      </w:pPr>
      <w:hyperlink w:anchor="b2255" w:history="1">
        <w:r>
          <w:rPr>
            <w:color w:val="0A3A8C"/>
            <w:u w:val="single"/>
          </w:rPr>
          <w:t xml:space="preserve">§ 1804 Entlassung des Vormunds</w:t>
        </w:r>
      </w:hyperlink>
    </w:p>
    <w:p>
      <w:pPr>
        <w:pStyle w:val="Übersicht"/>
        <w:ind w:left="1361"/>
      </w:pPr>
      <w:hyperlink w:anchor="b2256" w:history="1">
        <w:r>
          <w:rPr>
            <w:color w:val="0A3A8C"/>
            <w:u w:val="single"/>
          </w:rPr>
          <w:t xml:space="preserve">§ 1805 Bestellung eines neuen Vormunds</w:t>
        </w:r>
      </w:hyperlink>
    </w:p>
    <w:p>
      <w:pPr>
        <w:pStyle w:val="Übersicht"/>
        <w:ind w:left="1361"/>
      </w:pPr>
      <w:hyperlink w:anchor="b2257" w:history="1">
        <w:r>
          <w:rPr>
            <w:color w:val="0A3A8C"/>
            <w:u w:val="single"/>
          </w:rPr>
          <w:t xml:space="preserve">§ 1806 Ende der Vormundschaft</w:t>
        </w:r>
      </w:hyperlink>
    </w:p>
    <w:p>
      <w:pPr>
        <w:pStyle w:val="Übersicht"/>
        <w:ind w:left="1361"/>
      </w:pPr>
      <w:hyperlink w:anchor="b2258" w:history="1">
        <w:r>
          <w:rPr>
            <w:color w:val="0A3A8C"/>
            <w:u w:val="single"/>
          </w:rPr>
          <w:t xml:space="preserve">§ 1807 Vermögensherausgabe, Schlussrechnungslegung und Fortführung der Geschäfte</w:t>
        </w:r>
      </w:hyperlink>
    </w:p>
    <w:p>
      <w:pPr>
        <w:pStyle w:val="Übersicht"/>
        <w:ind w:left="1020"/>
      </w:pPr>
      <w:hyperlink w:anchor="b2259" w:history="1">
        <w:r>
          <w:rPr>
            <w:b/>
            <w:color w:val="0A3A8C"/>
            <w:u w:val="single"/>
          </w:rPr>
          <w:t xml:space="preserve">Untertitel 5 Vergütung und Aufwendungsersatz</w:t>
        </w:r>
      </w:hyperlink>
    </w:p>
    <w:p>
      <w:pPr>
        <w:pStyle w:val="Übersicht"/>
        <w:ind w:left="1361"/>
      </w:pPr>
      <w:hyperlink w:anchor="b2260" w:history="1">
        <w:r>
          <w:rPr>
            <w:color w:val="0A3A8C"/>
            <w:u w:val="single"/>
          </w:rPr>
          <w:t xml:space="preserve">§ 1808 Vergütung und Aufwendungsersatz</w:t>
        </w:r>
      </w:hyperlink>
    </w:p>
    <w:p>
      <w:pPr>
        <w:pStyle w:val="Übersicht"/>
        <w:ind w:left="680"/>
      </w:pPr>
      <w:hyperlink w:anchor="b2261" w:history="1">
        <w:r>
          <w:rPr>
            <w:b/>
            <w:color w:val="0A3A8C"/>
            <w:u w:val="single"/>
          </w:rPr>
          <w:t xml:space="preserve">Titel 2 Pflegschaft für Minderjährige</w:t>
        </w:r>
      </w:hyperlink>
    </w:p>
    <w:p>
      <w:pPr>
        <w:pStyle w:val="Übersicht"/>
        <w:ind w:left="1020"/>
      </w:pPr>
      <w:hyperlink w:anchor="b2262" w:history="1">
        <w:r>
          <w:rPr>
            <w:color w:val="0A3A8C"/>
            <w:u w:val="single"/>
          </w:rPr>
          <w:t xml:space="preserve">§ 1809 Ergänzungspflegschaft</w:t>
        </w:r>
      </w:hyperlink>
    </w:p>
    <w:p>
      <w:pPr>
        <w:pStyle w:val="Übersicht"/>
        <w:ind w:left="1020"/>
      </w:pPr>
      <w:hyperlink w:anchor="b2263" w:history="1">
        <w:r>
          <w:rPr>
            <w:color w:val="0A3A8C"/>
            <w:u w:val="single"/>
          </w:rPr>
          <w:t xml:space="preserve">§ 1810 Pflegschaft für ein ungeborenes Kind</w:t>
        </w:r>
      </w:hyperlink>
    </w:p>
    <w:p>
      <w:pPr>
        <w:pStyle w:val="Übersicht"/>
        <w:ind w:left="1020"/>
      </w:pPr>
      <w:hyperlink w:anchor="b2264" w:history="1">
        <w:r>
          <w:rPr>
            <w:color w:val="0A3A8C"/>
            <w:u w:val="single"/>
          </w:rPr>
          <w:t xml:space="preserve">§ 1811 Zuwendungspflegschaft</w:t>
        </w:r>
      </w:hyperlink>
    </w:p>
    <w:p>
      <w:pPr>
        <w:pStyle w:val="Übersicht"/>
        <w:ind w:left="1020"/>
      </w:pPr>
      <w:hyperlink w:anchor="b2265" w:history="1">
        <w:r>
          <w:rPr>
            <w:color w:val="0A3A8C"/>
            <w:u w:val="single"/>
          </w:rPr>
          <w:t xml:space="preserve">§ 1812 Aufhebung und Ende der Pflegschaft</w:t>
        </w:r>
      </w:hyperlink>
    </w:p>
    <w:p>
      <w:pPr>
        <w:pStyle w:val="Übersicht"/>
        <w:ind w:left="1020"/>
      </w:pPr>
      <w:hyperlink w:anchor="b2266" w:history="1">
        <w:r>
          <w:rPr>
            <w:color w:val="0A3A8C"/>
            <w:u w:val="single"/>
          </w:rPr>
          <w:t xml:space="preserve">§ 1813 Anwendung des Vormundschaftsrechts</w:t>
        </w:r>
      </w:hyperlink>
    </w:p>
    <w:p>
      <w:pPr>
        <w:pStyle w:val="Übersicht"/>
        <w:ind w:left="680"/>
      </w:pPr>
      <w:hyperlink w:anchor="b2267" w:history="1">
        <w:r>
          <w:rPr>
            <w:b/>
            <w:color w:val="0A3A8C"/>
            <w:u w:val="single"/>
          </w:rPr>
          <w:t xml:space="preserve">Titel 3 Rechtliche Betreuung</w:t>
        </w:r>
      </w:hyperlink>
    </w:p>
    <w:p>
      <w:pPr>
        <w:pStyle w:val="Übersicht"/>
        <w:ind w:left="1020"/>
      </w:pPr>
      <w:hyperlink w:anchor="b2268" w:history="1">
        <w:r>
          <w:rPr>
            <w:b/>
            <w:color w:val="0A3A8C"/>
            <w:u w:val="single"/>
          </w:rPr>
          <w:t xml:space="preserve">Untertitel 1 Betreuerbestellung</w:t>
        </w:r>
      </w:hyperlink>
    </w:p>
    <w:p>
      <w:pPr>
        <w:pStyle w:val="Übersicht"/>
        <w:ind w:left="1361"/>
      </w:pPr>
      <w:hyperlink w:anchor="b2269" w:history="1">
        <w:r>
          <w:rPr>
            <w:color w:val="0A3A8C"/>
            <w:u w:val="single"/>
          </w:rPr>
          <w:t xml:space="preserve">§ 1814 Voraussetzungen</w:t>
        </w:r>
      </w:hyperlink>
    </w:p>
    <w:p>
      <w:pPr>
        <w:pStyle w:val="Übersicht"/>
        <w:ind w:left="1361"/>
      </w:pPr>
      <w:hyperlink w:anchor="b2270" w:history="1">
        <w:r>
          <w:rPr>
            <w:color w:val="0A3A8C"/>
            <w:u w:val="single"/>
          </w:rPr>
          <w:t xml:space="preserve">§ 1815 Umfang der Betreuung</w:t>
        </w:r>
      </w:hyperlink>
    </w:p>
    <w:p>
      <w:pPr>
        <w:pStyle w:val="Übersicht"/>
        <w:ind w:left="1361"/>
      </w:pPr>
      <w:hyperlink w:anchor="b2271" w:history="1">
        <w:r>
          <w:rPr>
            <w:color w:val="0A3A8C"/>
            <w:u w:val="single"/>
          </w:rPr>
          <w:t xml:space="preserve">§ 1816 Eignung und Auswahl des Betreuers; Berücksichtigung der Wünsche des Volljährigen</w:t>
        </w:r>
      </w:hyperlink>
    </w:p>
    <w:p>
      <w:pPr>
        <w:pStyle w:val="Übersicht"/>
        <w:ind w:left="1361"/>
      </w:pPr>
      <w:hyperlink w:anchor="b2272" w:history="1">
        <w:r>
          <w:rPr>
            <w:color w:val="0A3A8C"/>
            <w:u w:val="single"/>
          </w:rPr>
          <w:t xml:space="preserve">§ 1817 Mehrere Betreuer; Verhinderungsbetreuer; Ergänzungsbetreuer</w:t>
        </w:r>
      </w:hyperlink>
    </w:p>
    <w:p>
      <w:pPr>
        <w:pStyle w:val="Übersicht"/>
        <w:ind w:left="1361"/>
      </w:pPr>
      <w:hyperlink w:anchor="b2273" w:history="1">
        <w:r>
          <w:rPr>
            <w:color w:val="0A3A8C"/>
            <w:u w:val="single"/>
          </w:rPr>
          <w:t xml:space="preserve">§ 1818 Betreuung durch Betreuungsverein oder Betreuungsbehörde</w:t>
        </w:r>
      </w:hyperlink>
    </w:p>
    <w:p>
      <w:pPr>
        <w:pStyle w:val="Übersicht"/>
        <w:ind w:left="1361"/>
      </w:pPr>
      <w:hyperlink w:anchor="b2274" w:history="1">
        <w:r>
          <w:rPr>
            <w:color w:val="0A3A8C"/>
            <w:u w:val="single"/>
          </w:rPr>
          <w:t xml:space="preserve">§ 1819 Übernahmepflicht; weitere Bestellungsvoraussetzungen</w:t>
        </w:r>
      </w:hyperlink>
    </w:p>
    <w:p>
      <w:pPr>
        <w:pStyle w:val="Übersicht"/>
        <w:ind w:left="1361"/>
      </w:pPr>
      <w:hyperlink w:anchor="b2275" w:history="1">
        <w:r>
          <w:rPr>
            <w:color w:val="0A3A8C"/>
            <w:u w:val="single"/>
          </w:rPr>
          <w:t xml:space="preserve">§ 1820 Vorsorgevollmacht und Kontrollbetreuung</w:t>
        </w:r>
      </w:hyperlink>
    </w:p>
    <w:p>
      <w:pPr>
        <w:pStyle w:val="Übersicht"/>
        <w:ind w:left="1020"/>
      </w:pPr>
      <w:hyperlink w:anchor="b2276" w:history="1">
        <w:r>
          <w:rPr>
            <w:b/>
            <w:color w:val="0A3A8C"/>
            <w:u w:val="single"/>
          </w:rPr>
          <w:t xml:space="preserve">Untertitel 2 Führung der Betreuung</w:t>
        </w:r>
      </w:hyperlink>
    </w:p>
    <w:p>
      <w:pPr>
        <w:pStyle w:val="Übersicht"/>
        <w:ind w:left="1361"/>
      </w:pPr>
      <w:hyperlink w:anchor="b2277" w:history="1">
        <w:r>
          <w:rPr>
            <w:b/>
            <w:color w:val="0A3A8C"/>
            <w:u w:val="single"/>
          </w:rPr>
          <w:t xml:space="preserve">Kapitel 1 Allgemeine Vorschriften</w:t>
        </w:r>
      </w:hyperlink>
    </w:p>
    <w:p>
      <w:pPr>
        <w:pStyle w:val="Übersicht"/>
        <w:ind w:left="1701"/>
      </w:pPr>
      <w:hyperlink w:anchor="b2278" w:history="1">
        <w:r>
          <w:rPr>
            <w:color w:val="0A3A8C"/>
            <w:u w:val="single"/>
          </w:rPr>
          <w:t xml:space="preserve">§ 1821 Pflichten des Betreuers; Wünsche des Betreuten</w:t>
        </w:r>
      </w:hyperlink>
    </w:p>
    <w:p>
      <w:pPr>
        <w:pStyle w:val="Übersicht"/>
        <w:ind w:left="1701"/>
      </w:pPr>
      <w:hyperlink w:anchor="b2279" w:history="1">
        <w:r>
          <w:rPr>
            <w:color w:val="0A3A8C"/>
            <w:u w:val="single"/>
          </w:rPr>
          <w:t xml:space="preserve">§ 1822 Auskunftspflicht gegenüber nahestehenden Angehörigen</w:t>
        </w:r>
      </w:hyperlink>
    </w:p>
    <w:p>
      <w:pPr>
        <w:pStyle w:val="Übersicht"/>
        <w:ind w:left="1701"/>
      </w:pPr>
      <w:hyperlink w:anchor="b2280" w:history="1">
        <w:r>
          <w:rPr>
            <w:color w:val="0A3A8C"/>
            <w:u w:val="single"/>
          </w:rPr>
          <w:t xml:space="preserve">§ 1823 Vertretungsmacht des Betreuers</w:t>
        </w:r>
      </w:hyperlink>
    </w:p>
    <w:p>
      <w:pPr>
        <w:pStyle w:val="Übersicht"/>
        <w:ind w:left="1701"/>
      </w:pPr>
      <w:hyperlink w:anchor="b2281" w:history="1">
        <w:r>
          <w:rPr>
            <w:color w:val="0A3A8C"/>
            <w:u w:val="single"/>
          </w:rPr>
          <w:t xml:space="preserve">§ 1824 Ausschluss der Vertretungsmacht</w:t>
        </w:r>
      </w:hyperlink>
    </w:p>
    <w:p>
      <w:pPr>
        <w:pStyle w:val="Übersicht"/>
        <w:ind w:left="1701"/>
      </w:pPr>
      <w:hyperlink w:anchor="b2282" w:history="1">
        <w:r>
          <w:rPr>
            <w:color w:val="0A3A8C"/>
            <w:u w:val="single"/>
          </w:rPr>
          <w:t xml:space="preserve">§ 1825 Einwilligungsvorbehalt</w:t>
        </w:r>
      </w:hyperlink>
    </w:p>
    <w:p>
      <w:pPr>
        <w:pStyle w:val="Übersicht"/>
        <w:ind w:left="1701"/>
      </w:pPr>
      <w:hyperlink w:anchor="b2283" w:history="1">
        <w:r>
          <w:rPr>
            <w:color w:val="0A3A8C"/>
            <w:u w:val="single"/>
          </w:rPr>
          <w:t xml:space="preserve">§ 1826 Haftung des Betreuers</w:t>
        </w:r>
      </w:hyperlink>
    </w:p>
    <w:p>
      <w:pPr>
        <w:pStyle w:val="Übersicht"/>
        <w:ind w:left="1361"/>
      </w:pPr>
      <w:hyperlink w:anchor="b2284" w:history="1">
        <w:r>
          <w:rPr>
            <w:b/>
            <w:color w:val="0A3A8C"/>
            <w:u w:val="single"/>
          </w:rPr>
          <w:t xml:space="preserve">Kapitel 2 Personenangelegenheiten</w:t>
        </w:r>
      </w:hyperlink>
    </w:p>
    <w:p>
      <w:pPr>
        <w:pStyle w:val="Übersicht"/>
        <w:ind w:left="1701"/>
      </w:pPr>
      <w:hyperlink w:anchor="b2285" w:history="1">
        <w:r>
          <w:rPr>
            <w:color w:val="0A3A8C"/>
            <w:u w:val="single"/>
          </w:rPr>
          <w:t xml:space="preserve">§ 1827 Patientenverfügung; Behandlungswünsche oder mutmaßlicher Wille des Betreuten</w:t>
        </w:r>
      </w:hyperlink>
    </w:p>
    <w:p>
      <w:pPr>
        <w:pStyle w:val="Übersicht"/>
        <w:ind w:left="1701"/>
      </w:pPr>
      <w:hyperlink w:anchor="b2286" w:history="1">
        <w:r>
          <w:rPr>
            <w:color w:val="0A3A8C"/>
            <w:u w:val="single"/>
          </w:rPr>
          <w:t xml:space="preserve">§ 1828 Gespräch zur Feststellung des Patientenwillens</w:t>
        </w:r>
      </w:hyperlink>
    </w:p>
    <w:p>
      <w:pPr>
        <w:pStyle w:val="Übersicht"/>
        <w:ind w:left="1701"/>
      </w:pPr>
      <w:hyperlink w:anchor="b2287" w:history="1">
        <w:r>
          <w:rPr>
            <w:color w:val="0A3A8C"/>
            <w:u w:val="single"/>
          </w:rPr>
          <w:t xml:space="preserve">§ 1829 Genehmigung des Betreuungsgerichts bei ärztlichen Maßnahmen</w:t>
        </w:r>
      </w:hyperlink>
    </w:p>
    <w:p>
      <w:pPr>
        <w:pStyle w:val="Übersicht"/>
        <w:ind w:left="1701"/>
      </w:pPr>
      <w:hyperlink w:anchor="b2288" w:history="1">
        <w:r>
          <w:rPr>
            <w:color w:val="0A3A8C"/>
            <w:u w:val="single"/>
          </w:rPr>
          <w:t xml:space="preserve">§ 1830 Sterilisation</w:t>
        </w:r>
      </w:hyperlink>
    </w:p>
    <w:p>
      <w:pPr>
        <w:pStyle w:val="Übersicht"/>
        <w:ind w:left="1701"/>
      </w:pPr>
      <w:hyperlink w:anchor="b2289" w:history="1">
        <w:r>
          <w:rPr>
            <w:color w:val="0A3A8C"/>
            <w:u w:val="single"/>
          </w:rPr>
          <w:t xml:space="preserve">§ 1831 Freiheitsentziehende Unterbringung und freiheitsentziehende Maßnahmen</w:t>
        </w:r>
      </w:hyperlink>
    </w:p>
    <w:p>
      <w:pPr>
        <w:pStyle w:val="Übersicht"/>
        <w:ind w:left="1701"/>
      </w:pPr>
      <w:hyperlink w:anchor="b2290" w:history="1">
        <w:r>
          <w:rPr>
            <w:color w:val="0A3A8C"/>
            <w:u w:val="single"/>
          </w:rPr>
          <w:t xml:space="preserve">§ 1832 Ärztliche Zwangsmaßnahmen</w:t>
        </w:r>
      </w:hyperlink>
    </w:p>
    <w:p>
      <w:pPr>
        <w:pStyle w:val="Übersicht"/>
        <w:ind w:left="1701"/>
      </w:pPr>
      <w:hyperlink w:anchor="b2291" w:history="1">
        <w:r>
          <w:rPr>
            <w:color w:val="0A3A8C"/>
            <w:u w:val="single"/>
          </w:rPr>
          <w:t xml:space="preserve">§ 1833 Aufgabe von Wohnraum des Betreuten</w:t>
        </w:r>
      </w:hyperlink>
    </w:p>
    <w:p>
      <w:pPr>
        <w:pStyle w:val="Übersicht"/>
        <w:ind w:left="1701"/>
      </w:pPr>
      <w:hyperlink w:anchor="b2292" w:history="1">
        <w:r>
          <w:rPr>
            <w:color w:val="0A3A8C"/>
            <w:u w:val="single"/>
          </w:rPr>
          <w:t xml:space="preserve">§ 1834 Bestimmung des Umgangs und des Aufenthalts des Betreuten</w:t>
        </w:r>
      </w:hyperlink>
    </w:p>
    <w:p>
      <w:pPr>
        <w:pStyle w:val="Übersicht"/>
        <w:ind w:left="1361"/>
      </w:pPr>
      <w:hyperlink w:anchor="b2293" w:history="1">
        <w:r>
          <w:rPr>
            <w:b/>
            <w:color w:val="0A3A8C"/>
            <w:u w:val="single"/>
          </w:rPr>
          <w:t xml:space="preserve">Kapitel 3 Vermögensangelegenheiten</w:t>
        </w:r>
      </w:hyperlink>
    </w:p>
    <w:p>
      <w:pPr>
        <w:pStyle w:val="Übersicht"/>
        <w:ind w:left="1701"/>
      </w:pPr>
      <w:hyperlink w:anchor="b2294" w:history="1">
        <w:r>
          <w:rPr>
            <w:b/>
            <w:color w:val="0A3A8C"/>
            <w:u w:val="single"/>
          </w:rPr>
          <w:t xml:space="preserve">Unterkapitel 1 Allgemeine Vorschriften</w:t>
        </w:r>
      </w:hyperlink>
    </w:p>
    <w:p>
      <w:pPr>
        <w:pStyle w:val="Übersicht"/>
        <w:ind w:left="2041"/>
      </w:pPr>
      <w:hyperlink w:anchor="b2295" w:history="1">
        <w:r>
          <w:rPr>
            <w:color w:val="0A3A8C"/>
            <w:u w:val="single"/>
          </w:rPr>
          <w:t xml:space="preserve">§ 1835 Vermögensverzeichnis</w:t>
        </w:r>
      </w:hyperlink>
    </w:p>
    <w:p>
      <w:pPr>
        <w:pStyle w:val="Übersicht"/>
        <w:ind w:left="2041"/>
      </w:pPr>
      <w:hyperlink w:anchor="b2296" w:history="1">
        <w:r>
          <w:rPr>
            <w:color w:val="0A3A8C"/>
            <w:u w:val="single"/>
          </w:rPr>
          <w:t xml:space="preserve">§ 1836 Trennungsgebot; Verwendung des Vermögens für den Betreuer</w:t>
        </w:r>
      </w:hyperlink>
    </w:p>
    <w:p>
      <w:pPr>
        <w:pStyle w:val="Übersicht"/>
        <w:ind w:left="2041"/>
      </w:pPr>
      <w:hyperlink w:anchor="b2297" w:history="1">
        <w:r>
          <w:rPr>
            <w:color w:val="0A3A8C"/>
            <w:u w:val="single"/>
          </w:rPr>
          <w:t xml:space="preserve">§ 1837 Vermögensverwaltung durch den Betreuer bei Erbschaft und Schenkung</w:t>
        </w:r>
      </w:hyperlink>
    </w:p>
    <w:p>
      <w:pPr>
        <w:pStyle w:val="Übersicht"/>
        <w:ind w:left="1701"/>
      </w:pPr>
      <w:hyperlink w:anchor="b2298" w:history="1">
        <w:r>
          <w:rPr>
            <w:b/>
            <w:color w:val="0A3A8C"/>
            <w:u w:val="single"/>
          </w:rPr>
          <w:t xml:space="preserve">Unterkapitel 2 Verwaltung von Geld, Wertpapieren und Wertgegenständen</w:t>
        </w:r>
      </w:hyperlink>
    </w:p>
    <w:p>
      <w:pPr>
        <w:pStyle w:val="Übersicht"/>
        <w:ind w:left="2041"/>
      </w:pPr>
      <w:hyperlink w:anchor="b2299" w:history="1">
        <w:r>
          <w:rPr>
            <w:color w:val="0A3A8C"/>
            <w:u w:val="single"/>
          </w:rPr>
          <w:t xml:space="preserve">§ 1838 Pflichten des Betreuers in Vermögensangelegenheiten</w:t>
        </w:r>
      </w:hyperlink>
    </w:p>
    <w:p>
      <w:pPr>
        <w:pStyle w:val="Übersicht"/>
        <w:ind w:left="2041"/>
      </w:pPr>
      <w:hyperlink w:anchor="b2300" w:history="1">
        <w:r>
          <w:rPr>
            <w:color w:val="0A3A8C"/>
            <w:u w:val="single"/>
          </w:rPr>
          <w:t xml:space="preserve">§ 1839 Bereithaltung von Verfügungsgeld</w:t>
        </w:r>
      </w:hyperlink>
    </w:p>
    <w:p>
      <w:pPr>
        <w:pStyle w:val="Übersicht"/>
        <w:ind w:left="2041"/>
      </w:pPr>
      <w:hyperlink w:anchor="b2301" w:history="1">
        <w:r>
          <w:rPr>
            <w:color w:val="0A3A8C"/>
            <w:u w:val="single"/>
          </w:rPr>
          <w:t xml:space="preserve">§ 1840 Bargeldloser Zahlungsverkehr</w:t>
        </w:r>
      </w:hyperlink>
    </w:p>
    <w:p>
      <w:pPr>
        <w:pStyle w:val="Übersicht"/>
        <w:ind w:left="2041"/>
      </w:pPr>
      <w:hyperlink w:anchor="b2302" w:history="1">
        <w:r>
          <w:rPr>
            <w:color w:val="0A3A8C"/>
            <w:u w:val="single"/>
          </w:rPr>
          <w:t xml:space="preserve">§ 1841 Anlagepflicht</w:t>
        </w:r>
      </w:hyperlink>
    </w:p>
    <w:p>
      <w:pPr>
        <w:pStyle w:val="Übersicht"/>
        <w:ind w:left="2041"/>
      </w:pPr>
      <w:hyperlink w:anchor="b2303" w:history="1">
        <w:r>
          <w:rPr>
            <w:color w:val="0A3A8C"/>
            <w:u w:val="single"/>
          </w:rPr>
          <w:t xml:space="preserve">§ 1842 Voraussetzungen für das Kreditinstitut</w:t>
        </w:r>
      </w:hyperlink>
    </w:p>
    <w:p>
      <w:pPr>
        <w:pStyle w:val="Übersicht"/>
        <w:ind w:left="2041"/>
      </w:pPr>
      <w:hyperlink w:anchor="b2304" w:history="1">
        <w:r>
          <w:rPr>
            <w:color w:val="0A3A8C"/>
            <w:u w:val="single"/>
          </w:rPr>
          <w:t xml:space="preserve">§ 1843 Depotverwahrung und Hinterlegung von Wertpapieren</w:t>
        </w:r>
      </w:hyperlink>
    </w:p>
    <w:p>
      <w:pPr>
        <w:pStyle w:val="Übersicht"/>
        <w:ind w:left="2041"/>
      </w:pPr>
      <w:hyperlink w:anchor="b2305" w:history="1">
        <w:r>
          <w:rPr>
            <w:color w:val="0A3A8C"/>
            <w:u w:val="single"/>
          </w:rPr>
          <w:t xml:space="preserve">§ 1844 Hinterlegung von Wertgegenständen auf Anordnung des Betreuungsgerichts</w:t>
        </w:r>
      </w:hyperlink>
    </w:p>
    <w:p>
      <w:pPr>
        <w:pStyle w:val="Übersicht"/>
        <w:ind w:left="2041"/>
      </w:pPr>
      <w:hyperlink w:anchor="b2306" w:history="1">
        <w:r>
          <w:rPr>
            <w:color w:val="0A3A8C"/>
            <w:u w:val="single"/>
          </w:rPr>
          <w:t xml:space="preserve">§ 1845 Sperrvereinbarung</w:t>
        </w:r>
      </w:hyperlink>
    </w:p>
    <w:p>
      <w:pPr>
        <w:pStyle w:val="Übersicht"/>
        <w:ind w:left="1701"/>
      </w:pPr>
      <w:hyperlink w:anchor="b2307" w:history="1">
        <w:r>
          <w:rPr>
            <w:b/>
            <w:color w:val="0A3A8C"/>
            <w:u w:val="single"/>
          </w:rPr>
          <w:t xml:space="preserve">Unterkapitel 3 Anzeigepflichten</w:t>
        </w:r>
      </w:hyperlink>
    </w:p>
    <w:p>
      <w:pPr>
        <w:pStyle w:val="Übersicht"/>
        <w:ind w:left="2041"/>
      </w:pPr>
      <w:hyperlink w:anchor="b2308" w:history="1">
        <w:r>
          <w:rPr>
            <w:color w:val="0A3A8C"/>
            <w:u w:val="single"/>
          </w:rPr>
          <w:t xml:space="preserve">§ 1846 Anzeigepflichten bei der Geld- und Vermögensverwaltung</w:t>
        </w:r>
      </w:hyperlink>
    </w:p>
    <w:p>
      <w:pPr>
        <w:pStyle w:val="Übersicht"/>
        <w:ind w:left="2041"/>
      </w:pPr>
      <w:hyperlink w:anchor="b2309" w:history="1">
        <w:r>
          <w:rPr>
            <w:color w:val="0A3A8C"/>
            <w:u w:val="single"/>
          </w:rPr>
          <w:t xml:space="preserve">§ 1847 Anzeigepflicht für Erwerbsgeschäfte</w:t>
        </w:r>
      </w:hyperlink>
    </w:p>
    <w:p>
      <w:pPr>
        <w:pStyle w:val="Übersicht"/>
        <w:ind w:left="1701"/>
      </w:pPr>
      <w:hyperlink w:anchor="b2310" w:history="1">
        <w:r>
          <w:rPr>
            <w:b/>
            <w:color w:val="0A3A8C"/>
            <w:u w:val="single"/>
          </w:rPr>
          <w:t xml:space="preserve">Unterkapitel 4 Genehmigungsbedürftige Rechtsgeschäfte</w:t>
        </w:r>
      </w:hyperlink>
    </w:p>
    <w:p>
      <w:pPr>
        <w:pStyle w:val="Übersicht"/>
        <w:ind w:left="2041"/>
      </w:pPr>
      <w:hyperlink w:anchor="b2311" w:history="1">
        <w:r>
          <w:rPr>
            <w:color w:val="0A3A8C"/>
            <w:u w:val="single"/>
          </w:rPr>
          <w:t xml:space="preserve">§ 1848 Genehmigung einer anderen Anlegung von Geld</w:t>
        </w:r>
      </w:hyperlink>
    </w:p>
    <w:p>
      <w:pPr>
        <w:pStyle w:val="Übersicht"/>
        <w:ind w:left="2041"/>
      </w:pPr>
      <w:hyperlink w:anchor="b2312" w:history="1">
        <w:r>
          <w:rPr>
            <w:color w:val="0A3A8C"/>
            <w:u w:val="single"/>
          </w:rPr>
          <w:t xml:space="preserve">§ 1849 Genehmigung bei Verfügung über Rechte und Wertpapiere</w:t>
        </w:r>
      </w:hyperlink>
    </w:p>
    <w:p>
      <w:pPr>
        <w:pStyle w:val="Übersicht"/>
        <w:ind w:left="2041"/>
      </w:pPr>
      <w:hyperlink w:anchor="b2313" w:history="1">
        <w:r>
          <w:rPr>
            <w:color w:val="0A3A8C"/>
            <w:u w:val="single"/>
          </w:rPr>
          <w:t xml:space="preserve">§ 1850 Genehmigung für Rechtsgeschäfte über Grundstücke und Schiffe</w:t>
        </w:r>
      </w:hyperlink>
    </w:p>
    <w:p>
      <w:pPr>
        <w:pStyle w:val="Übersicht"/>
        <w:ind w:left="2041"/>
      </w:pPr>
      <w:hyperlink w:anchor="b2314" w:history="1">
        <w:r>
          <w:rPr>
            <w:color w:val="0A3A8C"/>
            <w:u w:val="single"/>
          </w:rPr>
          <w:t xml:space="preserve">§ 1851 Genehmigung für erbrechtliche Rechtsgeschäfte</w:t>
        </w:r>
      </w:hyperlink>
    </w:p>
    <w:p>
      <w:pPr>
        <w:pStyle w:val="Übersicht"/>
        <w:ind w:left="2041"/>
      </w:pPr>
      <w:hyperlink w:anchor="b2315" w:history="1">
        <w:r>
          <w:rPr>
            <w:color w:val="0A3A8C"/>
            <w:u w:val="single"/>
          </w:rPr>
          <w:t xml:space="preserve">§ 1852 Genehmigung für handels- und gesellschaftsrechtliche Rechtsgeschäfte</w:t>
        </w:r>
      </w:hyperlink>
    </w:p>
    <w:p>
      <w:pPr>
        <w:pStyle w:val="Übersicht"/>
        <w:ind w:left="2041"/>
      </w:pPr>
      <w:hyperlink w:anchor="b2316" w:history="1">
        <w:r>
          <w:rPr>
            <w:color w:val="0A3A8C"/>
            <w:u w:val="single"/>
          </w:rPr>
          <w:t xml:space="preserve">§ 1853 Genehmigung bei Verträgen über wiederkehrende Leistungen</w:t>
        </w:r>
      </w:hyperlink>
    </w:p>
    <w:p>
      <w:pPr>
        <w:pStyle w:val="Übersicht"/>
        <w:ind w:left="2041"/>
      </w:pPr>
      <w:hyperlink w:anchor="b2317" w:history="1">
        <w:r>
          <w:rPr>
            <w:color w:val="0A3A8C"/>
            <w:u w:val="single"/>
          </w:rPr>
          <w:t xml:space="preserve">§ 1854 Genehmigung für sonstige Rechtsgeschäfte</w:t>
        </w:r>
      </w:hyperlink>
    </w:p>
    <w:p>
      <w:pPr>
        <w:pStyle w:val="Übersicht"/>
        <w:ind w:left="1701"/>
      </w:pPr>
      <w:hyperlink w:anchor="b2318" w:history="1">
        <w:r>
          <w:rPr>
            <w:b/>
            <w:color w:val="0A3A8C"/>
            <w:u w:val="single"/>
          </w:rPr>
          <w:t xml:space="preserve">Unterkapitel 5 Genehmigungserklärung</w:t>
        </w:r>
      </w:hyperlink>
    </w:p>
    <w:p>
      <w:pPr>
        <w:pStyle w:val="Übersicht"/>
        <w:ind w:left="2041"/>
      </w:pPr>
      <w:hyperlink w:anchor="b2319" w:history="1">
        <w:r>
          <w:rPr>
            <w:color w:val="0A3A8C"/>
            <w:u w:val="single"/>
          </w:rPr>
          <w:t xml:space="preserve">§ 1855 Erklärung der Genehmigung</w:t>
        </w:r>
      </w:hyperlink>
    </w:p>
    <w:p>
      <w:pPr>
        <w:pStyle w:val="Übersicht"/>
        <w:ind w:left="2041"/>
      </w:pPr>
      <w:hyperlink w:anchor="b2320" w:history="1">
        <w:r>
          <w:rPr>
            <w:color w:val="0A3A8C"/>
            <w:u w:val="single"/>
          </w:rPr>
          <w:t xml:space="preserve">§ 1856 Nachträgliche Genehmigung</w:t>
        </w:r>
      </w:hyperlink>
    </w:p>
    <w:p>
      <w:pPr>
        <w:pStyle w:val="Übersicht"/>
        <w:ind w:left="2041"/>
      </w:pPr>
      <w:hyperlink w:anchor="b2321" w:history="1">
        <w:r>
          <w:rPr>
            <w:color w:val="0A3A8C"/>
            <w:u w:val="single"/>
          </w:rPr>
          <w:t xml:space="preserve">§ 1857 Widerrufsrecht des Vertragspartners</w:t>
        </w:r>
      </w:hyperlink>
    </w:p>
    <w:p>
      <w:pPr>
        <w:pStyle w:val="Übersicht"/>
        <w:ind w:left="2041"/>
      </w:pPr>
      <w:hyperlink w:anchor="b2322" w:history="1">
        <w:r>
          <w:rPr>
            <w:color w:val="0A3A8C"/>
            <w:u w:val="single"/>
          </w:rPr>
          <w:t xml:space="preserve">§ 1858 Einseitiges Rechtsgeschäft</w:t>
        </w:r>
      </w:hyperlink>
    </w:p>
    <w:p>
      <w:pPr>
        <w:pStyle w:val="Übersicht"/>
        <w:ind w:left="1701"/>
      </w:pPr>
      <w:hyperlink w:anchor="b2323" w:history="1">
        <w:r>
          <w:rPr>
            <w:b/>
            <w:color w:val="0A3A8C"/>
            <w:u w:val="single"/>
          </w:rPr>
          <w:t xml:space="preserve">Unterkapitel 6 Befreiungen</w:t>
        </w:r>
      </w:hyperlink>
    </w:p>
    <w:p>
      <w:pPr>
        <w:pStyle w:val="Übersicht"/>
        <w:ind w:left="2041"/>
      </w:pPr>
      <w:hyperlink w:anchor="b2324" w:history="1">
        <w:r>
          <w:rPr>
            <w:color w:val="0A3A8C"/>
            <w:u w:val="single"/>
          </w:rPr>
          <w:t xml:space="preserve">§ 1859 Gesetzliche Befreiungen</w:t>
        </w:r>
      </w:hyperlink>
    </w:p>
    <w:p>
      <w:pPr>
        <w:pStyle w:val="Übersicht"/>
        <w:ind w:left="2041"/>
      </w:pPr>
      <w:hyperlink w:anchor="b2325" w:history="1">
        <w:r>
          <w:rPr>
            <w:color w:val="0A3A8C"/>
            <w:u w:val="single"/>
          </w:rPr>
          <w:t xml:space="preserve">§ 1860 Befreiungen auf Anordnung des Gerichts</w:t>
        </w:r>
      </w:hyperlink>
    </w:p>
    <w:p>
      <w:pPr>
        <w:pStyle w:val="Übersicht"/>
        <w:ind w:left="1020"/>
      </w:pPr>
      <w:hyperlink w:anchor="b2326" w:history="1">
        <w:r>
          <w:rPr>
            <w:b/>
            <w:color w:val="0A3A8C"/>
            <w:u w:val="single"/>
          </w:rPr>
          <w:t xml:space="preserve">Untertitel 3 Beratung und Aufsicht durch das Betreuungsgericht</w:t>
        </w:r>
      </w:hyperlink>
    </w:p>
    <w:p>
      <w:pPr>
        <w:pStyle w:val="Übersicht"/>
        <w:ind w:left="1361"/>
      </w:pPr>
      <w:hyperlink w:anchor="b2327" w:history="1">
        <w:r>
          <w:rPr>
            <w:color w:val="0A3A8C"/>
            <w:u w:val="single"/>
          </w:rPr>
          <w:t xml:space="preserve">§ 1861 Beratung; Verpflichtung des Betreuers</w:t>
        </w:r>
      </w:hyperlink>
    </w:p>
    <w:p>
      <w:pPr>
        <w:pStyle w:val="Übersicht"/>
        <w:ind w:left="1361"/>
      </w:pPr>
      <w:hyperlink w:anchor="b2328" w:history="1">
        <w:r>
          <w:rPr>
            <w:color w:val="0A3A8C"/>
            <w:u w:val="single"/>
          </w:rPr>
          <w:t xml:space="preserve">§ 1862 Aufsicht durch das Betreuungsgericht</w:t>
        </w:r>
      </w:hyperlink>
    </w:p>
    <w:p>
      <w:pPr>
        <w:pStyle w:val="Übersicht"/>
        <w:ind w:left="1361"/>
      </w:pPr>
      <w:hyperlink w:anchor="b2329" w:history="1">
        <w:r>
          <w:rPr>
            <w:color w:val="0A3A8C"/>
            <w:u w:val="single"/>
          </w:rPr>
          <w:t xml:space="preserve">§ 1863 Berichte über die persönlichen Verhältnisse des Betreuten</w:t>
        </w:r>
      </w:hyperlink>
    </w:p>
    <w:p>
      <w:pPr>
        <w:pStyle w:val="Übersicht"/>
        <w:ind w:left="1361"/>
      </w:pPr>
      <w:hyperlink w:anchor="b2330" w:history="1">
        <w:r>
          <w:rPr>
            <w:color w:val="0A3A8C"/>
            <w:u w:val="single"/>
          </w:rPr>
          <w:t xml:space="preserve">§ 1864 Auskunfts- und Mitteilungspflichten des Betreuers</w:t>
        </w:r>
      </w:hyperlink>
    </w:p>
    <w:p>
      <w:pPr>
        <w:pStyle w:val="Übersicht"/>
        <w:ind w:left="1361"/>
      </w:pPr>
      <w:hyperlink w:anchor="b2331" w:history="1">
        <w:r>
          <w:rPr>
            <w:color w:val="0A3A8C"/>
            <w:u w:val="single"/>
          </w:rPr>
          <w:t xml:space="preserve">§ 1865 Rechnungslegung</w:t>
        </w:r>
      </w:hyperlink>
    </w:p>
    <w:p>
      <w:pPr>
        <w:pStyle w:val="Übersicht"/>
        <w:ind w:left="1361"/>
      </w:pPr>
      <w:hyperlink w:anchor="b2332" w:history="1">
        <w:r>
          <w:rPr>
            <w:color w:val="0A3A8C"/>
            <w:u w:val="single"/>
          </w:rPr>
          <w:t xml:space="preserve">§ 1866 Prüfung der Rechnung durch das Betreuungsgericht</w:t>
        </w:r>
      </w:hyperlink>
    </w:p>
    <w:p>
      <w:pPr>
        <w:pStyle w:val="Übersicht"/>
        <w:ind w:left="1361"/>
      </w:pPr>
      <w:hyperlink w:anchor="b2333" w:history="1">
        <w:r>
          <w:rPr>
            <w:color w:val="0A3A8C"/>
            <w:u w:val="single"/>
          </w:rPr>
          <w:t xml:space="preserve">§ 1867 Einstweilige Maßnahmen des Betreuungsgerichts</w:t>
        </w:r>
      </w:hyperlink>
    </w:p>
    <w:p>
      <w:pPr>
        <w:pStyle w:val="Übersicht"/>
        <w:ind w:left="1020"/>
      </w:pPr>
      <w:hyperlink w:anchor="b2334" w:history="1">
        <w:r>
          <w:rPr>
            <w:b/>
            <w:color w:val="0A3A8C"/>
            <w:u w:val="single"/>
          </w:rPr>
          <w:t xml:space="preserve">Untertitel 4 Beendigung, Aufhebung oder Änderung von Betreuung und Einwilligungsvorbehalt</w:t>
        </w:r>
      </w:hyperlink>
    </w:p>
    <w:p>
      <w:pPr>
        <w:pStyle w:val="Übersicht"/>
        <w:ind w:left="1361"/>
      </w:pPr>
      <w:hyperlink w:anchor="b2335" w:history="1">
        <w:r>
          <w:rPr>
            <w:color w:val="0A3A8C"/>
            <w:u w:val="single"/>
          </w:rPr>
          <w:t xml:space="preserve">§ 1868 Entlassung des Betreuers</w:t>
        </w:r>
      </w:hyperlink>
    </w:p>
    <w:p>
      <w:pPr>
        <w:pStyle w:val="Übersicht"/>
        <w:ind w:left="1361"/>
      </w:pPr>
      <w:hyperlink w:anchor="b2336" w:history="1">
        <w:r>
          <w:rPr>
            <w:color w:val="0A3A8C"/>
            <w:u w:val="single"/>
          </w:rPr>
          <w:t xml:space="preserve">§ 1869 Bestellung eines neuen Betreuers</w:t>
        </w:r>
      </w:hyperlink>
    </w:p>
    <w:p>
      <w:pPr>
        <w:pStyle w:val="Übersicht"/>
        <w:ind w:left="1361"/>
      </w:pPr>
      <w:hyperlink w:anchor="b2337" w:history="1">
        <w:r>
          <w:rPr>
            <w:color w:val="0A3A8C"/>
            <w:u w:val="single"/>
          </w:rPr>
          <w:t xml:space="preserve">§ 1870 Ende der Betreuung</w:t>
        </w:r>
      </w:hyperlink>
    </w:p>
    <w:p>
      <w:pPr>
        <w:pStyle w:val="Übersicht"/>
        <w:ind w:left="1361"/>
      </w:pPr>
      <w:hyperlink w:anchor="b2338" w:history="1">
        <w:r>
          <w:rPr>
            <w:color w:val="0A3A8C"/>
            <w:u w:val="single"/>
          </w:rPr>
          <w:t xml:space="preserve">§ 1871 Aufhebung oder Änderung von Betreuung und Einwilligungsvorbehalt</w:t>
        </w:r>
      </w:hyperlink>
    </w:p>
    <w:p>
      <w:pPr>
        <w:pStyle w:val="Übersicht"/>
        <w:ind w:left="1361"/>
      </w:pPr>
      <w:hyperlink w:anchor="b2339" w:history="1">
        <w:r>
          <w:rPr>
            <w:color w:val="0A3A8C"/>
            <w:u w:val="single"/>
          </w:rPr>
          <w:t xml:space="preserve">§ 1872 Herausgabe von Vermögen und Unterlagen; Schlussrechnungslegung; Vermögensübersicht</w:t>
        </w:r>
      </w:hyperlink>
    </w:p>
    <w:p>
      <w:pPr>
        <w:pStyle w:val="Übersicht"/>
        <w:ind w:left="1361"/>
      </w:pPr>
      <w:hyperlink w:anchor="b2340" w:history="1">
        <w:r>
          <w:rPr>
            <w:color w:val="0A3A8C"/>
            <w:u w:val="single"/>
          </w:rPr>
          <w:t xml:space="preserve">§ 1873 Schlussmitteilung; Rechnungsprüfung</w:t>
        </w:r>
      </w:hyperlink>
    </w:p>
    <w:p>
      <w:pPr>
        <w:pStyle w:val="Übersicht"/>
        <w:ind w:left="1361"/>
      </w:pPr>
      <w:hyperlink w:anchor="b2341" w:history="1">
        <w:r>
          <w:rPr>
            <w:color w:val="0A3A8C"/>
            <w:u w:val="single"/>
          </w:rPr>
          <w:t xml:space="preserve">§ 1874 Besorgung der Angelegenheiten des Betreuten nach Beendigung der Betreuung</w:t>
        </w:r>
      </w:hyperlink>
    </w:p>
    <w:p>
      <w:pPr>
        <w:pStyle w:val="Übersicht"/>
        <w:ind w:left="1020"/>
      </w:pPr>
      <w:hyperlink w:anchor="b2342" w:history="1">
        <w:r>
          <w:rPr>
            <w:b/>
            <w:color w:val="0A3A8C"/>
            <w:u w:val="single"/>
          </w:rPr>
          <w:t xml:space="preserve">Untertitel 5 Vergütung und Aufwendungsersatz</w:t>
        </w:r>
      </w:hyperlink>
    </w:p>
    <w:p>
      <w:pPr>
        <w:pStyle w:val="Übersicht"/>
        <w:ind w:left="1361"/>
      </w:pPr>
      <w:hyperlink w:anchor="b2343" w:history="1">
        <w:r>
          <w:rPr>
            <w:color w:val="0A3A8C"/>
            <w:u w:val="single"/>
          </w:rPr>
          <w:t xml:space="preserve">§ 1875 Vergütung und Aufwendungsersatz</w:t>
        </w:r>
      </w:hyperlink>
    </w:p>
    <w:p>
      <w:pPr>
        <w:pStyle w:val="Übersicht"/>
        <w:ind w:left="1361"/>
      </w:pPr>
      <w:hyperlink w:anchor="b2344" w:history="1">
        <w:r>
          <w:rPr>
            <w:color w:val="0A3A8C"/>
            <w:u w:val="single"/>
          </w:rPr>
          <w:t xml:space="preserve">§ 1876 Vergütung</w:t>
        </w:r>
      </w:hyperlink>
    </w:p>
    <w:p>
      <w:pPr>
        <w:pStyle w:val="Übersicht"/>
        <w:ind w:left="1361"/>
      </w:pPr>
      <w:hyperlink w:anchor="b2345" w:history="1">
        <w:r>
          <w:rPr>
            <w:color w:val="0A3A8C"/>
            <w:u w:val="single"/>
          </w:rPr>
          <w:t xml:space="preserve">§ 1877 Aufwendungsersatz</w:t>
        </w:r>
      </w:hyperlink>
    </w:p>
    <w:p>
      <w:pPr>
        <w:pStyle w:val="Übersicht"/>
        <w:ind w:left="1361"/>
      </w:pPr>
      <w:hyperlink w:anchor="b2346" w:history="1">
        <w:r>
          <w:rPr>
            <w:color w:val="0A3A8C"/>
            <w:u w:val="single"/>
          </w:rPr>
          <w:t xml:space="preserve">§ 1878 Aufwandspauschale</w:t>
        </w:r>
      </w:hyperlink>
    </w:p>
    <w:p>
      <w:pPr>
        <w:pStyle w:val="Übersicht"/>
        <w:ind w:left="1361"/>
      </w:pPr>
      <w:hyperlink w:anchor="b2347" w:history="1">
        <w:r>
          <w:rPr>
            <w:color w:val="0A3A8C"/>
            <w:u w:val="single"/>
          </w:rPr>
          <w:t xml:space="preserve">§ 1879 Zahlung aus der Staatskasse</w:t>
        </w:r>
      </w:hyperlink>
    </w:p>
    <w:p>
      <w:pPr>
        <w:pStyle w:val="Übersicht"/>
        <w:ind w:left="1361"/>
      </w:pPr>
      <w:hyperlink w:anchor="b2348" w:history="1">
        <w:r>
          <w:rPr>
            <w:color w:val="0A3A8C"/>
            <w:u w:val="single"/>
          </w:rPr>
          <w:t xml:space="preserve">§ 1880 Mittellosigkeit des Betreuten</w:t>
        </w:r>
      </w:hyperlink>
    </w:p>
    <w:p>
      <w:pPr>
        <w:pStyle w:val="Übersicht"/>
        <w:ind w:left="1361"/>
      </w:pPr>
      <w:hyperlink w:anchor="b2349" w:history="1">
        <w:r>
          <w:rPr>
            <w:color w:val="0A3A8C"/>
            <w:u w:val="single"/>
          </w:rPr>
          <w:t xml:space="preserve">§ 1881 Gesetzlicher Forderungsübergang</w:t>
        </w:r>
      </w:hyperlink>
    </w:p>
    <w:p>
      <w:pPr>
        <w:pStyle w:val="Übersicht"/>
        <w:ind w:left="680"/>
      </w:pPr>
      <w:hyperlink w:anchor="b2350" w:history="1">
        <w:r>
          <w:rPr>
            <w:b/>
            <w:color w:val="0A3A8C"/>
            <w:u w:val="single"/>
          </w:rPr>
          <w:t xml:space="preserve">Titel 4 Sonstige Pflegschaft</w:t>
        </w:r>
      </w:hyperlink>
    </w:p>
    <w:p>
      <w:pPr>
        <w:pStyle w:val="Übersicht"/>
        <w:ind w:left="1020"/>
      </w:pPr>
      <w:hyperlink w:anchor="b2351" w:history="1">
        <w:r>
          <w:rPr>
            <w:color w:val="0A3A8C"/>
            <w:u w:val="single"/>
          </w:rPr>
          <w:t xml:space="preserve">§ 1882 Pflegschaft für unbekannte Beteiligte</w:t>
        </w:r>
      </w:hyperlink>
    </w:p>
    <w:p>
      <w:pPr>
        <w:pStyle w:val="Übersicht"/>
        <w:ind w:left="1020"/>
      </w:pPr>
      <w:hyperlink w:anchor="b2352" w:history="1">
        <w:r>
          <w:rPr>
            <w:color w:val="0A3A8C"/>
            <w:u w:val="single"/>
          </w:rPr>
          <w:t xml:space="preserve">§ 1883 Pflegschaft für gesammeltes Vermögen</w:t>
        </w:r>
      </w:hyperlink>
    </w:p>
    <w:p>
      <w:pPr>
        <w:pStyle w:val="Übersicht"/>
        <w:ind w:left="1020"/>
      </w:pPr>
      <w:hyperlink w:anchor="b2353" w:history="1">
        <w:r>
          <w:rPr>
            <w:color w:val="0A3A8C"/>
            <w:u w:val="single"/>
          </w:rPr>
          <w:t xml:space="preserve">§ 1884 Abwesenheitspflegschaft</w:t>
        </w:r>
      </w:hyperlink>
    </w:p>
    <w:p>
      <w:pPr>
        <w:pStyle w:val="Übersicht"/>
        <w:ind w:left="1020"/>
      </w:pPr>
      <w:hyperlink w:anchor="b2354" w:history="1">
        <w:r>
          <w:rPr>
            <w:color w:val="0A3A8C"/>
            <w:u w:val="single"/>
          </w:rPr>
          <w:t xml:space="preserve">§ 1885 Bestellung des sonstigen Pflegers</w:t>
        </w:r>
      </w:hyperlink>
    </w:p>
    <w:p>
      <w:pPr>
        <w:pStyle w:val="Übersicht"/>
        <w:ind w:left="1020"/>
      </w:pPr>
      <w:hyperlink w:anchor="b2355" w:history="1">
        <w:r>
          <w:rPr>
            <w:color w:val="0A3A8C"/>
            <w:u w:val="single"/>
          </w:rPr>
          <w:t xml:space="preserve">§ 1886 Aufhebung der Pflegschaft</w:t>
        </w:r>
      </w:hyperlink>
    </w:p>
    <w:p>
      <w:pPr>
        <w:pStyle w:val="Übersicht"/>
        <w:ind w:left="1020"/>
      </w:pPr>
      <w:hyperlink w:anchor="b2356" w:history="1">
        <w:r>
          <w:rPr>
            <w:color w:val="0A3A8C"/>
            <w:u w:val="single"/>
          </w:rPr>
          <w:t xml:space="preserve">§ 1887 Ende der Pflegschaft kraft Gesetzes</w:t>
        </w:r>
      </w:hyperlink>
    </w:p>
    <w:p>
      <w:pPr>
        <w:pStyle w:val="Übersicht"/>
        <w:ind w:left="1020"/>
      </w:pPr>
      <w:hyperlink w:anchor="b2357" w:history="1">
        <w:r>
          <w:rPr>
            <w:color w:val="0A3A8C"/>
            <w:u w:val="single"/>
          </w:rPr>
          <w:t xml:space="preserve">§ 1888 Anwendung des Betreuungsrechts</w:t>
        </w:r>
      </w:hyperlink>
    </w:p>
    <w:p>
      <w:pPr>
        <w:pStyle w:val="Übersicht"/>
        <w:ind w:left="1020"/>
      </w:pPr>
      <w:hyperlink w:anchor="b2358" w:history="1">
        <w:r>
          <w:rPr>
            <w:color w:val="0A3A8C"/>
            <w:u w:val="single"/>
          </w:rPr>
          <w:t xml:space="preserve">§§ 1889 bis 1921 (weggefallen)</w:t>
        </w:r>
      </w:hyperlink>
    </w:p>
    <w:p>
      <w:pPr>
        <w:pStyle w:val="Übersicht"/>
        <w:ind w:left="0"/>
      </w:pPr>
      <w:hyperlink w:anchor="b2359" w:history="1">
        <w:r>
          <w:rPr>
            <w:b/>
            <w:color w:val="0A3A8C"/>
            <w:u w:val="single"/>
          </w:rPr>
          <w:t xml:space="preserve">Buch 5 Erbrecht</w:t>
        </w:r>
      </w:hyperlink>
    </w:p>
    <w:p>
      <w:pPr>
        <w:pStyle w:val="Übersicht"/>
        <w:ind w:left="340"/>
      </w:pPr>
      <w:hyperlink w:anchor="b2360" w:history="1">
        <w:r>
          <w:rPr>
            <w:b/>
            <w:color w:val="0A3A8C"/>
            <w:u w:val="single"/>
          </w:rPr>
          <w:t xml:space="preserve">Abschnitt 1 Erbfolge</w:t>
        </w:r>
      </w:hyperlink>
    </w:p>
    <w:p>
      <w:pPr>
        <w:pStyle w:val="Übersicht"/>
        <w:ind w:left="680"/>
      </w:pPr>
      <w:hyperlink w:anchor="b2361" w:history="1">
        <w:r>
          <w:rPr>
            <w:color w:val="0A3A8C"/>
            <w:u w:val="single"/>
          </w:rPr>
          <w:t xml:space="preserve">§ 1922 Gesamtrechtsnachfolge</w:t>
        </w:r>
      </w:hyperlink>
    </w:p>
    <w:p>
      <w:pPr>
        <w:pStyle w:val="Übersicht"/>
        <w:ind w:left="680"/>
      </w:pPr>
      <w:hyperlink w:anchor="b2362" w:history="1">
        <w:r>
          <w:rPr>
            <w:color w:val="0A3A8C"/>
            <w:u w:val="single"/>
          </w:rPr>
          <w:t xml:space="preserve">§ 1923 Erbfähigkeit</w:t>
        </w:r>
      </w:hyperlink>
    </w:p>
    <w:p>
      <w:pPr>
        <w:pStyle w:val="Übersicht"/>
        <w:ind w:left="680"/>
      </w:pPr>
      <w:hyperlink w:anchor="b2363" w:history="1">
        <w:r>
          <w:rPr>
            <w:color w:val="0A3A8C"/>
            <w:u w:val="single"/>
          </w:rPr>
          <w:t xml:space="preserve">§ 1924 Gesetzliche Erben erster Ordnung</w:t>
        </w:r>
      </w:hyperlink>
    </w:p>
    <w:p>
      <w:pPr>
        <w:pStyle w:val="Übersicht"/>
        <w:ind w:left="680"/>
      </w:pPr>
      <w:hyperlink w:anchor="b2364" w:history="1">
        <w:r>
          <w:rPr>
            <w:color w:val="0A3A8C"/>
            <w:u w:val="single"/>
          </w:rPr>
          <w:t xml:space="preserve">§ 1925 Gesetzliche Erben zweiter Ordnung</w:t>
        </w:r>
      </w:hyperlink>
    </w:p>
    <w:p>
      <w:pPr>
        <w:pStyle w:val="Übersicht"/>
        <w:ind w:left="680"/>
      </w:pPr>
      <w:hyperlink w:anchor="b2365" w:history="1">
        <w:r>
          <w:rPr>
            <w:color w:val="0A3A8C"/>
            <w:u w:val="single"/>
          </w:rPr>
          <w:t xml:space="preserve">§ 1926 Gesetzliche Erben dritter Ordnung</w:t>
        </w:r>
      </w:hyperlink>
    </w:p>
    <w:p>
      <w:pPr>
        <w:pStyle w:val="Übersicht"/>
        <w:ind w:left="680"/>
      </w:pPr>
      <w:hyperlink w:anchor="b2366" w:history="1">
        <w:r>
          <w:rPr>
            <w:color w:val="0A3A8C"/>
            <w:u w:val="single"/>
          </w:rPr>
          <w:t xml:space="preserve">§ 1927 Mehrere Erbteile bei mehrfacher Verwandtschaft</w:t>
        </w:r>
      </w:hyperlink>
    </w:p>
    <w:p>
      <w:pPr>
        <w:pStyle w:val="Übersicht"/>
        <w:ind w:left="680"/>
      </w:pPr>
      <w:hyperlink w:anchor="b2367" w:history="1">
        <w:r>
          <w:rPr>
            <w:color w:val="0A3A8C"/>
            <w:u w:val="single"/>
          </w:rPr>
          <w:t xml:space="preserve">§ 1928 Gesetzliche Erben vierter Ordnung</w:t>
        </w:r>
      </w:hyperlink>
    </w:p>
    <w:p>
      <w:pPr>
        <w:pStyle w:val="Übersicht"/>
        <w:ind w:left="680"/>
      </w:pPr>
      <w:hyperlink w:anchor="b2368" w:history="1">
        <w:r>
          <w:rPr>
            <w:color w:val="0A3A8C"/>
            <w:u w:val="single"/>
          </w:rPr>
          <w:t xml:space="preserve">§ 1929 Fernere Ordnungen</w:t>
        </w:r>
      </w:hyperlink>
    </w:p>
    <w:p>
      <w:pPr>
        <w:pStyle w:val="Übersicht"/>
        <w:ind w:left="680"/>
      </w:pPr>
      <w:hyperlink w:anchor="b2369" w:history="1">
        <w:r>
          <w:rPr>
            <w:color w:val="0A3A8C"/>
            <w:u w:val="single"/>
          </w:rPr>
          <w:t xml:space="preserve">§ 1930 Rangfolge der Ordnungen</w:t>
        </w:r>
      </w:hyperlink>
    </w:p>
    <w:p>
      <w:pPr>
        <w:pStyle w:val="Übersicht"/>
        <w:ind w:left="680"/>
      </w:pPr>
      <w:hyperlink w:anchor="b2370" w:history="1">
        <w:r>
          <w:rPr>
            <w:color w:val="0A3A8C"/>
            <w:u w:val="single"/>
          </w:rPr>
          <w:t xml:space="preserve">§ 1931 Gesetzliches Erbrecht des Ehegatten</w:t>
        </w:r>
      </w:hyperlink>
    </w:p>
    <w:p>
      <w:pPr>
        <w:pStyle w:val="Übersicht"/>
        <w:ind w:left="680"/>
      </w:pPr>
      <w:hyperlink w:anchor="b2371" w:history="1">
        <w:r>
          <w:rPr>
            <w:color w:val="0A3A8C"/>
            <w:u w:val="single"/>
          </w:rPr>
          <w:t xml:space="preserve">§ 1932 Voraus des Ehegatten</w:t>
        </w:r>
      </w:hyperlink>
    </w:p>
    <w:p>
      <w:pPr>
        <w:pStyle w:val="Übersicht"/>
        <w:ind w:left="680"/>
      </w:pPr>
      <w:hyperlink w:anchor="b2372" w:history="1">
        <w:r>
          <w:rPr>
            <w:color w:val="0A3A8C"/>
            <w:u w:val="single"/>
          </w:rPr>
          <w:t xml:space="preserve">§ 1933 Ausschluss des Ehegattenerbrechts</w:t>
        </w:r>
      </w:hyperlink>
    </w:p>
    <w:p>
      <w:pPr>
        <w:pStyle w:val="Übersicht"/>
        <w:ind w:left="680"/>
      </w:pPr>
      <w:hyperlink w:anchor="b2373" w:history="1">
        <w:r>
          <w:rPr>
            <w:color w:val="0A3A8C"/>
            <w:u w:val="single"/>
          </w:rPr>
          <w:t xml:space="preserve">§ 1934 Erbrecht des verwandten Ehegatten</w:t>
        </w:r>
      </w:hyperlink>
    </w:p>
    <w:p>
      <w:pPr>
        <w:pStyle w:val="Übersicht"/>
        <w:ind w:left="680"/>
      </w:pPr>
      <w:hyperlink w:anchor="b2374" w:history="1">
        <w:r>
          <w:rPr>
            <w:color w:val="0A3A8C"/>
            <w:u w:val="single"/>
          </w:rPr>
          <w:t xml:space="preserve">§ 1935 Folgen der Erbteilserhöhung</w:t>
        </w:r>
      </w:hyperlink>
    </w:p>
    <w:p>
      <w:pPr>
        <w:pStyle w:val="Übersicht"/>
        <w:ind w:left="680"/>
      </w:pPr>
      <w:hyperlink w:anchor="b2375" w:history="1">
        <w:r>
          <w:rPr>
            <w:color w:val="0A3A8C"/>
            <w:u w:val="single"/>
          </w:rPr>
          <w:t xml:space="preserve">§ 1936 Gesetzliches Erbrecht des Staates</w:t>
        </w:r>
      </w:hyperlink>
    </w:p>
    <w:p>
      <w:pPr>
        <w:pStyle w:val="Übersicht"/>
        <w:ind w:left="680"/>
      </w:pPr>
      <w:hyperlink w:anchor="b2376" w:history="1">
        <w:r>
          <w:rPr>
            <w:color w:val="0A3A8C"/>
            <w:u w:val="single"/>
          </w:rPr>
          <w:t xml:space="preserve">§ 1937 Erbeinsetzung durch letztwillige Verfügung</w:t>
        </w:r>
      </w:hyperlink>
    </w:p>
    <w:p>
      <w:pPr>
        <w:pStyle w:val="Übersicht"/>
        <w:ind w:left="680"/>
      </w:pPr>
      <w:hyperlink w:anchor="b2377" w:history="1">
        <w:r>
          <w:rPr>
            <w:color w:val="0A3A8C"/>
            <w:u w:val="single"/>
          </w:rPr>
          <w:t xml:space="preserve">§ 1938 Enterbung ohne Erbeinsetzung</w:t>
        </w:r>
      </w:hyperlink>
    </w:p>
    <w:p>
      <w:pPr>
        <w:pStyle w:val="Übersicht"/>
        <w:ind w:left="680"/>
      </w:pPr>
      <w:hyperlink w:anchor="b2378" w:history="1">
        <w:r>
          <w:rPr>
            <w:color w:val="0A3A8C"/>
            <w:u w:val="single"/>
          </w:rPr>
          <w:t xml:space="preserve">§ 1939 Vermächtnis</w:t>
        </w:r>
      </w:hyperlink>
    </w:p>
    <w:p>
      <w:pPr>
        <w:pStyle w:val="Übersicht"/>
        <w:ind w:left="680"/>
      </w:pPr>
      <w:hyperlink w:anchor="b2379" w:history="1">
        <w:r>
          <w:rPr>
            <w:color w:val="0A3A8C"/>
            <w:u w:val="single"/>
          </w:rPr>
          <w:t xml:space="preserve">§ 1940 Auflage</w:t>
        </w:r>
      </w:hyperlink>
    </w:p>
    <w:p>
      <w:pPr>
        <w:pStyle w:val="Übersicht"/>
        <w:ind w:left="680"/>
      </w:pPr>
      <w:hyperlink w:anchor="b2380" w:history="1">
        <w:r>
          <w:rPr>
            <w:color w:val="0A3A8C"/>
            <w:u w:val="single"/>
          </w:rPr>
          <w:t xml:space="preserve">§ 1941 Erbvertrag</w:t>
        </w:r>
      </w:hyperlink>
    </w:p>
    <w:p>
      <w:pPr>
        <w:pStyle w:val="Übersicht"/>
        <w:ind w:left="340"/>
      </w:pPr>
      <w:hyperlink w:anchor="b2381" w:history="1">
        <w:r>
          <w:rPr>
            <w:b/>
            <w:color w:val="0A3A8C"/>
            <w:u w:val="single"/>
          </w:rPr>
          <w:t xml:space="preserve">Abschnitt 2 Rechtliche Stellung des Erben</w:t>
        </w:r>
      </w:hyperlink>
    </w:p>
    <w:p>
      <w:pPr>
        <w:pStyle w:val="Übersicht"/>
        <w:ind w:left="680"/>
      </w:pPr>
      <w:hyperlink w:anchor="b2382" w:history="1">
        <w:r>
          <w:rPr>
            <w:b/>
            <w:color w:val="0A3A8C"/>
            <w:u w:val="single"/>
          </w:rPr>
          <w:t xml:space="preserve">Titel 1 Annahme und Ausschlagung der Erbschaft,
Fürsorge des Nachlassgerichts</w:t>
        </w:r>
      </w:hyperlink>
    </w:p>
    <w:p>
      <w:pPr>
        <w:pStyle w:val="Übersicht"/>
        <w:ind w:left="1020"/>
      </w:pPr>
      <w:hyperlink w:anchor="b2383" w:history="1">
        <w:r>
          <w:rPr>
            <w:color w:val="0A3A8C"/>
            <w:u w:val="single"/>
          </w:rPr>
          <w:t xml:space="preserve">§ 1942 Anfall und Ausschlagung der Erbschaft</w:t>
        </w:r>
      </w:hyperlink>
    </w:p>
    <w:p>
      <w:pPr>
        <w:pStyle w:val="Übersicht"/>
        <w:ind w:left="1020"/>
      </w:pPr>
      <w:hyperlink w:anchor="b2384" w:history="1">
        <w:r>
          <w:rPr>
            <w:color w:val="0A3A8C"/>
            <w:u w:val="single"/>
          </w:rPr>
          <w:t xml:space="preserve">§ 1943 Annahme und Ausschlagung der Erbschaft</w:t>
        </w:r>
      </w:hyperlink>
    </w:p>
    <w:p>
      <w:pPr>
        <w:pStyle w:val="Übersicht"/>
        <w:ind w:left="1020"/>
      </w:pPr>
      <w:hyperlink w:anchor="b2385" w:history="1">
        <w:r>
          <w:rPr>
            <w:color w:val="0A3A8C"/>
            <w:u w:val="single"/>
          </w:rPr>
          <w:t xml:space="preserve">§ 1944 Ausschlagungsfrist</w:t>
        </w:r>
      </w:hyperlink>
    </w:p>
    <w:p>
      <w:pPr>
        <w:pStyle w:val="Übersicht"/>
        <w:ind w:left="1020"/>
      </w:pPr>
      <w:hyperlink w:anchor="b2386" w:history="1">
        <w:r>
          <w:rPr>
            <w:color w:val="0A3A8C"/>
            <w:u w:val="single"/>
          </w:rPr>
          <w:t xml:space="preserve">§ 1945 Form der Ausschlagung</w:t>
        </w:r>
      </w:hyperlink>
    </w:p>
    <w:p>
      <w:pPr>
        <w:pStyle w:val="Übersicht"/>
        <w:ind w:left="1020"/>
      </w:pPr>
      <w:hyperlink w:anchor="b2387" w:history="1">
        <w:r>
          <w:rPr>
            <w:color w:val="0A3A8C"/>
            <w:u w:val="single"/>
          </w:rPr>
          <w:t xml:space="preserve">§ 1946 Zeitpunkt für Annahme oder Ausschlagung</w:t>
        </w:r>
      </w:hyperlink>
    </w:p>
    <w:p>
      <w:pPr>
        <w:pStyle w:val="Übersicht"/>
        <w:ind w:left="1020"/>
      </w:pPr>
      <w:hyperlink w:anchor="b2388" w:history="1">
        <w:r>
          <w:rPr>
            <w:color w:val="0A3A8C"/>
            <w:u w:val="single"/>
          </w:rPr>
          <w:t xml:space="preserve">§ 1947 Bedingung und Zeitbestimmung</w:t>
        </w:r>
      </w:hyperlink>
    </w:p>
    <w:p>
      <w:pPr>
        <w:pStyle w:val="Übersicht"/>
        <w:ind w:left="1020"/>
      </w:pPr>
      <w:hyperlink w:anchor="b2389" w:history="1">
        <w:r>
          <w:rPr>
            <w:color w:val="0A3A8C"/>
            <w:u w:val="single"/>
          </w:rPr>
          <w:t xml:space="preserve">§ 1948 Mehrere Berufungsgründe</w:t>
        </w:r>
      </w:hyperlink>
    </w:p>
    <w:p>
      <w:pPr>
        <w:pStyle w:val="Übersicht"/>
        <w:ind w:left="1020"/>
      </w:pPr>
      <w:hyperlink w:anchor="b2390" w:history="1">
        <w:r>
          <w:rPr>
            <w:color w:val="0A3A8C"/>
            <w:u w:val="single"/>
          </w:rPr>
          <w:t xml:space="preserve">§ 1949 Irrtum über den Berufungsgrund</w:t>
        </w:r>
      </w:hyperlink>
    </w:p>
    <w:p>
      <w:pPr>
        <w:pStyle w:val="Übersicht"/>
        <w:ind w:left="1020"/>
      </w:pPr>
      <w:hyperlink w:anchor="b2391" w:history="1">
        <w:r>
          <w:rPr>
            <w:color w:val="0A3A8C"/>
            <w:u w:val="single"/>
          </w:rPr>
          <w:t xml:space="preserve">§ 1950 Teilannahme; Teilausschlagung</w:t>
        </w:r>
      </w:hyperlink>
    </w:p>
    <w:p>
      <w:pPr>
        <w:pStyle w:val="Übersicht"/>
        <w:ind w:left="1020"/>
      </w:pPr>
      <w:hyperlink w:anchor="b2392" w:history="1">
        <w:r>
          <w:rPr>
            <w:color w:val="0A3A8C"/>
            <w:u w:val="single"/>
          </w:rPr>
          <w:t xml:space="preserve">§ 1951 Mehrere Erbteile</w:t>
        </w:r>
      </w:hyperlink>
    </w:p>
    <w:p>
      <w:pPr>
        <w:pStyle w:val="Übersicht"/>
        <w:ind w:left="1020"/>
      </w:pPr>
      <w:hyperlink w:anchor="b2393" w:history="1">
        <w:r>
          <w:rPr>
            <w:color w:val="0A3A8C"/>
            <w:u w:val="single"/>
          </w:rPr>
          <w:t xml:space="preserve">§ 1952 Vererblichkeit des Ausschlagungsrechts</w:t>
        </w:r>
      </w:hyperlink>
    </w:p>
    <w:p>
      <w:pPr>
        <w:pStyle w:val="Übersicht"/>
        <w:ind w:left="1020"/>
      </w:pPr>
      <w:hyperlink w:anchor="b2394" w:history="1">
        <w:r>
          <w:rPr>
            <w:color w:val="0A3A8C"/>
            <w:u w:val="single"/>
          </w:rPr>
          <w:t xml:space="preserve">§ 1953 Wirkung der Ausschlagung</w:t>
        </w:r>
      </w:hyperlink>
    </w:p>
    <w:p>
      <w:pPr>
        <w:pStyle w:val="Übersicht"/>
        <w:ind w:left="1020"/>
      </w:pPr>
      <w:hyperlink w:anchor="b2395" w:history="1">
        <w:r>
          <w:rPr>
            <w:color w:val="0A3A8C"/>
            <w:u w:val="single"/>
          </w:rPr>
          <w:t xml:space="preserve">§ 1954 Anfechtungsfrist</w:t>
        </w:r>
      </w:hyperlink>
    </w:p>
    <w:p>
      <w:pPr>
        <w:pStyle w:val="Übersicht"/>
        <w:ind w:left="1020"/>
      </w:pPr>
      <w:hyperlink w:anchor="b2396" w:history="1">
        <w:r>
          <w:rPr>
            <w:color w:val="0A3A8C"/>
            <w:u w:val="single"/>
          </w:rPr>
          <w:t xml:space="preserve">§ 1955 Form der Anfechtung</w:t>
        </w:r>
      </w:hyperlink>
    </w:p>
    <w:p>
      <w:pPr>
        <w:pStyle w:val="Übersicht"/>
        <w:ind w:left="1020"/>
      </w:pPr>
      <w:hyperlink w:anchor="b2397" w:history="1">
        <w:r>
          <w:rPr>
            <w:color w:val="0A3A8C"/>
            <w:u w:val="single"/>
          </w:rPr>
          <w:t xml:space="preserve">§ 1956 Anfechtung der Fristversäumung</w:t>
        </w:r>
      </w:hyperlink>
    </w:p>
    <w:p>
      <w:pPr>
        <w:pStyle w:val="Übersicht"/>
        <w:ind w:left="1020"/>
      </w:pPr>
      <w:hyperlink w:anchor="b2398" w:history="1">
        <w:r>
          <w:rPr>
            <w:color w:val="0A3A8C"/>
            <w:u w:val="single"/>
          </w:rPr>
          <w:t xml:space="preserve">§ 1957 Wirkung der Anfechtung</w:t>
        </w:r>
      </w:hyperlink>
    </w:p>
    <w:p>
      <w:pPr>
        <w:pStyle w:val="Übersicht"/>
        <w:ind w:left="1020"/>
      </w:pPr>
      <w:hyperlink w:anchor="b2399" w:history="1">
        <w:r>
          <w:rPr>
            <w:color w:val="0A3A8C"/>
            <w:u w:val="single"/>
          </w:rPr>
          <w:t xml:space="preserve">§ 1958 Gerichtliche Geltendmachung von Ansprüchen gegen den Erben</w:t>
        </w:r>
      </w:hyperlink>
    </w:p>
    <w:p>
      <w:pPr>
        <w:pStyle w:val="Übersicht"/>
        <w:ind w:left="1020"/>
      </w:pPr>
      <w:hyperlink w:anchor="b2400" w:history="1">
        <w:r>
          <w:rPr>
            <w:color w:val="0A3A8C"/>
            <w:u w:val="single"/>
          </w:rPr>
          <w:t xml:space="preserve">§ 1959 Geschäftsführung vor der Ausschlagung</w:t>
        </w:r>
      </w:hyperlink>
    </w:p>
    <w:p>
      <w:pPr>
        <w:pStyle w:val="Übersicht"/>
        <w:ind w:left="1020"/>
      </w:pPr>
      <w:hyperlink w:anchor="b2401" w:history="1">
        <w:r>
          <w:rPr>
            <w:color w:val="0A3A8C"/>
            <w:u w:val="single"/>
          </w:rPr>
          <w:t xml:space="preserve">§ 1960 Sicherung des Nachlasses; Nachlasspfleger</w:t>
        </w:r>
      </w:hyperlink>
    </w:p>
    <w:p>
      <w:pPr>
        <w:pStyle w:val="Übersicht"/>
        <w:ind w:left="1020"/>
      </w:pPr>
      <w:hyperlink w:anchor="b2402" w:history="1">
        <w:r>
          <w:rPr>
            <w:color w:val="0A3A8C"/>
            <w:u w:val="single"/>
          </w:rPr>
          <w:t xml:space="preserve">§ 1961 Nachlasspflegschaft auf Antrag</w:t>
        </w:r>
      </w:hyperlink>
    </w:p>
    <w:p>
      <w:pPr>
        <w:pStyle w:val="Übersicht"/>
        <w:ind w:left="1020"/>
      </w:pPr>
      <w:hyperlink w:anchor="b2403" w:history="1">
        <w:r>
          <w:rPr>
            <w:color w:val="0A3A8C"/>
            <w:u w:val="single"/>
          </w:rPr>
          <w:t xml:space="preserve">§ 1962 Zuständigkeit des Nachlassgerichts</w:t>
        </w:r>
      </w:hyperlink>
    </w:p>
    <w:p>
      <w:pPr>
        <w:pStyle w:val="Übersicht"/>
        <w:ind w:left="1020"/>
      </w:pPr>
      <w:hyperlink w:anchor="b2404" w:history="1">
        <w:r>
          <w:rPr>
            <w:color w:val="0A3A8C"/>
            <w:u w:val="single"/>
          </w:rPr>
          <w:t xml:space="preserve">§ 1963 Unterhalt der werdenden Mutter eines Erben</w:t>
        </w:r>
      </w:hyperlink>
    </w:p>
    <w:p>
      <w:pPr>
        <w:pStyle w:val="Übersicht"/>
        <w:ind w:left="1020"/>
      </w:pPr>
      <w:hyperlink w:anchor="b2405" w:history="1">
        <w:r>
          <w:rPr>
            <w:color w:val="0A3A8C"/>
            <w:u w:val="single"/>
          </w:rPr>
          <w:t xml:space="preserve">§ 1964 Erbvermutung für den Fiskus durch Feststellung</w:t>
        </w:r>
      </w:hyperlink>
    </w:p>
    <w:p>
      <w:pPr>
        <w:pStyle w:val="Übersicht"/>
        <w:ind w:left="1020"/>
      </w:pPr>
      <w:hyperlink w:anchor="b2406" w:history="1">
        <w:r>
          <w:rPr>
            <w:color w:val="0A3A8C"/>
            <w:u w:val="single"/>
          </w:rPr>
          <w:t xml:space="preserve">§ 1965 Öffentliche Aufforderung zur Anmeldung der Erbrechte</w:t>
        </w:r>
      </w:hyperlink>
    </w:p>
    <w:p>
      <w:pPr>
        <w:pStyle w:val="Übersicht"/>
        <w:ind w:left="1020"/>
      </w:pPr>
      <w:hyperlink w:anchor="b2407" w:history="1">
        <w:r>
          <w:rPr>
            <w:color w:val="0A3A8C"/>
            <w:u w:val="single"/>
          </w:rPr>
          <w:t xml:space="preserve">§ 1966 Rechtsstellung des Fiskus vor Feststellung</w:t>
        </w:r>
      </w:hyperlink>
    </w:p>
    <w:p>
      <w:pPr>
        <w:pStyle w:val="Übersicht"/>
        <w:ind w:left="680"/>
      </w:pPr>
      <w:hyperlink w:anchor="b2408" w:history="1">
        <w:r>
          <w:rPr>
            <w:b/>
            <w:color w:val="0A3A8C"/>
            <w:u w:val="single"/>
          </w:rPr>
          <w:t xml:space="preserve">Titel 2 Haftung des Erben für die
Nachlassverbindlichkeiten</w:t>
        </w:r>
      </w:hyperlink>
    </w:p>
    <w:p>
      <w:pPr>
        <w:pStyle w:val="Übersicht"/>
        <w:ind w:left="1020"/>
      </w:pPr>
      <w:hyperlink w:anchor="b2409" w:history="1">
        <w:r>
          <w:rPr>
            <w:b/>
            <w:color w:val="0A3A8C"/>
            <w:u w:val="single"/>
          </w:rPr>
          <w:t xml:space="preserve">Untertitel 1 Nachlassverbindlichkeiten</w:t>
        </w:r>
      </w:hyperlink>
    </w:p>
    <w:p>
      <w:pPr>
        <w:pStyle w:val="Übersicht"/>
        <w:ind w:left="1361"/>
      </w:pPr>
      <w:hyperlink w:anchor="b2410" w:history="1">
        <w:r>
          <w:rPr>
            <w:color w:val="0A3A8C"/>
            <w:u w:val="single"/>
          </w:rPr>
          <w:t xml:space="preserve">§ 1967 Erbenhaftung, Nachlassverbindlichkeiten</w:t>
        </w:r>
      </w:hyperlink>
    </w:p>
    <w:p>
      <w:pPr>
        <w:pStyle w:val="Übersicht"/>
        <w:ind w:left="1361"/>
      </w:pPr>
      <w:hyperlink w:anchor="b2411" w:history="1">
        <w:r>
          <w:rPr>
            <w:color w:val="0A3A8C"/>
            <w:u w:val="single"/>
          </w:rPr>
          <w:t xml:space="preserve">§ 1968 Beerdigungskosten</w:t>
        </w:r>
      </w:hyperlink>
    </w:p>
    <w:p>
      <w:pPr>
        <w:pStyle w:val="Übersicht"/>
        <w:ind w:left="1361"/>
      </w:pPr>
      <w:hyperlink w:anchor="b2412" w:history="1">
        <w:r>
          <w:rPr>
            <w:color w:val="0A3A8C"/>
            <w:u w:val="single"/>
          </w:rPr>
          <w:t xml:space="preserve">§ 1969 Dreißigster</w:t>
        </w:r>
      </w:hyperlink>
    </w:p>
    <w:p>
      <w:pPr>
        <w:pStyle w:val="Übersicht"/>
        <w:ind w:left="1020"/>
      </w:pPr>
      <w:hyperlink w:anchor="b2413" w:history="1">
        <w:r>
          <w:rPr>
            <w:b/>
            <w:color w:val="0A3A8C"/>
            <w:u w:val="single"/>
          </w:rPr>
          <w:t xml:space="preserve">Untertitel 2 Aufgebot der Nachlassgläubiger</w:t>
        </w:r>
      </w:hyperlink>
    </w:p>
    <w:p>
      <w:pPr>
        <w:pStyle w:val="Übersicht"/>
        <w:ind w:left="1361"/>
      </w:pPr>
      <w:hyperlink w:anchor="b2414" w:history="1">
        <w:r>
          <w:rPr>
            <w:color w:val="0A3A8C"/>
            <w:u w:val="single"/>
          </w:rPr>
          <w:t xml:space="preserve">§ 1970 Anmeldung der Forderungen</w:t>
        </w:r>
      </w:hyperlink>
    </w:p>
    <w:p>
      <w:pPr>
        <w:pStyle w:val="Übersicht"/>
        <w:ind w:left="1361"/>
      </w:pPr>
      <w:hyperlink w:anchor="b2415" w:history="1">
        <w:r>
          <w:rPr>
            <w:color w:val="0A3A8C"/>
            <w:u w:val="single"/>
          </w:rPr>
          <w:t xml:space="preserve">§ 1971 Nicht betroffene Gläubiger</w:t>
        </w:r>
      </w:hyperlink>
    </w:p>
    <w:p>
      <w:pPr>
        <w:pStyle w:val="Übersicht"/>
        <w:ind w:left="1361"/>
      </w:pPr>
      <w:hyperlink w:anchor="b2416" w:history="1">
        <w:r>
          <w:rPr>
            <w:color w:val="0A3A8C"/>
            <w:u w:val="single"/>
          </w:rPr>
          <w:t xml:space="preserve">§ 1972 Nicht betroffene Rechte</w:t>
        </w:r>
      </w:hyperlink>
    </w:p>
    <w:p>
      <w:pPr>
        <w:pStyle w:val="Übersicht"/>
        <w:ind w:left="1361"/>
      </w:pPr>
      <w:hyperlink w:anchor="b2417" w:history="1">
        <w:r>
          <w:rPr>
            <w:color w:val="0A3A8C"/>
            <w:u w:val="single"/>
          </w:rPr>
          <w:t xml:space="preserve">§ 1973 Ausschluss von Nachlassgläubigern</w:t>
        </w:r>
      </w:hyperlink>
    </w:p>
    <w:p>
      <w:pPr>
        <w:pStyle w:val="Übersicht"/>
        <w:ind w:left="1361"/>
      </w:pPr>
      <w:hyperlink w:anchor="b2418" w:history="1">
        <w:r>
          <w:rPr>
            <w:color w:val="0A3A8C"/>
            <w:u w:val="single"/>
          </w:rPr>
          <w:t xml:space="preserve">§ 1974 Verschweigungseinrede</w:t>
        </w:r>
      </w:hyperlink>
    </w:p>
    <w:p>
      <w:pPr>
        <w:pStyle w:val="Übersicht"/>
        <w:ind w:left="1020"/>
      </w:pPr>
      <w:hyperlink w:anchor="b2419" w:history="1">
        <w:r>
          <w:rPr>
            <w:b/>
            <w:color w:val="0A3A8C"/>
            <w:u w:val="single"/>
          </w:rPr>
          <w:t xml:space="preserve">Untertitel 3 Beschränkung der Haftung des Erben</w:t>
        </w:r>
      </w:hyperlink>
    </w:p>
    <w:p>
      <w:pPr>
        <w:pStyle w:val="Übersicht"/>
        <w:ind w:left="1361"/>
      </w:pPr>
      <w:hyperlink w:anchor="b2420" w:history="1">
        <w:r>
          <w:rPr>
            <w:color w:val="0A3A8C"/>
            <w:u w:val="single"/>
          </w:rPr>
          <w:t xml:space="preserve">§ 1975 Nachlassverwaltung; Nachlassinsolvenz</w:t>
        </w:r>
      </w:hyperlink>
    </w:p>
    <w:p>
      <w:pPr>
        <w:pStyle w:val="Übersicht"/>
        <w:ind w:left="1361"/>
      </w:pPr>
      <w:hyperlink w:anchor="b2421" w:history="1">
        <w:r>
          <w:rPr>
            <w:color w:val="0A3A8C"/>
            <w:u w:val="single"/>
          </w:rPr>
          <w:t xml:space="preserve">§ 1976 Wirkung auf durch Vereinigung erloschene Rechtsverhältnisse</w:t>
        </w:r>
      </w:hyperlink>
    </w:p>
    <w:p>
      <w:pPr>
        <w:pStyle w:val="Übersicht"/>
        <w:ind w:left="1361"/>
      </w:pPr>
      <w:hyperlink w:anchor="b2422" w:history="1">
        <w:r>
          <w:rPr>
            <w:color w:val="0A3A8C"/>
            <w:u w:val="single"/>
          </w:rPr>
          <w:t xml:space="preserve">§ 1977 Wirkung auf eine Aufrechnung</w:t>
        </w:r>
      </w:hyperlink>
    </w:p>
    <w:p>
      <w:pPr>
        <w:pStyle w:val="Übersicht"/>
        <w:ind w:left="1361"/>
      </w:pPr>
      <w:hyperlink w:anchor="b2423" w:history="1">
        <w:r>
          <w:rPr>
            <w:color w:val="0A3A8C"/>
            <w:u w:val="single"/>
          </w:rPr>
          <w:t xml:space="preserve">§ 1978 Verantwortlichkeit des Erben für bisherige Verwaltung,
Aufwendungsersatz</w:t>
        </w:r>
      </w:hyperlink>
    </w:p>
    <w:p>
      <w:pPr>
        <w:pStyle w:val="Übersicht"/>
        <w:ind w:left="1361"/>
      </w:pPr>
      <w:hyperlink w:anchor="b2424" w:history="1">
        <w:r>
          <w:rPr>
            <w:color w:val="0A3A8C"/>
            <w:u w:val="single"/>
          </w:rPr>
          <w:t xml:space="preserve">§ 1979 Berichtigung von Nachlassverbindlichkeiten</w:t>
        </w:r>
      </w:hyperlink>
    </w:p>
    <w:p>
      <w:pPr>
        <w:pStyle w:val="Übersicht"/>
        <w:ind w:left="1361"/>
      </w:pPr>
      <w:hyperlink w:anchor="b2425" w:history="1">
        <w:r>
          <w:rPr>
            <w:color w:val="0A3A8C"/>
            <w:u w:val="single"/>
          </w:rPr>
          <w:t xml:space="preserve">§ 1980 Antrag auf Eröffnung des Nachlassinsolvenzverfahrens</w:t>
        </w:r>
      </w:hyperlink>
    </w:p>
    <w:p>
      <w:pPr>
        <w:pStyle w:val="Übersicht"/>
        <w:ind w:left="1361"/>
      </w:pPr>
      <w:hyperlink w:anchor="b2426" w:history="1">
        <w:r>
          <w:rPr>
            <w:color w:val="0A3A8C"/>
            <w:u w:val="single"/>
          </w:rPr>
          <w:t xml:space="preserve">§ 1981 Anordnung der Nachlassverwaltung</w:t>
        </w:r>
      </w:hyperlink>
    </w:p>
    <w:p>
      <w:pPr>
        <w:pStyle w:val="Übersicht"/>
        <w:ind w:left="1361"/>
      </w:pPr>
      <w:hyperlink w:anchor="b2427" w:history="1">
        <w:r>
          <w:rPr>
            <w:color w:val="0A3A8C"/>
            <w:u w:val="single"/>
          </w:rPr>
          <w:t xml:space="preserve">§ 1982 Ablehnung der Anordnung der Nachlassverwaltung mangels Masse</w:t>
        </w:r>
      </w:hyperlink>
    </w:p>
    <w:p>
      <w:pPr>
        <w:pStyle w:val="Übersicht"/>
        <w:ind w:left="1361"/>
      </w:pPr>
      <w:hyperlink w:anchor="b2428" w:history="1">
        <w:r>
          <w:rPr>
            <w:color w:val="0A3A8C"/>
            <w:u w:val="single"/>
          </w:rPr>
          <w:t xml:space="preserve">§ 1983 Bekanntmachung</w:t>
        </w:r>
      </w:hyperlink>
    </w:p>
    <w:p>
      <w:pPr>
        <w:pStyle w:val="Übersicht"/>
        <w:ind w:left="1361"/>
      </w:pPr>
      <w:hyperlink w:anchor="b2429" w:history="1">
        <w:r>
          <w:rPr>
            <w:color w:val="0A3A8C"/>
            <w:u w:val="single"/>
          </w:rPr>
          <w:t xml:space="preserve">§ 1984 Wirkung der Anordnung</w:t>
        </w:r>
      </w:hyperlink>
    </w:p>
    <w:p>
      <w:pPr>
        <w:pStyle w:val="Übersicht"/>
        <w:ind w:left="1361"/>
      </w:pPr>
      <w:hyperlink w:anchor="b2430" w:history="1">
        <w:r>
          <w:rPr>
            <w:color w:val="0A3A8C"/>
            <w:u w:val="single"/>
          </w:rPr>
          <w:t xml:space="preserve">§ 1985 Pflichten und Haftung des Nachlassverwalters</w:t>
        </w:r>
      </w:hyperlink>
    </w:p>
    <w:p>
      <w:pPr>
        <w:pStyle w:val="Übersicht"/>
        <w:ind w:left="1361"/>
      </w:pPr>
      <w:hyperlink w:anchor="b2431" w:history="1">
        <w:r>
          <w:rPr>
            <w:color w:val="0A3A8C"/>
            <w:u w:val="single"/>
          </w:rPr>
          <w:t xml:space="preserve">§ 1986 Herausgabe des Nachlasses</w:t>
        </w:r>
      </w:hyperlink>
    </w:p>
    <w:p>
      <w:pPr>
        <w:pStyle w:val="Übersicht"/>
        <w:ind w:left="1361"/>
      </w:pPr>
      <w:hyperlink w:anchor="b2432" w:history="1">
        <w:r>
          <w:rPr>
            <w:color w:val="0A3A8C"/>
            <w:u w:val="single"/>
          </w:rPr>
          <w:t xml:space="preserve">§ 1987 Vergütung des Nachlassverwalters</w:t>
        </w:r>
      </w:hyperlink>
    </w:p>
    <w:p>
      <w:pPr>
        <w:pStyle w:val="Übersicht"/>
        <w:ind w:left="1361"/>
      </w:pPr>
      <w:hyperlink w:anchor="b2433" w:history="1">
        <w:r>
          <w:rPr>
            <w:color w:val="0A3A8C"/>
            <w:u w:val="single"/>
          </w:rPr>
          <w:t xml:space="preserve">§ 1988 Ende und Aufhebung der Nachlassverwaltung</w:t>
        </w:r>
      </w:hyperlink>
    </w:p>
    <w:p>
      <w:pPr>
        <w:pStyle w:val="Übersicht"/>
        <w:ind w:left="1361"/>
      </w:pPr>
      <w:hyperlink w:anchor="b2434" w:history="1">
        <w:r>
          <w:rPr>
            <w:color w:val="0A3A8C"/>
            <w:u w:val="single"/>
          </w:rPr>
          <w:t xml:space="preserve">§ 1989 Erschöpfungseinrede des Erben</w:t>
        </w:r>
      </w:hyperlink>
    </w:p>
    <w:p>
      <w:pPr>
        <w:pStyle w:val="Übersicht"/>
        <w:ind w:left="1361"/>
      </w:pPr>
      <w:hyperlink w:anchor="b2435" w:history="1">
        <w:r>
          <w:rPr>
            <w:color w:val="0A3A8C"/>
            <w:u w:val="single"/>
          </w:rPr>
          <w:t xml:space="preserve">§ 1990 Dürftigkeitseinrede des Erben</w:t>
        </w:r>
      </w:hyperlink>
    </w:p>
    <w:p>
      <w:pPr>
        <w:pStyle w:val="Übersicht"/>
        <w:ind w:left="1361"/>
      </w:pPr>
      <w:hyperlink w:anchor="b2436" w:history="1">
        <w:r>
          <w:rPr>
            <w:color w:val="0A3A8C"/>
            <w:u w:val="single"/>
          </w:rPr>
          <w:t xml:space="preserve">§ 1991 Folgen der Dürftigkeitseinrede</w:t>
        </w:r>
      </w:hyperlink>
    </w:p>
    <w:p>
      <w:pPr>
        <w:pStyle w:val="Übersicht"/>
        <w:ind w:left="1361"/>
      </w:pPr>
      <w:hyperlink w:anchor="b2437" w:history="1">
        <w:r>
          <w:rPr>
            <w:color w:val="0A3A8C"/>
            <w:u w:val="single"/>
          </w:rPr>
          <w:t xml:space="preserve">§ 1992 Überschuldung durch Vermächtnisse und Auflagen</w:t>
        </w:r>
      </w:hyperlink>
    </w:p>
    <w:p>
      <w:pPr>
        <w:pStyle w:val="Übersicht"/>
        <w:ind w:left="1020"/>
      </w:pPr>
      <w:hyperlink w:anchor="b2438" w:history="1">
        <w:r>
          <w:rPr>
            <w:b/>
            <w:color w:val="0A3A8C"/>
            <w:u w:val="single"/>
          </w:rPr>
          <w:t xml:space="preserve">Untertitel 4 Inventarerrichtung, unbeschränkte
Haftung des Erben</w:t>
        </w:r>
      </w:hyperlink>
    </w:p>
    <w:p>
      <w:pPr>
        <w:pStyle w:val="Übersicht"/>
        <w:ind w:left="1361"/>
      </w:pPr>
      <w:hyperlink w:anchor="b2439" w:history="1">
        <w:r>
          <w:rPr>
            <w:color w:val="0A3A8C"/>
            <w:u w:val="single"/>
          </w:rPr>
          <w:t xml:space="preserve">§ 1993 Inventarerrichtung</w:t>
        </w:r>
      </w:hyperlink>
    </w:p>
    <w:p>
      <w:pPr>
        <w:pStyle w:val="Übersicht"/>
        <w:ind w:left="1361"/>
      </w:pPr>
      <w:hyperlink w:anchor="b2440" w:history="1">
        <w:r>
          <w:rPr>
            <w:color w:val="0A3A8C"/>
            <w:u w:val="single"/>
          </w:rPr>
          <w:t xml:space="preserve">§ 1994 Inventarfrist</w:t>
        </w:r>
      </w:hyperlink>
    </w:p>
    <w:p>
      <w:pPr>
        <w:pStyle w:val="Übersicht"/>
        <w:ind w:left="1361"/>
      </w:pPr>
      <w:hyperlink w:anchor="b2441" w:history="1">
        <w:r>
          <w:rPr>
            <w:color w:val="0A3A8C"/>
            <w:u w:val="single"/>
          </w:rPr>
          <w:t xml:space="preserve">§ 1995 Dauer der Frist</w:t>
        </w:r>
      </w:hyperlink>
    </w:p>
    <w:p>
      <w:pPr>
        <w:pStyle w:val="Übersicht"/>
        <w:ind w:left="1361"/>
      </w:pPr>
      <w:hyperlink w:anchor="b2442" w:history="1">
        <w:r>
          <w:rPr>
            <w:color w:val="0A3A8C"/>
            <w:u w:val="single"/>
          </w:rPr>
          <w:t xml:space="preserve">§ 1996 Bestimmung einer neuen Frist</w:t>
        </w:r>
      </w:hyperlink>
    </w:p>
    <w:p>
      <w:pPr>
        <w:pStyle w:val="Übersicht"/>
        <w:ind w:left="1361"/>
      </w:pPr>
      <w:hyperlink w:anchor="b2443" w:history="1">
        <w:r>
          <w:rPr>
            <w:color w:val="0A3A8C"/>
            <w:u w:val="single"/>
          </w:rPr>
          <w:t xml:space="preserve">§ 1997 Hemmung des Fristablaufs</w:t>
        </w:r>
      </w:hyperlink>
    </w:p>
    <w:p>
      <w:pPr>
        <w:pStyle w:val="Übersicht"/>
        <w:ind w:left="1361"/>
      </w:pPr>
      <w:hyperlink w:anchor="b2444" w:history="1">
        <w:r>
          <w:rPr>
            <w:color w:val="0A3A8C"/>
            <w:u w:val="single"/>
          </w:rPr>
          <w:t xml:space="preserve">§ 1998 Tod des Erben vor Fristablauf</w:t>
        </w:r>
      </w:hyperlink>
    </w:p>
    <w:p>
      <w:pPr>
        <w:pStyle w:val="Übersicht"/>
        <w:ind w:left="1361"/>
      </w:pPr>
      <w:hyperlink w:anchor="b2445" w:history="1">
        <w:r>
          <w:rPr>
            <w:color w:val="0A3A8C"/>
            <w:u w:val="single"/>
          </w:rPr>
          <w:t xml:space="preserve">§ 1999 Mitteilung an das Gericht</w:t>
        </w:r>
      </w:hyperlink>
    </w:p>
    <w:p>
      <w:pPr>
        <w:pStyle w:val="Übersicht"/>
        <w:ind w:left="1361"/>
      </w:pPr>
      <w:hyperlink w:anchor="b2446" w:history="1">
        <w:r>
          <w:rPr>
            <w:color w:val="0A3A8C"/>
            <w:u w:val="single"/>
          </w:rPr>
          <w:t xml:space="preserve">§ 2000 Unwirksamkeit der Fristbestimmung</w:t>
        </w:r>
      </w:hyperlink>
    </w:p>
    <w:p>
      <w:pPr>
        <w:pStyle w:val="Übersicht"/>
        <w:ind w:left="1361"/>
      </w:pPr>
      <w:hyperlink w:anchor="b2447" w:history="1">
        <w:r>
          <w:rPr>
            <w:color w:val="0A3A8C"/>
            <w:u w:val="single"/>
          </w:rPr>
          <w:t xml:space="preserve">§ 2001 Inhalt des Inventars</w:t>
        </w:r>
      </w:hyperlink>
    </w:p>
    <w:p>
      <w:pPr>
        <w:pStyle w:val="Übersicht"/>
        <w:ind w:left="1361"/>
      </w:pPr>
      <w:hyperlink w:anchor="b2448" w:history="1">
        <w:r>
          <w:rPr>
            <w:color w:val="0A3A8C"/>
            <w:u w:val="single"/>
          </w:rPr>
          <w:t xml:space="preserve">§ 2002 Aufnahme des Inventars durch den Erben</w:t>
        </w:r>
      </w:hyperlink>
    </w:p>
    <w:p>
      <w:pPr>
        <w:pStyle w:val="Übersicht"/>
        <w:ind w:left="1361"/>
      </w:pPr>
      <w:hyperlink w:anchor="b2449" w:history="1">
        <w:r>
          <w:rPr>
            <w:color w:val="0A3A8C"/>
            <w:u w:val="single"/>
          </w:rPr>
          <w:t xml:space="preserve">§ 2003 Amtliche Aufnahme des Inventars</w:t>
        </w:r>
      </w:hyperlink>
    </w:p>
    <w:p>
      <w:pPr>
        <w:pStyle w:val="Übersicht"/>
        <w:ind w:left="1361"/>
      </w:pPr>
      <w:hyperlink w:anchor="b2450" w:history="1">
        <w:r>
          <w:rPr>
            <w:color w:val="0A3A8C"/>
            <w:u w:val="single"/>
          </w:rPr>
          <w:t xml:space="preserve">§ 2004 Bezugnahme auf ein vorhandenes Inventar</w:t>
        </w:r>
      </w:hyperlink>
    </w:p>
    <w:p>
      <w:pPr>
        <w:pStyle w:val="Übersicht"/>
        <w:ind w:left="1361"/>
      </w:pPr>
      <w:hyperlink w:anchor="b2451" w:history="1">
        <w:r>
          <w:rPr>
            <w:color w:val="0A3A8C"/>
            <w:u w:val="single"/>
          </w:rPr>
          <w:t xml:space="preserve">§ 2005 Unbeschränkte Haftung des Erben bei Unrichtigkeit des Inventars</w:t>
        </w:r>
      </w:hyperlink>
    </w:p>
    <w:p>
      <w:pPr>
        <w:pStyle w:val="Übersicht"/>
        <w:ind w:left="1361"/>
      </w:pPr>
      <w:hyperlink w:anchor="b2452" w:history="1">
        <w:r>
          <w:rPr>
            <w:color w:val="0A3A8C"/>
            <w:u w:val="single"/>
          </w:rPr>
          <w:t xml:space="preserve">§ 2006 Eidesstattliche Versicherung</w:t>
        </w:r>
      </w:hyperlink>
    </w:p>
    <w:p>
      <w:pPr>
        <w:pStyle w:val="Übersicht"/>
        <w:ind w:left="1361"/>
      </w:pPr>
      <w:hyperlink w:anchor="b2453" w:history="1">
        <w:r>
          <w:rPr>
            <w:color w:val="0A3A8C"/>
            <w:u w:val="single"/>
          </w:rPr>
          <w:t xml:space="preserve">§ 2007 Haftung bei mehreren Erbteilen</w:t>
        </w:r>
      </w:hyperlink>
    </w:p>
    <w:p>
      <w:pPr>
        <w:pStyle w:val="Übersicht"/>
        <w:ind w:left="1361"/>
      </w:pPr>
      <w:hyperlink w:anchor="b2454" w:history="1">
        <w:r>
          <w:rPr>
            <w:color w:val="0A3A8C"/>
            <w:u w:val="single"/>
          </w:rPr>
          <w:t xml:space="preserve">§ 2008 Inventar für eine zum Gesamtgut gehörende Erbschaft</w:t>
        </w:r>
      </w:hyperlink>
    </w:p>
    <w:p>
      <w:pPr>
        <w:pStyle w:val="Übersicht"/>
        <w:ind w:left="1361"/>
      </w:pPr>
      <w:hyperlink w:anchor="b2455" w:history="1">
        <w:r>
          <w:rPr>
            <w:color w:val="0A3A8C"/>
            <w:u w:val="single"/>
          </w:rPr>
          <w:t xml:space="preserve">§ 2009 Wirkung der Inventarerrichtung</w:t>
        </w:r>
      </w:hyperlink>
    </w:p>
    <w:p>
      <w:pPr>
        <w:pStyle w:val="Übersicht"/>
        <w:ind w:left="1361"/>
      </w:pPr>
      <w:hyperlink w:anchor="b2456" w:history="1">
        <w:r>
          <w:rPr>
            <w:color w:val="0A3A8C"/>
            <w:u w:val="single"/>
          </w:rPr>
          <w:t xml:space="preserve">§ 2010 Einsicht des Inventars</w:t>
        </w:r>
      </w:hyperlink>
    </w:p>
    <w:p>
      <w:pPr>
        <w:pStyle w:val="Übersicht"/>
        <w:ind w:left="1361"/>
      </w:pPr>
      <w:hyperlink w:anchor="b2457" w:history="1">
        <w:r>
          <w:rPr>
            <w:color w:val="0A3A8C"/>
            <w:u w:val="single"/>
          </w:rPr>
          <w:t xml:space="preserve">§ 2011 Keine Inventarfrist für den Fiskus als Erben</w:t>
        </w:r>
      </w:hyperlink>
    </w:p>
    <w:p>
      <w:pPr>
        <w:pStyle w:val="Übersicht"/>
        <w:ind w:left="1361"/>
      </w:pPr>
      <w:hyperlink w:anchor="b2458" w:history="1">
        <w:r>
          <w:rPr>
            <w:color w:val="0A3A8C"/>
            <w:u w:val="single"/>
          </w:rPr>
          <w:t xml:space="preserve">§ 2012 Keine Inventarfrist für den Nachlasspfleger und Nachlassverwalter</w:t>
        </w:r>
      </w:hyperlink>
    </w:p>
    <w:p>
      <w:pPr>
        <w:pStyle w:val="Übersicht"/>
        <w:ind w:left="1361"/>
      </w:pPr>
      <w:hyperlink w:anchor="b2459" w:history="1">
        <w:r>
          <w:rPr>
            <w:color w:val="0A3A8C"/>
            <w:u w:val="single"/>
          </w:rPr>
          <w:t xml:space="preserve">§ 2013 Folgen der unbeschränkten Haftung des Erben</w:t>
        </w:r>
      </w:hyperlink>
    </w:p>
    <w:p>
      <w:pPr>
        <w:pStyle w:val="Übersicht"/>
        <w:ind w:left="1020"/>
      </w:pPr>
      <w:hyperlink w:anchor="b2460" w:history="1">
        <w:r>
          <w:rPr>
            <w:b/>
            <w:color w:val="0A3A8C"/>
            <w:u w:val="single"/>
          </w:rPr>
          <w:t xml:space="preserve">Untertitel 5 Aufschiebende Einreden</w:t>
        </w:r>
      </w:hyperlink>
    </w:p>
    <w:p>
      <w:pPr>
        <w:pStyle w:val="Übersicht"/>
        <w:ind w:left="1361"/>
      </w:pPr>
      <w:hyperlink w:anchor="b2461" w:history="1">
        <w:r>
          <w:rPr>
            <w:color w:val="0A3A8C"/>
            <w:u w:val="single"/>
          </w:rPr>
          <w:t xml:space="preserve">§ 2014 Dreimonatseinrede</w:t>
        </w:r>
      </w:hyperlink>
    </w:p>
    <w:p>
      <w:pPr>
        <w:pStyle w:val="Übersicht"/>
        <w:ind w:left="1361"/>
      </w:pPr>
      <w:hyperlink w:anchor="b2462" w:history="1">
        <w:r>
          <w:rPr>
            <w:color w:val="0A3A8C"/>
            <w:u w:val="single"/>
          </w:rPr>
          <w:t xml:space="preserve">§ 2015 Einrede des Aufgebotsverfahrens</w:t>
        </w:r>
      </w:hyperlink>
    </w:p>
    <w:p>
      <w:pPr>
        <w:pStyle w:val="Übersicht"/>
        <w:ind w:left="1361"/>
      </w:pPr>
      <w:hyperlink w:anchor="b2463" w:history="1">
        <w:r>
          <w:rPr>
            <w:color w:val="0A3A8C"/>
            <w:u w:val="single"/>
          </w:rPr>
          <w:t xml:space="preserve">§ 2016 Ausschluss der Einreden bei unbeschränkter Erbenhaftung</w:t>
        </w:r>
      </w:hyperlink>
    </w:p>
    <w:p>
      <w:pPr>
        <w:pStyle w:val="Übersicht"/>
        <w:ind w:left="1361"/>
      </w:pPr>
      <w:hyperlink w:anchor="b2464" w:history="1">
        <w:r>
          <w:rPr>
            <w:color w:val="0A3A8C"/>
            <w:u w:val="single"/>
          </w:rPr>
          <w:t xml:space="preserve">§ 2017 Fristbeginn bei Nachlasspflegschaft</w:t>
        </w:r>
      </w:hyperlink>
    </w:p>
    <w:p>
      <w:pPr>
        <w:pStyle w:val="Übersicht"/>
        <w:ind w:left="680"/>
      </w:pPr>
      <w:hyperlink w:anchor="b2465" w:history="1">
        <w:r>
          <w:rPr>
            <w:b/>
            <w:color w:val="0A3A8C"/>
            <w:u w:val="single"/>
          </w:rPr>
          <w:t xml:space="preserve">Titel 3 Erbschaftsanspruch</w:t>
        </w:r>
      </w:hyperlink>
    </w:p>
    <w:p>
      <w:pPr>
        <w:pStyle w:val="Übersicht"/>
        <w:ind w:left="1020"/>
      </w:pPr>
      <w:hyperlink w:anchor="b2466" w:history="1">
        <w:r>
          <w:rPr>
            <w:color w:val="0A3A8C"/>
            <w:u w:val="single"/>
          </w:rPr>
          <w:t xml:space="preserve">§ 2018 Herausgabepflicht des Erbschaftsbesitzers</w:t>
        </w:r>
      </w:hyperlink>
    </w:p>
    <w:p>
      <w:pPr>
        <w:pStyle w:val="Übersicht"/>
        <w:ind w:left="1020"/>
      </w:pPr>
      <w:hyperlink w:anchor="b2467" w:history="1">
        <w:r>
          <w:rPr>
            <w:color w:val="0A3A8C"/>
            <w:u w:val="single"/>
          </w:rPr>
          <w:t xml:space="preserve">§ 2019 Unmittelbare Ersetzung</w:t>
        </w:r>
      </w:hyperlink>
    </w:p>
    <w:p>
      <w:pPr>
        <w:pStyle w:val="Übersicht"/>
        <w:ind w:left="1020"/>
      </w:pPr>
      <w:hyperlink w:anchor="b2468" w:history="1">
        <w:r>
          <w:rPr>
            <w:color w:val="0A3A8C"/>
            <w:u w:val="single"/>
          </w:rPr>
          <w:t xml:space="preserve">§ 2020 Nutzungen und Früchte</w:t>
        </w:r>
      </w:hyperlink>
    </w:p>
    <w:p>
      <w:pPr>
        <w:pStyle w:val="Übersicht"/>
        <w:ind w:left="1020"/>
      </w:pPr>
      <w:hyperlink w:anchor="b2469" w:history="1">
        <w:r>
          <w:rPr>
            <w:color w:val="0A3A8C"/>
            <w:u w:val="single"/>
          </w:rPr>
          <w:t xml:space="preserve">§ 2021 Herausgabepflicht nach Bereicherungsgrundsätzen</w:t>
        </w:r>
      </w:hyperlink>
    </w:p>
    <w:p>
      <w:pPr>
        <w:pStyle w:val="Übersicht"/>
        <w:ind w:left="1020"/>
      </w:pPr>
      <w:hyperlink w:anchor="b2470" w:history="1">
        <w:r>
          <w:rPr>
            <w:color w:val="0A3A8C"/>
            <w:u w:val="single"/>
          </w:rPr>
          <w:t xml:space="preserve">§ 2022 Ersatz von Verwendungen und Aufwendungen</w:t>
        </w:r>
      </w:hyperlink>
    </w:p>
    <w:p>
      <w:pPr>
        <w:pStyle w:val="Übersicht"/>
        <w:ind w:left="1020"/>
      </w:pPr>
      <w:hyperlink w:anchor="b2471" w:history="1">
        <w:r>
          <w:rPr>
            <w:color w:val="0A3A8C"/>
            <w:u w:val="single"/>
          </w:rPr>
          <w:t xml:space="preserve">§ 2023 Haftung bei Rechtshängigkeit, Nutzungen und Verwendungen</w:t>
        </w:r>
      </w:hyperlink>
    </w:p>
    <w:p>
      <w:pPr>
        <w:pStyle w:val="Übersicht"/>
        <w:ind w:left="1020"/>
      </w:pPr>
      <w:hyperlink w:anchor="b2472" w:history="1">
        <w:r>
          <w:rPr>
            <w:color w:val="0A3A8C"/>
            <w:u w:val="single"/>
          </w:rPr>
          <w:t xml:space="preserve">§ 2024 Haftung bei Kenntnis</w:t>
        </w:r>
      </w:hyperlink>
    </w:p>
    <w:p>
      <w:pPr>
        <w:pStyle w:val="Übersicht"/>
        <w:ind w:left="1020"/>
      </w:pPr>
      <w:hyperlink w:anchor="b2473" w:history="1">
        <w:r>
          <w:rPr>
            <w:color w:val="0A3A8C"/>
            <w:u w:val="single"/>
          </w:rPr>
          <w:t xml:space="preserve">§ 2025 Haftung bei unerlaubter Handlung</w:t>
        </w:r>
      </w:hyperlink>
    </w:p>
    <w:p>
      <w:pPr>
        <w:pStyle w:val="Übersicht"/>
        <w:ind w:left="1020"/>
      </w:pPr>
      <w:hyperlink w:anchor="b2474" w:history="1">
        <w:r>
          <w:rPr>
            <w:color w:val="0A3A8C"/>
            <w:u w:val="single"/>
          </w:rPr>
          <w:t xml:space="preserve">§ 2026 Keine Berufung auf Ersitzung</w:t>
        </w:r>
      </w:hyperlink>
    </w:p>
    <w:p>
      <w:pPr>
        <w:pStyle w:val="Übersicht"/>
        <w:ind w:left="1020"/>
      </w:pPr>
      <w:hyperlink w:anchor="b2475" w:history="1">
        <w:r>
          <w:rPr>
            <w:color w:val="0A3A8C"/>
            <w:u w:val="single"/>
          </w:rPr>
          <w:t xml:space="preserve">§ 2027 Auskunftspflicht des Erbschaftsbesitzers</w:t>
        </w:r>
      </w:hyperlink>
    </w:p>
    <w:p>
      <w:pPr>
        <w:pStyle w:val="Übersicht"/>
        <w:ind w:left="1020"/>
      </w:pPr>
      <w:hyperlink w:anchor="b2476" w:history="1">
        <w:r>
          <w:rPr>
            <w:color w:val="0A3A8C"/>
            <w:u w:val="single"/>
          </w:rPr>
          <w:t xml:space="preserve">§ 2028 Auskunftspflicht des Hausgenossen</w:t>
        </w:r>
      </w:hyperlink>
    </w:p>
    <w:p>
      <w:pPr>
        <w:pStyle w:val="Übersicht"/>
        <w:ind w:left="1020"/>
      </w:pPr>
      <w:hyperlink w:anchor="b2477" w:history="1">
        <w:r>
          <w:rPr>
            <w:color w:val="0A3A8C"/>
            <w:u w:val="single"/>
          </w:rPr>
          <w:t xml:space="preserve">§ 2029 Haftung bei Einzelansprüchen des Erben</w:t>
        </w:r>
      </w:hyperlink>
    </w:p>
    <w:p>
      <w:pPr>
        <w:pStyle w:val="Übersicht"/>
        <w:ind w:left="1020"/>
      </w:pPr>
      <w:hyperlink w:anchor="b2478" w:history="1">
        <w:r>
          <w:rPr>
            <w:color w:val="0A3A8C"/>
            <w:u w:val="single"/>
          </w:rPr>
          <w:t xml:space="preserve">§ 2030 Rechtsstellung des Erbschaftserwerbers</w:t>
        </w:r>
      </w:hyperlink>
    </w:p>
    <w:p>
      <w:pPr>
        <w:pStyle w:val="Übersicht"/>
        <w:ind w:left="1020"/>
      </w:pPr>
      <w:hyperlink w:anchor="b2479" w:history="1">
        <w:r>
          <w:rPr>
            <w:color w:val="0A3A8C"/>
            <w:u w:val="single"/>
          </w:rPr>
          <w:t xml:space="preserve">§ 2031 Herausgabeanspruch des für tot Erklärten</w:t>
        </w:r>
      </w:hyperlink>
    </w:p>
    <w:p>
      <w:pPr>
        <w:pStyle w:val="Übersicht"/>
        <w:ind w:left="680"/>
      </w:pPr>
      <w:hyperlink w:anchor="b2480" w:history="1">
        <w:r>
          <w:rPr>
            <w:b/>
            <w:color w:val="0A3A8C"/>
            <w:u w:val="single"/>
          </w:rPr>
          <w:t xml:space="preserve">Titel 4 Mehrheit von Erben</w:t>
        </w:r>
      </w:hyperlink>
    </w:p>
    <w:p>
      <w:pPr>
        <w:pStyle w:val="Übersicht"/>
        <w:ind w:left="1020"/>
      </w:pPr>
      <w:hyperlink w:anchor="b2481" w:history="1">
        <w:r>
          <w:rPr>
            <w:b/>
            <w:color w:val="0A3A8C"/>
            <w:u w:val="single"/>
          </w:rPr>
          <w:t xml:space="preserve">Untertitel 1 Rechtsverhältnis der Erben untereinander</w:t>
        </w:r>
      </w:hyperlink>
    </w:p>
    <w:p>
      <w:pPr>
        <w:pStyle w:val="Übersicht"/>
        <w:ind w:left="1361"/>
      </w:pPr>
      <w:hyperlink w:anchor="b2482" w:history="1">
        <w:r>
          <w:rPr>
            <w:color w:val="0A3A8C"/>
            <w:u w:val="single"/>
          </w:rPr>
          <w:t xml:space="preserve">§ 2032 Erbengemeinschaft</w:t>
        </w:r>
      </w:hyperlink>
    </w:p>
    <w:p>
      <w:pPr>
        <w:pStyle w:val="Übersicht"/>
        <w:ind w:left="1361"/>
      </w:pPr>
      <w:hyperlink w:anchor="b2483" w:history="1">
        <w:r>
          <w:rPr>
            <w:color w:val="0A3A8C"/>
            <w:u w:val="single"/>
          </w:rPr>
          <w:t xml:space="preserve">§ 2033 Verfügungsrecht des Miterben</w:t>
        </w:r>
      </w:hyperlink>
    </w:p>
    <w:p>
      <w:pPr>
        <w:pStyle w:val="Übersicht"/>
        <w:ind w:left="1361"/>
      </w:pPr>
      <w:hyperlink w:anchor="b2484" w:history="1">
        <w:r>
          <w:rPr>
            <w:color w:val="0A3A8C"/>
            <w:u w:val="single"/>
          </w:rPr>
          <w:t xml:space="preserve">§ 2034 Vorkaufsrecht gegenüber dem Verkäufer</w:t>
        </w:r>
      </w:hyperlink>
    </w:p>
    <w:p>
      <w:pPr>
        <w:pStyle w:val="Übersicht"/>
        <w:ind w:left="1361"/>
      </w:pPr>
      <w:hyperlink w:anchor="b2485" w:history="1">
        <w:r>
          <w:rPr>
            <w:color w:val="0A3A8C"/>
            <w:u w:val="single"/>
          </w:rPr>
          <w:t xml:space="preserve">§ 2035 Vorkaufsrecht gegenüber dem Käufer</w:t>
        </w:r>
      </w:hyperlink>
    </w:p>
    <w:p>
      <w:pPr>
        <w:pStyle w:val="Übersicht"/>
        <w:ind w:left="1361"/>
      </w:pPr>
      <w:hyperlink w:anchor="b2486" w:history="1">
        <w:r>
          <w:rPr>
            <w:color w:val="0A3A8C"/>
            <w:u w:val="single"/>
          </w:rPr>
          <w:t xml:space="preserve">§ 2036 Haftung des Erbteilkäufers</w:t>
        </w:r>
      </w:hyperlink>
    </w:p>
    <w:p>
      <w:pPr>
        <w:pStyle w:val="Übersicht"/>
        <w:ind w:left="1361"/>
      </w:pPr>
      <w:hyperlink w:anchor="b2487" w:history="1">
        <w:r>
          <w:rPr>
            <w:color w:val="0A3A8C"/>
            <w:u w:val="single"/>
          </w:rPr>
          <w:t xml:space="preserve">§ 2037 Weiterveräußerung des Erbteils</w:t>
        </w:r>
      </w:hyperlink>
    </w:p>
    <w:p>
      <w:pPr>
        <w:pStyle w:val="Übersicht"/>
        <w:ind w:left="1361"/>
      </w:pPr>
      <w:hyperlink w:anchor="b2488" w:history="1">
        <w:r>
          <w:rPr>
            <w:color w:val="0A3A8C"/>
            <w:u w:val="single"/>
          </w:rPr>
          <w:t xml:space="preserve">§ 2038 Gemeinschaftliche Verwaltung des Nachlasses</w:t>
        </w:r>
      </w:hyperlink>
    </w:p>
    <w:p>
      <w:pPr>
        <w:pStyle w:val="Übersicht"/>
        <w:ind w:left="1361"/>
      </w:pPr>
      <w:hyperlink w:anchor="b2489" w:history="1">
        <w:r>
          <w:rPr>
            <w:color w:val="0A3A8C"/>
            <w:u w:val="single"/>
          </w:rPr>
          <w:t xml:space="preserve">§ 2039 Nachlassforderungen</w:t>
        </w:r>
      </w:hyperlink>
    </w:p>
    <w:p>
      <w:pPr>
        <w:pStyle w:val="Übersicht"/>
        <w:ind w:left="1361"/>
      </w:pPr>
      <w:hyperlink w:anchor="b2490" w:history="1">
        <w:r>
          <w:rPr>
            <w:color w:val="0A3A8C"/>
            <w:u w:val="single"/>
          </w:rPr>
          <w:t xml:space="preserve">§ 2040 Verfügung über Nachlassgegenstände, Aufrechnung</w:t>
        </w:r>
      </w:hyperlink>
    </w:p>
    <w:p>
      <w:pPr>
        <w:pStyle w:val="Übersicht"/>
        <w:ind w:left="1361"/>
      </w:pPr>
      <w:hyperlink w:anchor="b2491" w:history="1">
        <w:r>
          <w:rPr>
            <w:color w:val="0A3A8C"/>
            <w:u w:val="single"/>
          </w:rPr>
          <w:t xml:space="preserve">§ 2041 Unmittelbare Ersetzung</w:t>
        </w:r>
      </w:hyperlink>
    </w:p>
    <w:p>
      <w:pPr>
        <w:pStyle w:val="Übersicht"/>
        <w:ind w:left="1361"/>
      </w:pPr>
      <w:hyperlink w:anchor="b2492" w:history="1">
        <w:r>
          <w:rPr>
            <w:color w:val="0A3A8C"/>
            <w:u w:val="single"/>
          </w:rPr>
          <w:t xml:space="preserve">§ 2042 Auseinandersetzung</w:t>
        </w:r>
      </w:hyperlink>
    </w:p>
    <w:p>
      <w:pPr>
        <w:pStyle w:val="Übersicht"/>
        <w:ind w:left="1361"/>
      </w:pPr>
      <w:hyperlink w:anchor="b2493" w:history="1">
        <w:r>
          <w:rPr>
            <w:color w:val="0A3A8C"/>
            <w:u w:val="single"/>
          </w:rPr>
          <w:t xml:space="preserve">§ 2043 Aufschub der Auseinandersetzung</w:t>
        </w:r>
      </w:hyperlink>
    </w:p>
    <w:p>
      <w:pPr>
        <w:pStyle w:val="Übersicht"/>
        <w:ind w:left="1361"/>
      </w:pPr>
      <w:hyperlink w:anchor="b2494" w:history="1">
        <w:r>
          <w:rPr>
            <w:color w:val="0A3A8C"/>
            <w:u w:val="single"/>
          </w:rPr>
          <w:t xml:space="preserve">§ 2044 Ausschluss der Auseinandersetzung</w:t>
        </w:r>
      </w:hyperlink>
    </w:p>
    <w:p>
      <w:pPr>
        <w:pStyle w:val="Übersicht"/>
        <w:ind w:left="1361"/>
      </w:pPr>
      <w:hyperlink w:anchor="b2495" w:history="1">
        <w:r>
          <w:rPr>
            <w:color w:val="0A3A8C"/>
            <w:u w:val="single"/>
          </w:rPr>
          <w:t xml:space="preserve">§ 2045 Aufschub der Auseinandersetzung</w:t>
        </w:r>
      </w:hyperlink>
    </w:p>
    <w:p>
      <w:pPr>
        <w:pStyle w:val="Übersicht"/>
        <w:ind w:left="1361"/>
      </w:pPr>
      <w:hyperlink w:anchor="b2496" w:history="1">
        <w:r>
          <w:rPr>
            <w:color w:val="0A3A8C"/>
            <w:u w:val="single"/>
          </w:rPr>
          <w:t xml:space="preserve">§ 2046 Berichtigung der Nachlassverbindlichkeiten</w:t>
        </w:r>
      </w:hyperlink>
    </w:p>
    <w:p>
      <w:pPr>
        <w:pStyle w:val="Übersicht"/>
        <w:ind w:left="1361"/>
      </w:pPr>
      <w:hyperlink w:anchor="b2497" w:history="1">
        <w:r>
          <w:rPr>
            <w:color w:val="0A3A8C"/>
            <w:u w:val="single"/>
          </w:rPr>
          <w:t xml:space="preserve">§ 2047 Verteilung des Überschusses</w:t>
        </w:r>
      </w:hyperlink>
    </w:p>
    <w:p>
      <w:pPr>
        <w:pStyle w:val="Übersicht"/>
        <w:ind w:left="1361"/>
      </w:pPr>
      <w:hyperlink w:anchor="b2498" w:history="1">
        <w:r>
          <w:rPr>
            <w:color w:val="0A3A8C"/>
            <w:u w:val="single"/>
          </w:rPr>
          <w:t xml:space="preserve">§ 2048 Teilungsanordnungen des Erblassers</w:t>
        </w:r>
      </w:hyperlink>
    </w:p>
    <w:p>
      <w:pPr>
        <w:pStyle w:val="Übersicht"/>
        <w:ind w:left="1361"/>
      </w:pPr>
      <w:hyperlink w:anchor="b2499" w:history="1">
        <w:r>
          <w:rPr>
            <w:color w:val="0A3A8C"/>
            <w:u w:val="single"/>
          </w:rPr>
          <w:t xml:space="preserve">§ 2049 Übernahme eines Landguts</w:t>
        </w:r>
      </w:hyperlink>
    </w:p>
    <w:p>
      <w:pPr>
        <w:pStyle w:val="Übersicht"/>
        <w:ind w:left="1361"/>
      </w:pPr>
      <w:hyperlink w:anchor="b2500" w:history="1">
        <w:r>
          <w:rPr>
            <w:color w:val="0A3A8C"/>
            <w:u w:val="single"/>
          </w:rPr>
          <w:t xml:space="preserve">§ 2050 Ausgleichungspflicht für Abkömmlinge als gesetzliche Erben</w:t>
        </w:r>
      </w:hyperlink>
    </w:p>
    <w:p>
      <w:pPr>
        <w:pStyle w:val="Übersicht"/>
        <w:ind w:left="1361"/>
      </w:pPr>
      <w:hyperlink w:anchor="b2501" w:history="1">
        <w:r>
          <w:rPr>
            <w:color w:val="0A3A8C"/>
            <w:u w:val="single"/>
          </w:rPr>
          <w:t xml:space="preserve">§ 2051 Ausgleichungspflicht bei Wegfall eines Abkömmlings</w:t>
        </w:r>
      </w:hyperlink>
    </w:p>
    <w:p>
      <w:pPr>
        <w:pStyle w:val="Übersicht"/>
        <w:ind w:left="1361"/>
      </w:pPr>
      <w:hyperlink w:anchor="b2502" w:history="1">
        <w:r>
          <w:rPr>
            <w:color w:val="0A3A8C"/>
            <w:u w:val="single"/>
          </w:rPr>
          <w:t xml:space="preserve">§ 2052 Ausgleichungspflicht für Abkömmlinge als gewillkürte Erben</w:t>
        </w:r>
      </w:hyperlink>
    </w:p>
    <w:p>
      <w:pPr>
        <w:pStyle w:val="Übersicht"/>
        <w:ind w:left="1361"/>
      </w:pPr>
      <w:hyperlink w:anchor="b2503" w:history="1">
        <w:r>
          <w:rPr>
            <w:color w:val="0A3A8C"/>
            <w:u w:val="single"/>
          </w:rPr>
          <w:t xml:space="preserve">§ 2053 Zuwendung an entfernteren oder angenommenen Abkömmling</w:t>
        </w:r>
      </w:hyperlink>
    </w:p>
    <w:p>
      <w:pPr>
        <w:pStyle w:val="Übersicht"/>
        <w:ind w:left="1361"/>
      </w:pPr>
      <w:hyperlink w:anchor="b2504" w:history="1">
        <w:r>
          <w:rPr>
            <w:color w:val="0A3A8C"/>
            <w:u w:val="single"/>
          </w:rPr>
          <w:t xml:space="preserve">§ 2054 Zuwendung aus dem Gesamtgut</w:t>
        </w:r>
      </w:hyperlink>
    </w:p>
    <w:p>
      <w:pPr>
        <w:pStyle w:val="Übersicht"/>
        <w:ind w:left="1361"/>
      </w:pPr>
      <w:hyperlink w:anchor="b2505" w:history="1">
        <w:r>
          <w:rPr>
            <w:color w:val="0A3A8C"/>
            <w:u w:val="single"/>
          </w:rPr>
          <w:t xml:space="preserve">§ 2055 Durchführung der Ausgleichung</w:t>
        </w:r>
      </w:hyperlink>
    </w:p>
    <w:p>
      <w:pPr>
        <w:pStyle w:val="Übersicht"/>
        <w:ind w:left="1361"/>
      </w:pPr>
      <w:hyperlink w:anchor="b2506" w:history="1">
        <w:r>
          <w:rPr>
            <w:color w:val="0A3A8C"/>
            <w:u w:val="single"/>
          </w:rPr>
          <w:t xml:space="preserve">§ 2056 Mehrempfang</w:t>
        </w:r>
      </w:hyperlink>
    </w:p>
    <w:p>
      <w:pPr>
        <w:pStyle w:val="Übersicht"/>
        <w:ind w:left="1361"/>
      </w:pPr>
      <w:hyperlink w:anchor="b2507" w:history="1">
        <w:r>
          <w:rPr>
            <w:color w:val="0A3A8C"/>
            <w:u w:val="single"/>
          </w:rPr>
          <w:t xml:space="preserve">§ 2057 Auskunftspflicht</w:t>
        </w:r>
      </w:hyperlink>
    </w:p>
    <w:p>
      <w:pPr>
        <w:pStyle w:val="Übersicht"/>
        <w:ind w:left="1361"/>
      </w:pPr>
      <w:hyperlink w:anchor="b2508" w:history="1">
        <w:r>
          <w:rPr>
            <w:color w:val="0A3A8C"/>
            <w:u w:val="single"/>
          </w:rPr>
          <w:t xml:space="preserve">§ 2057a Ausgleichungspflicht bei besonderen Leistungen eines Abkömmlings</w:t>
        </w:r>
      </w:hyperlink>
    </w:p>
    <w:p>
      <w:pPr>
        <w:pStyle w:val="Übersicht"/>
        <w:ind w:left="1020"/>
      </w:pPr>
      <w:hyperlink w:anchor="b2509" w:history="1">
        <w:r>
          <w:rPr>
            <w:b/>
            <w:color w:val="0A3A8C"/>
            <w:u w:val="single"/>
          </w:rPr>
          <w:t xml:space="preserve">Untertitel 2 Rechtsverhältnis zwischen
den Erben und den Nachlassgläubigern</w:t>
        </w:r>
      </w:hyperlink>
    </w:p>
    <w:p>
      <w:pPr>
        <w:pStyle w:val="Übersicht"/>
        <w:ind w:left="1361"/>
      </w:pPr>
      <w:hyperlink w:anchor="b2510" w:history="1">
        <w:r>
          <w:rPr>
            <w:color w:val="0A3A8C"/>
            <w:u w:val="single"/>
          </w:rPr>
          <w:t xml:space="preserve">§ 2058 Gesamtschuldnerische Haftung</w:t>
        </w:r>
      </w:hyperlink>
    </w:p>
    <w:p>
      <w:pPr>
        <w:pStyle w:val="Übersicht"/>
        <w:ind w:left="1361"/>
      </w:pPr>
      <w:hyperlink w:anchor="b2511" w:history="1">
        <w:r>
          <w:rPr>
            <w:color w:val="0A3A8C"/>
            <w:u w:val="single"/>
          </w:rPr>
          <w:t xml:space="preserve">§ 2059 Haftung bis zur Teilung</w:t>
        </w:r>
      </w:hyperlink>
    </w:p>
    <w:p>
      <w:pPr>
        <w:pStyle w:val="Übersicht"/>
        <w:ind w:left="1361"/>
      </w:pPr>
      <w:hyperlink w:anchor="b2512" w:history="1">
        <w:r>
          <w:rPr>
            <w:color w:val="0A3A8C"/>
            <w:u w:val="single"/>
          </w:rPr>
          <w:t xml:space="preserve">§ 2060 Haftung nach der Teilung</w:t>
        </w:r>
      </w:hyperlink>
    </w:p>
    <w:p>
      <w:pPr>
        <w:pStyle w:val="Übersicht"/>
        <w:ind w:left="1361"/>
      </w:pPr>
      <w:hyperlink w:anchor="b2513" w:history="1">
        <w:r>
          <w:rPr>
            <w:color w:val="0A3A8C"/>
            <w:u w:val="single"/>
          </w:rPr>
          <w:t xml:space="preserve">§ 2061 Aufgebot der Nachlassgläubiger</w:t>
        </w:r>
      </w:hyperlink>
    </w:p>
    <w:p>
      <w:pPr>
        <w:pStyle w:val="Übersicht"/>
        <w:ind w:left="1361"/>
      </w:pPr>
      <w:hyperlink w:anchor="b2514" w:history="1">
        <w:r>
          <w:rPr>
            <w:color w:val="0A3A8C"/>
            <w:u w:val="single"/>
          </w:rPr>
          <w:t xml:space="preserve">§ 2062 Antrag auf Nachlassverwaltung</w:t>
        </w:r>
      </w:hyperlink>
    </w:p>
    <w:p>
      <w:pPr>
        <w:pStyle w:val="Übersicht"/>
        <w:ind w:left="1361"/>
      </w:pPr>
      <w:hyperlink w:anchor="b2515" w:history="1">
        <w:r>
          <w:rPr>
            <w:color w:val="0A3A8C"/>
            <w:u w:val="single"/>
          </w:rPr>
          <w:t xml:space="preserve">§ 2063 Errichtung eines Inventars, Haftungsbeschränkung</w:t>
        </w:r>
      </w:hyperlink>
    </w:p>
    <w:p>
      <w:pPr>
        <w:pStyle w:val="Übersicht"/>
        <w:ind w:left="340"/>
      </w:pPr>
      <w:hyperlink w:anchor="b2516" w:history="1">
        <w:r>
          <w:rPr>
            <w:b/>
            <w:color w:val="0A3A8C"/>
            <w:u w:val="single"/>
          </w:rPr>
          <w:t xml:space="preserve">Abschnitt 3 Testament</w:t>
        </w:r>
      </w:hyperlink>
    </w:p>
    <w:p>
      <w:pPr>
        <w:pStyle w:val="Übersicht"/>
        <w:ind w:left="680"/>
      </w:pPr>
      <w:hyperlink w:anchor="b2517" w:history="1">
        <w:r>
          <w:rPr>
            <w:b/>
            <w:color w:val="0A3A8C"/>
            <w:u w:val="single"/>
          </w:rPr>
          <w:t xml:space="preserve">Titel 1 Allgemeine Vorschriften</w:t>
        </w:r>
      </w:hyperlink>
    </w:p>
    <w:p>
      <w:pPr>
        <w:pStyle w:val="Übersicht"/>
        <w:ind w:left="1020"/>
      </w:pPr>
      <w:hyperlink w:anchor="b2518" w:history="1">
        <w:r>
          <w:rPr>
            <w:color w:val="0A3A8C"/>
            <w:u w:val="single"/>
          </w:rPr>
          <w:t xml:space="preserve">§ 2064 Persönliche Errichtung</w:t>
        </w:r>
      </w:hyperlink>
    </w:p>
    <w:p>
      <w:pPr>
        <w:pStyle w:val="Übersicht"/>
        <w:ind w:left="1020"/>
      </w:pPr>
      <w:hyperlink w:anchor="b2519" w:history="1">
        <w:r>
          <w:rPr>
            <w:color w:val="0A3A8C"/>
            <w:u w:val="single"/>
          </w:rPr>
          <w:t xml:space="preserve">§ 2065 Bestimmung durch Dritte</w:t>
        </w:r>
      </w:hyperlink>
    </w:p>
    <w:p>
      <w:pPr>
        <w:pStyle w:val="Übersicht"/>
        <w:ind w:left="1020"/>
      </w:pPr>
      <w:hyperlink w:anchor="b2520" w:history="1">
        <w:r>
          <w:rPr>
            <w:color w:val="0A3A8C"/>
            <w:u w:val="single"/>
          </w:rPr>
          <w:t xml:space="preserve">§ 2066 Gesetzliche Erben des Erblassers</w:t>
        </w:r>
      </w:hyperlink>
    </w:p>
    <w:p>
      <w:pPr>
        <w:pStyle w:val="Übersicht"/>
        <w:ind w:left="1020"/>
      </w:pPr>
      <w:hyperlink w:anchor="b2521" w:history="1">
        <w:r>
          <w:rPr>
            <w:color w:val="0A3A8C"/>
            <w:u w:val="single"/>
          </w:rPr>
          <w:t xml:space="preserve">§ 2067 Verwandte des Erblassers</w:t>
        </w:r>
      </w:hyperlink>
    </w:p>
    <w:p>
      <w:pPr>
        <w:pStyle w:val="Übersicht"/>
        <w:ind w:left="1020"/>
      </w:pPr>
      <w:hyperlink w:anchor="b2522" w:history="1">
        <w:r>
          <w:rPr>
            <w:color w:val="0A3A8C"/>
            <w:u w:val="single"/>
          </w:rPr>
          <w:t xml:space="preserve">§ 2068 Kinder des Erblassers</w:t>
        </w:r>
      </w:hyperlink>
    </w:p>
    <w:p>
      <w:pPr>
        <w:pStyle w:val="Übersicht"/>
        <w:ind w:left="1020"/>
      </w:pPr>
      <w:hyperlink w:anchor="b2523" w:history="1">
        <w:r>
          <w:rPr>
            <w:color w:val="0A3A8C"/>
            <w:u w:val="single"/>
          </w:rPr>
          <w:t xml:space="preserve">§ 2069 Abkömmlinge des Erblassers</w:t>
        </w:r>
      </w:hyperlink>
    </w:p>
    <w:p>
      <w:pPr>
        <w:pStyle w:val="Übersicht"/>
        <w:ind w:left="1020"/>
      </w:pPr>
      <w:hyperlink w:anchor="b2524" w:history="1">
        <w:r>
          <w:rPr>
            <w:color w:val="0A3A8C"/>
            <w:u w:val="single"/>
          </w:rPr>
          <w:t xml:space="preserve">§ 2070 Abkömmlinge eines Dritten</w:t>
        </w:r>
      </w:hyperlink>
    </w:p>
    <w:p>
      <w:pPr>
        <w:pStyle w:val="Übersicht"/>
        <w:ind w:left="1020"/>
      </w:pPr>
      <w:hyperlink w:anchor="b2525" w:history="1">
        <w:r>
          <w:rPr>
            <w:color w:val="0A3A8C"/>
            <w:u w:val="single"/>
          </w:rPr>
          <w:t xml:space="preserve">§ 2071 Personengruppe</w:t>
        </w:r>
      </w:hyperlink>
    </w:p>
    <w:p>
      <w:pPr>
        <w:pStyle w:val="Übersicht"/>
        <w:ind w:left="1020"/>
      </w:pPr>
      <w:hyperlink w:anchor="b2526" w:history="1">
        <w:r>
          <w:rPr>
            <w:color w:val="0A3A8C"/>
            <w:u w:val="single"/>
          </w:rPr>
          <w:t xml:space="preserve">§ 2072 Die Armen</w:t>
        </w:r>
      </w:hyperlink>
    </w:p>
    <w:p>
      <w:pPr>
        <w:pStyle w:val="Übersicht"/>
        <w:ind w:left="1020"/>
      </w:pPr>
      <w:hyperlink w:anchor="b2527" w:history="1">
        <w:r>
          <w:rPr>
            <w:color w:val="0A3A8C"/>
            <w:u w:val="single"/>
          </w:rPr>
          <w:t xml:space="preserve">§ 2073 Mehrdeutige Bezeichnung</w:t>
        </w:r>
      </w:hyperlink>
    </w:p>
    <w:p>
      <w:pPr>
        <w:pStyle w:val="Übersicht"/>
        <w:ind w:left="1020"/>
      </w:pPr>
      <w:hyperlink w:anchor="b2528" w:history="1">
        <w:r>
          <w:rPr>
            <w:color w:val="0A3A8C"/>
            <w:u w:val="single"/>
          </w:rPr>
          <w:t xml:space="preserve">§ 2074 Aufschiebende Bedingung</w:t>
        </w:r>
      </w:hyperlink>
    </w:p>
    <w:p>
      <w:pPr>
        <w:pStyle w:val="Übersicht"/>
        <w:ind w:left="1020"/>
      </w:pPr>
      <w:hyperlink w:anchor="b2529" w:history="1">
        <w:r>
          <w:rPr>
            <w:color w:val="0A3A8C"/>
            <w:u w:val="single"/>
          </w:rPr>
          <w:t xml:space="preserve">§ 2075 Auflösende Bedingung</w:t>
        </w:r>
      </w:hyperlink>
    </w:p>
    <w:p>
      <w:pPr>
        <w:pStyle w:val="Übersicht"/>
        <w:ind w:left="1020"/>
      </w:pPr>
      <w:hyperlink w:anchor="b2530" w:history="1">
        <w:r>
          <w:rPr>
            <w:color w:val="0A3A8C"/>
            <w:u w:val="single"/>
          </w:rPr>
          <w:t xml:space="preserve">§ 2076 Bedingung zum Vorteil eines Dritten</w:t>
        </w:r>
      </w:hyperlink>
    </w:p>
    <w:p>
      <w:pPr>
        <w:pStyle w:val="Übersicht"/>
        <w:ind w:left="1020"/>
      </w:pPr>
      <w:hyperlink w:anchor="b2531" w:history="1">
        <w:r>
          <w:rPr>
            <w:color w:val="0A3A8C"/>
            <w:u w:val="single"/>
          </w:rPr>
          <w:t xml:space="preserve">§ 2077 Unwirksamkeit letztwilliger Verfügungen bei Auflösung der Ehe oder
Verlobung</w:t>
        </w:r>
      </w:hyperlink>
    </w:p>
    <w:p>
      <w:pPr>
        <w:pStyle w:val="Übersicht"/>
        <w:ind w:left="1020"/>
      </w:pPr>
      <w:hyperlink w:anchor="b2532" w:history="1">
        <w:r>
          <w:rPr>
            <w:color w:val="0A3A8C"/>
            <w:u w:val="single"/>
          </w:rPr>
          <w:t xml:space="preserve">§ 2078 Anfechtung wegen Irrtums oder Drohung</w:t>
        </w:r>
      </w:hyperlink>
    </w:p>
    <w:p>
      <w:pPr>
        <w:pStyle w:val="Übersicht"/>
        <w:ind w:left="1020"/>
      </w:pPr>
      <w:hyperlink w:anchor="b2533" w:history="1">
        <w:r>
          <w:rPr>
            <w:color w:val="0A3A8C"/>
            <w:u w:val="single"/>
          </w:rPr>
          <w:t xml:space="preserve">§ 2079 Anfechtung wegen Übergehung eines Pflichtteilsberechtigten</w:t>
        </w:r>
      </w:hyperlink>
    </w:p>
    <w:p>
      <w:pPr>
        <w:pStyle w:val="Übersicht"/>
        <w:ind w:left="1020"/>
      </w:pPr>
      <w:hyperlink w:anchor="b2534" w:history="1">
        <w:r>
          <w:rPr>
            <w:color w:val="0A3A8C"/>
            <w:u w:val="single"/>
          </w:rPr>
          <w:t xml:space="preserve">§ 2080 Anfechtungsberechtigte</w:t>
        </w:r>
      </w:hyperlink>
    </w:p>
    <w:p>
      <w:pPr>
        <w:pStyle w:val="Übersicht"/>
        <w:ind w:left="1020"/>
      </w:pPr>
      <w:hyperlink w:anchor="b2535" w:history="1">
        <w:r>
          <w:rPr>
            <w:color w:val="0A3A8C"/>
            <w:u w:val="single"/>
          </w:rPr>
          <w:t xml:space="preserve">§ 2081 Anfechtungserklärung</w:t>
        </w:r>
      </w:hyperlink>
    </w:p>
    <w:p>
      <w:pPr>
        <w:pStyle w:val="Übersicht"/>
        <w:ind w:left="1020"/>
      </w:pPr>
      <w:hyperlink w:anchor="b2536" w:history="1">
        <w:r>
          <w:rPr>
            <w:color w:val="0A3A8C"/>
            <w:u w:val="single"/>
          </w:rPr>
          <w:t xml:space="preserve">§ 2082 Anfechtungsfrist</w:t>
        </w:r>
      </w:hyperlink>
    </w:p>
    <w:p>
      <w:pPr>
        <w:pStyle w:val="Übersicht"/>
        <w:ind w:left="1020"/>
      </w:pPr>
      <w:hyperlink w:anchor="b2537" w:history="1">
        <w:r>
          <w:rPr>
            <w:color w:val="0A3A8C"/>
            <w:u w:val="single"/>
          </w:rPr>
          <w:t xml:space="preserve">§ 2083 Anfechtbarkeitseinrede</w:t>
        </w:r>
      </w:hyperlink>
    </w:p>
    <w:p>
      <w:pPr>
        <w:pStyle w:val="Übersicht"/>
        <w:ind w:left="1020"/>
      </w:pPr>
      <w:hyperlink w:anchor="b2538" w:history="1">
        <w:r>
          <w:rPr>
            <w:color w:val="0A3A8C"/>
            <w:u w:val="single"/>
          </w:rPr>
          <w:t xml:space="preserve">§ 2084 Auslegung zugunsten der Wirksamkeit</w:t>
        </w:r>
      </w:hyperlink>
    </w:p>
    <w:p>
      <w:pPr>
        <w:pStyle w:val="Übersicht"/>
        <w:ind w:left="1020"/>
      </w:pPr>
      <w:hyperlink w:anchor="b2539" w:history="1">
        <w:r>
          <w:rPr>
            <w:color w:val="0A3A8C"/>
            <w:u w:val="single"/>
          </w:rPr>
          <w:t xml:space="preserve">§ 2085 Teilweise Unwirksamkeit</w:t>
        </w:r>
      </w:hyperlink>
    </w:p>
    <w:p>
      <w:pPr>
        <w:pStyle w:val="Übersicht"/>
        <w:ind w:left="1020"/>
      </w:pPr>
      <w:hyperlink w:anchor="b2540" w:history="1">
        <w:r>
          <w:rPr>
            <w:color w:val="0A3A8C"/>
            <w:u w:val="single"/>
          </w:rPr>
          <w:t xml:space="preserve">§ 2086 Ergänzungsvorbehalt</w:t>
        </w:r>
      </w:hyperlink>
    </w:p>
    <w:p>
      <w:pPr>
        <w:pStyle w:val="Übersicht"/>
        <w:ind w:left="680"/>
      </w:pPr>
      <w:hyperlink w:anchor="b2541" w:history="1">
        <w:r>
          <w:rPr>
            <w:b/>
            <w:color w:val="0A3A8C"/>
            <w:u w:val="single"/>
          </w:rPr>
          <w:t xml:space="preserve">Titel 2 Erbeinsetzung</w:t>
        </w:r>
      </w:hyperlink>
    </w:p>
    <w:p>
      <w:pPr>
        <w:pStyle w:val="Übersicht"/>
        <w:ind w:left="1020"/>
      </w:pPr>
      <w:hyperlink w:anchor="b2542" w:history="1">
        <w:r>
          <w:rPr>
            <w:color w:val="0A3A8C"/>
            <w:u w:val="single"/>
          </w:rPr>
          <w:t xml:space="preserve">§ 2087 Zuwendung des Vermögens, eines Bruchteils oder einzelner Gegenstände</w:t>
        </w:r>
      </w:hyperlink>
    </w:p>
    <w:p>
      <w:pPr>
        <w:pStyle w:val="Übersicht"/>
        <w:ind w:left="1020"/>
      </w:pPr>
      <w:hyperlink w:anchor="b2543" w:history="1">
        <w:r>
          <w:rPr>
            <w:color w:val="0A3A8C"/>
            <w:u w:val="single"/>
          </w:rPr>
          <w:t xml:space="preserve">§ 2088 Einsetzung auf Bruchteile</w:t>
        </w:r>
      </w:hyperlink>
    </w:p>
    <w:p>
      <w:pPr>
        <w:pStyle w:val="Übersicht"/>
        <w:ind w:left="1020"/>
      </w:pPr>
      <w:hyperlink w:anchor="b2544" w:history="1">
        <w:r>
          <w:rPr>
            <w:color w:val="0A3A8C"/>
            <w:u w:val="single"/>
          </w:rPr>
          <w:t xml:space="preserve">§ 2089 Erhöhung der Bruchteile</w:t>
        </w:r>
      </w:hyperlink>
    </w:p>
    <w:p>
      <w:pPr>
        <w:pStyle w:val="Übersicht"/>
        <w:ind w:left="1020"/>
      </w:pPr>
      <w:hyperlink w:anchor="b2545" w:history="1">
        <w:r>
          <w:rPr>
            <w:color w:val="0A3A8C"/>
            <w:u w:val="single"/>
          </w:rPr>
          <w:t xml:space="preserve">§ 2090 Minderung der Bruchteile</w:t>
        </w:r>
      </w:hyperlink>
    </w:p>
    <w:p>
      <w:pPr>
        <w:pStyle w:val="Übersicht"/>
        <w:ind w:left="1020"/>
      </w:pPr>
      <w:hyperlink w:anchor="b2546" w:history="1">
        <w:r>
          <w:rPr>
            <w:color w:val="0A3A8C"/>
            <w:u w:val="single"/>
          </w:rPr>
          <w:t xml:space="preserve">§ 2091 Unbestimmte Bruchteile</w:t>
        </w:r>
      </w:hyperlink>
    </w:p>
    <w:p>
      <w:pPr>
        <w:pStyle w:val="Übersicht"/>
        <w:ind w:left="1020"/>
      </w:pPr>
      <w:hyperlink w:anchor="b2547" w:history="1">
        <w:r>
          <w:rPr>
            <w:color w:val="0A3A8C"/>
            <w:u w:val="single"/>
          </w:rPr>
          <w:t xml:space="preserve">§ 2092 Teilweise Einsetzung auf Bruchteile</w:t>
        </w:r>
      </w:hyperlink>
    </w:p>
    <w:p>
      <w:pPr>
        <w:pStyle w:val="Übersicht"/>
        <w:ind w:left="1020"/>
      </w:pPr>
      <w:hyperlink w:anchor="b2548" w:history="1">
        <w:r>
          <w:rPr>
            <w:color w:val="0A3A8C"/>
            <w:u w:val="single"/>
          </w:rPr>
          <w:t xml:space="preserve">§ 2093 Gemeinschaftlicher Erbteil</w:t>
        </w:r>
      </w:hyperlink>
    </w:p>
    <w:p>
      <w:pPr>
        <w:pStyle w:val="Übersicht"/>
        <w:ind w:left="1020"/>
      </w:pPr>
      <w:hyperlink w:anchor="b2549" w:history="1">
        <w:r>
          <w:rPr>
            <w:color w:val="0A3A8C"/>
            <w:u w:val="single"/>
          </w:rPr>
          <w:t xml:space="preserve">§ 2094 Anwachsung</w:t>
        </w:r>
      </w:hyperlink>
    </w:p>
    <w:p>
      <w:pPr>
        <w:pStyle w:val="Übersicht"/>
        <w:ind w:left="1020"/>
      </w:pPr>
      <w:hyperlink w:anchor="b2550" w:history="1">
        <w:r>
          <w:rPr>
            <w:color w:val="0A3A8C"/>
            <w:u w:val="single"/>
          </w:rPr>
          <w:t xml:space="preserve">§ 2095 Angewachsener Erbteil</w:t>
        </w:r>
      </w:hyperlink>
    </w:p>
    <w:p>
      <w:pPr>
        <w:pStyle w:val="Übersicht"/>
        <w:ind w:left="1020"/>
      </w:pPr>
      <w:hyperlink w:anchor="b2551" w:history="1">
        <w:r>
          <w:rPr>
            <w:color w:val="0A3A8C"/>
            <w:u w:val="single"/>
          </w:rPr>
          <w:t xml:space="preserve">§ 2096 Ersatzerbe</w:t>
        </w:r>
      </w:hyperlink>
    </w:p>
    <w:p>
      <w:pPr>
        <w:pStyle w:val="Übersicht"/>
        <w:ind w:left="1020"/>
      </w:pPr>
      <w:hyperlink w:anchor="b2552" w:history="1">
        <w:r>
          <w:rPr>
            <w:color w:val="0A3A8C"/>
            <w:u w:val="single"/>
          </w:rPr>
          <w:t xml:space="preserve">§ 2097 Auslegungsregel bei Ersatzerben</w:t>
        </w:r>
      </w:hyperlink>
    </w:p>
    <w:p>
      <w:pPr>
        <w:pStyle w:val="Übersicht"/>
        <w:ind w:left="1020"/>
      </w:pPr>
      <w:hyperlink w:anchor="b2553" w:history="1">
        <w:r>
          <w:rPr>
            <w:color w:val="0A3A8C"/>
            <w:u w:val="single"/>
          </w:rPr>
          <w:t xml:space="preserve">§ 2098 Wechselseitige Einsetzung als Ersatzerben</w:t>
        </w:r>
      </w:hyperlink>
    </w:p>
    <w:p>
      <w:pPr>
        <w:pStyle w:val="Übersicht"/>
        <w:ind w:left="1020"/>
      </w:pPr>
      <w:hyperlink w:anchor="b2554" w:history="1">
        <w:r>
          <w:rPr>
            <w:color w:val="0A3A8C"/>
            <w:u w:val="single"/>
          </w:rPr>
          <w:t xml:space="preserve">§ 2099 Ersatzerbe und Anwachsung</w:t>
        </w:r>
      </w:hyperlink>
    </w:p>
    <w:p>
      <w:pPr>
        <w:pStyle w:val="Übersicht"/>
        <w:ind w:left="680"/>
      </w:pPr>
      <w:hyperlink w:anchor="b2555" w:history="1">
        <w:r>
          <w:rPr>
            <w:b/>
            <w:color w:val="0A3A8C"/>
            <w:u w:val="single"/>
          </w:rPr>
          <w:t xml:space="preserve">Titel 3 Einsetzung eines Nacherben</w:t>
        </w:r>
      </w:hyperlink>
    </w:p>
    <w:p>
      <w:pPr>
        <w:pStyle w:val="Übersicht"/>
        <w:ind w:left="1020"/>
      </w:pPr>
      <w:hyperlink w:anchor="b2556" w:history="1">
        <w:r>
          <w:rPr>
            <w:color w:val="0A3A8C"/>
            <w:u w:val="single"/>
          </w:rPr>
          <w:t xml:space="preserve">§ 2100 Nacherbe</w:t>
        </w:r>
      </w:hyperlink>
    </w:p>
    <w:p>
      <w:pPr>
        <w:pStyle w:val="Übersicht"/>
        <w:ind w:left="1020"/>
      </w:pPr>
      <w:hyperlink w:anchor="b2557" w:history="1">
        <w:r>
          <w:rPr>
            <w:color w:val="0A3A8C"/>
            <w:u w:val="single"/>
          </w:rPr>
          <w:t xml:space="preserve">§ 2101 Noch nicht gezeugter Nacherbe</w:t>
        </w:r>
      </w:hyperlink>
    </w:p>
    <w:p>
      <w:pPr>
        <w:pStyle w:val="Übersicht"/>
        <w:ind w:left="1020"/>
      </w:pPr>
      <w:hyperlink w:anchor="b2558" w:history="1">
        <w:r>
          <w:rPr>
            <w:color w:val="0A3A8C"/>
            <w:u w:val="single"/>
          </w:rPr>
          <w:t xml:space="preserve">§ 2102 Nacherbe und Ersatzerbe</w:t>
        </w:r>
      </w:hyperlink>
    </w:p>
    <w:p>
      <w:pPr>
        <w:pStyle w:val="Übersicht"/>
        <w:ind w:left="1020"/>
      </w:pPr>
      <w:hyperlink w:anchor="b2559" w:history="1">
        <w:r>
          <w:rPr>
            <w:color w:val="0A3A8C"/>
            <w:u w:val="single"/>
          </w:rPr>
          <w:t xml:space="preserve">§ 2103 Anordnung der Herausgabe der Erbschaft</w:t>
        </w:r>
      </w:hyperlink>
    </w:p>
    <w:p>
      <w:pPr>
        <w:pStyle w:val="Übersicht"/>
        <w:ind w:left="1020"/>
      </w:pPr>
      <w:hyperlink w:anchor="b2560" w:history="1">
        <w:r>
          <w:rPr>
            <w:color w:val="0A3A8C"/>
            <w:u w:val="single"/>
          </w:rPr>
          <w:t xml:space="preserve">§ 2104 Gesetzliche Erben als Nacherben</w:t>
        </w:r>
      </w:hyperlink>
    </w:p>
    <w:p>
      <w:pPr>
        <w:pStyle w:val="Übersicht"/>
        <w:ind w:left="1020"/>
      </w:pPr>
      <w:hyperlink w:anchor="b2561" w:history="1">
        <w:r>
          <w:rPr>
            <w:color w:val="0A3A8C"/>
            <w:u w:val="single"/>
          </w:rPr>
          <w:t xml:space="preserve">§ 2105 Gesetzliche Erben als Vorerben</w:t>
        </w:r>
      </w:hyperlink>
    </w:p>
    <w:p>
      <w:pPr>
        <w:pStyle w:val="Übersicht"/>
        <w:ind w:left="1020"/>
      </w:pPr>
      <w:hyperlink w:anchor="b2562" w:history="1">
        <w:r>
          <w:rPr>
            <w:color w:val="0A3A8C"/>
            <w:u w:val="single"/>
          </w:rPr>
          <w:t xml:space="preserve">§ 2106 Eintritt der Nacherbfolge</w:t>
        </w:r>
      </w:hyperlink>
    </w:p>
    <w:p>
      <w:pPr>
        <w:pStyle w:val="Übersicht"/>
        <w:ind w:left="1020"/>
      </w:pPr>
      <w:hyperlink w:anchor="b2563" w:history="1">
        <w:r>
          <w:rPr>
            <w:color w:val="0A3A8C"/>
            <w:u w:val="single"/>
          </w:rPr>
          <w:t xml:space="preserve">§ 2107 Kinderloser Vorerbe</w:t>
        </w:r>
      </w:hyperlink>
    </w:p>
    <w:p>
      <w:pPr>
        <w:pStyle w:val="Übersicht"/>
        <w:ind w:left="1020"/>
      </w:pPr>
      <w:hyperlink w:anchor="b2564" w:history="1">
        <w:r>
          <w:rPr>
            <w:color w:val="0A3A8C"/>
            <w:u w:val="single"/>
          </w:rPr>
          <w:t xml:space="preserve">§ 2108 Erbfähigkeit; Vererblichkeit des Nacherbrechts</w:t>
        </w:r>
      </w:hyperlink>
    </w:p>
    <w:p>
      <w:pPr>
        <w:pStyle w:val="Übersicht"/>
        <w:ind w:left="1020"/>
      </w:pPr>
      <w:hyperlink w:anchor="b2565" w:history="1">
        <w:r>
          <w:rPr>
            <w:color w:val="0A3A8C"/>
            <w:u w:val="single"/>
          </w:rPr>
          <w:t xml:space="preserve">§ 2109 Unwirksamwerden der Nacherbschaft</w:t>
        </w:r>
      </w:hyperlink>
    </w:p>
    <w:p>
      <w:pPr>
        <w:pStyle w:val="Übersicht"/>
        <w:ind w:left="1020"/>
      </w:pPr>
      <w:hyperlink w:anchor="b2566" w:history="1">
        <w:r>
          <w:rPr>
            <w:color w:val="0A3A8C"/>
            <w:u w:val="single"/>
          </w:rPr>
          <w:t xml:space="preserve">§ 2110 Umfang des Nacherbrechts</w:t>
        </w:r>
      </w:hyperlink>
    </w:p>
    <w:p>
      <w:pPr>
        <w:pStyle w:val="Übersicht"/>
        <w:ind w:left="1020"/>
      </w:pPr>
      <w:hyperlink w:anchor="b2567" w:history="1">
        <w:r>
          <w:rPr>
            <w:color w:val="0A3A8C"/>
            <w:u w:val="single"/>
          </w:rPr>
          <w:t xml:space="preserve">§ 2111 Unmittelbare Ersetzung</w:t>
        </w:r>
      </w:hyperlink>
    </w:p>
    <w:p>
      <w:pPr>
        <w:pStyle w:val="Übersicht"/>
        <w:ind w:left="1020"/>
      </w:pPr>
      <w:hyperlink w:anchor="b2568" w:history="1">
        <w:r>
          <w:rPr>
            <w:color w:val="0A3A8C"/>
            <w:u w:val="single"/>
          </w:rPr>
          <w:t xml:space="preserve">§ 2112 Verfügungsrecht des Vorerben</w:t>
        </w:r>
      </w:hyperlink>
    </w:p>
    <w:p>
      <w:pPr>
        <w:pStyle w:val="Übersicht"/>
        <w:ind w:left="1020"/>
      </w:pPr>
      <w:hyperlink w:anchor="b2569" w:history="1">
        <w:r>
          <w:rPr>
            <w:color w:val="0A3A8C"/>
            <w:u w:val="single"/>
          </w:rPr>
          <w:t xml:space="preserve">§ 2113 Verfügungen über Grundstücke, Schiffe und Schiffsbauwerke; Schenkungen</w:t>
        </w:r>
      </w:hyperlink>
    </w:p>
    <w:p>
      <w:pPr>
        <w:pStyle w:val="Übersicht"/>
        <w:ind w:left="1020"/>
      </w:pPr>
      <w:hyperlink w:anchor="b2570" w:history="1">
        <w:r>
          <w:rPr>
            <w:color w:val="0A3A8C"/>
            <w:u w:val="single"/>
          </w:rPr>
          <w:t xml:space="preserve">§ 2114 Verfügungen über Hypothekenforderungen, Grund- und Rentenschulden</w:t>
        </w:r>
      </w:hyperlink>
    </w:p>
    <w:p>
      <w:pPr>
        <w:pStyle w:val="Übersicht"/>
        <w:ind w:left="1020"/>
      </w:pPr>
      <w:hyperlink w:anchor="b2571" w:history="1">
        <w:r>
          <w:rPr>
            <w:color w:val="0A3A8C"/>
            <w:u w:val="single"/>
          </w:rPr>
          <w:t xml:space="preserve">§ 2115 Zwangsvollstreckungsverfügungen gegen Vorerben</w:t>
        </w:r>
      </w:hyperlink>
    </w:p>
    <w:p>
      <w:pPr>
        <w:pStyle w:val="Übersicht"/>
        <w:ind w:left="1020"/>
      </w:pPr>
      <w:hyperlink w:anchor="b2572" w:history="1">
        <w:r>
          <w:rPr>
            <w:color w:val="0A3A8C"/>
            <w:u w:val="single"/>
          </w:rPr>
          <w:t xml:space="preserve">§ 2116 Hinterlegung von Wertpapieren</w:t>
        </w:r>
      </w:hyperlink>
    </w:p>
    <w:p>
      <w:pPr>
        <w:pStyle w:val="Übersicht"/>
        <w:ind w:left="1020"/>
      </w:pPr>
      <w:hyperlink w:anchor="b2573" w:history="1">
        <w:r>
          <w:rPr>
            <w:color w:val="0A3A8C"/>
            <w:u w:val="single"/>
          </w:rPr>
          <w:t xml:space="preserve">§ 2117 Umschreibung; Umwandlung</w:t>
        </w:r>
      </w:hyperlink>
    </w:p>
    <w:p>
      <w:pPr>
        <w:pStyle w:val="Übersicht"/>
        <w:ind w:left="1020"/>
      </w:pPr>
      <w:hyperlink w:anchor="b2574" w:history="1">
        <w:r>
          <w:rPr>
            <w:color w:val="0A3A8C"/>
            <w:u w:val="single"/>
          </w:rPr>
          <w:t xml:space="preserve">§ 2118 Sperrvermerk im Schuldbuch</w:t>
        </w:r>
      </w:hyperlink>
    </w:p>
    <w:p>
      <w:pPr>
        <w:pStyle w:val="Übersicht"/>
        <w:ind w:left="1020"/>
      </w:pPr>
      <w:hyperlink w:anchor="b2575" w:history="1">
        <w:r>
          <w:rPr>
            <w:color w:val="0A3A8C"/>
            <w:u w:val="single"/>
          </w:rPr>
          <w:t xml:space="preserve">§ 2119 Anlegung von Geld</w:t>
        </w:r>
      </w:hyperlink>
    </w:p>
    <w:p>
      <w:pPr>
        <w:pStyle w:val="Übersicht"/>
        <w:ind w:left="1020"/>
      </w:pPr>
      <w:hyperlink w:anchor="b2576" w:history="1">
        <w:r>
          <w:rPr>
            <w:color w:val="0A3A8C"/>
            <w:u w:val="single"/>
          </w:rPr>
          <w:t xml:space="preserve">§ 2120 Einwilligungspflicht des Nacherben</w:t>
        </w:r>
      </w:hyperlink>
    </w:p>
    <w:p>
      <w:pPr>
        <w:pStyle w:val="Übersicht"/>
        <w:ind w:left="1020"/>
      </w:pPr>
      <w:hyperlink w:anchor="b2577" w:history="1">
        <w:r>
          <w:rPr>
            <w:color w:val="0A3A8C"/>
            <w:u w:val="single"/>
          </w:rPr>
          <w:t xml:space="preserve">§ 2121 Verzeichnis der Erbschaftsgegenstände</w:t>
        </w:r>
      </w:hyperlink>
    </w:p>
    <w:p>
      <w:pPr>
        <w:pStyle w:val="Übersicht"/>
        <w:ind w:left="1020"/>
      </w:pPr>
      <w:hyperlink w:anchor="b2578" w:history="1">
        <w:r>
          <w:rPr>
            <w:color w:val="0A3A8C"/>
            <w:u w:val="single"/>
          </w:rPr>
          <w:t xml:space="preserve">§ 2122 Feststellung des Zustands der Erbschaft</w:t>
        </w:r>
      </w:hyperlink>
    </w:p>
    <w:p>
      <w:pPr>
        <w:pStyle w:val="Übersicht"/>
        <w:ind w:left="1020"/>
      </w:pPr>
      <w:hyperlink w:anchor="b2579" w:history="1">
        <w:r>
          <w:rPr>
            <w:color w:val="0A3A8C"/>
            <w:u w:val="single"/>
          </w:rPr>
          <w:t xml:space="preserve">§ 2123 Wirtschaftsplan</w:t>
        </w:r>
      </w:hyperlink>
    </w:p>
    <w:p>
      <w:pPr>
        <w:pStyle w:val="Übersicht"/>
        <w:ind w:left="1020"/>
      </w:pPr>
      <w:hyperlink w:anchor="b2580" w:history="1">
        <w:r>
          <w:rPr>
            <w:color w:val="0A3A8C"/>
            <w:u w:val="single"/>
          </w:rPr>
          <w:t xml:space="preserve">§ 2124 Erhaltungskosten</w:t>
        </w:r>
      </w:hyperlink>
    </w:p>
    <w:p>
      <w:pPr>
        <w:pStyle w:val="Übersicht"/>
        <w:ind w:left="1020"/>
      </w:pPr>
      <w:hyperlink w:anchor="b2581" w:history="1">
        <w:r>
          <w:rPr>
            <w:color w:val="0A3A8C"/>
            <w:u w:val="single"/>
          </w:rPr>
          <w:t xml:space="preserve">§ 2125 Verwendungen; Wegnahmerecht</w:t>
        </w:r>
      </w:hyperlink>
    </w:p>
    <w:p>
      <w:pPr>
        <w:pStyle w:val="Übersicht"/>
        <w:ind w:left="1020"/>
      </w:pPr>
      <w:hyperlink w:anchor="b2582" w:history="1">
        <w:r>
          <w:rPr>
            <w:color w:val="0A3A8C"/>
            <w:u w:val="single"/>
          </w:rPr>
          <w:t xml:space="preserve">§ 2126 Außerordentliche Lasten</w:t>
        </w:r>
      </w:hyperlink>
    </w:p>
    <w:p>
      <w:pPr>
        <w:pStyle w:val="Übersicht"/>
        <w:ind w:left="1020"/>
      </w:pPr>
      <w:hyperlink w:anchor="b2583" w:history="1">
        <w:r>
          <w:rPr>
            <w:color w:val="0A3A8C"/>
            <w:u w:val="single"/>
          </w:rPr>
          <w:t xml:space="preserve">§ 2127 Auskunftsrecht des Nacherben</w:t>
        </w:r>
      </w:hyperlink>
    </w:p>
    <w:p>
      <w:pPr>
        <w:pStyle w:val="Übersicht"/>
        <w:ind w:left="1020"/>
      </w:pPr>
      <w:hyperlink w:anchor="b2584" w:history="1">
        <w:r>
          <w:rPr>
            <w:color w:val="0A3A8C"/>
            <w:u w:val="single"/>
          </w:rPr>
          <w:t xml:space="preserve">§ 2128 Sicherheitsleistung</w:t>
        </w:r>
      </w:hyperlink>
    </w:p>
    <w:p>
      <w:pPr>
        <w:pStyle w:val="Übersicht"/>
        <w:ind w:left="1020"/>
      </w:pPr>
      <w:hyperlink w:anchor="b2585" w:history="1">
        <w:r>
          <w:rPr>
            <w:color w:val="0A3A8C"/>
            <w:u w:val="single"/>
          </w:rPr>
          <w:t xml:space="preserve">§ 2129 Wirkung einer Entziehung der Verwaltung</w:t>
        </w:r>
      </w:hyperlink>
    </w:p>
    <w:p>
      <w:pPr>
        <w:pStyle w:val="Übersicht"/>
        <w:ind w:left="1020"/>
      </w:pPr>
      <w:hyperlink w:anchor="b2586" w:history="1">
        <w:r>
          <w:rPr>
            <w:color w:val="0A3A8C"/>
            <w:u w:val="single"/>
          </w:rPr>
          <w:t xml:space="preserve">§ 2130 Herausgabepflicht nach dem Eintritt der Nacherbfolge,
Rechenschaftspflicht</w:t>
        </w:r>
      </w:hyperlink>
    </w:p>
    <w:p>
      <w:pPr>
        <w:pStyle w:val="Übersicht"/>
        <w:ind w:left="1020"/>
      </w:pPr>
      <w:hyperlink w:anchor="b2587" w:history="1">
        <w:r>
          <w:rPr>
            <w:color w:val="0A3A8C"/>
            <w:u w:val="single"/>
          </w:rPr>
          <w:t xml:space="preserve">§ 2131 Umfang der Sorgfaltspflicht</w:t>
        </w:r>
      </w:hyperlink>
    </w:p>
    <w:p>
      <w:pPr>
        <w:pStyle w:val="Übersicht"/>
        <w:ind w:left="1020"/>
      </w:pPr>
      <w:hyperlink w:anchor="b2588" w:history="1">
        <w:r>
          <w:rPr>
            <w:color w:val="0A3A8C"/>
            <w:u w:val="single"/>
          </w:rPr>
          <w:t xml:space="preserve">§ 2132 Keine Haftung für gewöhnliche Abnutzung</w:t>
        </w:r>
      </w:hyperlink>
    </w:p>
    <w:p>
      <w:pPr>
        <w:pStyle w:val="Übersicht"/>
        <w:ind w:left="1020"/>
      </w:pPr>
      <w:hyperlink w:anchor="b2589" w:history="1">
        <w:r>
          <w:rPr>
            <w:color w:val="0A3A8C"/>
            <w:u w:val="single"/>
          </w:rPr>
          <w:t xml:space="preserve">§ 2133 Ordnungswidrige oder übermäßige Fruchtziehung</w:t>
        </w:r>
      </w:hyperlink>
    </w:p>
    <w:p>
      <w:pPr>
        <w:pStyle w:val="Übersicht"/>
        <w:ind w:left="1020"/>
      </w:pPr>
      <w:hyperlink w:anchor="b2590" w:history="1">
        <w:r>
          <w:rPr>
            <w:color w:val="0A3A8C"/>
            <w:u w:val="single"/>
          </w:rPr>
          <w:t xml:space="preserve">§ 2134 Eigennützige Verwendung</w:t>
        </w:r>
      </w:hyperlink>
    </w:p>
    <w:p>
      <w:pPr>
        <w:pStyle w:val="Übersicht"/>
        <w:ind w:left="1020"/>
      </w:pPr>
      <w:hyperlink w:anchor="b2591" w:history="1">
        <w:r>
          <w:rPr>
            <w:color w:val="0A3A8C"/>
            <w:u w:val="single"/>
          </w:rPr>
          <w:t xml:space="preserve">§ 2135 Miet- und Pachtverhältnis bei der Nacherbfolge</w:t>
        </w:r>
      </w:hyperlink>
    </w:p>
    <w:p>
      <w:pPr>
        <w:pStyle w:val="Übersicht"/>
        <w:ind w:left="1020"/>
      </w:pPr>
      <w:hyperlink w:anchor="b2592" w:history="1">
        <w:r>
          <w:rPr>
            <w:color w:val="0A3A8C"/>
            <w:u w:val="single"/>
          </w:rPr>
          <w:t xml:space="preserve">§ 2136 Befreiung des Vorerben</w:t>
        </w:r>
      </w:hyperlink>
    </w:p>
    <w:p>
      <w:pPr>
        <w:pStyle w:val="Übersicht"/>
        <w:ind w:left="1020"/>
      </w:pPr>
      <w:hyperlink w:anchor="b2593" w:history="1">
        <w:r>
          <w:rPr>
            <w:color w:val="0A3A8C"/>
            <w:u w:val="single"/>
          </w:rPr>
          <w:t xml:space="preserve">§ 2137 Auslegungsregel für die Befreiung</w:t>
        </w:r>
      </w:hyperlink>
    </w:p>
    <w:p>
      <w:pPr>
        <w:pStyle w:val="Übersicht"/>
        <w:ind w:left="1020"/>
      </w:pPr>
      <w:hyperlink w:anchor="b2594" w:history="1">
        <w:r>
          <w:rPr>
            <w:color w:val="0A3A8C"/>
            <w:u w:val="single"/>
          </w:rPr>
          <w:t xml:space="preserve">§ 2138 Beschränkte Herausgabepflicht</w:t>
        </w:r>
      </w:hyperlink>
    </w:p>
    <w:p>
      <w:pPr>
        <w:pStyle w:val="Übersicht"/>
        <w:ind w:left="1020"/>
      </w:pPr>
      <w:hyperlink w:anchor="b2595" w:history="1">
        <w:r>
          <w:rPr>
            <w:color w:val="0A3A8C"/>
            <w:u w:val="single"/>
          </w:rPr>
          <w:t xml:space="preserve">§ 2139 Wirkung des Eintritts der Nacherbfolge</w:t>
        </w:r>
      </w:hyperlink>
    </w:p>
    <w:p>
      <w:pPr>
        <w:pStyle w:val="Übersicht"/>
        <w:ind w:left="1020"/>
      </w:pPr>
      <w:hyperlink w:anchor="b2596" w:history="1">
        <w:r>
          <w:rPr>
            <w:color w:val="0A3A8C"/>
            <w:u w:val="single"/>
          </w:rPr>
          <w:t xml:space="preserve">§ 2140 Verfügungen des Vorerben nach Eintritt der Nacherbfolge</w:t>
        </w:r>
      </w:hyperlink>
    </w:p>
    <w:p>
      <w:pPr>
        <w:pStyle w:val="Übersicht"/>
        <w:ind w:left="1020"/>
      </w:pPr>
      <w:hyperlink w:anchor="b2597" w:history="1">
        <w:r>
          <w:rPr>
            <w:color w:val="0A3A8C"/>
            <w:u w:val="single"/>
          </w:rPr>
          <w:t xml:space="preserve">§ 2141 Unterhalt der werdenden Mutter eines Nacherben</w:t>
        </w:r>
      </w:hyperlink>
    </w:p>
    <w:p>
      <w:pPr>
        <w:pStyle w:val="Übersicht"/>
        <w:ind w:left="1020"/>
      </w:pPr>
      <w:hyperlink w:anchor="b2598" w:history="1">
        <w:r>
          <w:rPr>
            <w:color w:val="0A3A8C"/>
            <w:u w:val="single"/>
          </w:rPr>
          <w:t xml:space="preserve">§ 2142 Ausschlagung der Nacherbschaft</w:t>
        </w:r>
      </w:hyperlink>
    </w:p>
    <w:p>
      <w:pPr>
        <w:pStyle w:val="Übersicht"/>
        <w:ind w:left="1020"/>
      </w:pPr>
      <w:hyperlink w:anchor="b2599" w:history="1">
        <w:r>
          <w:rPr>
            <w:color w:val="0A3A8C"/>
            <w:u w:val="single"/>
          </w:rPr>
          <w:t xml:space="preserve">§ 2143 Wiederaufleben erloschener Rechtsverhältnisse</w:t>
        </w:r>
      </w:hyperlink>
    </w:p>
    <w:p>
      <w:pPr>
        <w:pStyle w:val="Übersicht"/>
        <w:ind w:left="1020"/>
      </w:pPr>
      <w:hyperlink w:anchor="b2600" w:history="1">
        <w:r>
          <w:rPr>
            <w:color w:val="0A3A8C"/>
            <w:u w:val="single"/>
          </w:rPr>
          <w:t xml:space="preserve">§ 2144 Haftung des Nacherben für Nachlassverbindlichkeiten</w:t>
        </w:r>
      </w:hyperlink>
    </w:p>
    <w:p>
      <w:pPr>
        <w:pStyle w:val="Übersicht"/>
        <w:ind w:left="1020"/>
      </w:pPr>
      <w:hyperlink w:anchor="b2601" w:history="1">
        <w:r>
          <w:rPr>
            <w:color w:val="0A3A8C"/>
            <w:u w:val="single"/>
          </w:rPr>
          <w:t xml:space="preserve">§ 2145 Haftung des Vorerben für Nachlassverbindlichkeiten</w:t>
        </w:r>
      </w:hyperlink>
    </w:p>
    <w:p>
      <w:pPr>
        <w:pStyle w:val="Übersicht"/>
        <w:ind w:left="1020"/>
      </w:pPr>
      <w:hyperlink w:anchor="b2602" w:history="1">
        <w:r>
          <w:rPr>
            <w:color w:val="0A3A8C"/>
            <w:u w:val="single"/>
          </w:rPr>
          <w:t xml:space="preserve">§ 2146 Anzeigepflicht des Vorerben gegenüber Nachlassgläubigern</w:t>
        </w:r>
      </w:hyperlink>
    </w:p>
    <w:p>
      <w:pPr>
        <w:pStyle w:val="Übersicht"/>
        <w:ind w:left="680"/>
      </w:pPr>
      <w:hyperlink w:anchor="b2603" w:history="1">
        <w:r>
          <w:rPr>
            <w:b/>
            <w:color w:val="0A3A8C"/>
            <w:u w:val="single"/>
          </w:rPr>
          <w:t xml:space="preserve">Titel 4 Vermächtnis</w:t>
        </w:r>
      </w:hyperlink>
    </w:p>
    <w:p>
      <w:pPr>
        <w:pStyle w:val="Übersicht"/>
        <w:ind w:left="1020"/>
      </w:pPr>
      <w:hyperlink w:anchor="b2604" w:history="1">
        <w:r>
          <w:rPr>
            <w:color w:val="0A3A8C"/>
            <w:u w:val="single"/>
          </w:rPr>
          <w:t xml:space="preserve">§ 2147 Beschwerter</w:t>
        </w:r>
      </w:hyperlink>
    </w:p>
    <w:p>
      <w:pPr>
        <w:pStyle w:val="Übersicht"/>
        <w:ind w:left="1020"/>
      </w:pPr>
      <w:hyperlink w:anchor="b2605" w:history="1">
        <w:r>
          <w:rPr>
            <w:color w:val="0A3A8C"/>
            <w:u w:val="single"/>
          </w:rPr>
          <w:t xml:space="preserve">§ 2148 Mehrere Beschwerte</w:t>
        </w:r>
      </w:hyperlink>
    </w:p>
    <w:p>
      <w:pPr>
        <w:pStyle w:val="Übersicht"/>
        <w:ind w:left="1020"/>
      </w:pPr>
      <w:hyperlink w:anchor="b2606" w:history="1">
        <w:r>
          <w:rPr>
            <w:color w:val="0A3A8C"/>
            <w:u w:val="single"/>
          </w:rPr>
          <w:t xml:space="preserve">§ 2149 Vermächtnis an die gesetzlichen Erben</w:t>
        </w:r>
      </w:hyperlink>
    </w:p>
    <w:p>
      <w:pPr>
        <w:pStyle w:val="Übersicht"/>
        <w:ind w:left="1020"/>
      </w:pPr>
      <w:hyperlink w:anchor="b2607" w:history="1">
        <w:r>
          <w:rPr>
            <w:color w:val="0A3A8C"/>
            <w:u w:val="single"/>
          </w:rPr>
          <w:t xml:space="preserve">§ 2150 Vorausvermächtnis</w:t>
        </w:r>
      </w:hyperlink>
    </w:p>
    <w:p>
      <w:pPr>
        <w:pStyle w:val="Übersicht"/>
        <w:ind w:left="1020"/>
      </w:pPr>
      <w:hyperlink w:anchor="b2608" w:history="1">
        <w:r>
          <w:rPr>
            <w:color w:val="0A3A8C"/>
            <w:u w:val="single"/>
          </w:rPr>
          <w:t xml:space="preserve">§ 2151 Bestimmungsrecht des Beschwerten oder eines Dritten bei mehreren
Bedachten</w:t>
        </w:r>
      </w:hyperlink>
    </w:p>
    <w:p>
      <w:pPr>
        <w:pStyle w:val="Übersicht"/>
        <w:ind w:left="1020"/>
      </w:pPr>
      <w:hyperlink w:anchor="b2609" w:history="1">
        <w:r>
          <w:rPr>
            <w:color w:val="0A3A8C"/>
            <w:u w:val="single"/>
          </w:rPr>
          <w:t xml:space="preserve">§ 2152 Wahlweise Bedachte</w:t>
        </w:r>
      </w:hyperlink>
    </w:p>
    <w:p>
      <w:pPr>
        <w:pStyle w:val="Übersicht"/>
        <w:ind w:left="1020"/>
      </w:pPr>
      <w:hyperlink w:anchor="b2610" w:history="1">
        <w:r>
          <w:rPr>
            <w:color w:val="0A3A8C"/>
            <w:u w:val="single"/>
          </w:rPr>
          <w:t xml:space="preserve">§ 2153 Bestimmung der Anteile</w:t>
        </w:r>
      </w:hyperlink>
    </w:p>
    <w:p>
      <w:pPr>
        <w:pStyle w:val="Übersicht"/>
        <w:ind w:left="1020"/>
      </w:pPr>
      <w:hyperlink w:anchor="b2611" w:history="1">
        <w:r>
          <w:rPr>
            <w:color w:val="0A3A8C"/>
            <w:u w:val="single"/>
          </w:rPr>
          <w:t xml:space="preserve">§ 2154 Wahlvermächtnis</w:t>
        </w:r>
      </w:hyperlink>
    </w:p>
    <w:p>
      <w:pPr>
        <w:pStyle w:val="Übersicht"/>
        <w:ind w:left="1020"/>
      </w:pPr>
      <w:hyperlink w:anchor="b2612" w:history="1">
        <w:r>
          <w:rPr>
            <w:color w:val="0A3A8C"/>
            <w:u w:val="single"/>
          </w:rPr>
          <w:t xml:space="preserve">§ 2155 Gattungsvermächtnis</w:t>
        </w:r>
      </w:hyperlink>
    </w:p>
    <w:p>
      <w:pPr>
        <w:pStyle w:val="Übersicht"/>
        <w:ind w:left="1020"/>
      </w:pPr>
      <w:hyperlink w:anchor="b2613" w:history="1">
        <w:r>
          <w:rPr>
            <w:color w:val="0A3A8C"/>
            <w:u w:val="single"/>
          </w:rPr>
          <w:t xml:space="preserve">§ 2156 Zweckvermächtnis</w:t>
        </w:r>
      </w:hyperlink>
    </w:p>
    <w:p>
      <w:pPr>
        <w:pStyle w:val="Übersicht"/>
        <w:ind w:left="1020"/>
      </w:pPr>
      <w:hyperlink w:anchor="b2614" w:history="1">
        <w:r>
          <w:rPr>
            <w:color w:val="0A3A8C"/>
            <w:u w:val="single"/>
          </w:rPr>
          <w:t xml:space="preserve">§ 2157 Gemeinschaftliches Vermächtnis</w:t>
        </w:r>
      </w:hyperlink>
    </w:p>
    <w:p>
      <w:pPr>
        <w:pStyle w:val="Übersicht"/>
        <w:ind w:left="1020"/>
      </w:pPr>
      <w:hyperlink w:anchor="b2615" w:history="1">
        <w:r>
          <w:rPr>
            <w:color w:val="0A3A8C"/>
            <w:u w:val="single"/>
          </w:rPr>
          <w:t xml:space="preserve">§ 2158 Anwachsung</w:t>
        </w:r>
      </w:hyperlink>
    </w:p>
    <w:p>
      <w:pPr>
        <w:pStyle w:val="Übersicht"/>
        <w:ind w:left="1020"/>
      </w:pPr>
      <w:hyperlink w:anchor="b2616" w:history="1">
        <w:r>
          <w:rPr>
            <w:color w:val="0A3A8C"/>
            <w:u w:val="single"/>
          </w:rPr>
          <w:t xml:space="preserve">§ 2159 Selbständigkeit der Anwachsung</w:t>
        </w:r>
      </w:hyperlink>
    </w:p>
    <w:p>
      <w:pPr>
        <w:pStyle w:val="Übersicht"/>
        <w:ind w:left="1020"/>
      </w:pPr>
      <w:hyperlink w:anchor="b2617" w:history="1">
        <w:r>
          <w:rPr>
            <w:color w:val="0A3A8C"/>
            <w:u w:val="single"/>
          </w:rPr>
          <w:t xml:space="preserve">§ 2160 Vorversterben des Bedachten</w:t>
        </w:r>
      </w:hyperlink>
    </w:p>
    <w:p>
      <w:pPr>
        <w:pStyle w:val="Übersicht"/>
        <w:ind w:left="1020"/>
      </w:pPr>
      <w:hyperlink w:anchor="b2618" w:history="1">
        <w:r>
          <w:rPr>
            <w:color w:val="0A3A8C"/>
            <w:u w:val="single"/>
          </w:rPr>
          <w:t xml:space="preserve">§ 2161 Wegfall des Beschwerten</w:t>
        </w:r>
      </w:hyperlink>
    </w:p>
    <w:p>
      <w:pPr>
        <w:pStyle w:val="Übersicht"/>
        <w:ind w:left="1020"/>
      </w:pPr>
      <w:hyperlink w:anchor="b2619" w:history="1">
        <w:r>
          <w:rPr>
            <w:color w:val="0A3A8C"/>
            <w:u w:val="single"/>
          </w:rPr>
          <w:t xml:space="preserve">§ 2162 Dreißigjährige Frist für aufgeschobenes Vermächtnis</w:t>
        </w:r>
      </w:hyperlink>
    </w:p>
    <w:p>
      <w:pPr>
        <w:pStyle w:val="Übersicht"/>
        <w:ind w:left="1020"/>
      </w:pPr>
      <w:hyperlink w:anchor="b2620" w:history="1">
        <w:r>
          <w:rPr>
            <w:color w:val="0A3A8C"/>
            <w:u w:val="single"/>
          </w:rPr>
          <w:t xml:space="preserve">§ 2163 Ausnahmen von der dreißigjährigen Frist</w:t>
        </w:r>
      </w:hyperlink>
    </w:p>
    <w:p>
      <w:pPr>
        <w:pStyle w:val="Übersicht"/>
        <w:ind w:left="1020"/>
      </w:pPr>
      <w:hyperlink w:anchor="b2621" w:history="1">
        <w:r>
          <w:rPr>
            <w:color w:val="0A3A8C"/>
            <w:u w:val="single"/>
          </w:rPr>
          <w:t xml:space="preserve">§ 2164 Erstreckung auf Zubehör und Ersatzansprüche</w:t>
        </w:r>
      </w:hyperlink>
    </w:p>
    <w:p>
      <w:pPr>
        <w:pStyle w:val="Übersicht"/>
        <w:ind w:left="1020"/>
      </w:pPr>
      <w:hyperlink w:anchor="b2622" w:history="1">
        <w:r>
          <w:rPr>
            <w:color w:val="0A3A8C"/>
            <w:u w:val="single"/>
          </w:rPr>
          <w:t xml:space="preserve">§ 2165 Belastungen</w:t>
        </w:r>
      </w:hyperlink>
    </w:p>
    <w:p>
      <w:pPr>
        <w:pStyle w:val="Übersicht"/>
        <w:ind w:left="1020"/>
      </w:pPr>
      <w:hyperlink w:anchor="b2623" w:history="1">
        <w:r>
          <w:rPr>
            <w:color w:val="0A3A8C"/>
            <w:u w:val="single"/>
          </w:rPr>
          <w:t xml:space="preserve">§ 2166 Belastung mit einer Hypothek</w:t>
        </w:r>
      </w:hyperlink>
    </w:p>
    <w:p>
      <w:pPr>
        <w:pStyle w:val="Übersicht"/>
        <w:ind w:left="1020"/>
      </w:pPr>
      <w:hyperlink w:anchor="b2624" w:history="1">
        <w:r>
          <w:rPr>
            <w:color w:val="0A3A8C"/>
            <w:u w:val="single"/>
          </w:rPr>
          <w:t xml:space="preserve">§ 2167 Belastung mit einer Gesamthypothek</w:t>
        </w:r>
      </w:hyperlink>
    </w:p>
    <w:p>
      <w:pPr>
        <w:pStyle w:val="Übersicht"/>
        <w:ind w:left="1020"/>
      </w:pPr>
      <w:hyperlink w:anchor="b2625" w:history="1">
        <w:r>
          <w:rPr>
            <w:color w:val="0A3A8C"/>
            <w:u w:val="single"/>
          </w:rPr>
          <w:t xml:space="preserve">§ 2168 Belastung mit einer Gesamtgrundschuld</w:t>
        </w:r>
      </w:hyperlink>
    </w:p>
    <w:p>
      <w:pPr>
        <w:pStyle w:val="Übersicht"/>
        <w:ind w:left="1020"/>
      </w:pPr>
      <w:hyperlink w:anchor="b2626" w:history="1">
        <w:r>
          <w:rPr>
            <w:color w:val="0A3A8C"/>
            <w:u w:val="single"/>
          </w:rPr>
          <w:t xml:space="preserve">§ 2168a Anwendung auf Schiffe, Schiffsbauwerke und Schiffshypotheken</w:t>
        </w:r>
      </w:hyperlink>
    </w:p>
    <w:p>
      <w:pPr>
        <w:pStyle w:val="Übersicht"/>
        <w:ind w:left="1020"/>
      </w:pPr>
      <w:hyperlink w:anchor="b2627" w:history="1">
        <w:r>
          <w:rPr>
            <w:color w:val="0A3A8C"/>
            <w:u w:val="single"/>
          </w:rPr>
          <w:t xml:space="preserve">§ 2169 Vermächtnis fremder Gegenstände</w:t>
        </w:r>
      </w:hyperlink>
    </w:p>
    <w:p>
      <w:pPr>
        <w:pStyle w:val="Übersicht"/>
        <w:ind w:left="1020"/>
      </w:pPr>
      <w:hyperlink w:anchor="b2628" w:history="1">
        <w:r>
          <w:rPr>
            <w:color w:val="0A3A8C"/>
            <w:u w:val="single"/>
          </w:rPr>
          <w:t xml:space="preserve">§ 2170 Verschaffungsvermächtnis</w:t>
        </w:r>
      </w:hyperlink>
    </w:p>
    <w:p>
      <w:pPr>
        <w:pStyle w:val="Übersicht"/>
        <w:ind w:left="1020"/>
      </w:pPr>
      <w:hyperlink w:anchor="b2629" w:history="1">
        <w:r>
          <w:rPr>
            <w:color w:val="0A3A8C"/>
            <w:u w:val="single"/>
          </w:rPr>
          <w:t xml:space="preserve">§ 2171 Unmöglichkeit, gesetzliches Verbot</w:t>
        </w:r>
      </w:hyperlink>
    </w:p>
    <w:p>
      <w:pPr>
        <w:pStyle w:val="Übersicht"/>
        <w:ind w:left="1020"/>
      </w:pPr>
      <w:hyperlink w:anchor="b2630" w:history="1">
        <w:r>
          <w:rPr>
            <w:color w:val="0A3A8C"/>
            <w:u w:val="single"/>
          </w:rPr>
          <w:t xml:space="preserve">§ 2172 Verbindung, Vermischung, Vermengung der vermachten Sache</w:t>
        </w:r>
      </w:hyperlink>
    </w:p>
    <w:p>
      <w:pPr>
        <w:pStyle w:val="Übersicht"/>
        <w:ind w:left="1020"/>
      </w:pPr>
      <w:hyperlink w:anchor="b2631" w:history="1">
        <w:r>
          <w:rPr>
            <w:color w:val="0A3A8C"/>
            <w:u w:val="single"/>
          </w:rPr>
          <w:t xml:space="preserve">§ 2173 Forderungsvermächtnis</w:t>
        </w:r>
      </w:hyperlink>
    </w:p>
    <w:p>
      <w:pPr>
        <w:pStyle w:val="Übersicht"/>
        <w:ind w:left="1020"/>
      </w:pPr>
      <w:hyperlink w:anchor="b2632" w:history="1">
        <w:r>
          <w:rPr>
            <w:color w:val="0A3A8C"/>
            <w:u w:val="single"/>
          </w:rPr>
          <w:t xml:space="preserve">§ 2174 Vermächtnisanspruch</w:t>
        </w:r>
      </w:hyperlink>
    </w:p>
    <w:p>
      <w:pPr>
        <w:pStyle w:val="Übersicht"/>
        <w:ind w:left="1020"/>
      </w:pPr>
      <w:hyperlink w:anchor="b2633" w:history="1">
        <w:r>
          <w:rPr>
            <w:color w:val="0A3A8C"/>
            <w:u w:val="single"/>
          </w:rPr>
          <w:t xml:space="preserve">§ 2175 Wiederaufleben erloschener Rechtsverhältnisse</w:t>
        </w:r>
      </w:hyperlink>
    </w:p>
    <w:p>
      <w:pPr>
        <w:pStyle w:val="Übersicht"/>
        <w:ind w:left="1020"/>
      </w:pPr>
      <w:hyperlink w:anchor="b2634" w:history="1">
        <w:r>
          <w:rPr>
            <w:color w:val="0A3A8C"/>
            <w:u w:val="single"/>
          </w:rPr>
          <w:t xml:space="preserve">§ 2176 Anfall des Vermächtnisses</w:t>
        </w:r>
      </w:hyperlink>
    </w:p>
    <w:p>
      <w:pPr>
        <w:pStyle w:val="Übersicht"/>
        <w:ind w:left="1020"/>
      </w:pPr>
      <w:hyperlink w:anchor="b2635" w:history="1">
        <w:r>
          <w:rPr>
            <w:color w:val="0A3A8C"/>
            <w:u w:val="single"/>
          </w:rPr>
          <w:t xml:space="preserve">§ 2177 Anfall bei einer Bedingung oder Befristung</w:t>
        </w:r>
      </w:hyperlink>
    </w:p>
    <w:p>
      <w:pPr>
        <w:pStyle w:val="Übersicht"/>
        <w:ind w:left="1020"/>
      </w:pPr>
      <w:hyperlink w:anchor="b2636" w:history="1">
        <w:r>
          <w:rPr>
            <w:color w:val="0A3A8C"/>
            <w:u w:val="single"/>
          </w:rPr>
          <w:t xml:space="preserve">§ 2178 Anfall bei einem noch nicht erzeugten oder bestimmten Bedachten</w:t>
        </w:r>
      </w:hyperlink>
    </w:p>
    <w:p>
      <w:pPr>
        <w:pStyle w:val="Übersicht"/>
        <w:ind w:left="1020"/>
      </w:pPr>
      <w:hyperlink w:anchor="b2637" w:history="1">
        <w:r>
          <w:rPr>
            <w:color w:val="0A3A8C"/>
            <w:u w:val="single"/>
          </w:rPr>
          <w:t xml:space="preserve">§ 2179 Schwebezeit</w:t>
        </w:r>
      </w:hyperlink>
    </w:p>
    <w:p>
      <w:pPr>
        <w:pStyle w:val="Übersicht"/>
        <w:ind w:left="1020"/>
      </w:pPr>
      <w:hyperlink w:anchor="b2638" w:history="1">
        <w:r>
          <w:rPr>
            <w:color w:val="0A3A8C"/>
            <w:u w:val="single"/>
          </w:rPr>
          <w:t xml:space="preserve">§ 2180 Annahme und Ausschlagung</w:t>
        </w:r>
      </w:hyperlink>
    </w:p>
    <w:p>
      <w:pPr>
        <w:pStyle w:val="Übersicht"/>
        <w:ind w:left="1020"/>
      </w:pPr>
      <w:hyperlink w:anchor="b2639" w:history="1">
        <w:r>
          <w:rPr>
            <w:color w:val="0A3A8C"/>
            <w:u w:val="single"/>
          </w:rPr>
          <w:t xml:space="preserve">§ 2181 Fälligkeit bei Beliebigkeit</w:t>
        </w:r>
      </w:hyperlink>
    </w:p>
    <w:p>
      <w:pPr>
        <w:pStyle w:val="Übersicht"/>
        <w:ind w:left="1020"/>
      </w:pPr>
      <w:hyperlink w:anchor="b2640" w:history="1">
        <w:r>
          <w:rPr>
            <w:color w:val="0A3A8C"/>
            <w:u w:val="single"/>
          </w:rPr>
          <w:t xml:space="preserve">§ 2182 Haftung für Rechtsmängel</w:t>
        </w:r>
      </w:hyperlink>
    </w:p>
    <w:p>
      <w:pPr>
        <w:pStyle w:val="Übersicht"/>
        <w:ind w:left="1020"/>
      </w:pPr>
      <w:hyperlink w:anchor="b2641" w:history="1">
        <w:r>
          <w:rPr>
            <w:color w:val="0A3A8C"/>
            <w:u w:val="single"/>
          </w:rPr>
          <w:t xml:space="preserve">§ 2183 Haftung für Sachmängel</w:t>
        </w:r>
      </w:hyperlink>
    </w:p>
    <w:p>
      <w:pPr>
        <w:pStyle w:val="Übersicht"/>
        <w:ind w:left="1020"/>
      </w:pPr>
      <w:hyperlink w:anchor="b2642" w:history="1">
        <w:r>
          <w:rPr>
            <w:color w:val="0A3A8C"/>
            <w:u w:val="single"/>
          </w:rPr>
          <w:t xml:space="preserve">§ 2184 Früchte; Nutzungen</w:t>
        </w:r>
      </w:hyperlink>
    </w:p>
    <w:p>
      <w:pPr>
        <w:pStyle w:val="Übersicht"/>
        <w:ind w:left="1020"/>
      </w:pPr>
      <w:hyperlink w:anchor="b2643" w:history="1">
        <w:r>
          <w:rPr>
            <w:color w:val="0A3A8C"/>
            <w:u w:val="single"/>
          </w:rPr>
          <w:t xml:space="preserve">§ 2185 Ersatz von Verwendungen und Aufwendungen</w:t>
        </w:r>
      </w:hyperlink>
    </w:p>
    <w:p>
      <w:pPr>
        <w:pStyle w:val="Übersicht"/>
        <w:ind w:left="1020"/>
      </w:pPr>
      <w:hyperlink w:anchor="b2644" w:history="1">
        <w:r>
          <w:rPr>
            <w:color w:val="0A3A8C"/>
            <w:u w:val="single"/>
          </w:rPr>
          <w:t xml:space="preserve">§ 2186 Fälligkeit eines Untervermächtnisses oder einer Auflage</w:t>
        </w:r>
      </w:hyperlink>
    </w:p>
    <w:p>
      <w:pPr>
        <w:pStyle w:val="Übersicht"/>
        <w:ind w:left="1020"/>
      </w:pPr>
      <w:hyperlink w:anchor="b2645" w:history="1">
        <w:r>
          <w:rPr>
            <w:color w:val="0A3A8C"/>
            <w:u w:val="single"/>
          </w:rPr>
          <w:t xml:space="preserve">§ 2187 Haftung des Hauptvermächtnisnehmers</w:t>
        </w:r>
      </w:hyperlink>
    </w:p>
    <w:p>
      <w:pPr>
        <w:pStyle w:val="Übersicht"/>
        <w:ind w:left="1020"/>
      </w:pPr>
      <w:hyperlink w:anchor="b2646" w:history="1">
        <w:r>
          <w:rPr>
            <w:color w:val="0A3A8C"/>
            <w:u w:val="single"/>
          </w:rPr>
          <w:t xml:space="preserve">§ 2188 Kürzung der Beschwerungen</w:t>
        </w:r>
      </w:hyperlink>
    </w:p>
    <w:p>
      <w:pPr>
        <w:pStyle w:val="Übersicht"/>
        <w:ind w:left="1020"/>
      </w:pPr>
      <w:hyperlink w:anchor="b2647" w:history="1">
        <w:r>
          <w:rPr>
            <w:color w:val="0A3A8C"/>
            <w:u w:val="single"/>
          </w:rPr>
          <w:t xml:space="preserve">§ 2189 Anordnung eines Vorrangs</w:t>
        </w:r>
      </w:hyperlink>
    </w:p>
    <w:p>
      <w:pPr>
        <w:pStyle w:val="Übersicht"/>
        <w:ind w:left="1020"/>
      </w:pPr>
      <w:hyperlink w:anchor="b2648" w:history="1">
        <w:r>
          <w:rPr>
            <w:color w:val="0A3A8C"/>
            <w:u w:val="single"/>
          </w:rPr>
          <w:t xml:space="preserve">§ 2190 Ersatzvermächtnisnehmer</w:t>
        </w:r>
      </w:hyperlink>
    </w:p>
    <w:p>
      <w:pPr>
        <w:pStyle w:val="Übersicht"/>
        <w:ind w:left="1020"/>
      </w:pPr>
      <w:hyperlink w:anchor="b2649" w:history="1">
        <w:r>
          <w:rPr>
            <w:color w:val="0A3A8C"/>
            <w:u w:val="single"/>
          </w:rPr>
          <w:t xml:space="preserve">§ 2191 Nachvermächtnisnehmer</w:t>
        </w:r>
      </w:hyperlink>
    </w:p>
    <w:p>
      <w:pPr>
        <w:pStyle w:val="Übersicht"/>
        <w:ind w:left="680"/>
      </w:pPr>
      <w:hyperlink w:anchor="b2650" w:history="1">
        <w:r>
          <w:rPr>
            <w:b/>
            <w:color w:val="0A3A8C"/>
            <w:u w:val="single"/>
          </w:rPr>
          <w:t xml:space="preserve">Titel 5 Auflage</w:t>
        </w:r>
      </w:hyperlink>
    </w:p>
    <w:p>
      <w:pPr>
        <w:pStyle w:val="Übersicht"/>
        <w:ind w:left="1020"/>
      </w:pPr>
      <w:hyperlink w:anchor="b2651" w:history="1">
        <w:r>
          <w:rPr>
            <w:color w:val="0A3A8C"/>
            <w:u w:val="single"/>
          </w:rPr>
          <w:t xml:space="preserve">§ 2192 Anzuwendende Vorschriften</w:t>
        </w:r>
      </w:hyperlink>
    </w:p>
    <w:p>
      <w:pPr>
        <w:pStyle w:val="Übersicht"/>
        <w:ind w:left="1020"/>
      </w:pPr>
      <w:hyperlink w:anchor="b2652" w:history="1">
        <w:r>
          <w:rPr>
            <w:color w:val="0A3A8C"/>
            <w:u w:val="single"/>
          </w:rPr>
          <w:t xml:space="preserve">§ 2193 Bestimmung des Begünstigten, Vollziehungsfrist</w:t>
        </w:r>
      </w:hyperlink>
    </w:p>
    <w:p>
      <w:pPr>
        <w:pStyle w:val="Übersicht"/>
        <w:ind w:left="1020"/>
      </w:pPr>
      <w:hyperlink w:anchor="b2653" w:history="1">
        <w:r>
          <w:rPr>
            <w:color w:val="0A3A8C"/>
            <w:u w:val="single"/>
          </w:rPr>
          <w:t xml:space="preserve">§ 2194 Anspruch auf Vollziehung</w:t>
        </w:r>
      </w:hyperlink>
    </w:p>
    <w:p>
      <w:pPr>
        <w:pStyle w:val="Übersicht"/>
        <w:ind w:left="1020"/>
      </w:pPr>
      <w:hyperlink w:anchor="b2654" w:history="1">
        <w:r>
          <w:rPr>
            <w:color w:val="0A3A8C"/>
            <w:u w:val="single"/>
          </w:rPr>
          <w:t xml:space="preserve">§ 2195 Verhältnis von Auflage und Zuwendung</w:t>
        </w:r>
      </w:hyperlink>
    </w:p>
    <w:p>
      <w:pPr>
        <w:pStyle w:val="Übersicht"/>
        <w:ind w:left="1020"/>
      </w:pPr>
      <w:hyperlink w:anchor="b2655" w:history="1">
        <w:r>
          <w:rPr>
            <w:color w:val="0A3A8C"/>
            <w:u w:val="single"/>
          </w:rPr>
          <w:t xml:space="preserve">§ 2196 Unmöglichkeit der Vollziehung</w:t>
        </w:r>
      </w:hyperlink>
    </w:p>
    <w:p>
      <w:pPr>
        <w:pStyle w:val="Übersicht"/>
        <w:ind w:left="680"/>
      </w:pPr>
      <w:hyperlink w:anchor="b2656" w:history="1">
        <w:r>
          <w:rPr>
            <w:b/>
            <w:color w:val="0A3A8C"/>
            <w:u w:val="single"/>
          </w:rPr>
          <w:t xml:space="preserve">Titel 6 Testamentsvollstrecker</w:t>
        </w:r>
      </w:hyperlink>
    </w:p>
    <w:p>
      <w:pPr>
        <w:pStyle w:val="Übersicht"/>
        <w:ind w:left="1020"/>
      </w:pPr>
      <w:hyperlink w:anchor="b2657" w:history="1">
        <w:r>
          <w:rPr>
            <w:color w:val="0A3A8C"/>
            <w:u w:val="single"/>
          </w:rPr>
          <w:t xml:space="preserve">§ 2197 Ernennung des Testamentsvollstreckers</w:t>
        </w:r>
      </w:hyperlink>
    </w:p>
    <w:p>
      <w:pPr>
        <w:pStyle w:val="Übersicht"/>
        <w:ind w:left="1020"/>
      </w:pPr>
      <w:hyperlink w:anchor="b2658" w:history="1">
        <w:r>
          <w:rPr>
            <w:color w:val="0A3A8C"/>
            <w:u w:val="single"/>
          </w:rPr>
          <w:t xml:space="preserve">§ 2198 Bestimmung des Testamentsvollstreckers durch einen Dritten</w:t>
        </w:r>
      </w:hyperlink>
    </w:p>
    <w:p>
      <w:pPr>
        <w:pStyle w:val="Übersicht"/>
        <w:ind w:left="1020"/>
      </w:pPr>
      <w:hyperlink w:anchor="b2659" w:history="1">
        <w:r>
          <w:rPr>
            <w:color w:val="0A3A8C"/>
            <w:u w:val="single"/>
          </w:rPr>
          <w:t xml:space="preserve">§ 2199 Ernennung eines Mitvollstreckers oder Nachfolgers</w:t>
        </w:r>
      </w:hyperlink>
    </w:p>
    <w:p>
      <w:pPr>
        <w:pStyle w:val="Übersicht"/>
        <w:ind w:left="1020"/>
      </w:pPr>
      <w:hyperlink w:anchor="b2660" w:history="1">
        <w:r>
          <w:rPr>
            <w:color w:val="0A3A8C"/>
            <w:u w:val="single"/>
          </w:rPr>
          <w:t xml:space="preserve">§ 2200 Ernennung durch das Nachlassgericht</w:t>
        </w:r>
      </w:hyperlink>
    </w:p>
    <w:p>
      <w:pPr>
        <w:pStyle w:val="Übersicht"/>
        <w:ind w:left="1020"/>
      </w:pPr>
      <w:hyperlink w:anchor="b2661" w:history="1">
        <w:r>
          <w:rPr>
            <w:color w:val="0A3A8C"/>
            <w:u w:val="single"/>
          </w:rPr>
          <w:t xml:space="preserve">§ 2201 Unwirksamkeit der Ernennung</w:t>
        </w:r>
      </w:hyperlink>
    </w:p>
    <w:p>
      <w:pPr>
        <w:pStyle w:val="Übersicht"/>
        <w:ind w:left="1020"/>
      </w:pPr>
      <w:hyperlink w:anchor="b2662" w:history="1">
        <w:r>
          <w:rPr>
            <w:color w:val="0A3A8C"/>
            <w:u w:val="single"/>
          </w:rPr>
          <w:t xml:space="preserve">§ 2202 Annahme und Ablehnung des Amts</w:t>
        </w:r>
      </w:hyperlink>
    </w:p>
    <w:p>
      <w:pPr>
        <w:pStyle w:val="Übersicht"/>
        <w:ind w:left="1020"/>
      </w:pPr>
      <w:hyperlink w:anchor="b2663" w:history="1">
        <w:r>
          <w:rPr>
            <w:color w:val="0A3A8C"/>
            <w:u w:val="single"/>
          </w:rPr>
          <w:t xml:space="preserve">§ 2203 Aufgabe des Testamentsvollstreckers</w:t>
        </w:r>
      </w:hyperlink>
    </w:p>
    <w:p>
      <w:pPr>
        <w:pStyle w:val="Übersicht"/>
        <w:ind w:left="1020"/>
      </w:pPr>
      <w:hyperlink w:anchor="b2664" w:history="1">
        <w:r>
          <w:rPr>
            <w:color w:val="0A3A8C"/>
            <w:u w:val="single"/>
          </w:rPr>
          <w:t xml:space="preserve">§ 2204 Auseinandersetzung unter Miterben</w:t>
        </w:r>
      </w:hyperlink>
    </w:p>
    <w:p>
      <w:pPr>
        <w:pStyle w:val="Übersicht"/>
        <w:ind w:left="1020"/>
      </w:pPr>
      <w:hyperlink w:anchor="b2665" w:history="1">
        <w:r>
          <w:rPr>
            <w:color w:val="0A3A8C"/>
            <w:u w:val="single"/>
          </w:rPr>
          <w:t xml:space="preserve">§ 2205 Verwaltung des Nachlasses, Verfügungsbefugnis</w:t>
        </w:r>
      </w:hyperlink>
    </w:p>
    <w:p>
      <w:pPr>
        <w:pStyle w:val="Übersicht"/>
        <w:ind w:left="1020"/>
      </w:pPr>
      <w:hyperlink w:anchor="b2666" w:history="1">
        <w:r>
          <w:rPr>
            <w:color w:val="0A3A8C"/>
            <w:u w:val="single"/>
          </w:rPr>
          <w:t xml:space="preserve">§ 2206 Eingehung von Verbindlichkeiten</w:t>
        </w:r>
      </w:hyperlink>
    </w:p>
    <w:p>
      <w:pPr>
        <w:pStyle w:val="Übersicht"/>
        <w:ind w:left="1020"/>
      </w:pPr>
      <w:hyperlink w:anchor="b2667" w:history="1">
        <w:r>
          <w:rPr>
            <w:color w:val="0A3A8C"/>
            <w:u w:val="single"/>
          </w:rPr>
          <w:t xml:space="preserve">§ 2207 Erweiterte Verpflichtungsbefugnis</w:t>
        </w:r>
      </w:hyperlink>
    </w:p>
    <w:p>
      <w:pPr>
        <w:pStyle w:val="Übersicht"/>
        <w:ind w:left="1020"/>
      </w:pPr>
      <w:hyperlink w:anchor="b2668" w:history="1">
        <w:r>
          <w:rPr>
            <w:color w:val="0A3A8C"/>
            <w:u w:val="single"/>
          </w:rPr>
          <w:t xml:space="preserve">§ 2208 Beschränkung der Rechte des Testamentsvollstreckers, Ausführung durch den
Erben</w:t>
        </w:r>
      </w:hyperlink>
    </w:p>
    <w:p>
      <w:pPr>
        <w:pStyle w:val="Übersicht"/>
        <w:ind w:left="1020"/>
      </w:pPr>
      <w:hyperlink w:anchor="b2669" w:history="1">
        <w:r>
          <w:rPr>
            <w:color w:val="0A3A8C"/>
            <w:u w:val="single"/>
          </w:rPr>
          <w:t xml:space="preserve">§ 2209 Dauervollstreckung</w:t>
        </w:r>
      </w:hyperlink>
    </w:p>
    <w:p>
      <w:pPr>
        <w:pStyle w:val="Übersicht"/>
        <w:ind w:left="1020"/>
      </w:pPr>
      <w:hyperlink w:anchor="b2670" w:history="1">
        <w:r>
          <w:rPr>
            <w:color w:val="0A3A8C"/>
            <w:u w:val="single"/>
          </w:rPr>
          <w:t xml:space="preserve">§ 2210 Dreißigjährige Frist für die Dauervollstreckung</w:t>
        </w:r>
      </w:hyperlink>
    </w:p>
    <w:p>
      <w:pPr>
        <w:pStyle w:val="Übersicht"/>
        <w:ind w:left="1020"/>
      </w:pPr>
      <w:hyperlink w:anchor="b2671" w:history="1">
        <w:r>
          <w:rPr>
            <w:color w:val="0A3A8C"/>
            <w:u w:val="single"/>
          </w:rPr>
          <w:t xml:space="preserve">§ 2211 Verfügungsbeschränkung des Erben</w:t>
        </w:r>
      </w:hyperlink>
    </w:p>
    <w:p>
      <w:pPr>
        <w:pStyle w:val="Übersicht"/>
        <w:ind w:left="1020"/>
      </w:pPr>
      <w:hyperlink w:anchor="b2672" w:history="1">
        <w:r>
          <w:rPr>
            <w:color w:val="0A3A8C"/>
            <w:u w:val="single"/>
          </w:rPr>
          <w:t xml:space="preserve">§ 2212 Gerichtliche Geltendmachung von der Testamentsvollstreckung
unterliegenden Rechten</w:t>
        </w:r>
      </w:hyperlink>
    </w:p>
    <w:p>
      <w:pPr>
        <w:pStyle w:val="Übersicht"/>
        <w:ind w:left="1020"/>
      </w:pPr>
      <w:hyperlink w:anchor="b2673" w:history="1">
        <w:r>
          <w:rPr>
            <w:color w:val="0A3A8C"/>
            <w:u w:val="single"/>
          </w:rPr>
          <w:t xml:space="preserve">§ 2213 Gerichtliche Geltendmachung von Ansprüchen gegen den Nachlass</w:t>
        </w:r>
      </w:hyperlink>
    </w:p>
    <w:p>
      <w:pPr>
        <w:pStyle w:val="Übersicht"/>
        <w:ind w:left="1020"/>
      </w:pPr>
      <w:hyperlink w:anchor="b2674" w:history="1">
        <w:r>
          <w:rPr>
            <w:color w:val="0A3A8C"/>
            <w:u w:val="single"/>
          </w:rPr>
          <w:t xml:space="preserve">§ 2214 Gläubiger des Erben</w:t>
        </w:r>
      </w:hyperlink>
    </w:p>
    <w:p>
      <w:pPr>
        <w:pStyle w:val="Übersicht"/>
        <w:ind w:left="1020"/>
      </w:pPr>
      <w:hyperlink w:anchor="b2675" w:history="1">
        <w:r>
          <w:rPr>
            <w:color w:val="0A3A8C"/>
            <w:u w:val="single"/>
          </w:rPr>
          <w:t xml:space="preserve">§ 2215 Nachlassverzeichnis</w:t>
        </w:r>
      </w:hyperlink>
    </w:p>
    <w:p>
      <w:pPr>
        <w:pStyle w:val="Übersicht"/>
        <w:ind w:left="1020"/>
      </w:pPr>
      <w:hyperlink w:anchor="b2676" w:history="1">
        <w:r>
          <w:rPr>
            <w:color w:val="0A3A8C"/>
            <w:u w:val="single"/>
          </w:rPr>
          <w:t xml:space="preserve">§ 2216 Ordnungsmäßige Verwaltung des Nachlasses, Befolgung von Anordnungen</w:t>
        </w:r>
      </w:hyperlink>
    </w:p>
    <w:p>
      <w:pPr>
        <w:pStyle w:val="Übersicht"/>
        <w:ind w:left="1020"/>
      </w:pPr>
      <w:hyperlink w:anchor="b2677" w:history="1">
        <w:r>
          <w:rPr>
            <w:color w:val="0A3A8C"/>
            <w:u w:val="single"/>
          </w:rPr>
          <w:t xml:space="preserve">§ 2217 Überlassung von Nachlassgegenständen</w:t>
        </w:r>
      </w:hyperlink>
    </w:p>
    <w:p>
      <w:pPr>
        <w:pStyle w:val="Übersicht"/>
        <w:ind w:left="1020"/>
      </w:pPr>
      <w:hyperlink w:anchor="b2678" w:history="1">
        <w:r>
          <w:rPr>
            <w:color w:val="0A3A8C"/>
            <w:u w:val="single"/>
          </w:rPr>
          <w:t xml:space="preserve">§ 2218 Rechtsverhältnis zum Erben; Rechnungslegung</w:t>
        </w:r>
      </w:hyperlink>
    </w:p>
    <w:p>
      <w:pPr>
        <w:pStyle w:val="Übersicht"/>
        <w:ind w:left="1020"/>
      </w:pPr>
      <w:hyperlink w:anchor="b2679" w:history="1">
        <w:r>
          <w:rPr>
            <w:color w:val="0A3A8C"/>
            <w:u w:val="single"/>
          </w:rPr>
          <w:t xml:space="preserve">§ 2219 Haftung des Testamentsvollstreckers</w:t>
        </w:r>
      </w:hyperlink>
    </w:p>
    <w:p>
      <w:pPr>
        <w:pStyle w:val="Übersicht"/>
        <w:ind w:left="1020"/>
      </w:pPr>
      <w:hyperlink w:anchor="b2680" w:history="1">
        <w:r>
          <w:rPr>
            <w:color w:val="0A3A8C"/>
            <w:u w:val="single"/>
          </w:rPr>
          <w:t xml:space="preserve">§ 2220 Zwingendes Recht</w:t>
        </w:r>
      </w:hyperlink>
    </w:p>
    <w:p>
      <w:pPr>
        <w:pStyle w:val="Übersicht"/>
        <w:ind w:left="1020"/>
      </w:pPr>
      <w:hyperlink w:anchor="b2681" w:history="1">
        <w:r>
          <w:rPr>
            <w:color w:val="0A3A8C"/>
            <w:u w:val="single"/>
          </w:rPr>
          <w:t xml:space="preserve">§ 2221 Vergütung des Testamentsvollstreckers</w:t>
        </w:r>
      </w:hyperlink>
    </w:p>
    <w:p>
      <w:pPr>
        <w:pStyle w:val="Übersicht"/>
        <w:ind w:left="1020"/>
      </w:pPr>
      <w:hyperlink w:anchor="b2682" w:history="1">
        <w:r>
          <w:rPr>
            <w:color w:val="0A3A8C"/>
            <w:u w:val="single"/>
          </w:rPr>
          <w:t xml:space="preserve">§ 2222 Nacherbenvollstrecker</w:t>
        </w:r>
      </w:hyperlink>
    </w:p>
    <w:p>
      <w:pPr>
        <w:pStyle w:val="Übersicht"/>
        <w:ind w:left="1020"/>
      </w:pPr>
      <w:hyperlink w:anchor="b2683" w:history="1">
        <w:r>
          <w:rPr>
            <w:color w:val="0A3A8C"/>
            <w:u w:val="single"/>
          </w:rPr>
          <w:t xml:space="preserve">§ 2223 Vermächtnisvollstrecker</w:t>
        </w:r>
      </w:hyperlink>
    </w:p>
    <w:p>
      <w:pPr>
        <w:pStyle w:val="Übersicht"/>
        <w:ind w:left="1020"/>
      </w:pPr>
      <w:hyperlink w:anchor="b2684" w:history="1">
        <w:r>
          <w:rPr>
            <w:color w:val="0A3A8C"/>
            <w:u w:val="single"/>
          </w:rPr>
          <w:t xml:space="preserve">§ 2224 Mehrere Testamentsvollstrecker</w:t>
        </w:r>
      </w:hyperlink>
    </w:p>
    <w:p>
      <w:pPr>
        <w:pStyle w:val="Übersicht"/>
        <w:ind w:left="1020"/>
      </w:pPr>
      <w:hyperlink w:anchor="b2685" w:history="1">
        <w:r>
          <w:rPr>
            <w:color w:val="0A3A8C"/>
            <w:u w:val="single"/>
          </w:rPr>
          <w:t xml:space="preserve">§ 2225 Erlöschen des Amts des Testamentsvollstreckers</w:t>
        </w:r>
      </w:hyperlink>
    </w:p>
    <w:p>
      <w:pPr>
        <w:pStyle w:val="Übersicht"/>
        <w:ind w:left="1020"/>
      </w:pPr>
      <w:hyperlink w:anchor="b2686" w:history="1">
        <w:r>
          <w:rPr>
            <w:color w:val="0A3A8C"/>
            <w:u w:val="single"/>
          </w:rPr>
          <w:t xml:space="preserve">§ 2226 Kündigung durch den Testamentsvollstrecker</w:t>
        </w:r>
      </w:hyperlink>
    </w:p>
    <w:p>
      <w:pPr>
        <w:pStyle w:val="Übersicht"/>
        <w:ind w:left="1020"/>
      </w:pPr>
      <w:hyperlink w:anchor="b2687" w:history="1">
        <w:r>
          <w:rPr>
            <w:color w:val="0A3A8C"/>
            <w:u w:val="single"/>
          </w:rPr>
          <w:t xml:space="preserve">§ 2227 Entlassung des Testamentsvollstreckers</w:t>
        </w:r>
      </w:hyperlink>
    </w:p>
    <w:p>
      <w:pPr>
        <w:pStyle w:val="Übersicht"/>
        <w:ind w:left="1020"/>
      </w:pPr>
      <w:hyperlink w:anchor="b2688" w:history="1">
        <w:r>
          <w:rPr>
            <w:color w:val="0A3A8C"/>
            <w:u w:val="single"/>
          </w:rPr>
          <w:t xml:space="preserve">§ 2228 Akteneinsicht</w:t>
        </w:r>
      </w:hyperlink>
    </w:p>
    <w:p>
      <w:pPr>
        <w:pStyle w:val="Übersicht"/>
        <w:ind w:left="680"/>
      </w:pPr>
      <w:hyperlink w:anchor="b2689" w:history="1">
        <w:r>
          <w:rPr>
            <w:b/>
            <w:color w:val="0A3A8C"/>
            <w:u w:val="single"/>
          </w:rPr>
          <w:t xml:space="preserve">Titel 7 Errichtung und Aufhebung eines Testaments</w:t>
        </w:r>
      </w:hyperlink>
    </w:p>
    <w:p>
      <w:pPr>
        <w:pStyle w:val="Übersicht"/>
        <w:ind w:left="1020"/>
      </w:pPr>
      <w:hyperlink w:anchor="b2690" w:history="1">
        <w:r>
          <w:rPr>
            <w:color w:val="0A3A8C"/>
            <w:u w:val="single"/>
          </w:rPr>
          <w:t xml:space="preserve">§ 2229 Testierfähigkeit Minderjähriger, Testierunfähigkeit</w:t>
        </w:r>
      </w:hyperlink>
    </w:p>
    <w:p>
      <w:pPr>
        <w:pStyle w:val="Übersicht"/>
        <w:ind w:left="1020"/>
      </w:pPr>
      <w:hyperlink w:anchor="b2691" w:history="1">
        <w:r>
          <w:rPr>
            <w:color w:val="0A3A8C"/>
            <w:u w:val="single"/>
          </w:rPr>
          <w:t xml:space="preserve">§ 2230</w:t>
        </w:r>
      </w:hyperlink>
    </w:p>
    <w:p>
      <w:pPr>
        <w:pStyle w:val="Übersicht"/>
        <w:ind w:left="1020"/>
      </w:pPr>
      <w:hyperlink w:anchor="b2692" w:history="1">
        <w:r>
          <w:rPr>
            <w:color w:val="0A3A8C"/>
            <w:u w:val="single"/>
          </w:rPr>
          <w:t xml:space="preserve">§ 2231 Ordentliche Testamente</w:t>
        </w:r>
      </w:hyperlink>
    </w:p>
    <w:p>
      <w:pPr>
        <w:pStyle w:val="Übersicht"/>
        <w:ind w:left="1020"/>
      </w:pPr>
      <w:hyperlink w:anchor="b2693" w:history="1">
        <w:r>
          <w:rPr>
            <w:color w:val="0A3A8C"/>
            <w:u w:val="single"/>
          </w:rPr>
          <w:t xml:space="preserve">§ 2232 Öffentliches Testament</w:t>
        </w:r>
      </w:hyperlink>
    </w:p>
    <w:p>
      <w:pPr>
        <w:pStyle w:val="Übersicht"/>
        <w:ind w:left="1020"/>
      </w:pPr>
      <w:hyperlink w:anchor="b2694" w:history="1">
        <w:r>
          <w:rPr>
            <w:color w:val="0A3A8C"/>
            <w:u w:val="single"/>
          </w:rPr>
          <w:t xml:space="preserve">§ 2233 Sonderfälle</w:t>
        </w:r>
      </w:hyperlink>
    </w:p>
    <w:p>
      <w:pPr>
        <w:pStyle w:val="Übersicht"/>
        <w:ind w:left="1020"/>
      </w:pPr>
      <w:hyperlink w:anchor="b2695" w:history="1">
        <w:r>
          <w:rPr>
            <w:color w:val="0A3A8C"/>
            <w:u w:val="single"/>
          </w:rPr>
          <w:t xml:space="preserve">§§ 2234 bis 2246 (weggefallen)</w:t>
        </w:r>
      </w:hyperlink>
    </w:p>
    <w:p>
      <w:pPr>
        <w:pStyle w:val="Übersicht"/>
        <w:ind w:left="1020"/>
      </w:pPr>
      <w:hyperlink w:anchor="b2696" w:history="1">
        <w:r>
          <w:rPr>
            <w:color w:val="0A3A8C"/>
            <w:u w:val="single"/>
          </w:rPr>
          <w:t xml:space="preserve">§ 2247 Eigenhändiges Testament</w:t>
        </w:r>
      </w:hyperlink>
    </w:p>
    <w:p>
      <w:pPr>
        <w:pStyle w:val="Übersicht"/>
        <w:ind w:left="1020"/>
      </w:pPr>
      <w:hyperlink w:anchor="b2697" w:history="1">
        <w:r>
          <w:rPr>
            <w:color w:val="0A3A8C"/>
            <w:u w:val="single"/>
          </w:rPr>
          <w:t xml:space="preserve">§ 2248 Verwahrung des eigenhändigen Testaments</w:t>
        </w:r>
      </w:hyperlink>
    </w:p>
    <w:p>
      <w:pPr>
        <w:pStyle w:val="Übersicht"/>
        <w:ind w:left="1020"/>
      </w:pPr>
      <w:hyperlink w:anchor="b2698" w:history="1">
        <w:r>
          <w:rPr>
            <w:color w:val="0A3A8C"/>
            <w:u w:val="single"/>
          </w:rPr>
          <w:t xml:space="preserve">§ 2249 Nottestament vor dem Bürgermeister</w:t>
        </w:r>
      </w:hyperlink>
    </w:p>
    <w:p>
      <w:pPr>
        <w:pStyle w:val="Übersicht"/>
        <w:ind w:left="1020"/>
      </w:pPr>
      <w:hyperlink w:anchor="b2699" w:history="1">
        <w:r>
          <w:rPr>
            <w:color w:val="0A3A8C"/>
            <w:u w:val="single"/>
          </w:rPr>
          <w:t xml:space="preserve">§ 2250 Nottestament vor drei Zeugen</w:t>
        </w:r>
      </w:hyperlink>
    </w:p>
    <w:p>
      <w:pPr>
        <w:pStyle w:val="Übersicht"/>
        <w:ind w:left="1020"/>
      </w:pPr>
      <w:hyperlink w:anchor="b2700" w:history="1">
        <w:r>
          <w:rPr>
            <w:color w:val="0A3A8C"/>
            <w:u w:val="single"/>
          </w:rPr>
          <w:t xml:space="preserve">§ 2251 Nottestament auf See</w:t>
        </w:r>
      </w:hyperlink>
    </w:p>
    <w:p>
      <w:pPr>
        <w:pStyle w:val="Übersicht"/>
        <w:ind w:left="1020"/>
      </w:pPr>
      <w:hyperlink w:anchor="b2701" w:history="1">
        <w:r>
          <w:rPr>
            <w:color w:val="0A3A8C"/>
            <w:u w:val="single"/>
          </w:rPr>
          <w:t xml:space="preserve">§ 2252 Gültigkeitsdauer der Nottestamente</w:t>
        </w:r>
      </w:hyperlink>
    </w:p>
    <w:p>
      <w:pPr>
        <w:pStyle w:val="Übersicht"/>
        <w:ind w:left="1020"/>
      </w:pPr>
      <w:hyperlink w:anchor="b2702" w:history="1">
        <w:r>
          <w:rPr>
            <w:color w:val="0A3A8C"/>
            <w:u w:val="single"/>
          </w:rPr>
          <w:t xml:space="preserve">§ 2253 Widerruf eines Testaments</w:t>
        </w:r>
      </w:hyperlink>
    </w:p>
    <w:p>
      <w:pPr>
        <w:pStyle w:val="Übersicht"/>
        <w:ind w:left="1020"/>
      </w:pPr>
      <w:hyperlink w:anchor="b2703" w:history="1">
        <w:r>
          <w:rPr>
            <w:color w:val="0A3A8C"/>
            <w:u w:val="single"/>
          </w:rPr>
          <w:t xml:space="preserve">§ 2254 Widerruf durch Testament</w:t>
        </w:r>
      </w:hyperlink>
    </w:p>
    <w:p>
      <w:pPr>
        <w:pStyle w:val="Übersicht"/>
        <w:ind w:left="1020"/>
      </w:pPr>
      <w:hyperlink w:anchor="b2704" w:history="1">
        <w:r>
          <w:rPr>
            <w:color w:val="0A3A8C"/>
            <w:u w:val="single"/>
          </w:rPr>
          <w:t xml:space="preserve">§ 2255 Widerruf durch Vernichtung oder Veränderungen</w:t>
        </w:r>
      </w:hyperlink>
    </w:p>
    <w:p>
      <w:pPr>
        <w:pStyle w:val="Übersicht"/>
        <w:ind w:left="1020"/>
      </w:pPr>
      <w:hyperlink w:anchor="b2705" w:history="1">
        <w:r>
          <w:rPr>
            <w:color w:val="0A3A8C"/>
            <w:u w:val="single"/>
          </w:rPr>
          <w:t xml:space="preserve">§ 2256 Widerruf durch Rücknahme des Testaments aus der amtlichen Verwahrung</w:t>
        </w:r>
      </w:hyperlink>
    </w:p>
    <w:p>
      <w:pPr>
        <w:pStyle w:val="Übersicht"/>
        <w:ind w:left="1020"/>
      </w:pPr>
      <w:hyperlink w:anchor="b2706" w:history="1">
        <w:r>
          <w:rPr>
            <w:color w:val="0A3A8C"/>
            <w:u w:val="single"/>
          </w:rPr>
          <w:t xml:space="preserve">§ 2257 Widerruf des Widerrufs</w:t>
        </w:r>
      </w:hyperlink>
    </w:p>
    <w:p>
      <w:pPr>
        <w:pStyle w:val="Übersicht"/>
        <w:ind w:left="1020"/>
      </w:pPr>
      <w:hyperlink w:anchor="b2707" w:history="1">
        <w:r>
          <w:rPr>
            <w:color w:val="0A3A8C"/>
            <w:u w:val="single"/>
          </w:rPr>
          <w:t xml:space="preserve">§ 2258 Widerruf durch ein späteres Testament</w:t>
        </w:r>
      </w:hyperlink>
    </w:p>
    <w:p>
      <w:pPr>
        <w:pStyle w:val="Übersicht"/>
        <w:ind w:left="1020"/>
      </w:pPr>
      <w:hyperlink w:anchor="b2708" w:history="1">
        <w:r>
          <w:rPr>
            <w:color w:val="0A3A8C"/>
            <w:u w:val="single"/>
          </w:rPr>
          <w:t xml:space="preserve">§§ 2258a und 2258b (weggefallen)</w:t>
        </w:r>
      </w:hyperlink>
    </w:p>
    <w:p>
      <w:pPr>
        <w:pStyle w:val="Übersicht"/>
        <w:ind w:left="1020"/>
      </w:pPr>
      <w:hyperlink w:anchor="b2709" w:history="1">
        <w:r>
          <w:rPr>
            <w:color w:val="0A3A8C"/>
            <w:u w:val="single"/>
          </w:rPr>
          <w:t xml:space="preserve">§ 2259 Ablieferungspflicht</w:t>
        </w:r>
      </w:hyperlink>
    </w:p>
    <w:p>
      <w:pPr>
        <w:pStyle w:val="Übersicht"/>
        <w:ind w:left="1020"/>
      </w:pPr>
      <w:hyperlink w:anchor="b2710" w:history="1">
        <w:r>
          <w:rPr>
            <w:color w:val="0A3A8C"/>
            <w:u w:val="single"/>
          </w:rPr>
          <w:t xml:space="preserve">§ 2260 (weggefallen)</w:t>
        </w:r>
      </w:hyperlink>
    </w:p>
    <w:p>
      <w:pPr>
        <w:pStyle w:val="Übersicht"/>
        <w:ind w:left="1020"/>
      </w:pPr>
      <w:hyperlink w:anchor="b2711" w:history="1">
        <w:r>
          <w:rPr>
            <w:color w:val="0A3A8C"/>
            <w:u w:val="single"/>
          </w:rPr>
          <w:t xml:space="preserve">§ 2261 (weggefallen)</w:t>
        </w:r>
      </w:hyperlink>
    </w:p>
    <w:p>
      <w:pPr>
        <w:pStyle w:val="Übersicht"/>
        <w:ind w:left="1020"/>
      </w:pPr>
      <w:hyperlink w:anchor="b2712" w:history="1">
        <w:r>
          <w:rPr>
            <w:color w:val="0A3A8C"/>
            <w:u w:val="single"/>
          </w:rPr>
          <w:t xml:space="preserve">§ 2262 (weggefallen)</w:t>
        </w:r>
      </w:hyperlink>
    </w:p>
    <w:p>
      <w:pPr>
        <w:pStyle w:val="Übersicht"/>
        <w:ind w:left="1020"/>
      </w:pPr>
      <w:hyperlink w:anchor="b2713" w:history="1">
        <w:r>
          <w:rPr>
            <w:color w:val="0A3A8C"/>
            <w:u w:val="single"/>
          </w:rPr>
          <w:t xml:space="preserve">§ 2263 Nichtigkeit eines Eröffnungsverbots</w:t>
        </w:r>
      </w:hyperlink>
    </w:p>
    <w:p>
      <w:pPr>
        <w:pStyle w:val="Übersicht"/>
        <w:ind w:left="1020"/>
      </w:pPr>
      <w:hyperlink w:anchor="b2714" w:history="1">
        <w:r>
          <w:rPr>
            <w:color w:val="0A3A8C"/>
            <w:u w:val="single"/>
          </w:rPr>
          <w:t xml:space="preserve">§ 2264 (weggefallen)</w:t>
        </w:r>
      </w:hyperlink>
    </w:p>
    <w:p>
      <w:pPr>
        <w:pStyle w:val="Übersicht"/>
        <w:ind w:left="680"/>
      </w:pPr>
      <w:hyperlink w:anchor="b2715" w:history="1">
        <w:r>
          <w:rPr>
            <w:b/>
            <w:color w:val="0A3A8C"/>
            <w:u w:val="single"/>
          </w:rPr>
          <w:t xml:space="preserve">Titel 8 Gemeinschaftliches Testament</w:t>
        </w:r>
      </w:hyperlink>
    </w:p>
    <w:p>
      <w:pPr>
        <w:pStyle w:val="Übersicht"/>
        <w:ind w:left="1020"/>
      </w:pPr>
      <w:hyperlink w:anchor="b2716" w:history="1">
        <w:r>
          <w:rPr>
            <w:color w:val="0A3A8C"/>
            <w:u w:val="single"/>
          </w:rPr>
          <w:t xml:space="preserve">§ 2265 Errichtung durch Ehegatten</w:t>
        </w:r>
      </w:hyperlink>
    </w:p>
    <w:p>
      <w:pPr>
        <w:pStyle w:val="Übersicht"/>
        <w:ind w:left="1020"/>
      </w:pPr>
      <w:hyperlink w:anchor="b2717" w:history="1">
        <w:r>
          <w:rPr>
            <w:color w:val="0A3A8C"/>
            <w:u w:val="single"/>
          </w:rPr>
          <w:t xml:space="preserve">§ 2266 Gemeinschaftliches Nottestament</w:t>
        </w:r>
      </w:hyperlink>
    </w:p>
    <w:p>
      <w:pPr>
        <w:pStyle w:val="Übersicht"/>
        <w:ind w:left="1020"/>
      </w:pPr>
      <w:hyperlink w:anchor="b2718" w:history="1">
        <w:r>
          <w:rPr>
            <w:color w:val="0A3A8C"/>
            <w:u w:val="single"/>
          </w:rPr>
          <w:t xml:space="preserve">§ 2267 Gemeinschaftliches eigenhändiges Testament</w:t>
        </w:r>
      </w:hyperlink>
    </w:p>
    <w:p>
      <w:pPr>
        <w:pStyle w:val="Übersicht"/>
        <w:ind w:left="1020"/>
      </w:pPr>
      <w:hyperlink w:anchor="b2719" w:history="1">
        <w:r>
          <w:rPr>
            <w:color w:val="0A3A8C"/>
            <w:u w:val="single"/>
          </w:rPr>
          <w:t xml:space="preserve">§ 2268 Wirkung der Ehenichtigkeit oder -auflösung</w:t>
        </w:r>
      </w:hyperlink>
    </w:p>
    <w:p>
      <w:pPr>
        <w:pStyle w:val="Übersicht"/>
        <w:ind w:left="1020"/>
      </w:pPr>
      <w:hyperlink w:anchor="b2720" w:history="1">
        <w:r>
          <w:rPr>
            <w:color w:val="0A3A8C"/>
            <w:u w:val="single"/>
          </w:rPr>
          <w:t xml:space="preserve">§ 2269 Gegenseitige Einsetzung</w:t>
        </w:r>
      </w:hyperlink>
    </w:p>
    <w:p>
      <w:pPr>
        <w:pStyle w:val="Übersicht"/>
        <w:ind w:left="1020"/>
      </w:pPr>
      <w:hyperlink w:anchor="b2721" w:history="1">
        <w:r>
          <w:rPr>
            <w:color w:val="0A3A8C"/>
            <w:u w:val="single"/>
          </w:rPr>
          <w:t xml:space="preserve">§ 2270 Wechselbezügliche Verfügungen</w:t>
        </w:r>
      </w:hyperlink>
    </w:p>
    <w:p>
      <w:pPr>
        <w:pStyle w:val="Übersicht"/>
        <w:ind w:left="1020"/>
      </w:pPr>
      <w:hyperlink w:anchor="b2722" w:history="1">
        <w:r>
          <w:rPr>
            <w:color w:val="0A3A8C"/>
            <w:u w:val="single"/>
          </w:rPr>
          <w:t xml:space="preserve">§ 2271 Widerruf wechselbezüglicher Verfügungen</w:t>
        </w:r>
      </w:hyperlink>
    </w:p>
    <w:p>
      <w:pPr>
        <w:pStyle w:val="Übersicht"/>
        <w:ind w:left="1020"/>
      </w:pPr>
      <w:hyperlink w:anchor="b2723" w:history="1">
        <w:r>
          <w:rPr>
            <w:color w:val="0A3A8C"/>
            <w:u w:val="single"/>
          </w:rPr>
          <w:t xml:space="preserve">§ 2272 Rücknahme aus amtlicher Verwahrung</w:t>
        </w:r>
      </w:hyperlink>
    </w:p>
    <w:p>
      <w:pPr>
        <w:pStyle w:val="Übersicht"/>
        <w:ind w:left="1020"/>
      </w:pPr>
      <w:hyperlink w:anchor="b2724" w:history="1">
        <w:r>
          <w:rPr>
            <w:color w:val="0A3A8C"/>
            <w:u w:val="single"/>
          </w:rPr>
          <w:t xml:space="preserve">§ 2273 (weggefallen)</w:t>
        </w:r>
      </w:hyperlink>
    </w:p>
    <w:p>
      <w:pPr>
        <w:pStyle w:val="Übersicht"/>
        <w:ind w:left="340"/>
      </w:pPr>
      <w:hyperlink w:anchor="b2725" w:history="1">
        <w:r>
          <w:rPr>
            <w:b/>
            <w:color w:val="0A3A8C"/>
            <w:u w:val="single"/>
          </w:rPr>
          <w:t xml:space="preserve">Abschnitt 4 Erbvertrag</w:t>
        </w:r>
      </w:hyperlink>
    </w:p>
    <w:p>
      <w:pPr>
        <w:pStyle w:val="Übersicht"/>
        <w:ind w:left="680"/>
      </w:pPr>
      <w:hyperlink w:anchor="b2726" w:history="1">
        <w:r>
          <w:rPr>
            <w:color w:val="0A3A8C"/>
            <w:u w:val="single"/>
          </w:rPr>
          <w:t xml:space="preserve">§ 2274 Persönlicher Abschluss</w:t>
        </w:r>
      </w:hyperlink>
    </w:p>
    <w:p>
      <w:pPr>
        <w:pStyle w:val="Übersicht"/>
        <w:ind w:left="680"/>
      </w:pPr>
      <w:hyperlink w:anchor="b2727" w:history="1">
        <w:r>
          <w:rPr>
            <w:color w:val="0A3A8C"/>
            <w:u w:val="single"/>
          </w:rPr>
          <w:t xml:space="preserve">§ 2275 Voraussetzungen</w:t>
        </w:r>
      </w:hyperlink>
    </w:p>
    <w:p>
      <w:pPr>
        <w:pStyle w:val="Übersicht"/>
        <w:ind w:left="680"/>
      </w:pPr>
      <w:hyperlink w:anchor="b2728" w:history="1">
        <w:r>
          <w:rPr>
            <w:color w:val="0A3A8C"/>
            <w:u w:val="single"/>
          </w:rPr>
          <w:t xml:space="preserve">§ 2276 Form</w:t>
        </w:r>
      </w:hyperlink>
    </w:p>
    <w:p>
      <w:pPr>
        <w:pStyle w:val="Übersicht"/>
        <w:ind w:left="680"/>
      </w:pPr>
      <w:hyperlink w:anchor="b2729" w:history="1">
        <w:r>
          <w:rPr>
            <w:color w:val="0A3A8C"/>
            <w:u w:val="single"/>
          </w:rPr>
          <w:t xml:space="preserve">§ 2277 (weggefallen)</w:t>
        </w:r>
      </w:hyperlink>
    </w:p>
    <w:p>
      <w:pPr>
        <w:pStyle w:val="Übersicht"/>
        <w:ind w:left="680"/>
      </w:pPr>
      <w:hyperlink w:anchor="b2730" w:history="1">
        <w:r>
          <w:rPr>
            <w:color w:val="0A3A8C"/>
            <w:u w:val="single"/>
          </w:rPr>
          <w:t xml:space="preserve">§ 2278 Zulässige vertragsmäßige Verfügungen</w:t>
        </w:r>
      </w:hyperlink>
    </w:p>
    <w:p>
      <w:pPr>
        <w:pStyle w:val="Übersicht"/>
        <w:ind w:left="680"/>
      </w:pPr>
      <w:hyperlink w:anchor="b2731" w:history="1">
        <w:r>
          <w:rPr>
            <w:color w:val="0A3A8C"/>
            <w:u w:val="single"/>
          </w:rPr>
          <w:t xml:space="preserve">§ 2279 Vertragsmäßige Zuwendungen und Auflagen; Anwendung von § 2077</w:t>
        </w:r>
      </w:hyperlink>
    </w:p>
    <w:p>
      <w:pPr>
        <w:pStyle w:val="Übersicht"/>
        <w:ind w:left="680"/>
      </w:pPr>
      <w:hyperlink w:anchor="b2732" w:history="1">
        <w:r>
          <w:rPr>
            <w:color w:val="0A3A8C"/>
            <w:u w:val="single"/>
          </w:rPr>
          <w:t xml:space="preserve">§ 2280 Anwendung von § 2269</w:t>
        </w:r>
      </w:hyperlink>
    </w:p>
    <w:p>
      <w:pPr>
        <w:pStyle w:val="Übersicht"/>
        <w:ind w:left="680"/>
      </w:pPr>
      <w:hyperlink w:anchor="b2733" w:history="1">
        <w:r>
          <w:rPr>
            <w:color w:val="0A3A8C"/>
            <w:u w:val="single"/>
          </w:rPr>
          <w:t xml:space="preserve">§ 2281 Anfechtung durch den Erblasser</w:t>
        </w:r>
      </w:hyperlink>
    </w:p>
    <w:p>
      <w:pPr>
        <w:pStyle w:val="Übersicht"/>
        <w:ind w:left="680"/>
      </w:pPr>
      <w:hyperlink w:anchor="b2734" w:history="1">
        <w:r>
          <w:rPr>
            <w:color w:val="0A3A8C"/>
            <w:u w:val="single"/>
          </w:rPr>
          <w:t xml:space="preserve">§ 2282 Vertretung, Form der Anfechtung</w:t>
        </w:r>
      </w:hyperlink>
    </w:p>
    <w:p>
      <w:pPr>
        <w:pStyle w:val="Übersicht"/>
        <w:ind w:left="680"/>
      </w:pPr>
      <w:hyperlink w:anchor="b2735" w:history="1">
        <w:r>
          <w:rPr>
            <w:color w:val="0A3A8C"/>
            <w:u w:val="single"/>
          </w:rPr>
          <w:t xml:space="preserve">§ 2283 Anfechtungsfrist</w:t>
        </w:r>
      </w:hyperlink>
    </w:p>
    <w:p>
      <w:pPr>
        <w:pStyle w:val="Übersicht"/>
        <w:ind w:left="680"/>
      </w:pPr>
      <w:hyperlink w:anchor="b2736" w:history="1">
        <w:r>
          <w:rPr>
            <w:color w:val="0A3A8C"/>
            <w:u w:val="single"/>
          </w:rPr>
          <w:t xml:space="preserve">§ 2284 Bestätigung</w:t>
        </w:r>
      </w:hyperlink>
    </w:p>
    <w:p>
      <w:pPr>
        <w:pStyle w:val="Übersicht"/>
        <w:ind w:left="680"/>
      </w:pPr>
      <w:hyperlink w:anchor="b2737" w:history="1">
        <w:r>
          <w:rPr>
            <w:color w:val="0A3A8C"/>
            <w:u w:val="single"/>
          </w:rPr>
          <w:t xml:space="preserve">§ 2285 Anfechtung durch Dritte</w:t>
        </w:r>
      </w:hyperlink>
    </w:p>
    <w:p>
      <w:pPr>
        <w:pStyle w:val="Übersicht"/>
        <w:ind w:left="680"/>
      </w:pPr>
      <w:hyperlink w:anchor="b2738" w:history="1">
        <w:r>
          <w:rPr>
            <w:color w:val="0A3A8C"/>
            <w:u w:val="single"/>
          </w:rPr>
          <w:t xml:space="preserve">§ 2286 Verfügungen unter Lebenden</w:t>
        </w:r>
      </w:hyperlink>
    </w:p>
    <w:p>
      <w:pPr>
        <w:pStyle w:val="Übersicht"/>
        <w:ind w:left="680"/>
      </w:pPr>
      <w:hyperlink w:anchor="b2739" w:history="1">
        <w:r>
          <w:rPr>
            <w:color w:val="0A3A8C"/>
            <w:u w:val="single"/>
          </w:rPr>
          <w:t xml:space="preserve">§ 2287 Den Vertragserben beeinträchtigende Schenkungen</w:t>
        </w:r>
      </w:hyperlink>
    </w:p>
    <w:p>
      <w:pPr>
        <w:pStyle w:val="Übersicht"/>
        <w:ind w:left="680"/>
      </w:pPr>
      <w:hyperlink w:anchor="b2740" w:history="1">
        <w:r>
          <w:rPr>
            <w:color w:val="0A3A8C"/>
            <w:u w:val="single"/>
          </w:rPr>
          <w:t xml:space="preserve">§ 2288 Beeinträchtigung des Vermächtnisnehmers</w:t>
        </w:r>
      </w:hyperlink>
    </w:p>
    <w:p>
      <w:pPr>
        <w:pStyle w:val="Übersicht"/>
        <w:ind w:left="680"/>
      </w:pPr>
      <w:hyperlink w:anchor="b2741" w:history="1">
        <w:r>
          <w:rPr>
            <w:color w:val="0A3A8C"/>
            <w:u w:val="single"/>
          </w:rPr>
          <w:t xml:space="preserve">§ 2289 Wirkung des Erbvertrags auf letztwillige Verfügungen; Anwendung von
§ 2338</w:t>
        </w:r>
      </w:hyperlink>
    </w:p>
    <w:p>
      <w:pPr>
        <w:pStyle w:val="Übersicht"/>
        <w:ind w:left="680"/>
      </w:pPr>
      <w:hyperlink w:anchor="b2742" w:history="1">
        <w:r>
          <w:rPr>
            <w:color w:val="0A3A8C"/>
            <w:u w:val="single"/>
          </w:rPr>
          <w:t xml:space="preserve">§ 2290 Aufhebung durch Vertrag</w:t>
        </w:r>
      </w:hyperlink>
    </w:p>
    <w:p>
      <w:pPr>
        <w:pStyle w:val="Übersicht"/>
        <w:ind w:left="680"/>
      </w:pPr>
      <w:hyperlink w:anchor="b2743" w:history="1">
        <w:r>
          <w:rPr>
            <w:color w:val="0A3A8C"/>
            <w:u w:val="single"/>
          </w:rPr>
          <w:t xml:space="preserve">§ 2291 Aufhebung durch Testament</w:t>
        </w:r>
      </w:hyperlink>
    </w:p>
    <w:p>
      <w:pPr>
        <w:pStyle w:val="Übersicht"/>
        <w:ind w:left="680"/>
      </w:pPr>
      <w:hyperlink w:anchor="b2744" w:history="1">
        <w:r>
          <w:rPr>
            <w:color w:val="0A3A8C"/>
            <w:u w:val="single"/>
          </w:rPr>
          <w:t xml:space="preserve">§ 2292 Aufhebung durch gemeinschaftliches Testament</w:t>
        </w:r>
      </w:hyperlink>
    </w:p>
    <w:p>
      <w:pPr>
        <w:pStyle w:val="Übersicht"/>
        <w:ind w:left="680"/>
      </w:pPr>
      <w:hyperlink w:anchor="b2745" w:history="1">
        <w:r>
          <w:rPr>
            <w:color w:val="0A3A8C"/>
            <w:u w:val="single"/>
          </w:rPr>
          <w:t xml:space="preserve">§ 2293 Rücktritt bei Vorbehalt</w:t>
        </w:r>
      </w:hyperlink>
    </w:p>
    <w:p>
      <w:pPr>
        <w:pStyle w:val="Übersicht"/>
        <w:ind w:left="680"/>
      </w:pPr>
      <w:hyperlink w:anchor="b2746" w:history="1">
        <w:r>
          <w:rPr>
            <w:color w:val="0A3A8C"/>
            <w:u w:val="single"/>
          </w:rPr>
          <w:t xml:space="preserve">§ 2294 Rücktritt bei Verfehlungen des Bedachten</w:t>
        </w:r>
      </w:hyperlink>
    </w:p>
    <w:p>
      <w:pPr>
        <w:pStyle w:val="Übersicht"/>
        <w:ind w:left="680"/>
      </w:pPr>
      <w:hyperlink w:anchor="b2747" w:history="1">
        <w:r>
          <w:rPr>
            <w:color w:val="0A3A8C"/>
            <w:u w:val="single"/>
          </w:rPr>
          <w:t xml:space="preserve">§ 2295 Rücktritt bei Aufhebung der Gegenverpflichtung</w:t>
        </w:r>
      </w:hyperlink>
    </w:p>
    <w:p>
      <w:pPr>
        <w:pStyle w:val="Übersicht"/>
        <w:ind w:left="680"/>
      </w:pPr>
      <w:hyperlink w:anchor="b2748" w:history="1">
        <w:r>
          <w:rPr>
            <w:color w:val="0A3A8C"/>
            <w:u w:val="single"/>
          </w:rPr>
          <w:t xml:space="preserve">§ 2296 Vertretung, Form des Rücktritts</w:t>
        </w:r>
      </w:hyperlink>
    </w:p>
    <w:p>
      <w:pPr>
        <w:pStyle w:val="Übersicht"/>
        <w:ind w:left="680"/>
      </w:pPr>
      <w:hyperlink w:anchor="b2749" w:history="1">
        <w:r>
          <w:rPr>
            <w:color w:val="0A3A8C"/>
            <w:u w:val="single"/>
          </w:rPr>
          <w:t xml:space="preserve">§ 2297 Rücktritt durch Testament</w:t>
        </w:r>
      </w:hyperlink>
    </w:p>
    <w:p>
      <w:pPr>
        <w:pStyle w:val="Übersicht"/>
        <w:ind w:left="680"/>
      </w:pPr>
      <w:hyperlink w:anchor="b2750" w:history="1">
        <w:r>
          <w:rPr>
            <w:color w:val="0A3A8C"/>
            <w:u w:val="single"/>
          </w:rPr>
          <w:t xml:space="preserve">§ 2298 Gegenseitiger Erbvertrag</w:t>
        </w:r>
      </w:hyperlink>
    </w:p>
    <w:p>
      <w:pPr>
        <w:pStyle w:val="Übersicht"/>
        <w:ind w:left="680"/>
      </w:pPr>
      <w:hyperlink w:anchor="b2751" w:history="1">
        <w:r>
          <w:rPr>
            <w:color w:val="0A3A8C"/>
            <w:u w:val="single"/>
          </w:rPr>
          <w:t xml:space="preserve">§ 2299 Einseitige Verfügungen</w:t>
        </w:r>
      </w:hyperlink>
    </w:p>
    <w:p>
      <w:pPr>
        <w:pStyle w:val="Übersicht"/>
        <w:ind w:left="680"/>
      </w:pPr>
      <w:hyperlink w:anchor="b2752" w:history="1">
        <w:r>
          <w:rPr>
            <w:color w:val="0A3A8C"/>
            <w:u w:val="single"/>
          </w:rPr>
          <w:t xml:space="preserve">§ 2300 Anwendung der §§ 2259 und 2263; Rücknahme aus der amtlichen oder notariellen Verwahrung</w:t>
        </w:r>
      </w:hyperlink>
    </w:p>
    <w:p>
      <w:pPr>
        <w:pStyle w:val="Übersicht"/>
        <w:ind w:left="680"/>
      </w:pPr>
      <w:hyperlink w:anchor="b2753" w:history="1">
        <w:r>
          <w:rPr>
            <w:color w:val="0A3A8C"/>
            <w:u w:val="single"/>
          </w:rPr>
          <w:t xml:space="preserve">§ 2301 Schenkungsversprechen von Todes wegen</w:t>
        </w:r>
      </w:hyperlink>
    </w:p>
    <w:p>
      <w:pPr>
        <w:pStyle w:val="Übersicht"/>
        <w:ind w:left="680"/>
      </w:pPr>
      <w:hyperlink w:anchor="b2754" w:history="1">
        <w:r>
          <w:rPr>
            <w:color w:val="0A3A8C"/>
            <w:u w:val="single"/>
          </w:rPr>
          <w:t xml:space="preserve">§ 2302 Unbeschränkbare Testierfreiheit</w:t>
        </w:r>
      </w:hyperlink>
    </w:p>
    <w:p>
      <w:pPr>
        <w:pStyle w:val="Übersicht"/>
        <w:ind w:left="340"/>
      </w:pPr>
      <w:hyperlink w:anchor="b2755" w:history="1">
        <w:r>
          <w:rPr>
            <w:b/>
            <w:color w:val="0A3A8C"/>
            <w:u w:val="single"/>
          </w:rPr>
          <w:t xml:space="preserve">Abschnitt 5 Pflichtteil</w:t>
        </w:r>
      </w:hyperlink>
    </w:p>
    <w:p>
      <w:pPr>
        <w:pStyle w:val="Übersicht"/>
        <w:ind w:left="680"/>
      </w:pPr>
      <w:hyperlink w:anchor="b2756" w:history="1">
        <w:r>
          <w:rPr>
            <w:color w:val="0A3A8C"/>
            <w:u w:val="single"/>
          </w:rPr>
          <w:t xml:space="preserve">§ 2303 Pflichtteilsberechtigte; Höhe des Pflichtteils</w:t>
        </w:r>
      </w:hyperlink>
    </w:p>
    <w:p>
      <w:pPr>
        <w:pStyle w:val="Übersicht"/>
        <w:ind w:left="680"/>
      </w:pPr>
      <w:hyperlink w:anchor="b2757" w:history="1">
        <w:r>
          <w:rPr>
            <w:color w:val="0A3A8C"/>
            <w:u w:val="single"/>
          </w:rPr>
          <w:t xml:space="preserve">§ 2304 Auslegungsregel</w:t>
        </w:r>
      </w:hyperlink>
    </w:p>
    <w:p>
      <w:pPr>
        <w:pStyle w:val="Übersicht"/>
        <w:ind w:left="680"/>
      </w:pPr>
      <w:hyperlink w:anchor="b2758" w:history="1">
        <w:r>
          <w:rPr>
            <w:color w:val="0A3A8C"/>
            <w:u w:val="single"/>
          </w:rPr>
          <w:t xml:space="preserve">§ 2305 Zusatzpflichtteil</w:t>
        </w:r>
      </w:hyperlink>
    </w:p>
    <w:p>
      <w:pPr>
        <w:pStyle w:val="Übersicht"/>
        <w:ind w:left="680"/>
      </w:pPr>
      <w:hyperlink w:anchor="b2759" w:history="1">
        <w:r>
          <w:rPr>
            <w:color w:val="0A3A8C"/>
            <w:u w:val="single"/>
          </w:rPr>
          <w:t xml:space="preserve">§ 2306 Beschränkungen und Beschwerungen</w:t>
        </w:r>
      </w:hyperlink>
    </w:p>
    <w:p>
      <w:pPr>
        <w:pStyle w:val="Übersicht"/>
        <w:ind w:left="680"/>
      </w:pPr>
      <w:hyperlink w:anchor="b2760" w:history="1">
        <w:r>
          <w:rPr>
            <w:color w:val="0A3A8C"/>
            <w:u w:val="single"/>
          </w:rPr>
          <w:t xml:space="preserve">§ 2307 Zuwendung eines Vermächtnisses</w:t>
        </w:r>
      </w:hyperlink>
    </w:p>
    <w:p>
      <w:pPr>
        <w:pStyle w:val="Übersicht"/>
        <w:ind w:left="680"/>
      </w:pPr>
      <w:hyperlink w:anchor="b2761" w:history="1">
        <w:r>
          <w:rPr>
            <w:color w:val="0A3A8C"/>
            <w:u w:val="single"/>
          </w:rPr>
          <w:t xml:space="preserve">§ 2308 Anfechtung der Ausschlagung</w:t>
        </w:r>
      </w:hyperlink>
    </w:p>
    <w:p>
      <w:pPr>
        <w:pStyle w:val="Übersicht"/>
        <w:ind w:left="680"/>
      </w:pPr>
      <w:hyperlink w:anchor="b2762" w:history="1">
        <w:r>
          <w:rPr>
            <w:color w:val="0A3A8C"/>
            <w:u w:val="single"/>
          </w:rPr>
          <w:t xml:space="preserve">§ 2309 Pflichtteilsrecht der Eltern und entfernteren Abkömmlinge</w:t>
        </w:r>
      </w:hyperlink>
    </w:p>
    <w:p>
      <w:pPr>
        <w:pStyle w:val="Übersicht"/>
        <w:ind w:left="680"/>
      </w:pPr>
      <w:hyperlink w:anchor="b2763" w:history="1">
        <w:r>
          <w:rPr>
            <w:color w:val="0A3A8C"/>
            <w:u w:val="single"/>
          </w:rPr>
          <w:t xml:space="preserve">§ 2310 Feststellung des Erbteils für die Berechnung des Pflichtteils</w:t>
        </w:r>
      </w:hyperlink>
    </w:p>
    <w:p>
      <w:pPr>
        <w:pStyle w:val="Übersicht"/>
        <w:ind w:left="680"/>
      </w:pPr>
      <w:hyperlink w:anchor="b2764" w:history="1">
        <w:r>
          <w:rPr>
            <w:color w:val="0A3A8C"/>
            <w:u w:val="single"/>
          </w:rPr>
          <w:t xml:space="preserve">§ 2311 Wert des Nachlasses</w:t>
        </w:r>
      </w:hyperlink>
    </w:p>
    <w:p>
      <w:pPr>
        <w:pStyle w:val="Übersicht"/>
        <w:ind w:left="680"/>
      </w:pPr>
      <w:hyperlink w:anchor="b2765" w:history="1">
        <w:r>
          <w:rPr>
            <w:color w:val="0A3A8C"/>
            <w:u w:val="single"/>
          </w:rPr>
          <w:t xml:space="preserve">§ 2312 Wert eines Landguts</w:t>
        </w:r>
      </w:hyperlink>
    </w:p>
    <w:p>
      <w:pPr>
        <w:pStyle w:val="Übersicht"/>
        <w:ind w:left="680"/>
      </w:pPr>
      <w:hyperlink w:anchor="b2766" w:history="1">
        <w:r>
          <w:rPr>
            <w:color w:val="0A3A8C"/>
            <w:u w:val="single"/>
          </w:rPr>
          <w:t xml:space="preserve">§ 2313 Ansatz bedingter, ungewisser oder unsicherer Rechte; Feststellungspflicht
des Erben</w:t>
        </w:r>
      </w:hyperlink>
    </w:p>
    <w:p>
      <w:pPr>
        <w:pStyle w:val="Übersicht"/>
        <w:ind w:left="680"/>
      </w:pPr>
      <w:hyperlink w:anchor="b2767" w:history="1">
        <w:r>
          <w:rPr>
            <w:color w:val="0A3A8C"/>
            <w:u w:val="single"/>
          </w:rPr>
          <w:t xml:space="preserve">§ 2314 Auskunftspflicht des Erben</w:t>
        </w:r>
      </w:hyperlink>
    </w:p>
    <w:p>
      <w:pPr>
        <w:pStyle w:val="Übersicht"/>
        <w:ind w:left="680"/>
      </w:pPr>
      <w:hyperlink w:anchor="b2768" w:history="1">
        <w:r>
          <w:rPr>
            <w:color w:val="0A3A8C"/>
            <w:u w:val="single"/>
          </w:rPr>
          <w:t xml:space="preserve">§ 2315 Anrechnung von Zuwendungen auf den Pflichtteil</w:t>
        </w:r>
      </w:hyperlink>
    </w:p>
    <w:p>
      <w:pPr>
        <w:pStyle w:val="Übersicht"/>
        <w:ind w:left="680"/>
      </w:pPr>
      <w:hyperlink w:anchor="b2769" w:history="1">
        <w:r>
          <w:rPr>
            <w:color w:val="0A3A8C"/>
            <w:u w:val="single"/>
          </w:rPr>
          <w:t xml:space="preserve">§ 2316 Ausgleichungspflicht</w:t>
        </w:r>
      </w:hyperlink>
    </w:p>
    <w:p>
      <w:pPr>
        <w:pStyle w:val="Übersicht"/>
        <w:ind w:left="680"/>
      </w:pPr>
      <w:hyperlink w:anchor="b2770" w:history="1">
        <w:r>
          <w:rPr>
            <w:color w:val="0A3A8C"/>
            <w:u w:val="single"/>
          </w:rPr>
          <w:t xml:space="preserve">§ 2317 Entstehung und Übertragbarkeit des Pflichtteilsanspruchs</w:t>
        </w:r>
      </w:hyperlink>
    </w:p>
    <w:p>
      <w:pPr>
        <w:pStyle w:val="Übersicht"/>
        <w:ind w:left="680"/>
      </w:pPr>
      <w:hyperlink w:anchor="b2771" w:history="1">
        <w:r>
          <w:rPr>
            <w:color w:val="0A3A8C"/>
            <w:u w:val="single"/>
          </w:rPr>
          <w:t xml:space="preserve">§ 2318 Pflichtteilslast bei Vermächtnissen und Auflagen</w:t>
        </w:r>
      </w:hyperlink>
    </w:p>
    <w:p>
      <w:pPr>
        <w:pStyle w:val="Übersicht"/>
        <w:ind w:left="680"/>
      </w:pPr>
      <w:hyperlink w:anchor="b2772" w:history="1">
        <w:r>
          <w:rPr>
            <w:color w:val="0A3A8C"/>
            <w:u w:val="single"/>
          </w:rPr>
          <w:t xml:space="preserve">§ 2319 Pflichtteilsberechtigter Miterbe</w:t>
        </w:r>
      </w:hyperlink>
    </w:p>
    <w:p>
      <w:pPr>
        <w:pStyle w:val="Übersicht"/>
        <w:ind w:left="680"/>
      </w:pPr>
      <w:hyperlink w:anchor="b2773" w:history="1">
        <w:r>
          <w:rPr>
            <w:color w:val="0A3A8C"/>
            <w:u w:val="single"/>
          </w:rPr>
          <w:t xml:space="preserve">§ 2320 Pflichtteilslast des an die Stelle des Pflichtteilsberechtigten
getretenen Erben</w:t>
        </w:r>
      </w:hyperlink>
    </w:p>
    <w:p>
      <w:pPr>
        <w:pStyle w:val="Übersicht"/>
        <w:ind w:left="680"/>
      </w:pPr>
      <w:hyperlink w:anchor="b2774" w:history="1">
        <w:r>
          <w:rPr>
            <w:color w:val="0A3A8C"/>
            <w:u w:val="single"/>
          </w:rPr>
          <w:t xml:space="preserve">§ 2321 Pflichtteilslast bei Vermächtnisausschlagung</w:t>
        </w:r>
      </w:hyperlink>
    </w:p>
    <w:p>
      <w:pPr>
        <w:pStyle w:val="Übersicht"/>
        <w:ind w:left="680"/>
      </w:pPr>
      <w:hyperlink w:anchor="b2775" w:history="1">
        <w:r>
          <w:rPr>
            <w:color w:val="0A3A8C"/>
            <w:u w:val="single"/>
          </w:rPr>
          <w:t xml:space="preserve">§ 2322 Kürzung von Vermächtnissen und Auflagen</w:t>
        </w:r>
      </w:hyperlink>
    </w:p>
    <w:p>
      <w:pPr>
        <w:pStyle w:val="Übersicht"/>
        <w:ind w:left="680"/>
      </w:pPr>
      <w:hyperlink w:anchor="b2776" w:history="1">
        <w:r>
          <w:rPr>
            <w:color w:val="0A3A8C"/>
            <w:u w:val="single"/>
          </w:rPr>
          <w:t xml:space="preserve">§ 2323 Nicht pflichtteilsbelasteter Erbe</w:t>
        </w:r>
      </w:hyperlink>
    </w:p>
    <w:p>
      <w:pPr>
        <w:pStyle w:val="Übersicht"/>
        <w:ind w:left="680"/>
      </w:pPr>
      <w:hyperlink w:anchor="b2777" w:history="1">
        <w:r>
          <w:rPr>
            <w:color w:val="0A3A8C"/>
            <w:u w:val="single"/>
          </w:rPr>
          <w:t xml:space="preserve">§ 2324 Abweichende Anordnungen des Erblassers hinsichtlich der Pflichtteilslast</w:t>
        </w:r>
      </w:hyperlink>
    </w:p>
    <w:p>
      <w:pPr>
        <w:pStyle w:val="Übersicht"/>
        <w:ind w:left="680"/>
      </w:pPr>
      <w:hyperlink w:anchor="b2778" w:history="1">
        <w:r>
          <w:rPr>
            <w:color w:val="0A3A8C"/>
            <w:u w:val="single"/>
          </w:rPr>
          <w:t xml:space="preserve">§ 2325 Pflichtteilsergänzungsanspruch bei Schenkungen</w:t>
        </w:r>
      </w:hyperlink>
    </w:p>
    <w:p>
      <w:pPr>
        <w:pStyle w:val="Übersicht"/>
        <w:ind w:left="680"/>
      </w:pPr>
      <w:hyperlink w:anchor="b2779" w:history="1">
        <w:r>
          <w:rPr>
            <w:color w:val="0A3A8C"/>
            <w:u w:val="single"/>
          </w:rPr>
          <w:t xml:space="preserve">§ 2326 Ergänzung über die Hälfte des gesetzlichen Erbteils</w:t>
        </w:r>
      </w:hyperlink>
    </w:p>
    <w:p>
      <w:pPr>
        <w:pStyle w:val="Übersicht"/>
        <w:ind w:left="680"/>
      </w:pPr>
      <w:hyperlink w:anchor="b2780" w:history="1">
        <w:r>
          <w:rPr>
            <w:color w:val="0A3A8C"/>
            <w:u w:val="single"/>
          </w:rPr>
          <w:t xml:space="preserve">§ 2327 Beschenkter Pflichtteilsberechtigter</w:t>
        </w:r>
      </w:hyperlink>
    </w:p>
    <w:p>
      <w:pPr>
        <w:pStyle w:val="Übersicht"/>
        <w:ind w:left="680"/>
      </w:pPr>
      <w:hyperlink w:anchor="b2781" w:history="1">
        <w:r>
          <w:rPr>
            <w:color w:val="0A3A8C"/>
            <w:u w:val="single"/>
          </w:rPr>
          <w:t xml:space="preserve">§ 2328 Selbst pflichtteilsberechtigter Erbe</w:t>
        </w:r>
      </w:hyperlink>
    </w:p>
    <w:p>
      <w:pPr>
        <w:pStyle w:val="Übersicht"/>
        <w:ind w:left="680"/>
      </w:pPr>
      <w:hyperlink w:anchor="b2782" w:history="1">
        <w:r>
          <w:rPr>
            <w:color w:val="0A3A8C"/>
            <w:u w:val="single"/>
          </w:rPr>
          <w:t xml:space="preserve">§ 2329 Anspruch gegen den Beschenkten</w:t>
        </w:r>
      </w:hyperlink>
    </w:p>
    <w:p>
      <w:pPr>
        <w:pStyle w:val="Übersicht"/>
        <w:ind w:left="680"/>
      </w:pPr>
      <w:hyperlink w:anchor="b2783" w:history="1">
        <w:r>
          <w:rPr>
            <w:color w:val="0A3A8C"/>
            <w:u w:val="single"/>
          </w:rPr>
          <w:t xml:space="preserve">§ 2330 Anstandsschenkungen</w:t>
        </w:r>
      </w:hyperlink>
    </w:p>
    <w:p>
      <w:pPr>
        <w:pStyle w:val="Übersicht"/>
        <w:ind w:left="680"/>
      </w:pPr>
      <w:hyperlink w:anchor="b2784" w:history="1">
        <w:r>
          <w:rPr>
            <w:color w:val="0A3A8C"/>
            <w:u w:val="single"/>
          </w:rPr>
          <w:t xml:space="preserve">§ 2331 Zuwendungen aus dem Gesamtgut</w:t>
        </w:r>
      </w:hyperlink>
    </w:p>
    <w:p>
      <w:pPr>
        <w:pStyle w:val="Übersicht"/>
        <w:ind w:left="680"/>
      </w:pPr>
      <w:hyperlink w:anchor="b2785" w:history="1">
        <w:r>
          <w:rPr>
            <w:color w:val="0A3A8C"/>
            <w:u w:val="single"/>
          </w:rPr>
          <w:t xml:space="preserve">§ 2331a Stundung</w:t>
        </w:r>
      </w:hyperlink>
    </w:p>
    <w:p>
      <w:pPr>
        <w:pStyle w:val="Übersicht"/>
        <w:ind w:left="680"/>
      </w:pPr>
      <w:hyperlink w:anchor="b2786" w:history="1">
        <w:r>
          <w:rPr>
            <w:color w:val="0A3A8C"/>
            <w:u w:val="single"/>
          </w:rPr>
          <w:t xml:space="preserve">§ 2332 Verjährung</w:t>
        </w:r>
      </w:hyperlink>
    </w:p>
    <w:p>
      <w:pPr>
        <w:pStyle w:val="Übersicht"/>
        <w:ind w:left="680"/>
      </w:pPr>
      <w:hyperlink w:anchor="b2787" w:history="1">
        <w:r>
          <w:rPr>
            <w:color w:val="0A3A8C"/>
            <w:u w:val="single"/>
          </w:rPr>
          <w:t xml:space="preserve">§ 2333 Entziehung des Pflichtteils</w:t>
        </w:r>
      </w:hyperlink>
    </w:p>
    <w:p>
      <w:pPr>
        <w:pStyle w:val="Übersicht"/>
        <w:ind w:left="680"/>
      </w:pPr>
      <w:hyperlink w:anchor="b2788" w:history="1">
        <w:r>
          <w:rPr>
            <w:color w:val="0A3A8C"/>
            <w:u w:val="single"/>
          </w:rPr>
          <w:t xml:space="preserve">§ 2334 (weggefallen)</w:t>
        </w:r>
      </w:hyperlink>
    </w:p>
    <w:p>
      <w:pPr>
        <w:pStyle w:val="Übersicht"/>
        <w:ind w:left="680"/>
      </w:pPr>
      <w:hyperlink w:anchor="b2789" w:history="1">
        <w:r>
          <w:rPr>
            <w:color w:val="0A3A8C"/>
            <w:u w:val="single"/>
          </w:rPr>
          <w:t xml:space="preserve">§ 2335 (weggefallen)</w:t>
        </w:r>
      </w:hyperlink>
    </w:p>
    <w:p>
      <w:pPr>
        <w:pStyle w:val="Übersicht"/>
        <w:ind w:left="680"/>
      </w:pPr>
      <w:hyperlink w:anchor="b2790" w:history="1">
        <w:r>
          <w:rPr>
            <w:color w:val="0A3A8C"/>
            <w:u w:val="single"/>
          </w:rPr>
          <w:t xml:space="preserve">§ 2336 Form, Beweislast, Unwirksamwerden</w:t>
        </w:r>
      </w:hyperlink>
    </w:p>
    <w:p>
      <w:pPr>
        <w:pStyle w:val="Übersicht"/>
        <w:ind w:left="680"/>
      </w:pPr>
      <w:hyperlink w:anchor="b2791" w:history="1">
        <w:r>
          <w:rPr>
            <w:color w:val="0A3A8C"/>
            <w:u w:val="single"/>
          </w:rPr>
          <w:t xml:space="preserve">§ 2337 Verzeihung</w:t>
        </w:r>
      </w:hyperlink>
    </w:p>
    <w:p>
      <w:pPr>
        <w:pStyle w:val="Übersicht"/>
        <w:ind w:left="680"/>
      </w:pPr>
      <w:hyperlink w:anchor="b2792" w:history="1">
        <w:r>
          <w:rPr>
            <w:color w:val="0A3A8C"/>
            <w:u w:val="single"/>
          </w:rPr>
          <w:t xml:space="preserve">§ 2338 Pflichtteilsbeschränkung</w:t>
        </w:r>
      </w:hyperlink>
    </w:p>
    <w:p>
      <w:pPr>
        <w:pStyle w:val="Übersicht"/>
        <w:ind w:left="340"/>
      </w:pPr>
      <w:hyperlink w:anchor="b2793" w:history="1">
        <w:r>
          <w:rPr>
            <w:b/>
            <w:color w:val="0A3A8C"/>
            <w:u w:val="single"/>
          </w:rPr>
          <w:t xml:space="preserve">Abschnitt 6 Erbunwürdigkeit</w:t>
        </w:r>
      </w:hyperlink>
    </w:p>
    <w:p>
      <w:pPr>
        <w:pStyle w:val="Übersicht"/>
        <w:ind w:left="680"/>
      </w:pPr>
      <w:hyperlink w:anchor="b2794" w:history="1">
        <w:r>
          <w:rPr>
            <w:color w:val="0A3A8C"/>
            <w:u w:val="single"/>
          </w:rPr>
          <w:t xml:space="preserve">§ 2339 Gründe für Erbunwürdigkeit</w:t>
        </w:r>
      </w:hyperlink>
    </w:p>
    <w:p>
      <w:pPr>
        <w:pStyle w:val="Übersicht"/>
        <w:ind w:left="680"/>
      </w:pPr>
      <w:hyperlink w:anchor="b2795" w:history="1">
        <w:r>
          <w:rPr>
            <w:color w:val="0A3A8C"/>
            <w:u w:val="single"/>
          </w:rPr>
          <w:t xml:space="preserve">§ 2340 Geltendmachung der Erbunwürdigkeit durch Anfechtung</w:t>
        </w:r>
      </w:hyperlink>
    </w:p>
    <w:p>
      <w:pPr>
        <w:pStyle w:val="Übersicht"/>
        <w:ind w:left="680"/>
      </w:pPr>
      <w:hyperlink w:anchor="b2796" w:history="1">
        <w:r>
          <w:rPr>
            <w:color w:val="0A3A8C"/>
            <w:u w:val="single"/>
          </w:rPr>
          <w:t xml:space="preserve">§ 2341 Anfechtungsberechtigte</w:t>
        </w:r>
      </w:hyperlink>
    </w:p>
    <w:p>
      <w:pPr>
        <w:pStyle w:val="Übersicht"/>
        <w:ind w:left="680"/>
      </w:pPr>
      <w:hyperlink w:anchor="b2797" w:history="1">
        <w:r>
          <w:rPr>
            <w:color w:val="0A3A8C"/>
            <w:u w:val="single"/>
          </w:rPr>
          <w:t xml:space="preserve">§ 2342 Anfechtungsklage</w:t>
        </w:r>
      </w:hyperlink>
    </w:p>
    <w:p>
      <w:pPr>
        <w:pStyle w:val="Übersicht"/>
        <w:ind w:left="680"/>
      </w:pPr>
      <w:hyperlink w:anchor="b2798" w:history="1">
        <w:r>
          <w:rPr>
            <w:color w:val="0A3A8C"/>
            <w:u w:val="single"/>
          </w:rPr>
          <w:t xml:space="preserve">§ 2343 Verzeihung</w:t>
        </w:r>
      </w:hyperlink>
    </w:p>
    <w:p>
      <w:pPr>
        <w:pStyle w:val="Übersicht"/>
        <w:ind w:left="680"/>
      </w:pPr>
      <w:hyperlink w:anchor="b2799" w:history="1">
        <w:r>
          <w:rPr>
            <w:color w:val="0A3A8C"/>
            <w:u w:val="single"/>
          </w:rPr>
          <w:t xml:space="preserve">§ 2344 Wirkung der Erbunwürdigerklärung</w:t>
        </w:r>
      </w:hyperlink>
    </w:p>
    <w:p>
      <w:pPr>
        <w:pStyle w:val="Übersicht"/>
        <w:ind w:left="680"/>
      </w:pPr>
      <w:hyperlink w:anchor="b2800" w:history="1">
        <w:r>
          <w:rPr>
            <w:color w:val="0A3A8C"/>
            <w:u w:val="single"/>
          </w:rPr>
          <w:t xml:space="preserve">§ 2345 Vermächtnisunwürdigkeit; Pflichtteilsunwürdigkeit</w:t>
        </w:r>
      </w:hyperlink>
    </w:p>
    <w:p>
      <w:pPr>
        <w:pStyle w:val="Übersicht"/>
        <w:ind w:left="340"/>
      </w:pPr>
      <w:hyperlink w:anchor="b2801" w:history="1">
        <w:r>
          <w:rPr>
            <w:b/>
            <w:color w:val="0A3A8C"/>
            <w:u w:val="single"/>
          </w:rPr>
          <w:t xml:space="preserve">Abschnitt 7 Erbverzicht</w:t>
        </w:r>
      </w:hyperlink>
    </w:p>
    <w:p>
      <w:pPr>
        <w:pStyle w:val="Übersicht"/>
        <w:ind w:left="680"/>
      </w:pPr>
      <w:hyperlink w:anchor="b2802" w:history="1">
        <w:r>
          <w:rPr>
            <w:color w:val="0A3A8C"/>
            <w:u w:val="single"/>
          </w:rPr>
          <w:t xml:space="preserve">§ 2346 Wirkung des Erbverzichts, Beschränkungsmöglichkeit</w:t>
        </w:r>
      </w:hyperlink>
    </w:p>
    <w:p>
      <w:pPr>
        <w:pStyle w:val="Übersicht"/>
        <w:ind w:left="680"/>
      </w:pPr>
      <w:hyperlink w:anchor="b2803" w:history="1">
        <w:r>
          <w:rPr>
            <w:color w:val="0A3A8C"/>
            <w:u w:val="single"/>
          </w:rPr>
          <w:t xml:space="preserve">§ 2347 Persönliche Anforderungen, Vertretung</w:t>
        </w:r>
      </w:hyperlink>
    </w:p>
    <w:p>
      <w:pPr>
        <w:pStyle w:val="Übersicht"/>
        <w:ind w:left="680"/>
      </w:pPr>
      <w:hyperlink w:anchor="b2804" w:history="1">
        <w:r>
          <w:rPr>
            <w:color w:val="0A3A8C"/>
            <w:u w:val="single"/>
          </w:rPr>
          <w:t xml:space="preserve">§ 2348 Form</w:t>
        </w:r>
      </w:hyperlink>
    </w:p>
    <w:p>
      <w:pPr>
        <w:pStyle w:val="Übersicht"/>
        <w:ind w:left="680"/>
      </w:pPr>
      <w:hyperlink w:anchor="b2805" w:history="1">
        <w:r>
          <w:rPr>
            <w:color w:val="0A3A8C"/>
            <w:u w:val="single"/>
          </w:rPr>
          <w:t xml:space="preserve">§ 2349 Erstreckung auf Abkömmlinge</w:t>
        </w:r>
      </w:hyperlink>
    </w:p>
    <w:p>
      <w:pPr>
        <w:pStyle w:val="Übersicht"/>
        <w:ind w:left="680"/>
      </w:pPr>
      <w:hyperlink w:anchor="b2806" w:history="1">
        <w:r>
          <w:rPr>
            <w:color w:val="0A3A8C"/>
            <w:u w:val="single"/>
          </w:rPr>
          <w:t xml:space="preserve">§ 2350 Verzicht zugunsten eines anderen</w:t>
        </w:r>
      </w:hyperlink>
    </w:p>
    <w:p>
      <w:pPr>
        <w:pStyle w:val="Übersicht"/>
        <w:ind w:left="680"/>
      </w:pPr>
      <w:hyperlink w:anchor="b2807" w:history="1">
        <w:r>
          <w:rPr>
            <w:color w:val="0A3A8C"/>
            <w:u w:val="single"/>
          </w:rPr>
          <w:t xml:space="preserve">§ 2351 Aufhebung des Erbverzichts</w:t>
        </w:r>
      </w:hyperlink>
    </w:p>
    <w:p>
      <w:pPr>
        <w:pStyle w:val="Übersicht"/>
        <w:ind w:left="680"/>
      </w:pPr>
      <w:hyperlink w:anchor="b2808" w:history="1">
        <w:r>
          <w:rPr>
            <w:color w:val="0A3A8C"/>
            <w:u w:val="single"/>
          </w:rPr>
          <w:t xml:space="preserve">§ 2352 Verzicht auf Zuwendungen</w:t>
        </w:r>
      </w:hyperlink>
    </w:p>
    <w:p>
      <w:pPr>
        <w:pStyle w:val="Übersicht"/>
        <w:ind w:left="340"/>
      </w:pPr>
      <w:hyperlink w:anchor="b2809" w:history="1">
        <w:r>
          <w:rPr>
            <w:b/>
            <w:color w:val="0A3A8C"/>
            <w:u w:val="single"/>
          </w:rPr>
          <w:t xml:space="preserve">Abschnitt 8 Erbschein</w:t>
        </w:r>
      </w:hyperlink>
    </w:p>
    <w:p>
      <w:pPr>
        <w:pStyle w:val="Übersicht"/>
        <w:ind w:left="680"/>
      </w:pPr>
      <w:hyperlink w:anchor="b2810" w:history="1">
        <w:r>
          <w:rPr>
            <w:color w:val="0A3A8C"/>
            <w:u w:val="single"/>
          </w:rPr>
          <w:t xml:space="preserve">§ 2353 Zuständigkeit des Nachlassgerichts, Antrag</w:t>
        </w:r>
      </w:hyperlink>
    </w:p>
    <w:p>
      <w:pPr>
        <w:pStyle w:val="Übersicht"/>
        <w:ind w:left="680"/>
      </w:pPr>
      <w:hyperlink w:anchor="b2811" w:history="1">
        <w:r>
          <w:rPr>
            <w:color w:val="0A3A8C"/>
            <w:u w:val="single"/>
          </w:rPr>
          <w:t xml:space="preserve">§§ 2354 bis 2359 (weggefallen)</w:t>
        </w:r>
      </w:hyperlink>
    </w:p>
    <w:p>
      <w:pPr>
        <w:pStyle w:val="Übersicht"/>
        <w:ind w:left="680"/>
      </w:pPr>
      <w:hyperlink w:anchor="b2812" w:history="1">
        <w:r>
          <w:rPr>
            <w:color w:val="0A3A8C"/>
            <w:u w:val="single"/>
          </w:rPr>
          <w:t xml:space="preserve">§ 2360 (weggefallen)</w:t>
        </w:r>
      </w:hyperlink>
    </w:p>
    <w:p>
      <w:pPr>
        <w:pStyle w:val="Übersicht"/>
        <w:ind w:left="680"/>
      </w:pPr>
      <w:hyperlink w:anchor="b2813" w:history="1">
        <w:r>
          <w:rPr>
            <w:color w:val="0A3A8C"/>
            <w:u w:val="single"/>
          </w:rPr>
          <w:t xml:space="preserve">§ 2361 Einziehung oder Kraftloserklärung des unrichtigen Erbscheins</w:t>
        </w:r>
      </w:hyperlink>
    </w:p>
    <w:p>
      <w:pPr>
        <w:pStyle w:val="Übersicht"/>
        <w:ind w:left="680"/>
      </w:pPr>
      <w:hyperlink w:anchor="b2814" w:history="1">
        <w:r>
          <w:rPr>
            <w:color w:val="0A3A8C"/>
            <w:u w:val="single"/>
          </w:rPr>
          <w:t xml:space="preserve">§ 2362 Herausgabe- und Auskunftsanspruch des wirklichen Erben</w:t>
        </w:r>
      </w:hyperlink>
    </w:p>
    <w:p>
      <w:pPr>
        <w:pStyle w:val="Übersicht"/>
        <w:ind w:left="680"/>
      </w:pPr>
      <w:hyperlink w:anchor="b2815" w:history="1">
        <w:r>
          <w:rPr>
            <w:color w:val="0A3A8C"/>
            <w:u w:val="single"/>
          </w:rPr>
          <w:t xml:space="preserve">§ 2363 Herausgabeanspruch des Nacherben und des Testamentsvollstreckers</w:t>
        </w:r>
      </w:hyperlink>
    </w:p>
    <w:p>
      <w:pPr>
        <w:pStyle w:val="Übersicht"/>
        <w:ind w:left="680"/>
      </w:pPr>
      <w:hyperlink w:anchor="b2816" w:history="1">
        <w:r>
          <w:rPr>
            <w:color w:val="0A3A8C"/>
            <w:u w:val="single"/>
          </w:rPr>
          <w:t xml:space="preserve">§ 2364 (weggefallen)</w:t>
        </w:r>
      </w:hyperlink>
    </w:p>
    <w:p>
      <w:pPr>
        <w:pStyle w:val="Übersicht"/>
        <w:ind w:left="680"/>
      </w:pPr>
      <w:hyperlink w:anchor="b2817" w:history="1">
        <w:r>
          <w:rPr>
            <w:color w:val="0A3A8C"/>
            <w:u w:val="single"/>
          </w:rPr>
          <w:t xml:space="preserve">§ 2365 Vermutung der Richtigkeit des Erbscheins</w:t>
        </w:r>
      </w:hyperlink>
    </w:p>
    <w:p>
      <w:pPr>
        <w:pStyle w:val="Übersicht"/>
        <w:ind w:left="680"/>
      </w:pPr>
      <w:hyperlink w:anchor="b2818" w:history="1">
        <w:r>
          <w:rPr>
            <w:color w:val="0A3A8C"/>
            <w:u w:val="single"/>
          </w:rPr>
          <w:t xml:space="preserve">§ 2366 Öffentlicher Glaube des Erbscheins</w:t>
        </w:r>
      </w:hyperlink>
    </w:p>
    <w:p>
      <w:pPr>
        <w:pStyle w:val="Übersicht"/>
        <w:ind w:left="680"/>
      </w:pPr>
      <w:hyperlink w:anchor="b2819" w:history="1">
        <w:r>
          <w:rPr>
            <w:color w:val="0A3A8C"/>
            <w:u w:val="single"/>
          </w:rPr>
          <w:t xml:space="preserve">§ 2367 Leistung an Erbscheinserben</w:t>
        </w:r>
      </w:hyperlink>
    </w:p>
    <w:p>
      <w:pPr>
        <w:pStyle w:val="Übersicht"/>
        <w:ind w:left="680"/>
      </w:pPr>
      <w:hyperlink w:anchor="b2820" w:history="1">
        <w:r>
          <w:rPr>
            <w:color w:val="0A3A8C"/>
            <w:u w:val="single"/>
          </w:rPr>
          <w:t xml:space="preserve">§ 2368 Testamentsvollstreckerzeugnis</w:t>
        </w:r>
      </w:hyperlink>
    </w:p>
    <w:p>
      <w:pPr>
        <w:pStyle w:val="Übersicht"/>
        <w:ind w:left="680"/>
      </w:pPr>
      <w:hyperlink w:anchor="b2821" w:history="1">
        <w:r>
          <w:rPr>
            <w:color w:val="0A3A8C"/>
            <w:u w:val="single"/>
          </w:rPr>
          <w:t xml:space="preserve">§ 2369 (weggefallen)</w:t>
        </w:r>
      </w:hyperlink>
    </w:p>
    <w:p>
      <w:pPr>
        <w:pStyle w:val="Übersicht"/>
        <w:ind w:left="680"/>
      </w:pPr>
      <w:hyperlink w:anchor="b2822" w:history="1">
        <w:r>
          <w:rPr>
            <w:color w:val="0A3A8C"/>
            <w:u w:val="single"/>
          </w:rPr>
          <w:t xml:space="preserve">§ 2370 Öffentlicher Glaube bei Todeserklärung</w:t>
        </w:r>
      </w:hyperlink>
    </w:p>
    <w:p>
      <w:pPr>
        <w:pStyle w:val="Übersicht"/>
        <w:ind w:left="340"/>
      </w:pPr>
      <w:hyperlink w:anchor="b2823" w:history="1">
        <w:r>
          <w:rPr>
            <w:b/>
            <w:color w:val="0A3A8C"/>
            <w:u w:val="single"/>
          </w:rPr>
          <w:t xml:space="preserve">Abschnitt 9 Erbschaftskauf</w:t>
        </w:r>
      </w:hyperlink>
    </w:p>
    <w:p>
      <w:pPr>
        <w:pStyle w:val="Übersicht"/>
        <w:ind w:left="680"/>
      </w:pPr>
      <w:hyperlink w:anchor="b2824" w:history="1">
        <w:r>
          <w:rPr>
            <w:color w:val="0A3A8C"/>
            <w:u w:val="single"/>
          </w:rPr>
          <w:t xml:space="preserve">§ 2371 Form</w:t>
        </w:r>
      </w:hyperlink>
    </w:p>
    <w:p>
      <w:pPr>
        <w:pStyle w:val="Übersicht"/>
        <w:ind w:left="680"/>
      </w:pPr>
      <w:hyperlink w:anchor="b2825" w:history="1">
        <w:r>
          <w:rPr>
            <w:color w:val="0A3A8C"/>
            <w:u w:val="single"/>
          </w:rPr>
          <w:t xml:space="preserve">§ 2372 Dem Käufer zustehende Vorteile</w:t>
        </w:r>
      </w:hyperlink>
    </w:p>
    <w:p>
      <w:pPr>
        <w:pStyle w:val="Übersicht"/>
        <w:ind w:left="680"/>
      </w:pPr>
      <w:hyperlink w:anchor="b2826" w:history="1">
        <w:r>
          <w:rPr>
            <w:color w:val="0A3A8C"/>
            <w:u w:val="single"/>
          </w:rPr>
          <w:t xml:space="preserve">§ 2373 Dem Verkäufer verbleibende Teile</w:t>
        </w:r>
      </w:hyperlink>
    </w:p>
    <w:p>
      <w:pPr>
        <w:pStyle w:val="Übersicht"/>
        <w:ind w:left="680"/>
      </w:pPr>
      <w:hyperlink w:anchor="b2827" w:history="1">
        <w:r>
          <w:rPr>
            <w:color w:val="0A3A8C"/>
            <w:u w:val="single"/>
          </w:rPr>
          <w:t xml:space="preserve">§ 2374 Herausgabepflicht</w:t>
        </w:r>
      </w:hyperlink>
    </w:p>
    <w:p>
      <w:pPr>
        <w:pStyle w:val="Übersicht"/>
        <w:ind w:left="680"/>
      </w:pPr>
      <w:hyperlink w:anchor="b2828" w:history="1">
        <w:r>
          <w:rPr>
            <w:color w:val="0A3A8C"/>
            <w:u w:val="single"/>
          </w:rPr>
          <w:t xml:space="preserve">§ 2375 Ersatzpflicht</w:t>
        </w:r>
      </w:hyperlink>
    </w:p>
    <w:p>
      <w:pPr>
        <w:pStyle w:val="Übersicht"/>
        <w:ind w:left="680"/>
      </w:pPr>
      <w:hyperlink w:anchor="b2829" w:history="1">
        <w:r>
          <w:rPr>
            <w:color w:val="0A3A8C"/>
            <w:u w:val="single"/>
          </w:rPr>
          <w:t xml:space="preserve">§ 2376 Haftung des Verkäufers</w:t>
        </w:r>
      </w:hyperlink>
    </w:p>
    <w:p>
      <w:pPr>
        <w:pStyle w:val="Übersicht"/>
        <w:ind w:left="680"/>
      </w:pPr>
      <w:hyperlink w:anchor="b2830" w:history="1">
        <w:r>
          <w:rPr>
            <w:color w:val="0A3A8C"/>
            <w:u w:val="single"/>
          </w:rPr>
          <w:t xml:space="preserve">§ 2377 Wiederaufleben erloschener Rechtsverhältnisse</w:t>
        </w:r>
      </w:hyperlink>
    </w:p>
    <w:p>
      <w:pPr>
        <w:pStyle w:val="Übersicht"/>
        <w:ind w:left="680"/>
      </w:pPr>
      <w:hyperlink w:anchor="b2831" w:history="1">
        <w:r>
          <w:rPr>
            <w:color w:val="0A3A8C"/>
            <w:u w:val="single"/>
          </w:rPr>
          <w:t xml:space="preserve">§ 2378 Nachlassverbindlichkeiten</w:t>
        </w:r>
      </w:hyperlink>
    </w:p>
    <w:p>
      <w:pPr>
        <w:pStyle w:val="Übersicht"/>
        <w:ind w:left="680"/>
      </w:pPr>
      <w:hyperlink w:anchor="b2832" w:history="1">
        <w:r>
          <w:rPr>
            <w:color w:val="0A3A8C"/>
            <w:u w:val="single"/>
          </w:rPr>
          <w:t xml:space="preserve">§ 2379 Nutzungen und Lasten vor Verkauf</w:t>
        </w:r>
      </w:hyperlink>
    </w:p>
    <w:p>
      <w:pPr>
        <w:pStyle w:val="Übersicht"/>
        <w:ind w:left="680"/>
      </w:pPr>
      <w:hyperlink w:anchor="b2833" w:history="1">
        <w:r>
          <w:rPr>
            <w:color w:val="0A3A8C"/>
            <w:u w:val="single"/>
          </w:rPr>
          <w:t xml:space="preserve">§ 2380 Gefahrübergang, Nutzungen und Lasten nach Verkauf</w:t>
        </w:r>
      </w:hyperlink>
    </w:p>
    <w:p>
      <w:pPr>
        <w:pStyle w:val="Übersicht"/>
        <w:ind w:left="680"/>
      </w:pPr>
      <w:hyperlink w:anchor="b2834" w:history="1">
        <w:r>
          <w:rPr>
            <w:color w:val="0A3A8C"/>
            <w:u w:val="single"/>
          </w:rPr>
          <w:t xml:space="preserve">§ 2381 Ersatz von Verwendungen und Aufwendungen</w:t>
        </w:r>
      </w:hyperlink>
    </w:p>
    <w:p>
      <w:pPr>
        <w:pStyle w:val="Übersicht"/>
        <w:ind w:left="680"/>
      </w:pPr>
      <w:hyperlink w:anchor="b2835" w:history="1">
        <w:r>
          <w:rPr>
            <w:color w:val="0A3A8C"/>
            <w:u w:val="single"/>
          </w:rPr>
          <w:t xml:space="preserve">§ 2382 Haftung des Käufers gegenüber Nachlassgläubigern</w:t>
        </w:r>
      </w:hyperlink>
    </w:p>
    <w:p>
      <w:pPr>
        <w:pStyle w:val="Übersicht"/>
        <w:ind w:left="680"/>
      </w:pPr>
      <w:hyperlink w:anchor="b2836" w:history="1">
        <w:r>
          <w:rPr>
            <w:color w:val="0A3A8C"/>
            <w:u w:val="single"/>
          </w:rPr>
          <w:t xml:space="preserve">§ 2383 Umfang der Haftung des Käufers</w:t>
        </w:r>
      </w:hyperlink>
    </w:p>
    <w:p>
      <w:pPr>
        <w:pStyle w:val="Übersicht"/>
        <w:ind w:left="680"/>
      </w:pPr>
      <w:hyperlink w:anchor="b2837" w:history="1">
        <w:r>
          <w:rPr>
            <w:color w:val="0A3A8C"/>
            <w:u w:val="single"/>
          </w:rPr>
          <w:t xml:space="preserve">§ 2384 Anzeigepflicht des Verkäufers gegenüber Nachlassgläubigern,
Einsichtsrecht</w:t>
        </w:r>
      </w:hyperlink>
    </w:p>
    <w:p>
      <w:pPr>
        <w:pStyle w:val="Übersicht"/>
        <w:ind w:left="680"/>
      </w:pPr>
      <w:hyperlink w:anchor="b2838" w:history="1">
        <w:r>
          <w:rPr>
            <w:color w:val="0A3A8C"/>
            <w:u w:val="single"/>
          </w:rPr>
          <w:t xml:space="preserve">§ 2385 Anwendung auf ähnliche Verträge</w:t>
        </w:r>
      </w:hyperlink>
    </w:p>
    <w:p>
      <w:pPr>
        <w:pStyle w:val="Heading1"/>
      </w:pPr>
      <w:bookmarkStart w:id="1" w:name="b0"/>
      <w:r>
        <w:t>Buch 1 Allgemeiner Teil</w:t>
      </w:r>
      <w:bookmarkEnd w:id="1"/>
    </w:p>
    <w:p>
      <w:pPr>
        <w:pStyle w:val="Heading2"/>
      </w:pPr>
      <w:bookmarkStart w:id="2" w:name="b1"/>
      <w:r>
        <w:t>Abschnitt 1 Personen</w:t>
      </w:r>
      <w:bookmarkEnd w:id="2"/>
    </w:p>
    <w:p>
      <w:pPr>
        <w:pStyle w:val="Heading3"/>
      </w:pPr>
      <w:bookmarkStart w:id="3" w:name="b2"/>
      <w:r>
        <w:t>Titel 1 Natürliche Personen, Verbraucher, Unternehmer</w:t>
      </w:r>
      <w:bookmarkEnd w:id="3"/>
    </w:p>
    <w:p>
      <w:pPr>
        <w:pStyle w:val="Heading4"/>
      </w:pPr>
      <w:bookmarkStart w:id="4" w:name="b3"/>
      <w:r>
        <w:t>§ 1 Beginn der Rechtsfähigkeit</w:t>
      </w:r>
      <w:r>
        <w:t xml:space="preserve"> </w:t>
      </w:r>
      <w:r>
        <w:rPr>
          <w:rStyle w:val="Suchmarke"/>
        </w:rPr>
        <w:t>#1#</w:t>
      </w:r>
      <w:bookmarkEnd w:id="4"/>
    </w:p>
    <w:p>
      <w:r>
        <w:t>Die Rechtsfähigkeit des Menschen beginnt mit der Vollendung der Geburt.</w:t>
      </w:r>
    </w:p>
    <w:p>
      <w:pPr>
        <w:pStyle w:val="Heading4"/>
      </w:pPr>
      <w:bookmarkStart w:id="5" w:name="b4"/>
      <w:r>
        <w:t>§ 2 Eintritt der Volljährigkeit</w:t>
      </w:r>
      <w:r>
        <w:t xml:space="preserve"> </w:t>
      </w:r>
      <w:r>
        <w:rPr>
          <w:rStyle w:val="Suchmarke"/>
        </w:rPr>
        <w:t>#2#</w:t>
      </w:r>
      <w:bookmarkEnd w:id="5"/>
    </w:p>
    <w:p>
      <w:r>
        <w:t>Die Volljährigkeit tritt mit der Vollendung des 18. Lebensjahres ein.</w:t>
      </w:r>
    </w:p>
    <w:p>
      <w:pPr>
        <w:pStyle w:val="Heading4"/>
      </w:pPr>
      <w:bookmarkStart w:id="6" w:name="b5"/>
      <w:r>
        <w:t>§§ 3 bis 6 (weggefallen)</w:t>
      </w:r>
      <w:bookmarkEnd w:id="6"/>
    </w:p>
    <w:p>
      <w:pPr>
        <w:pStyle w:val="Heading4"/>
      </w:pPr>
      <w:bookmarkStart w:id="7" w:name="b6"/>
      <w:r>
        <w:t>§ 7 Wohnsitz; Begründung und Aufhebung</w:t>
      </w:r>
      <w:r>
        <w:t xml:space="preserve"> </w:t>
      </w:r>
      <w:r>
        <w:rPr>
          <w:rStyle w:val="Suchmarke"/>
        </w:rPr>
        <w:t>#7#</w:t>
      </w:r>
      <w:bookmarkEnd w:id="7"/>
    </w:p>
    <w:p>
      <w:r>
        <w:t>(1) Wer sich an einem Orte ständig niederlässt, begründet an diesem Orte seinen Wohnsitz.</w:t>
      </w:r>
    </w:p>
    <w:p>
      <w:r>
        <w:t>(2) Der Wohnsitz kann gleichzeitig an mehreren Orten bestehen.</w:t>
      </w:r>
    </w:p>
    <w:p>
      <w:r>
        <w:t>(3) Der Wohnsitz wird aufgehoben, wenn die Niederlassung mit dem Willen aufgehoben wird, sie aufzugeben.</w:t>
      </w:r>
    </w:p>
    <w:p>
      <w:pPr>
        <w:pStyle w:val="Heading4"/>
      </w:pPr>
      <w:bookmarkStart w:id="8" w:name="b7"/>
      <w:r>
        <w:t>§ 8 Wohnsitz nicht voll Geschäftsfähiger</w:t>
      </w:r>
      <w:r>
        <w:t xml:space="preserve"> </w:t>
      </w:r>
      <w:r>
        <w:rPr>
          <w:rStyle w:val="Suchmarke"/>
        </w:rPr>
        <w:t>#8#</w:t>
      </w:r>
      <w:bookmarkEnd w:id="8"/>
    </w:p>
    <w:p>
      <w:r>
        <w:t>Wer geschäftsunfähig oder in der Geschäftsfähigkeit beschränkt ist, kann ohne den Willen seines gesetzlichen Vertreters einen Wohnsitz weder begründen noch aufheben.</w:t>
      </w:r>
    </w:p>
    <w:p>
      <w:pPr>
        <w:pStyle w:val="Heading4"/>
      </w:pPr>
      <w:bookmarkStart w:id="9" w:name="b8"/>
      <w:r>
        <w:t>§ 9 Wohnsitz eines Soldaten</w:t>
      </w:r>
      <w:r>
        <w:t xml:space="preserve"> </w:t>
      </w:r>
      <w:r>
        <w:rPr>
          <w:rStyle w:val="Suchmarke"/>
        </w:rPr>
        <w:t>#9#</w:t>
      </w:r>
      <w:bookmarkEnd w:id="9"/>
    </w:p>
    <w:p>
      <w:r>
        <w:t xml:space="preserve">(1) </w:t>
      </w:r>
      <w:r>
        <w:rPr>
          <w:rStyle w:val="Satznummer"/>
        </w:rPr>
        <w:t>1</w:t>
      </w:r>
      <w:r>
        <w:t xml:space="preserve">Ein Soldat hat seinen Wohnsitz am Standort. </w:t>
      </w:r>
      <w:r>
        <w:rPr>
          <w:rStyle w:val="Satznummer"/>
        </w:rPr>
        <w:t>2</w:t>
      </w:r>
      <w:r>
        <w:t>Als Wohnsitz eines Soldaten, der im Inland keinen Standort hat, gilt der letzte inländische Standort.</w:t>
      </w:r>
    </w:p>
    <w:p>
      <w:r>
        <w:t>(2) Diese Vorschriften finden keine Anwendung auf Soldaten, die nur auf Grund der Wehrpflicht Wehrdienst leisten oder die nicht selbständig einen Wohnsitz begründen können.</w:t>
      </w:r>
    </w:p>
    <w:p>
      <w:pPr>
        <w:pStyle w:val="Heading4"/>
      </w:pPr>
      <w:bookmarkStart w:id="10" w:name="b9"/>
      <w:r>
        <w:t>§ 10 (weggefallen)</w:t>
      </w:r>
      <w:r>
        <w:t xml:space="preserve"> </w:t>
      </w:r>
      <w:r>
        <w:rPr>
          <w:rStyle w:val="Suchmarke"/>
        </w:rPr>
        <w:t>#10#</w:t>
      </w:r>
      <w:bookmarkEnd w:id="10"/>
    </w:p>
    <w:p>
      <w:pPr>
        <w:pStyle w:val="Heading4"/>
      </w:pPr>
      <w:bookmarkStart w:id="11" w:name="b10"/>
      <w:r>
        <w:t>§ 11 Wohnsitz des Kindes</w:t>
      </w:r>
      <w:r>
        <w:t xml:space="preserve"> </w:t>
      </w:r>
      <w:r>
        <w:rPr>
          <w:rStyle w:val="Suchmarke"/>
        </w:rPr>
        <w:t>#11#</w:t>
      </w:r>
      <w:bookmarkEnd w:id="11"/>
    </w:p>
    <w:p>
      <w:r>
        <w:rPr>
          <w:rStyle w:val="Satznummer"/>
        </w:rPr>
        <w:t>1</w:t>
      </w:r>
      <w:r>
        <w:t xml:space="preserve">Ein minderjähriges Kind teilt den Wohnsitz der Eltern; es teilt nicht den Wohnsitz eines Elternteils, dem das Recht fehlt, für die Person des Kindes zu sorgen. </w:t>
      </w:r>
      <w:r>
        <w:rPr>
          <w:rStyle w:val="Satznummer"/>
        </w:rPr>
        <w:t>2</w:t>
      </w:r>
      <w:r>
        <w:t xml:space="preserve">Steht keinem Elternteil das Recht zu, für die Person des Kindes zu sorgen, so teilt das Kind den Wohnsitz desjenigen, dem dieses Recht zusteht. </w:t>
      </w:r>
      <w:r>
        <w:rPr>
          <w:rStyle w:val="Satznummer"/>
        </w:rPr>
        <w:t>3</w:t>
      </w:r>
      <w:r>
        <w:t>Das Kind behält den Wohnsitz, bis es ihn rechtsgültig aufhebt.</w:t>
      </w:r>
    </w:p>
    <w:p>
      <w:pPr>
        <w:pStyle w:val="Heading4"/>
      </w:pPr>
      <w:bookmarkStart w:id="12" w:name="b11"/>
      <w:r>
        <w:t>§ 12 Namensrecht</w:t>
      </w:r>
      <w:r>
        <w:t xml:space="preserve"> </w:t>
      </w:r>
      <w:r>
        <w:rPr>
          <w:rStyle w:val="Suchmarke"/>
        </w:rPr>
        <w:t>#12#</w:t>
      </w:r>
      <w:bookmarkEnd w:id="12"/>
    </w:p>
    <w:p>
      <w:r>
        <w:rPr>
          <w:rStyle w:val="Satznummer"/>
        </w:rPr>
        <w:t>1</w:t>
      </w:r>
      <w:r>
        <w:t xml:space="preserve">Wird das Recht zum Gebrauch eines Namens dem Berechtigten von einem anderen bestritten oder wird das Interesse des Berechtigten dadurch verletzt, dass ein anderer unbefugt den gleichen Namen gebraucht, so kann der Berechtigte von dem anderen Beseitigung der Beeinträchtigung verlangen. </w:t>
      </w:r>
      <w:r>
        <w:rPr>
          <w:rStyle w:val="Satznummer"/>
        </w:rPr>
        <w:t>2</w:t>
      </w:r>
      <w:r>
        <w:t>Sind weitere Beeinträchtigungen zu besorgen, so kann er auf Unterlassung klagen.</w:t>
      </w:r>
    </w:p>
    <w:p>
      <w:pPr>
        <w:pStyle w:val="Heading4"/>
      </w:pPr>
      <w:bookmarkStart w:id="13" w:name="b12"/>
      <w:r>
        <w:t>§ 13 Verbraucher</w:t>
      </w:r>
      <w:r>
        <w:t xml:space="preserve"> </w:t>
      </w:r>
      <w:r>
        <w:rPr>
          <w:rStyle w:val="Suchmarke"/>
        </w:rPr>
        <w:t>#13#</w:t>
      </w:r>
      <w:bookmarkEnd w:id="13"/>
    </w:p>
    <w:p>
      <w:r>
        <w:t>Verbraucher ist jede natürliche Person, die ein Rechtsgeschäft zu Zwecken abschließt, die überwiegend weder ihrer gewerblichen noch ihrer selbständigen beruflichen Tätigkeit zugerechnet werden können.</w:t>
      </w:r>
    </w:p>
    <w:p>
      <w:pPr>
        <w:pStyle w:val="Heading4"/>
      </w:pPr>
      <w:bookmarkStart w:id="14" w:name="b13"/>
      <w:r>
        <w:t>§ 14 Unternehmer</w:t>
      </w:r>
      <w:r>
        <w:t xml:space="preserve"> </w:t>
      </w:r>
      <w:r>
        <w:rPr>
          <w:rStyle w:val="Suchmarke"/>
        </w:rPr>
        <w:t>#14#</w:t>
      </w:r>
      <w:bookmarkEnd w:id="14"/>
    </w:p>
    <w:p>
      <w:hyperlink w:anchor="f13_1" w:history="1">
        <w:r>
          <w:rPr>
            <w:rStyle w:val="Fussnotenmarke"/>
            <w:u w:val="single"/>
            <w:color w:val="0A3A8C"/>
          </w:rPr>
          <w:t>1</w:t>
        </w:r>
      </w:hyperlink>
    </w:p>
    <w:p>
      <w:r>
        <w:t>(1) Unternehmer ist eine natürliche oder juristische Person oder eine rechtsfähige Personengesellschaft, die bei Abschluss eines Rechtsgeschäfts in Ausübung ihrer gewerblichen oder selbständigen beruflichen Tätigkeit handelt.</w:t>
      </w:r>
    </w:p>
    <w:p>
      <w:r>
        <w:t>(2) Eine rechtsfähige Personengesellschaft ist eine Personengesellschaft, die mit der Fähigkeit ausgestattet ist, Rechte zu erwerben und Verbindlichkeiten einzugehen.</w:t>
      </w:r>
    </w:p>
    <w:p>
      <w:pPr>
        <w:pStyle w:val="Fußnote"/>
      </w:pPr>
      <w:bookmarkStart w:id="15" w:name="f13_1"/>
      <w:r>
        <w:rPr>
          <w:rStyle w:val="Zusatz"/>
          <w:b/>
        </w:rPr>
        <w:t xml:space="preserve">Fußnote 1: </w:t>
      </w:r>
      <w:r>
        <w:rPr>
          <w:b/>
        </w:rPr>
        <w:t>Amtlicher Hinweis:</w:t>
      </w:r>
      <w:r>
        <w:br/>
      </w:r>
      <w:r>
        <w:t>Diese Vorschrift dient der Umsetzung der eingangs zu den Nummern 3, 4, 6, 7, 9 und 11 genannten Richtlinien.</w:t>
      </w:r>
      <w:bookmarkEnd w:id="15"/>
    </w:p>
    <w:p>
      <w:pPr>
        <w:pStyle w:val="Heading4"/>
      </w:pPr>
      <w:bookmarkStart w:id="16" w:name="b14"/>
      <w:r>
        <w:t>§§ 15 bis 20 (weggefallen)</w:t>
      </w:r>
      <w:bookmarkEnd w:id="16"/>
    </w:p>
    <w:p>
      <w:pPr>
        <w:pStyle w:val="Heading3"/>
      </w:pPr>
      <w:bookmarkStart w:id="17" w:name="b15"/>
      <w:r>
        <w:t>Titel 2 Juristische Personen</w:t>
      </w:r>
      <w:bookmarkEnd w:id="17"/>
    </w:p>
    <w:p>
      <w:pPr>
        <w:pStyle w:val="Heading4"/>
      </w:pPr>
      <w:bookmarkStart w:id="18" w:name="b16"/>
      <w:r>
        <w:t>Untertitel 1 Vereine</w:t>
      </w:r>
      <w:bookmarkEnd w:id="18"/>
    </w:p>
    <w:p>
      <w:pPr>
        <w:pStyle w:val="Heading5"/>
      </w:pPr>
      <w:bookmarkStart w:id="19" w:name="b17"/>
      <w:r>
        <w:t>Kapitel 1 Allgemeine Vorschriften</w:t>
      </w:r>
      <w:bookmarkEnd w:id="19"/>
    </w:p>
    <w:p>
      <w:pPr>
        <w:pStyle w:val="Heading6"/>
      </w:pPr>
      <w:bookmarkStart w:id="20" w:name="b18"/>
      <w:r>
        <w:t>§ 21 Nicht wirtschaftlicher Verein</w:t>
      </w:r>
      <w:r>
        <w:t xml:space="preserve"> </w:t>
      </w:r>
      <w:r>
        <w:rPr>
          <w:rStyle w:val="Suchmarke"/>
        </w:rPr>
        <w:t>#21#</w:t>
      </w:r>
      <w:bookmarkEnd w:id="20"/>
    </w:p>
    <w:p>
      <w:r>
        <w:t>Ein Verein, dessen Zweck nicht auf einen wirtschaftlichen Geschäftsbetrieb gerichtet ist, erlangt Rechtsfähigkeit durch Eintragung in das Vereinsregister des zuständigen Amtsgerichts.</w:t>
      </w:r>
    </w:p>
    <w:p>
      <w:pPr>
        <w:pStyle w:val="Heading6"/>
      </w:pPr>
      <w:bookmarkStart w:id="21" w:name="b19"/>
      <w:r>
        <w:t>§ 22 Wirtschaftlicher Verein</w:t>
      </w:r>
      <w:r>
        <w:t xml:space="preserve"> </w:t>
      </w:r>
      <w:r>
        <w:rPr>
          <w:rStyle w:val="Suchmarke"/>
        </w:rPr>
        <w:t>#22#</w:t>
      </w:r>
      <w:bookmarkEnd w:id="21"/>
    </w:p>
    <w:p>
      <w:r>
        <w:rPr>
          <w:rStyle w:val="Satznummer"/>
        </w:rPr>
        <w:t>1</w:t>
      </w:r>
      <w:r>
        <w:t xml:space="preserve">Ein Verein, dessen Zweck auf einen wirtschaftlichen Geschäftsbetrieb gerichtet ist, erlangt in Ermangelung besonderer bundesgesetzlicher Vorschriften Rechtsfähigkeit durch staatliche Verleihung. </w:t>
      </w:r>
      <w:r>
        <w:rPr>
          <w:rStyle w:val="Satznummer"/>
        </w:rPr>
        <w:t>2</w:t>
      </w:r>
      <w:r>
        <w:t>Die Verleihung steht dem Land zu, in dessen Gebiet der Verein seinen Sitz hat.</w:t>
      </w:r>
    </w:p>
    <w:p>
      <w:pPr>
        <w:pStyle w:val="Heading6"/>
      </w:pPr>
      <w:bookmarkStart w:id="22" w:name="b20"/>
      <w:r>
        <w:t>§ 23 (weggefallen)</w:t>
      </w:r>
      <w:r>
        <w:t xml:space="preserve"> </w:t>
      </w:r>
      <w:r>
        <w:rPr>
          <w:rStyle w:val="Suchmarke"/>
        </w:rPr>
        <w:t>#23#</w:t>
      </w:r>
      <w:bookmarkEnd w:id="22"/>
    </w:p>
    <w:p>
      <w:r>
        <w:t>-</w:t>
      </w:r>
    </w:p>
    <w:p>
      <w:pPr>
        <w:pStyle w:val="Heading6"/>
      </w:pPr>
      <w:bookmarkStart w:id="23" w:name="b21"/>
      <w:r>
        <w:t>§ 24 Sitz</w:t>
      </w:r>
      <w:r>
        <w:t xml:space="preserve"> </w:t>
      </w:r>
      <w:r>
        <w:rPr>
          <w:rStyle w:val="Suchmarke"/>
        </w:rPr>
        <w:t>#24#</w:t>
      </w:r>
      <w:bookmarkEnd w:id="23"/>
    </w:p>
    <w:p>
      <w:r>
        <w:t>Als Sitz eines Vereins gilt, wenn nicht ein anderes bestimmt ist, der Ort, an welchem die Verwaltung geführt wird.</w:t>
      </w:r>
    </w:p>
    <w:p>
      <w:pPr>
        <w:pStyle w:val="Heading6"/>
      </w:pPr>
      <w:bookmarkStart w:id="24" w:name="b22"/>
      <w:r>
        <w:t>§ 25 Verfassung</w:t>
      </w:r>
      <w:r>
        <w:t xml:space="preserve"> </w:t>
      </w:r>
      <w:r>
        <w:rPr>
          <w:rStyle w:val="Suchmarke"/>
        </w:rPr>
        <w:t>#25#</w:t>
      </w:r>
      <w:bookmarkEnd w:id="24"/>
    </w:p>
    <w:p>
      <w:r>
        <w:t>Die Verfassung eines rechtsfähigen Vereins wird, soweit sie nicht auf den nachfolgenden Vorschriften beruht, durch die Vereinssatzung bestimmt.</w:t>
      </w:r>
    </w:p>
    <w:p>
      <w:pPr>
        <w:pStyle w:val="Heading6"/>
      </w:pPr>
      <w:bookmarkStart w:id="25" w:name="b23"/>
      <w:r>
        <w:t>§ 26 Vorstand und Vertretung</w:t>
      </w:r>
      <w:r>
        <w:t xml:space="preserve"> </w:t>
      </w:r>
      <w:r>
        <w:rPr>
          <w:rStyle w:val="Suchmarke"/>
        </w:rPr>
        <w:t>#26#</w:t>
      </w:r>
      <w:bookmarkEnd w:id="25"/>
    </w:p>
    <w:p>
      <w:r>
        <w:t xml:space="preserve">(1) </w:t>
      </w:r>
      <w:r>
        <w:rPr>
          <w:rStyle w:val="Satznummer"/>
        </w:rPr>
        <w:t>1</w:t>
      </w:r>
      <w:r>
        <w:t xml:space="preserve">Der Verein muss einen Vorstand haben. </w:t>
      </w:r>
      <w:r>
        <w:rPr>
          <w:rStyle w:val="Satznummer"/>
        </w:rPr>
        <w:t>2</w:t>
      </w:r>
      <w:r>
        <w:t xml:space="preserve">Der Vorstand vertritt den Verein gerichtlich und außergerichtlich; er hat die Stellung eines gesetzlichen Vertreters. </w:t>
      </w:r>
      <w:r>
        <w:rPr>
          <w:rStyle w:val="Satznummer"/>
        </w:rPr>
        <w:t>3</w:t>
      </w:r>
      <w:r>
        <w:t>Der Umfang der Vertretungsmacht kann durch die Satzung mit Wirkung gegen Dritte beschränkt werden.</w:t>
      </w:r>
    </w:p>
    <w:p>
      <w:r>
        <w:t xml:space="preserve">(2) </w:t>
      </w:r>
      <w:r>
        <w:rPr>
          <w:rStyle w:val="Satznummer"/>
        </w:rPr>
        <w:t>1</w:t>
      </w:r>
      <w:r>
        <w:t xml:space="preserve">Besteht der Vorstand aus mehreren Personen, so wird der Verein durch die Mehrheit der Vorstandsmitglieder vertreten. </w:t>
      </w:r>
      <w:r>
        <w:rPr>
          <w:rStyle w:val="Satznummer"/>
        </w:rPr>
        <w:t>2</w:t>
      </w:r>
      <w:r>
        <w:t>Ist eine Willenserklärung gegenüber einem Verein abzugeben, so genügt die Abgabe gegenüber einem Mitglied des Vorstands.</w:t>
      </w:r>
    </w:p>
    <w:p>
      <w:pPr>
        <w:pStyle w:val="Heading6"/>
      </w:pPr>
      <w:bookmarkStart w:id="26" w:name="b24"/>
      <w:r>
        <w:t>§ 27 Bestellung und Geschäftsführung des Vorstands</w:t>
      </w:r>
      <w:r>
        <w:t xml:space="preserve"> </w:t>
      </w:r>
      <w:r>
        <w:rPr>
          <w:rStyle w:val="Suchmarke"/>
        </w:rPr>
        <w:t>#27#</w:t>
      </w:r>
      <w:bookmarkEnd w:id="26"/>
    </w:p>
    <w:p>
      <w:r>
        <w:t>(1) Die Bestellung des Vorstands erfolgt durch Beschluss der Mitgliederversammlung.</w:t>
      </w:r>
    </w:p>
    <w:p>
      <w:r>
        <w:t xml:space="preserve">(2) </w:t>
      </w:r>
      <w:r>
        <w:rPr>
          <w:rStyle w:val="Satznummer"/>
        </w:rPr>
        <w:t>1</w:t>
      </w:r>
      <w:r>
        <w:t xml:space="preserve">Die Bestellung ist jederzeit widerruflich, unbeschadet des Anspruchs auf die vertragsmäßige Vergütung. </w:t>
      </w:r>
      <w:r>
        <w:rPr>
          <w:rStyle w:val="Satznummer"/>
        </w:rPr>
        <w:t>2</w:t>
      </w:r>
      <w:r>
        <w:t>Die Widerruflichkeit kann durch die Satzung auf den Fall beschränkt werden, dass ein wichtiger Grund für den Widerruf vorliegt; ein solcher Grund ist insbesondere grobe Pflichtverletzung oder Unfähigkeit zur ordnungsmäßigen Geschäftsführung.</w:t>
      </w:r>
    </w:p>
    <w:p>
      <w:r>
        <w:t xml:space="preserve">(3) </w:t>
      </w:r>
      <w:r>
        <w:rPr>
          <w:rStyle w:val="Satznummer"/>
        </w:rPr>
        <w:t>1</w:t>
      </w:r>
      <w:r>
        <w:t xml:space="preserve">Auf die Geschäftsführung des Vorstands finden die für den Auftrag geltenden Vorschriften der </w:t>
      </w:r>
      <w:hyperlink w:anchor="b1037" w:history="1">
        <w:r>
          <w:rPr>
            <w:color w:val="0A3A8C"/>
            <w:u w:val="single"/>
          </w:rPr>
          <w:t xml:space="preserve">§§ 664</w:t>
        </w:r>
      </w:hyperlink>
      <w:r>
        <w:t xml:space="preserve"> bis </w:t>
      </w:r>
      <w:hyperlink w:anchor="b1043" w:history="1">
        <w:r>
          <w:rPr>
            <w:color w:val="0A3A8C"/>
            <w:u w:val="single"/>
          </w:rPr>
          <w:t xml:space="preserve">670</w:t>
        </w:r>
      </w:hyperlink>
      <w:r>
        <w:t xml:space="preserve"> entsprechende Anwendung. </w:t>
      </w:r>
      <w:r>
        <w:rPr>
          <w:rStyle w:val="Satznummer"/>
        </w:rPr>
        <w:t>2</w:t>
      </w:r>
      <w:r>
        <w:t>Die Mitglieder des Vorstands sind unentgeltlich tätig.</w:t>
      </w:r>
    </w:p>
    <w:p>
      <w:pPr>
        <w:pStyle w:val="Heading6"/>
      </w:pPr>
      <w:bookmarkStart w:id="27" w:name="b25"/>
      <w:r>
        <w:t>§ 28 Beschlussfassung des Vorstands</w:t>
      </w:r>
      <w:r>
        <w:t xml:space="preserve"> </w:t>
      </w:r>
      <w:r>
        <w:rPr>
          <w:rStyle w:val="Suchmarke"/>
        </w:rPr>
        <w:t>#28#</w:t>
      </w:r>
      <w:bookmarkEnd w:id="27"/>
    </w:p>
    <w:p>
      <w:r>
        <w:t xml:space="preserve">Bei einem Vorstand, der aus mehreren Personen besteht, erfolgt die Beschlussfassung nach den für die Beschlüsse der Mitglieder des Vereins geltenden Vorschriften der </w:t>
      </w:r>
      <w:hyperlink w:anchor="b31" w:history="1">
        <w:r>
          <w:rPr>
            <w:color w:val="0A3A8C"/>
            <w:u w:val="single"/>
          </w:rPr>
          <w:t xml:space="preserve">§§ 32</w:t>
        </w:r>
      </w:hyperlink>
      <w:r>
        <w:t xml:space="preserve"> und </w:t>
      </w:r>
      <w:hyperlink w:anchor="b33" w:history="1">
        <w:r>
          <w:rPr>
            <w:color w:val="0A3A8C"/>
            <w:u w:val="single"/>
          </w:rPr>
          <w:t xml:space="preserve">34</w:t>
        </w:r>
      </w:hyperlink>
      <w:r>
        <w:t>.</w:t>
      </w:r>
    </w:p>
    <w:p>
      <w:pPr>
        <w:pStyle w:val="Heading6"/>
      </w:pPr>
      <w:bookmarkStart w:id="28" w:name="b26"/>
      <w:r>
        <w:t>§ 29 Notbestellung durch Amtsgericht</w:t>
      </w:r>
      <w:r>
        <w:t xml:space="preserve"> </w:t>
      </w:r>
      <w:r>
        <w:rPr>
          <w:rStyle w:val="Suchmarke"/>
        </w:rPr>
        <w:t>#29#</w:t>
      </w:r>
      <w:bookmarkEnd w:id="28"/>
    </w:p>
    <w:p>
      <w:r>
        <w:t>Soweit die erforderlichen Mitglieder des Vorstands fehlen, sind sie in dringenden Fällen für die Zeit bis zur Behebung des Mangels auf Antrag eines Beteiligten von dem Amtsgericht zu bestellen, das für den Bezirk, in dem der Verein seinen Sitz hat, das Vereinsregister führt.</w:t>
      </w:r>
    </w:p>
    <w:p>
      <w:pPr>
        <w:pStyle w:val="Heading6"/>
      </w:pPr>
      <w:bookmarkStart w:id="29" w:name="b27"/>
      <w:r>
        <w:t>§ 30 Besondere Vertreter</w:t>
      </w:r>
      <w:r>
        <w:t xml:space="preserve"> </w:t>
      </w:r>
      <w:r>
        <w:rPr>
          <w:rStyle w:val="Suchmarke"/>
        </w:rPr>
        <w:t>#30#</w:t>
      </w:r>
      <w:bookmarkEnd w:id="29"/>
    </w:p>
    <w:p>
      <w:r>
        <w:rPr>
          <w:rStyle w:val="Satznummer"/>
        </w:rPr>
        <w:t>1</w:t>
      </w:r>
      <w:r>
        <w:t xml:space="preserve">Durch die Satzung kann bestimmt werden, dass neben dem Vorstand für gewisse Geschäfte besondere Vertreter zu bestellen sind. </w:t>
      </w:r>
      <w:r>
        <w:rPr>
          <w:rStyle w:val="Satznummer"/>
        </w:rPr>
        <w:t>2</w:t>
      </w:r>
      <w:r>
        <w:t>Die Vertretungsmacht eines solchen Vertreters erstreckt sich im Zweifel auf alle Rechtsgeschäfte, die der ihm zugewiesene Geschäftskreis gewöhnlich mit sich bringt.</w:t>
      </w:r>
    </w:p>
    <w:p>
      <w:pPr>
        <w:pStyle w:val="Heading6"/>
      </w:pPr>
      <w:bookmarkStart w:id="30" w:name="b28"/>
      <w:r>
        <w:t>§ 31 Haftung des Vereins für Organe</w:t>
      </w:r>
      <w:r>
        <w:t xml:space="preserve"> </w:t>
      </w:r>
      <w:r>
        <w:rPr>
          <w:rStyle w:val="Suchmarke"/>
        </w:rPr>
        <w:t>#31#</w:t>
      </w:r>
      <w:bookmarkEnd w:id="30"/>
    </w:p>
    <w:p>
      <w:r>
        <w:t>Der Verein ist für den Schaden verantwortlich, den der Vorstand, ein Mitglied des Vorstands oder ein anderer verfassungsmäßig berufener Vertreter durch eine in Ausführung der ihm zustehenden Verrichtungen begangene, zum Schadensersatz verpflichtende Handlung einem Dritten zufügt.</w:t>
      </w:r>
    </w:p>
    <w:p>
      <w:pPr>
        <w:pStyle w:val="Heading6"/>
      </w:pPr>
      <w:bookmarkStart w:id="31" w:name="b29"/>
      <w:r>
        <w:t>§ 31a Haftung von Organmitgliedern und besonderen Vertretern</w:t>
      </w:r>
      <w:r>
        <w:t xml:space="preserve"> </w:t>
      </w:r>
      <w:r>
        <w:rPr>
          <w:rStyle w:val="Suchmarke"/>
        </w:rPr>
        <w:t>#31a#</w:t>
      </w:r>
      <w:bookmarkEnd w:id="31"/>
    </w:p>
    <w:p>
      <w:r>
        <w:t xml:space="preserve">(1) </w:t>
      </w:r>
      <w:r>
        <w:rPr>
          <w:rStyle w:val="Satznummer"/>
        </w:rPr>
        <w:t>1</w:t>
      </w:r>
      <w:r>
        <w:t xml:space="preserve">Sind Organmitglieder oder besondere Vertreter unentgeltlich tätig oder erhalten sie für ihre Tätigkeit eine Vergütung, die 3 300 Euro jährlich nicht übersteigt, haften sie dem Verein für einen bei der Wahrnehmung ihrer Pflichten verursachten Schaden nur bei Vorliegen von Vorsatz oder grober Fahrlässigkeit. </w:t>
      </w:r>
      <w:r>
        <w:rPr>
          <w:rStyle w:val="Satznummer"/>
        </w:rPr>
        <w:t>2</w:t>
      </w:r>
      <w:r>
        <w:t xml:space="preserve">Satz 1 gilt auch für die Haftung gegenüber den Mitgliedern des Vereins. </w:t>
      </w:r>
      <w:r>
        <w:rPr>
          <w:rStyle w:val="Satznummer"/>
        </w:rPr>
        <w:t>3</w:t>
      </w:r>
      <w:r>
        <w:t>Ist streitig, ob ein Organmitglied oder ein besonderer Vertreter einen Schaden vorsätzlich oder grob fahrlässig verursacht hat, trägt der Verein oder das Vereinsmitglied die Beweislast.</w:t>
      </w:r>
    </w:p>
    <w:p>
      <w:r>
        <w:t xml:space="preserve">(2) </w:t>
      </w:r>
      <w:r>
        <w:rPr>
          <w:rStyle w:val="Satznummer"/>
        </w:rPr>
        <w:t>1</w:t>
      </w:r>
      <w:r>
        <w:t xml:space="preserve">Sind Organmitglieder oder besondere Vertreter nach Absatz 1 Satz 1 einem anderen zum Ersatz eines Schadens verpflichtet, den sie bei der Wahrnehmung ihrer Pflichten verursacht haben, so können sie von dem Verein die Befreiung von der Verbindlichkeit verlangen. </w:t>
      </w:r>
      <w:r>
        <w:rPr>
          <w:rStyle w:val="Satznummer"/>
        </w:rPr>
        <w:t>2</w:t>
      </w:r>
      <w:r>
        <w:t>Satz 1 gilt nicht, wenn der Schaden vorsätzlich oder grob fahrlässig verursacht wurde.</w:t>
      </w:r>
    </w:p>
    <w:p>
      <w:pPr>
        <w:pStyle w:val="Heading6"/>
      </w:pPr>
      <w:bookmarkStart w:id="32" w:name="b30"/>
      <w:r>
        <w:t>§ 31b Haftung von Vereinsmitgliedern</w:t>
      </w:r>
      <w:r>
        <w:t xml:space="preserve"> </w:t>
      </w:r>
      <w:r>
        <w:rPr>
          <w:rStyle w:val="Suchmarke"/>
        </w:rPr>
        <w:t>#31b#</w:t>
      </w:r>
      <w:bookmarkEnd w:id="32"/>
    </w:p>
    <w:p>
      <w:r>
        <w:t xml:space="preserve">(1) </w:t>
      </w:r>
      <w:r>
        <w:rPr>
          <w:rStyle w:val="Satznummer"/>
        </w:rPr>
        <w:t>1</w:t>
      </w:r>
      <w:r>
        <w:t xml:space="preserve">Sind Vereinsmitglieder unentgeltlich für den Verein tätig oder erhalten sie für ihre Tätigkeit eine Vergütung, die 3 300 Euro jährlich nicht übersteigt, haften sie dem Verein für einen Schaden, den sie bei der Wahrnehmung der ihnen übertragenen satzungsgemäßen Vereinsaufgaben verursachen, nur bei Vorliegen von Vorsatz oder grober Fahrlässigkeit. </w:t>
      </w:r>
      <w:r>
        <w:rPr>
          <w:rStyle w:val="Satznummer"/>
        </w:rPr>
        <w:t>2</w:t>
      </w:r>
      <w:hyperlink w:anchor="b29" w:history="1">
        <w:r>
          <w:rPr>
            <w:color w:val="0A3A8C"/>
            <w:u w:val="single"/>
          </w:rPr>
          <w:t xml:space="preserve">§ 31a</w:t>
        </w:r>
      </w:hyperlink>
      <w:r>
        <w:t xml:space="preserve"> Absatz 1 Satz 3 ist entsprechend anzuwenden.</w:t>
      </w:r>
    </w:p>
    <w:p>
      <w:r>
        <w:t xml:space="preserve">(2) </w:t>
      </w:r>
      <w:r>
        <w:rPr>
          <w:rStyle w:val="Satznummer"/>
        </w:rPr>
        <w:t>1</w:t>
      </w:r>
      <w:r>
        <w:t xml:space="preserve">Sind Vereinsmitglieder nach Absatz 1 Satz 1 einem anderen zum Ersatz eines Schadens verpflichtet, den sie bei der Wahrnehmung der ihnen übertragenen satzungsgemäßen Vereinsaufgaben verursacht haben, so können sie von dem Verein die Befreiung von der Verbindlichkeit verlangen. </w:t>
      </w:r>
      <w:r>
        <w:rPr>
          <w:rStyle w:val="Satznummer"/>
        </w:rPr>
        <w:t>2</w:t>
      </w:r>
      <w:r>
        <w:t>Satz 1 gilt nicht, wenn die Vereinsmitglieder den Schaden vorsätzlich oder grob fahrlässig verursacht haben.</w:t>
      </w:r>
    </w:p>
    <w:p>
      <w:pPr>
        <w:pStyle w:val="Heading6"/>
      </w:pPr>
      <w:bookmarkStart w:id="33" w:name="b31"/>
      <w:r>
        <w:t>§ 32 Mitgliederversammlung; Beschlussfassung</w:t>
      </w:r>
      <w:r>
        <w:t xml:space="preserve"> </w:t>
      </w:r>
      <w:r>
        <w:rPr>
          <w:rStyle w:val="Suchmarke"/>
        </w:rPr>
        <w:t>#32#</w:t>
      </w:r>
      <w:bookmarkEnd w:id="33"/>
    </w:p>
    <w:p>
      <w:r>
        <w:t xml:space="preserve">(1) </w:t>
      </w:r>
      <w:r>
        <w:rPr>
          <w:rStyle w:val="Satznummer"/>
        </w:rPr>
        <w:t>1</w:t>
      </w:r>
      <w:r>
        <w:t xml:space="preserve">Die Angelegenheiten des Vereins werden, soweit sie nicht von dem Vorstand oder einem anderen Vereinsorgan zu besorgen sind, durch Beschlussfassung in einer Versammlung der Mitglieder geordnet. </w:t>
      </w:r>
      <w:r>
        <w:rPr>
          <w:rStyle w:val="Satznummer"/>
        </w:rPr>
        <w:t>2</w:t>
      </w:r>
      <w:r>
        <w:t xml:space="preserve">Zur Gültigkeit des Beschlusses ist erforderlich, dass der Gegenstand bei der Berufung bezeichnet wird. </w:t>
      </w:r>
      <w:r>
        <w:rPr>
          <w:rStyle w:val="Satznummer"/>
        </w:rPr>
        <w:t>3</w:t>
      </w:r>
      <w:r>
        <w:t>Bei der Beschlussfassung entscheidet die Mehrheit der abgegebenen Stimmen.</w:t>
      </w:r>
    </w:p>
    <w:p>
      <w:r>
        <w:t xml:space="preserve">(2) </w:t>
      </w:r>
      <w:r>
        <w:rPr>
          <w:rStyle w:val="Satznummer"/>
        </w:rPr>
        <w:t>1</w:t>
      </w:r>
      <w:r>
        <w:t xml:space="preserve">Bei der Berufung der Versammlung kann vorgesehen werden, dass Mitglieder auch ohne Anwesenheit am Versammlungsort im Wege der elektronischen Kommunikation an der Versammlung teilnehmen und andere Mitgliederrechte ausüben können (hybride Versammlung). </w:t>
      </w:r>
      <w:r>
        <w:rPr>
          <w:rStyle w:val="Satznummer"/>
        </w:rPr>
        <w:t>2</w:t>
      </w:r>
      <w:r>
        <w:t xml:space="preserve">Die Mitglieder können beschließen, dass künftige Versammlungen auch als virtuelle Versammlungen einberufen werden können, an der Mitglieder ohne Anwesenheit am Versammlungsort im Wege der elektronischen Kommunikation teilnehmen und ihre anderen Mitgliederrechte ausüben müssen. </w:t>
      </w:r>
      <w:r>
        <w:rPr>
          <w:rStyle w:val="Satznummer"/>
        </w:rPr>
        <w:t>3</w:t>
      </w:r>
      <w:r>
        <w:t>Wird eine hybride oder virtuelle Versammlung einberufen, so muss bei der Berufung auch angegeben werden, wie die Mitglieder ihre Rechte im Wege der elektronischen Kommunikation ausüben können.</w:t>
      </w:r>
    </w:p>
    <w:p>
      <w:r>
        <w:t>(3) Auch ohne Versammlung der Mitglieder ist ein Beschluss gültig, wenn alle Mitglieder ihre Zustimmung zu dem Beschluss in Textform erklären.</w:t>
      </w:r>
    </w:p>
    <w:p>
      <w:pPr>
        <w:pStyle w:val="Heading6"/>
      </w:pPr>
      <w:bookmarkStart w:id="34" w:name="b32"/>
      <w:r>
        <w:t>§ 33 Satzungsänderung</w:t>
      </w:r>
      <w:r>
        <w:t xml:space="preserve"> </w:t>
      </w:r>
      <w:r>
        <w:rPr>
          <w:rStyle w:val="Suchmarke"/>
        </w:rPr>
        <w:t>#33#</w:t>
      </w:r>
      <w:bookmarkEnd w:id="34"/>
    </w:p>
    <w:p>
      <w:r>
        <w:t xml:space="preserve">(1) </w:t>
      </w:r>
      <w:r>
        <w:rPr>
          <w:rStyle w:val="Satznummer"/>
        </w:rPr>
        <w:t>1</w:t>
      </w:r>
      <w:r>
        <w:t xml:space="preserve">Zu einem Beschluss, der eine Änderung der Satzung enthält, ist eine Mehrheit von drei Vierteln der abgegebenen Stimmen erforderlich. </w:t>
      </w:r>
      <w:r>
        <w:rPr>
          <w:rStyle w:val="Satznummer"/>
        </w:rPr>
        <w:t>2</w:t>
      </w:r>
      <w:r>
        <w:t>Zur Änderung des Zweckes des Vereins ist die Zustimmung aller Mitglieder erforderlich; die Zustimmung der nicht erschienenen Mitglieder muss in Textform erfolgen.</w:t>
      </w:r>
    </w:p>
    <w:p>
      <w:r>
        <w:t>(2) Beruht die Rechtsfähigkeit des Vereins auf Verleihung, so ist zu jeder Änderung der Satzung die Genehmigung der zuständigen Behörde erforderlich.</w:t>
      </w:r>
    </w:p>
    <w:p>
      <w:pPr>
        <w:pStyle w:val="Heading6"/>
      </w:pPr>
      <w:bookmarkStart w:id="35" w:name="b33"/>
      <w:r>
        <w:t>§ 34 Ausschluss vom Stimmrecht</w:t>
      </w:r>
      <w:r>
        <w:t xml:space="preserve"> </w:t>
      </w:r>
      <w:r>
        <w:rPr>
          <w:rStyle w:val="Suchmarke"/>
        </w:rPr>
        <w:t>#34#</w:t>
      </w:r>
      <w:bookmarkEnd w:id="35"/>
    </w:p>
    <w:p>
      <w:r>
        <w:t>Ein Mitglied ist nicht stimmberechtigt, wenn die Beschlussfassung die Vornahme eines Rechtsgeschäfts mit ihm oder die Einleitung oder Erledigung eines Rechtsstreits zwischen ihm und dem Verein betrifft.</w:t>
      </w:r>
    </w:p>
    <w:p>
      <w:pPr>
        <w:pStyle w:val="Heading6"/>
      </w:pPr>
      <w:bookmarkStart w:id="36" w:name="b34"/>
      <w:r>
        <w:t>§ 35 Sonderrechte</w:t>
      </w:r>
      <w:r>
        <w:t xml:space="preserve"> </w:t>
      </w:r>
      <w:r>
        <w:rPr>
          <w:rStyle w:val="Suchmarke"/>
        </w:rPr>
        <w:t>#35#</w:t>
      </w:r>
      <w:bookmarkEnd w:id="36"/>
    </w:p>
    <w:p>
      <w:r>
        <w:t>Sonderrechte eines Mitglieds können nicht ohne dessen Zustimmung durch Beschluss der Mitgliederversammlung beeinträchtigt werden.</w:t>
      </w:r>
    </w:p>
    <w:p>
      <w:pPr>
        <w:pStyle w:val="Heading6"/>
      </w:pPr>
      <w:bookmarkStart w:id="37" w:name="b35"/>
      <w:r>
        <w:t>§ 36 Berufung der Mitgliederversammlung</w:t>
      </w:r>
      <w:r>
        <w:t xml:space="preserve"> </w:t>
      </w:r>
      <w:r>
        <w:rPr>
          <w:rStyle w:val="Suchmarke"/>
        </w:rPr>
        <w:t>#36#</w:t>
      </w:r>
      <w:bookmarkEnd w:id="37"/>
    </w:p>
    <w:p>
      <w:r>
        <w:t>Die Mitgliederversammlung ist in den durch die Satzung bestimmten Fällen sowie dann zu berufen, wenn das Interesse des Vereins es erfordert.</w:t>
      </w:r>
    </w:p>
    <w:p>
      <w:pPr>
        <w:pStyle w:val="Heading6"/>
      </w:pPr>
      <w:bookmarkStart w:id="38" w:name="b36"/>
      <w:r>
        <w:t>§ 37 Berufung auf Verlangen einer Minderheit</w:t>
      </w:r>
      <w:r>
        <w:t xml:space="preserve"> </w:t>
      </w:r>
      <w:r>
        <w:rPr>
          <w:rStyle w:val="Suchmarke"/>
        </w:rPr>
        <w:t>#37#</w:t>
      </w:r>
      <w:bookmarkEnd w:id="38"/>
    </w:p>
    <w:p>
      <w:r>
        <w:t>(1) Die Mitgliederversammlung ist zu berufen, wenn der durch die Satzung bestimmte Teil oder in Ermangelung einer Bestimmung der zehnte Teil der Mitglieder die Berufung schriftlich unter Angabe des Zweckes und der Gründe verlangt.</w:t>
      </w:r>
    </w:p>
    <w:p>
      <w:r>
        <w:t xml:space="preserve">(2) </w:t>
      </w:r>
      <w:r>
        <w:rPr>
          <w:rStyle w:val="Satznummer"/>
        </w:rPr>
        <w:t>1</w:t>
      </w:r>
      <w:r>
        <w:t xml:space="preserve">Wird dem Verlangen nicht entsprochen, so kann das Amtsgericht die Mitglieder, die das Verlangen gestellt haben, zur Berufung der Versammlung ermächtigen; es kann Anordnungen über die Führung des Vorsitzes in der Versammlung treffen. </w:t>
      </w:r>
      <w:r>
        <w:rPr>
          <w:rStyle w:val="Satznummer"/>
        </w:rPr>
        <w:t>2</w:t>
      </w:r>
      <w:r>
        <w:t xml:space="preserve">Zuständig ist das Amtsgericht, das für den Bezirk, in dem der Verein seinen Sitz hat, das Vereinsregister führt. </w:t>
      </w:r>
      <w:r>
        <w:rPr>
          <w:rStyle w:val="Satznummer"/>
        </w:rPr>
        <w:t>3</w:t>
      </w:r>
      <w:r>
        <w:t>Auf die Ermächtigung muss bei der Berufung der Versammlung Bezug genommen werden.</w:t>
      </w:r>
    </w:p>
    <w:p>
      <w:pPr>
        <w:pStyle w:val="Heading6"/>
      </w:pPr>
      <w:bookmarkStart w:id="39" w:name="b37"/>
      <w:r>
        <w:t>§ 38 Mitgliedschaft</w:t>
      </w:r>
      <w:r>
        <w:t xml:space="preserve"> </w:t>
      </w:r>
      <w:r>
        <w:rPr>
          <w:rStyle w:val="Suchmarke"/>
        </w:rPr>
        <w:t>#38#</w:t>
      </w:r>
      <w:bookmarkEnd w:id="39"/>
    </w:p>
    <w:p>
      <w:r>
        <w:rPr>
          <w:rStyle w:val="Satznummer"/>
        </w:rPr>
        <w:t>1</w:t>
      </w:r>
      <w:r>
        <w:t xml:space="preserve">Die Mitgliedschaft ist nicht übertragbar und nicht vererblich. </w:t>
      </w:r>
      <w:r>
        <w:rPr>
          <w:rStyle w:val="Satznummer"/>
        </w:rPr>
        <w:t>2</w:t>
      </w:r>
      <w:r>
        <w:t>Die Ausübung der Mitgliedschaftsrechte kann nicht einem anderen überlassen werden.</w:t>
      </w:r>
    </w:p>
    <w:p>
      <w:pPr>
        <w:pStyle w:val="Heading6"/>
      </w:pPr>
      <w:bookmarkStart w:id="40" w:name="b38"/>
      <w:r>
        <w:t>§ 39 Austritt aus dem Verein</w:t>
      </w:r>
      <w:r>
        <w:t xml:space="preserve"> </w:t>
      </w:r>
      <w:r>
        <w:rPr>
          <w:rStyle w:val="Suchmarke"/>
        </w:rPr>
        <w:t>#39#</w:t>
      </w:r>
      <w:bookmarkEnd w:id="40"/>
    </w:p>
    <w:p>
      <w:r>
        <w:t>(1) Die Mitglieder sind zum Austritt aus dem Verein berechtigt.</w:t>
      </w:r>
    </w:p>
    <w:p>
      <w:r>
        <w:t>(2) Durch die Satzung kann bestimmt werden, dass der Austritt nur am Schluss eines Geschäftsjahrs oder erst nach dem Ablauf einer Kündigungsfrist zulässig ist; die Kündigungsfrist kann höchstens zwei Jahre betragen.</w:t>
      </w:r>
    </w:p>
    <w:p>
      <w:pPr>
        <w:pStyle w:val="Heading6"/>
      </w:pPr>
      <w:bookmarkStart w:id="41" w:name="b39"/>
      <w:r>
        <w:t>§ 40 Nachgiebige Vorschriften</w:t>
      </w:r>
      <w:r>
        <w:t xml:space="preserve"> </w:t>
      </w:r>
      <w:r>
        <w:rPr>
          <w:rStyle w:val="Suchmarke"/>
        </w:rPr>
        <w:t>#40#</w:t>
      </w:r>
      <w:bookmarkEnd w:id="41"/>
    </w:p>
    <w:p>
      <w:r>
        <w:rPr>
          <w:rStyle w:val="Satznummer"/>
        </w:rPr>
        <w:t>1</w:t>
      </w:r>
      <w:r>
        <w:t xml:space="preserve">Die Vorschriften des </w:t>
      </w:r>
      <w:hyperlink w:anchor="b23" w:history="1">
        <w:r>
          <w:rPr>
            <w:color w:val="0A3A8C"/>
            <w:u w:val="single"/>
          </w:rPr>
          <w:t xml:space="preserve">§ 26</w:t>
        </w:r>
      </w:hyperlink>
      <w:r>
        <w:t xml:space="preserve"> Absatz 2 Satz 1, des </w:t>
      </w:r>
      <w:hyperlink w:anchor="b24" w:history="1">
        <w:r>
          <w:rPr>
            <w:color w:val="0A3A8C"/>
            <w:u w:val="single"/>
          </w:rPr>
          <w:t xml:space="preserve">§ 27</w:t>
        </w:r>
      </w:hyperlink>
      <w:r>
        <w:t xml:space="preserve"> Absatz 1 und 3, </w:t>
      </w:r>
      <w:r>
        <w:rPr>
          <w:i/>
        </w:rPr>
        <w:t>der §§ 28, 31a Abs. 1 Satz 2</w:t>
      </w:r>
      <w:r>
        <w:t xml:space="preserve"> sowie der </w:t>
      </w:r>
      <w:hyperlink w:anchor="b31" w:history="1">
        <w:r>
          <w:rPr>
            <w:color w:val="0A3A8C"/>
            <w:u w:val="single"/>
          </w:rPr>
          <w:t xml:space="preserve">§§ 32</w:t>
        </w:r>
      </w:hyperlink>
      <w:r>
        <w:t xml:space="preserve">, </w:t>
      </w:r>
      <w:hyperlink w:anchor="b32" w:history="1">
        <w:r>
          <w:rPr>
            <w:color w:val="0A3A8C"/>
            <w:u w:val="single"/>
          </w:rPr>
          <w:t xml:space="preserve">33</w:t>
        </w:r>
      </w:hyperlink>
      <w:r>
        <w:t xml:space="preserve"> und </w:t>
      </w:r>
      <w:hyperlink w:anchor="b37" w:history="1">
        <w:r>
          <w:rPr>
            <w:color w:val="0A3A8C"/>
            <w:u w:val="single"/>
          </w:rPr>
          <w:t xml:space="preserve">38</w:t>
        </w:r>
      </w:hyperlink>
      <w:r>
        <w:t xml:space="preserve"> finden insoweit keine Anwendung als die Satzung ein anderes bestimmt. </w:t>
      </w:r>
      <w:r>
        <w:rPr>
          <w:rStyle w:val="Satznummer"/>
        </w:rPr>
        <w:t>2</w:t>
      </w:r>
      <w:r>
        <w:t xml:space="preserve">Von </w:t>
      </w:r>
      <w:hyperlink w:anchor="b33" w:history="1">
        <w:r>
          <w:rPr>
            <w:color w:val="0A3A8C"/>
            <w:u w:val="single"/>
          </w:rPr>
          <w:t xml:space="preserve">§ 34</w:t>
        </w:r>
      </w:hyperlink>
      <w:r>
        <w:t xml:space="preserve"> kann auch für die Beschlussfassung des Vorstands durch die Satzung nicht abgewichen werden.</w:t>
      </w:r>
    </w:p>
    <w:p>
      <w:pPr>
        <w:pStyle w:val="Heading6"/>
      </w:pPr>
      <w:bookmarkStart w:id="42" w:name="b40"/>
      <w:r>
        <w:t>§ 41 Auflösung des Vereins</w:t>
      </w:r>
      <w:r>
        <w:t xml:space="preserve"> </w:t>
      </w:r>
      <w:r>
        <w:rPr>
          <w:rStyle w:val="Suchmarke"/>
        </w:rPr>
        <w:t>#41#</w:t>
      </w:r>
      <w:bookmarkEnd w:id="42"/>
    </w:p>
    <w:p>
      <w:r>
        <w:rPr>
          <w:rStyle w:val="Satznummer"/>
        </w:rPr>
        <w:t>1</w:t>
      </w:r>
      <w:r>
        <w:t xml:space="preserve">Der Verein kann durch Beschluss der Mitgliederversammlung aufgelöst werden. </w:t>
      </w:r>
      <w:r>
        <w:rPr>
          <w:rStyle w:val="Satznummer"/>
        </w:rPr>
        <w:t>2</w:t>
      </w:r>
      <w:r>
        <w:t>Zu dem Beschluss ist eine Mehrheit von drei Vierteln der abgegebenen Stimmen erforderlich, wenn nicht die Satzung ein anderes bestimmt.</w:t>
      </w:r>
    </w:p>
    <w:p>
      <w:pPr>
        <w:pStyle w:val="Heading6"/>
      </w:pPr>
      <w:bookmarkStart w:id="43" w:name="b41"/>
      <w:r>
        <w:t>§ 42 Insolvenz</w:t>
      </w:r>
      <w:r>
        <w:t xml:space="preserve"> </w:t>
      </w:r>
      <w:r>
        <w:rPr>
          <w:rStyle w:val="Suchmarke"/>
        </w:rPr>
        <w:t>#42#</w:t>
      </w:r>
      <w:bookmarkEnd w:id="43"/>
    </w:p>
    <w:p>
      <w:r>
        <w:t xml:space="preserve">(1) </w:t>
      </w:r>
      <w:r>
        <w:rPr>
          <w:rStyle w:val="Satznummer"/>
        </w:rPr>
        <w:t>1</w:t>
      </w:r>
      <w:r>
        <w:t xml:space="preserve">Der Verein wird durch die Eröffnung des Insolvenzverfahrens und mit Rechtskraft des Beschlusses, durch den die Eröffnung des Insolvenzverfahrens mangels Masse abgewiesen worden ist, aufgelöst. </w:t>
      </w:r>
      <w:r>
        <w:rPr>
          <w:rStyle w:val="Satznummer"/>
        </w:rPr>
        <w:t>2</w:t>
      </w:r>
      <w:r>
        <w:t xml:space="preserve">Wird das Verfahren auf Antrag des Schuldners eingestellt oder nach der Bestätigung eines Insolvenzplans, der den Fortbestand des Vereins vorsieht, aufgehoben, so kann die Mitgliederversammlung die Fortsetzung des Vereins beschließen. </w:t>
      </w:r>
      <w:r>
        <w:rPr>
          <w:rStyle w:val="Satznummer"/>
        </w:rPr>
        <w:t>3</w:t>
      </w:r>
      <w:r>
        <w:t>Durch die Satzung kann bestimmt werden, dass der Verein im Falle der Eröffnung des Insolvenzverfahrens als nicht rechtsfähiger Verein fortbesteht; auch in diesem Falle kann unter den Voraussetzungen des Satzes 2 die Fortsetzung als rechtsfähiger Verein beschlossen werden.</w:t>
      </w:r>
    </w:p>
    <w:p>
      <w:r>
        <w:t xml:space="preserve">(2) </w:t>
      </w:r>
      <w:r>
        <w:rPr>
          <w:rStyle w:val="Satznummer"/>
        </w:rPr>
        <w:t>1</w:t>
      </w:r>
      <w:r>
        <w:t xml:space="preserve">Der Vorstand hat im Falle der Zahlungsunfähigkeit oder der Überschuldung die Eröffnung des Insolvenzverfahrens zu beantragen. </w:t>
      </w:r>
      <w:r>
        <w:rPr>
          <w:rStyle w:val="Satznummer"/>
        </w:rPr>
        <w:t>2</w:t>
      </w:r>
      <w:r>
        <w:t>Wird die Stellung des Antrags verzögert, so sind die Vorstandsmitglieder, denen ein Verschulden zur Last fällt, den Gläubigern für den daraus entstehenden Schaden verantwortlich; sie haften als Gesamtschuldner.</w:t>
      </w:r>
    </w:p>
    <w:p>
      <w:pPr>
        <w:pStyle w:val="Heading6"/>
      </w:pPr>
      <w:bookmarkStart w:id="44" w:name="b42"/>
      <w:r>
        <w:t>§ 43 Entziehung der Rechtsfähigkeit</w:t>
      </w:r>
      <w:r>
        <w:t xml:space="preserve"> </w:t>
      </w:r>
      <w:r>
        <w:rPr>
          <w:rStyle w:val="Suchmarke"/>
        </w:rPr>
        <w:t>#43#</w:t>
      </w:r>
      <w:bookmarkEnd w:id="44"/>
    </w:p>
    <w:p>
      <w:r>
        <w:t>Einem Verein, dessen Rechtsfähigkeit auf Verleihung beruht, kann die Rechtsfähigkeit entzogen werden, wenn er einen anderen als den in der Satzung bestimmten Zweck verfolgt.</w:t>
      </w:r>
    </w:p>
    <w:p>
      <w:pPr>
        <w:pStyle w:val="Heading6"/>
      </w:pPr>
      <w:bookmarkStart w:id="45" w:name="b43"/>
      <w:r>
        <w:t>§ 44 Zuständigkeit und Verfahren</w:t>
      </w:r>
      <w:r>
        <w:t xml:space="preserve"> </w:t>
      </w:r>
      <w:r>
        <w:rPr>
          <w:rStyle w:val="Suchmarke"/>
        </w:rPr>
        <w:t>#44#</w:t>
      </w:r>
      <w:bookmarkEnd w:id="45"/>
    </w:p>
    <w:p>
      <w:r>
        <w:t xml:space="preserve">Die Zuständigkeit und das Verfahren für die Entziehung der Rechtsfähigkeit nach </w:t>
      </w:r>
      <w:hyperlink w:anchor="b42" w:history="1">
        <w:r>
          <w:rPr>
            <w:color w:val="0A3A8C"/>
            <w:u w:val="single"/>
          </w:rPr>
          <w:t xml:space="preserve">§ 43</w:t>
        </w:r>
      </w:hyperlink>
      <w:r>
        <w:t xml:space="preserve"> bestimmen sich nach dem Recht des Landes, in dem der Verein seinen Sitz hat.</w:t>
      </w:r>
    </w:p>
    <w:p>
      <w:pPr>
        <w:pStyle w:val="Heading6"/>
      </w:pPr>
      <w:bookmarkStart w:id="46" w:name="b44"/>
      <w:r>
        <w:t>§ 45 Anfall des Vereinsvermögens</w:t>
      </w:r>
      <w:r>
        <w:t xml:space="preserve"> </w:t>
      </w:r>
      <w:r>
        <w:rPr>
          <w:rStyle w:val="Suchmarke"/>
        </w:rPr>
        <w:t>#45#</w:t>
      </w:r>
      <w:bookmarkEnd w:id="46"/>
    </w:p>
    <w:p>
      <w:r>
        <w:t>(1) Mit der Auflösung des Vereins oder der Entziehung der Rechtsfähigkeit fällt das Vermögen an die in der Satzung bestimmten Personen.</w:t>
      </w:r>
    </w:p>
    <w:p>
      <w:r>
        <w:t xml:space="preserve">(2) </w:t>
      </w:r>
      <w:r>
        <w:rPr>
          <w:rStyle w:val="Satznummer"/>
        </w:rPr>
        <w:t>1</w:t>
      </w:r>
      <w:r>
        <w:t xml:space="preserve">Durch die Satzung kann vorgeschrieben werden, dass die Anfallberechtigten durch Beschluss der Mitgliederversammlung oder eines anderen Vereinsorgans bestimmt werden. </w:t>
      </w:r>
      <w:r>
        <w:rPr>
          <w:rStyle w:val="Satznummer"/>
        </w:rPr>
        <w:t>2</w:t>
      </w:r>
      <w:r>
        <w:t>Ist der Zweck des Vereins nicht auf einen wirtschaftlichen Geschäftsbetrieb gerichtet, so kann die Mitgliederversammlung auch ohne eine solche Vorschrift das Vermögen einer öffentlichen Stiftung oder Anstalt zuweisen.</w:t>
      </w:r>
    </w:p>
    <w:p>
      <w:r>
        <w:t>(3) Fehlt es an einer Bestimmung der Anfallberechtigten, so fällt das Vermögen, wenn der Verein nach der Satzung ausschließlich den Interessen seiner Mitglieder diente, an die zur Zeit der Auflösung oder der Entziehung der Rechtsfähigkeit vorhandenen Mitglieder zu gleichen Teilen, anderenfalls an den Fiskus des Landes, in dessen Gebiet der Verein seinen Sitz hatte.</w:t>
      </w:r>
    </w:p>
    <w:p>
      <w:pPr>
        <w:pStyle w:val="Heading6"/>
      </w:pPr>
      <w:bookmarkStart w:id="47" w:name="b45"/>
      <w:r>
        <w:t>§ 46 Anfall an den Fiskus</w:t>
      </w:r>
      <w:r>
        <w:t xml:space="preserve"> </w:t>
      </w:r>
      <w:r>
        <w:rPr>
          <w:rStyle w:val="Suchmarke"/>
        </w:rPr>
        <w:t>#46#</w:t>
      </w:r>
      <w:bookmarkEnd w:id="47"/>
    </w:p>
    <w:p>
      <w:r>
        <w:rPr>
          <w:rStyle w:val="Satznummer"/>
        </w:rPr>
        <w:t>1</w:t>
      </w:r>
      <w:r>
        <w:t xml:space="preserve">Fällt das Vereinsvermögen an den Fiskus, so finden die Vorschriften über eine dem Fiskus als gesetzlichem Erben anfallende Erbschaft entsprechende Anwendung. </w:t>
      </w:r>
      <w:r>
        <w:rPr>
          <w:rStyle w:val="Satznummer"/>
        </w:rPr>
        <w:t>2</w:t>
      </w:r>
      <w:r>
        <w:t>Der Fiskus hat das Vermögen tunlichst in einer den Zwecken des Vereins entsprechenden Weise zu verwenden.</w:t>
      </w:r>
    </w:p>
    <w:p>
      <w:pPr>
        <w:pStyle w:val="Heading6"/>
      </w:pPr>
      <w:bookmarkStart w:id="48" w:name="b46"/>
      <w:r>
        <w:t>§ 47 Liquidation</w:t>
      </w:r>
      <w:r>
        <w:t xml:space="preserve"> </w:t>
      </w:r>
      <w:r>
        <w:rPr>
          <w:rStyle w:val="Suchmarke"/>
        </w:rPr>
        <w:t>#47#</w:t>
      </w:r>
      <w:bookmarkEnd w:id="48"/>
    </w:p>
    <w:p>
      <w:r>
        <w:t>Fällt das Vereinsvermögen nicht an den Fiskus, so muss eine Liquidation stattfinden, sofern nicht über das Vermögen des Vereins das Insolvenzverfahren eröffnet ist.</w:t>
      </w:r>
    </w:p>
    <w:p>
      <w:pPr>
        <w:pStyle w:val="Heading6"/>
      </w:pPr>
      <w:bookmarkStart w:id="49" w:name="b47"/>
      <w:r>
        <w:t>§ 48 Liquidatoren</w:t>
      </w:r>
      <w:r>
        <w:t xml:space="preserve"> </w:t>
      </w:r>
      <w:r>
        <w:rPr>
          <w:rStyle w:val="Suchmarke"/>
        </w:rPr>
        <w:t>#48#</w:t>
      </w:r>
      <w:bookmarkEnd w:id="49"/>
    </w:p>
    <w:p>
      <w:r>
        <w:t xml:space="preserve">(1) </w:t>
      </w:r>
      <w:r>
        <w:rPr>
          <w:rStyle w:val="Satznummer"/>
        </w:rPr>
        <w:t>1</w:t>
      </w:r>
      <w:r>
        <w:t xml:space="preserve">Die Liquidation erfolgt durch den Vorstand. </w:t>
      </w:r>
      <w:r>
        <w:rPr>
          <w:rStyle w:val="Satznummer"/>
        </w:rPr>
        <w:t>2</w:t>
      </w:r>
      <w:r>
        <w:t>Zu Liquidatoren können auch andere Personen bestellt werden; für die Bestellung sind die für die Bestellung des Vorstands geltenden Vorschriften maßgebend.</w:t>
      </w:r>
    </w:p>
    <w:p>
      <w:r>
        <w:t>(2) Die Liquidatoren haben die rechtliche Stellung des Vorstands, soweit sich nicht aus dem Zwecke der Liquidation ein anderes ergibt.</w:t>
      </w:r>
    </w:p>
    <w:p>
      <w:r>
        <w:t>(3) Sind mehrere Liquidatoren vorhanden, so sind sie nur gemeinschaftlich zur Vertretung befugt und können Beschlüsse nur einstimmig fassen, sofern nicht ein anderes bestimmt ist.</w:t>
      </w:r>
    </w:p>
    <w:p>
      <w:pPr>
        <w:pStyle w:val="Heading6"/>
      </w:pPr>
      <w:bookmarkStart w:id="50" w:name="b48"/>
      <w:r>
        <w:t>§ 49 Aufgaben der Liquidatoren</w:t>
      </w:r>
      <w:r>
        <w:t xml:space="preserve"> </w:t>
      </w:r>
      <w:r>
        <w:rPr>
          <w:rStyle w:val="Suchmarke"/>
        </w:rPr>
        <w:t>#49#</w:t>
      </w:r>
      <w:bookmarkEnd w:id="50"/>
    </w:p>
    <w:p>
      <w:r>
        <w:t xml:space="preserve">(1) </w:t>
      </w:r>
      <w:r>
        <w:rPr>
          <w:rStyle w:val="Satznummer"/>
        </w:rPr>
        <w:t>1</w:t>
      </w:r>
      <w:r>
        <w:t xml:space="preserve">Die Liquidatoren haben die laufenden Geschäfte zu beendigen, die Forderungen einzuziehen, das übrige Vermögen in Geld umzusetzen, die Gläubiger zu befriedigen und den Überschuss den Anfallberechtigten auszuantworten. </w:t>
      </w:r>
      <w:r>
        <w:rPr>
          <w:rStyle w:val="Satznummer"/>
        </w:rPr>
        <w:t>2</w:t>
      </w:r>
      <w:r>
        <w:t xml:space="preserve">Zur Beendigung schwebender Geschäfte können die Liquidatoren auch neue Geschäfte eingehen. </w:t>
      </w:r>
      <w:r>
        <w:rPr>
          <w:rStyle w:val="Satznummer"/>
        </w:rPr>
        <w:t>3</w:t>
      </w:r>
      <w:r>
        <w:t>Die Einziehung der Forderungen sowie die Umsetzung des übrigen Vermögens in Geld darf unterbleiben, soweit diese Maßregeln nicht zur Befriedigung der Gläubiger oder zur Verteilung des Überschusses unter die Anfallberechtigten erforderlich sind.</w:t>
      </w:r>
    </w:p>
    <w:p>
      <w:r>
        <w:t>(2) Der Verein gilt bis zur Beendigung der Liquidation als fortbestehend, soweit der Zweck der Liquidation es erfordert.</w:t>
      </w:r>
    </w:p>
    <w:p>
      <w:pPr>
        <w:pStyle w:val="Heading6"/>
      </w:pPr>
      <w:bookmarkStart w:id="51" w:name="b49"/>
      <w:r>
        <w:t>§ 50 Bekanntmachung des Vereins in Liquidation</w:t>
      </w:r>
      <w:r>
        <w:t xml:space="preserve"> </w:t>
      </w:r>
      <w:r>
        <w:rPr>
          <w:rStyle w:val="Suchmarke"/>
        </w:rPr>
        <w:t>#50#</w:t>
      </w:r>
      <w:bookmarkEnd w:id="51"/>
    </w:p>
    <w:p>
      <w:r>
        <w:t xml:space="preserve">(1) </w:t>
      </w:r>
      <w:r>
        <w:rPr>
          <w:rStyle w:val="Satznummer"/>
        </w:rPr>
        <w:t>1</w:t>
      </w:r>
      <w:r>
        <w:t xml:space="preserve">Die Auflösung des Vereins oder die Entziehung der Rechtsfähigkeit ist durch die Liquidatoren öffentlich bekannt zu machen. </w:t>
      </w:r>
      <w:r>
        <w:rPr>
          <w:rStyle w:val="Satznummer"/>
        </w:rPr>
        <w:t>2</w:t>
      </w:r>
      <w:r>
        <w:t xml:space="preserve">In der Bekanntmachung sind die Gläubiger zur Anmeldung ihrer Ansprüche aufzufordern. </w:t>
      </w:r>
      <w:r>
        <w:rPr>
          <w:rStyle w:val="Satznummer"/>
        </w:rPr>
        <w:t>3</w:t>
      </w:r>
      <w:r>
        <w:t xml:space="preserve">Die Bekanntmachung erfolgt durch das in der Satzung für Veröffentlichungen bestimmte Blatt. </w:t>
      </w:r>
      <w:r>
        <w:rPr>
          <w:rStyle w:val="Satznummer"/>
        </w:rPr>
        <w:t>4</w:t>
      </w:r>
      <w:r>
        <w:t>Die Bekanntmachung gilt mit dem Ablauf des zweiten Tages nach der Einrückung oder der ersten Einrückung als bewirkt.</w:t>
      </w:r>
    </w:p>
    <w:p>
      <w:r>
        <w:t>(2) Bekannte Gläubiger sind durch besondere Mitteilung zur Anmeldung aufzufordern.</w:t>
      </w:r>
    </w:p>
    <w:p>
      <w:pPr>
        <w:pStyle w:val="Heading6"/>
      </w:pPr>
      <w:bookmarkStart w:id="52" w:name="b50"/>
      <w:r>
        <w:t>§ 50a Bekanntmachungsblatt</w:t>
      </w:r>
      <w:r>
        <w:t xml:space="preserve"> </w:t>
      </w:r>
      <w:r>
        <w:rPr>
          <w:rStyle w:val="Suchmarke"/>
        </w:rPr>
        <w:t>#50a#</w:t>
      </w:r>
      <w:bookmarkEnd w:id="52"/>
    </w:p>
    <w:p>
      <w:r>
        <w:t>Hat ein Verein in der Satzung kein Blatt für Bekanntmachungen bestimmt oder hat das bestimmte Bekanntmachungsblatt sein Erscheinen eingestellt, sind Bekanntmachungen des Vereins in dem Blatt zu veröffentlichen, welches für Bekanntmachungen des Amtsgerichts bestimmt ist, in dessen Bezirk der Verein seinen Sitz hat.</w:t>
      </w:r>
    </w:p>
    <w:p>
      <w:pPr>
        <w:pStyle w:val="Heading6"/>
      </w:pPr>
      <w:bookmarkStart w:id="53" w:name="b51"/>
      <w:r>
        <w:t>§ 51 Sperrjahr</w:t>
      </w:r>
      <w:r>
        <w:t xml:space="preserve"> </w:t>
      </w:r>
      <w:r>
        <w:rPr>
          <w:rStyle w:val="Suchmarke"/>
        </w:rPr>
        <w:t>#51#</w:t>
      </w:r>
      <w:bookmarkEnd w:id="53"/>
    </w:p>
    <w:p>
      <w:r>
        <w:t>Das Vermögen darf den Anfallberechtigten nicht vor dem Ablauf eines Jahres nach der Bekanntmachung der Auflösung des Vereins oder der Entziehung der Rechtsfähigkeit ausgeantwortet werden.</w:t>
      </w:r>
    </w:p>
    <w:p>
      <w:pPr>
        <w:pStyle w:val="Heading6"/>
      </w:pPr>
      <w:bookmarkStart w:id="54" w:name="b52"/>
      <w:r>
        <w:t>§ 52 Sicherung für Gläubiger</w:t>
      </w:r>
      <w:r>
        <w:t xml:space="preserve"> </w:t>
      </w:r>
      <w:r>
        <w:rPr>
          <w:rStyle w:val="Suchmarke"/>
        </w:rPr>
        <w:t>#52#</w:t>
      </w:r>
      <w:bookmarkEnd w:id="54"/>
    </w:p>
    <w:p>
      <w:r>
        <w:t>(1) Meldet sich ein bekannter Gläubiger nicht, so ist der geschuldete Betrag, wenn die Berechtigung zur Hinterlegung vorhanden ist, für den Gläubiger zu hinterlegen.</w:t>
      </w:r>
    </w:p>
    <w:p>
      <w:r>
        <w:t>(2) Ist die Berichtigung einer Verbindlichkeit zur Zeit nicht ausführbar oder ist eine Verbindlichkeit streitig, so darf das Vermögen den Anfallberechtigten nur ausgeantwortet werden, wenn dem Gläubiger Sicherheit geleistet ist.</w:t>
      </w:r>
    </w:p>
    <w:p>
      <w:pPr>
        <w:pStyle w:val="Heading6"/>
      </w:pPr>
      <w:bookmarkStart w:id="55" w:name="b53"/>
      <w:r>
        <w:t>§ 53 Schadensersatzpflicht der Liquidatoren</w:t>
      </w:r>
      <w:r>
        <w:t xml:space="preserve"> </w:t>
      </w:r>
      <w:r>
        <w:rPr>
          <w:rStyle w:val="Suchmarke"/>
        </w:rPr>
        <w:t>#53#</w:t>
      </w:r>
      <w:bookmarkEnd w:id="55"/>
    </w:p>
    <w:p>
      <w:r>
        <w:t xml:space="preserve">Liquidatoren, welche die ihnen nach dem </w:t>
      </w:r>
      <w:hyperlink w:anchor="b41" w:history="1">
        <w:r>
          <w:rPr>
            <w:color w:val="0A3A8C"/>
            <w:u w:val="single"/>
          </w:rPr>
          <w:t xml:space="preserve">§ 42</w:t>
        </w:r>
      </w:hyperlink>
      <w:r>
        <w:t xml:space="preserve"> Abs. 2 und den </w:t>
      </w:r>
      <w:hyperlink w:anchor="b49" w:history="1">
        <w:r>
          <w:rPr>
            <w:color w:val="0A3A8C"/>
            <w:u w:val="single"/>
          </w:rPr>
          <w:t xml:space="preserve">§§ 50</w:t>
        </w:r>
      </w:hyperlink>
      <w:r>
        <w:t xml:space="preserve">, </w:t>
      </w:r>
      <w:hyperlink w:anchor="b51" w:history="1">
        <w:r>
          <w:rPr>
            <w:color w:val="0A3A8C"/>
            <w:u w:val="single"/>
          </w:rPr>
          <w:t xml:space="preserve">51</w:t>
        </w:r>
      </w:hyperlink>
      <w:r>
        <w:t xml:space="preserve"> und </w:t>
      </w:r>
      <w:hyperlink w:anchor="b52" w:history="1">
        <w:r>
          <w:rPr>
            <w:color w:val="0A3A8C"/>
            <w:u w:val="single"/>
          </w:rPr>
          <w:t xml:space="preserve">52</w:t>
        </w:r>
      </w:hyperlink>
      <w:r>
        <w:t xml:space="preserve"> obliegenden Verpflichtungen verletzen oder vor der Befriedigung der Gläubiger Vermögen den Anfallberechtigten ausantworten, sind, wenn ihnen ein Verschulden zur Last fällt, den Gläubigern für den daraus entstehenden Schaden verantwortlich; sie haften als Gesamtschuldner.</w:t>
      </w:r>
    </w:p>
    <w:p>
      <w:pPr>
        <w:pStyle w:val="Heading6"/>
      </w:pPr>
      <w:bookmarkStart w:id="56" w:name="b54"/>
      <w:r>
        <w:t>§ 54 Vereine ohne Rechtspersönlichkeit</w:t>
      </w:r>
      <w:r>
        <w:t xml:space="preserve"> </w:t>
      </w:r>
      <w:r>
        <w:rPr>
          <w:rStyle w:val="Suchmarke"/>
        </w:rPr>
        <w:t>#54#</w:t>
      </w:r>
      <w:bookmarkEnd w:id="56"/>
    </w:p>
    <w:p>
      <w:r>
        <w:t xml:space="preserve">(1) </w:t>
      </w:r>
      <w:r>
        <w:rPr>
          <w:rStyle w:val="Satznummer"/>
        </w:rPr>
        <w:t>1</w:t>
      </w:r>
      <w:r>
        <w:t xml:space="preserve">Für Vereine, deren Zweck nicht auf einen wirtschaftlichen Geschäftsbetrieb gerichtet ist und die nicht durch Eintragung in das Vereinsregister Rechtspersönlichkeit erlangt haben, sind die Vorschriften der </w:t>
      </w:r>
      <w:hyperlink w:anchor="b21" w:history="1">
        <w:r>
          <w:rPr>
            <w:color w:val="0A3A8C"/>
            <w:u w:val="single"/>
          </w:rPr>
          <w:t xml:space="preserve">§§ 24</w:t>
        </w:r>
      </w:hyperlink>
      <w:r>
        <w:t xml:space="preserve"> bis </w:t>
      </w:r>
      <w:hyperlink w:anchor="b53" w:history="1">
        <w:r>
          <w:rPr>
            <w:color w:val="0A3A8C"/>
            <w:u w:val="single"/>
          </w:rPr>
          <w:t xml:space="preserve">53</w:t>
        </w:r>
      </w:hyperlink>
      <w:r>
        <w:t xml:space="preserve"> entsprechend anzuwenden. </w:t>
      </w:r>
      <w:r>
        <w:rPr>
          <w:rStyle w:val="Satznummer"/>
        </w:rPr>
        <w:t>2</w:t>
      </w:r>
      <w:r>
        <w:t>Für Vereine, deren Zweck auf einen wirtschaftlichen Geschäftsbetrieb gerichtet ist und die nicht durch staatliche Verleihung Rechtspersönlichkeit erlangt haben, sind die Vorschriften über die Gesellschaft entsprechend anzuwenden.</w:t>
      </w:r>
    </w:p>
    <w:p>
      <w:r>
        <w:t>(2) Aus einem Rechtsgeschäft, das im Namen eines Vereins ohne Rechtspersönlichkeit einem Dritten gegenüber vorgenommen wird, haftet der Handelnde persönlich; handeln mehrere, haften sie als Gesamtschuldner.</w:t>
      </w:r>
    </w:p>
    <w:p>
      <w:pPr>
        <w:pStyle w:val="Heading5"/>
      </w:pPr>
      <w:bookmarkStart w:id="57" w:name="b55"/>
      <w:r>
        <w:t>Kapitel 2 Eingetragene Vereine</w:t>
      </w:r>
      <w:bookmarkEnd w:id="57"/>
    </w:p>
    <w:p>
      <w:pPr>
        <w:pStyle w:val="Heading6"/>
      </w:pPr>
      <w:bookmarkStart w:id="58" w:name="b56"/>
      <w:r>
        <w:t>§ 55 Zuständigkeit für die Registereintragung</w:t>
      </w:r>
      <w:r>
        <w:t xml:space="preserve"> </w:t>
      </w:r>
      <w:r>
        <w:rPr>
          <w:rStyle w:val="Suchmarke"/>
        </w:rPr>
        <w:t>#55#</w:t>
      </w:r>
      <w:bookmarkEnd w:id="58"/>
    </w:p>
    <w:p>
      <w:r>
        <w:t xml:space="preserve">Die Eintragung eines Vereins der in </w:t>
      </w:r>
      <w:hyperlink w:anchor="b18" w:history="1">
        <w:r>
          <w:rPr>
            <w:color w:val="0A3A8C"/>
            <w:u w:val="single"/>
          </w:rPr>
          <w:t xml:space="preserve">§ 21</w:t>
        </w:r>
      </w:hyperlink>
      <w:r>
        <w:t xml:space="preserve"> bezeichneten Art in das Vereinsregister hat bei dem Amtsgericht zu geschehen, in dessen Bezirk der Verein seinen Sitz hat.</w:t>
      </w:r>
    </w:p>
    <w:p>
      <w:pPr>
        <w:pStyle w:val="Heading6"/>
      </w:pPr>
      <w:bookmarkStart w:id="59" w:name="b57"/>
      <w:r>
        <w:t>§ 55a Elektronisches Vereinsregister</w:t>
      </w:r>
      <w:r>
        <w:t xml:space="preserve"> </w:t>
      </w:r>
      <w:r>
        <w:rPr>
          <w:rStyle w:val="Suchmarke"/>
        </w:rPr>
        <w:t>#55a#</w:t>
      </w:r>
      <w:bookmarkEnd w:id="59"/>
    </w:p>
    <w:p>
      <w:r>
        <w:t xml:space="preserve">(1) </w:t>
      </w:r>
      <w:r>
        <w:rPr>
          <w:rStyle w:val="Satznummer"/>
        </w:rPr>
        <w:t>1</w:t>
      </w:r>
      <w:r>
        <w:t xml:space="preserve">Die Landesregierungen können durch Rechtsverordnung bestimmen, dass und in welchem Umfang das Vereinsregister in maschineller Form als automatisierte Datei geführt wird. </w:t>
      </w:r>
      <w:r>
        <w:rPr>
          <w:rStyle w:val="Satznummer"/>
        </w:rPr>
        <w:t>2</w:t>
      </w:r>
      <w:r>
        <w:t>Hierbei muss gewährleistet sein, dass</w:t>
      </w:r>
    </w:p>
    <w:p>
      <w:pPr>
        <w:tabs>
          <w:tab w:pos="567" w:val="left"/>
        </w:tabs>
        <w:ind w:left="567" w:hanging="567"/>
      </w:pPr>
      <w:r>
        <w:t>1.</w:t>
      </w:r>
      <w:r>
        <w:tab/>
      </w:r>
      <w:r>
        <w:t>die Grundsätze einer ordnungsgemäßen Datenverarbeitung eingehalten, insbesondere Vorkehrungen gegen einen Datenverlust getroffen sowie die erforderlichen Kopien der Datenbestände mindestens tagesaktuell gehalten und die originären Datenbestände sowie deren Kopien sicher aufbewahrt werden,</w:t>
      </w:r>
    </w:p>
    <w:p>
      <w:pPr>
        <w:tabs>
          <w:tab w:pos="567" w:val="left"/>
        </w:tabs>
        <w:ind w:left="567" w:hanging="567"/>
      </w:pPr>
      <w:r>
        <w:t>2.</w:t>
      </w:r>
      <w:r>
        <w:tab/>
      </w:r>
      <w:r>
        <w:t>die vorzunehmenden Eintragungen alsbald in einen Datenspeicher aufgenommen und auf Dauer inhaltlich unverändert in lesbarer Form wiedergegeben werden können und</w:t>
      </w:r>
    </w:p>
    <w:p>
      <w:pPr>
        <w:tabs>
          <w:tab w:pos="567" w:val="left"/>
        </w:tabs>
        <w:ind w:left="567" w:hanging="567"/>
      </w:pPr>
      <w:r>
        <w:t>3.</w:t>
      </w:r>
      <w:r>
        <w:tab/>
      </w:r>
      <w:r>
        <w:t>die nach den Artikeln 24, 25 und 32 der Verordnung (EU) 2016/679 erforderlichen Anforderungen erfüllt sind.</w:t>
      </w:r>
    </w:p>
    <w:p>
      <w:r>
        <w:rPr>
          <w:rStyle w:val="Satznummer"/>
        </w:rPr>
        <w:t>3</w:t>
      </w:r>
      <w:r>
        <w:t>Die Landesregierungen können durch Rechtsverordnung die Ermächtigung nach Satz 1 auf die Landesjustizverwaltungen übertragen.</w:t>
      </w:r>
    </w:p>
    <w:p>
      <w:r>
        <w:t xml:space="preserve">(2) </w:t>
      </w:r>
      <w:r>
        <w:rPr>
          <w:rStyle w:val="Satznummer"/>
        </w:rPr>
        <w:t>1</w:t>
      </w:r>
      <w:r>
        <w:t xml:space="preserve">Das maschinell geführte Vereinsregister tritt für eine Seite des Registers an die Stelle des bisherigen Registers, sobald die Eintragungen dieser Seite in den für die Vereinsregistereintragungen bestimmten Datenspeicher aufgenommen und als Vereinsregister freigegeben worden sind. </w:t>
      </w:r>
      <w:r>
        <w:rPr>
          <w:rStyle w:val="Satznummer"/>
        </w:rPr>
        <w:t>2</w:t>
      </w:r>
      <w:r>
        <w:t>Die entsprechenden Seiten des bisherigen Vereinsregisters sind mit einem Schließungsvermerk zu versehen.</w:t>
      </w:r>
    </w:p>
    <w:p>
      <w:r>
        <w:t xml:space="preserve">(3) </w:t>
      </w:r>
      <w:r>
        <w:rPr>
          <w:rStyle w:val="Satznummer"/>
        </w:rPr>
        <w:t>1</w:t>
      </w:r>
      <w:r>
        <w:t xml:space="preserve">Eine Eintragung wird wirksam, sobald sie in den für die Registereintragungen bestimmten Datenspeicher aufgenommen ist und auf Dauer inhaltlich unverändert in lesbarer Form wiedergegeben werden kann. </w:t>
      </w:r>
      <w:r>
        <w:rPr>
          <w:rStyle w:val="Satznummer"/>
        </w:rPr>
        <w:t>2</w:t>
      </w:r>
      <w:r>
        <w:t xml:space="preserve">Durch eine Bestätigungsanzeige oder in anderer geeigneter Weise ist zu überprüfen, ob diese Voraussetzungen eingetreten sind. </w:t>
      </w:r>
      <w:r>
        <w:rPr>
          <w:rStyle w:val="Satznummer"/>
        </w:rPr>
        <w:t>3</w:t>
      </w:r>
      <w:r>
        <w:t>Jede Eintragung soll den Tag angeben, an dem sie wirksam geworden ist.</w:t>
      </w:r>
    </w:p>
    <w:p>
      <w:pPr>
        <w:pStyle w:val="Heading6"/>
      </w:pPr>
      <w:bookmarkStart w:id="60" w:name="b58"/>
      <w:r>
        <w:t>§ 56 Mindestmitgliederzahl des Vereins</w:t>
      </w:r>
      <w:r>
        <w:t xml:space="preserve"> </w:t>
      </w:r>
      <w:r>
        <w:rPr>
          <w:rStyle w:val="Suchmarke"/>
        </w:rPr>
        <w:t>#56#</w:t>
      </w:r>
      <w:bookmarkEnd w:id="60"/>
    </w:p>
    <w:p>
      <w:r>
        <w:t>Die Eintragung soll nur erfolgen, wenn die Zahl der Mitglieder mindestens sieben beträgt.</w:t>
      </w:r>
    </w:p>
    <w:p>
      <w:pPr>
        <w:pStyle w:val="Heading6"/>
      </w:pPr>
      <w:bookmarkStart w:id="61" w:name="b59"/>
      <w:r>
        <w:t>§ 57 Mindesterfordernisse an die Vereinssatzung</w:t>
      </w:r>
      <w:r>
        <w:t xml:space="preserve"> </w:t>
      </w:r>
      <w:r>
        <w:rPr>
          <w:rStyle w:val="Suchmarke"/>
        </w:rPr>
        <w:t>#57#</w:t>
      </w:r>
      <w:bookmarkEnd w:id="61"/>
    </w:p>
    <w:p>
      <w:r>
        <w:t>(1) Die Satzung muss den Zweck, den Namen und den Sitz des Vereins enthalten und ergeben, dass der Verein eingetragen werden soll.</w:t>
      </w:r>
    </w:p>
    <w:p>
      <w:r>
        <w:t>(2) Der Name soll sich von den Namen der an demselben Orte oder in derselben Gemeinde bestehenden eingetragenen Vereine deutlich unterscheiden.</w:t>
      </w:r>
    </w:p>
    <w:p>
      <w:pPr>
        <w:pStyle w:val="Heading6"/>
      </w:pPr>
      <w:bookmarkStart w:id="62" w:name="b60"/>
      <w:r>
        <w:t>§ 58 Sollinhalt der Vereinssatzung</w:t>
      </w:r>
      <w:r>
        <w:t xml:space="preserve"> </w:t>
      </w:r>
      <w:r>
        <w:rPr>
          <w:rStyle w:val="Suchmarke"/>
        </w:rPr>
        <w:t>#58#</w:t>
      </w:r>
      <w:bookmarkEnd w:id="62"/>
    </w:p>
    <w:p>
      <w:r>
        <w:t>Die Satzung soll Bestimmungen enthalten:</w:t>
      </w:r>
    </w:p>
    <w:p>
      <w:pPr>
        <w:tabs>
          <w:tab w:pos="567" w:val="left"/>
        </w:tabs>
        <w:ind w:left="567" w:hanging="567"/>
      </w:pPr>
      <w:r>
        <w:t>1.</w:t>
      </w:r>
      <w:r>
        <w:tab/>
      </w:r>
      <w:r>
        <w:t>über den Eintritt und Austritt der Mitglieder,</w:t>
      </w:r>
    </w:p>
    <w:p>
      <w:pPr>
        <w:tabs>
          <w:tab w:pos="567" w:val="left"/>
        </w:tabs>
        <w:ind w:left="567" w:hanging="567"/>
      </w:pPr>
      <w:r>
        <w:t>2.</w:t>
      </w:r>
      <w:r>
        <w:tab/>
      </w:r>
      <w:r>
        <w:t>darüber, ob und welche Beiträge von den Mitgliedern zu leisten sind,</w:t>
      </w:r>
    </w:p>
    <w:p>
      <w:pPr>
        <w:tabs>
          <w:tab w:pos="567" w:val="left"/>
        </w:tabs>
        <w:ind w:left="567" w:hanging="567"/>
      </w:pPr>
      <w:r>
        <w:t>3.</w:t>
      </w:r>
      <w:r>
        <w:tab/>
      </w:r>
      <w:r>
        <w:t>über die Bildung des Vorstands,</w:t>
      </w:r>
    </w:p>
    <w:p>
      <w:pPr>
        <w:tabs>
          <w:tab w:pos="567" w:val="left"/>
        </w:tabs>
        <w:ind w:left="567" w:hanging="567"/>
      </w:pPr>
      <w:r>
        <w:t>4.</w:t>
      </w:r>
      <w:r>
        <w:tab/>
      </w:r>
      <w:r>
        <w:t>über die Voraussetzungen, unter denen die Mitgliederversammlung zu berufen ist, über die Form der Berufung und über die Beurkundung der Beschlüsse.</w:t>
      </w:r>
    </w:p>
    <w:p>
      <w:pPr>
        <w:pStyle w:val="Heading6"/>
      </w:pPr>
      <w:bookmarkStart w:id="63" w:name="b61"/>
      <w:r>
        <w:t>§ 59 Anmeldung zur Eintragung</w:t>
      </w:r>
      <w:r>
        <w:t xml:space="preserve"> </w:t>
      </w:r>
      <w:r>
        <w:rPr>
          <w:rStyle w:val="Suchmarke"/>
        </w:rPr>
        <w:t>#59#</w:t>
      </w:r>
      <w:bookmarkEnd w:id="63"/>
    </w:p>
    <w:p>
      <w:r>
        <w:t>(1) Der Vorstand hat den Verein zur Eintragung anzumelden.</w:t>
      </w:r>
    </w:p>
    <w:p>
      <w:r>
        <w:t>(2) Der Anmeldung sind Abschriften der Satzung und der Urkunden über die Bestellung des Vorstands beizufügen.</w:t>
      </w:r>
    </w:p>
    <w:p>
      <w:r>
        <w:t>(3) Die Satzung soll von mindestens sieben Mitgliedern unterzeichnet sein und die Angabe des Tages der Errichtung enthalten.</w:t>
      </w:r>
    </w:p>
    <w:p>
      <w:pPr>
        <w:pStyle w:val="Heading6"/>
      </w:pPr>
      <w:bookmarkStart w:id="64" w:name="b62"/>
      <w:r>
        <w:t>§ 60 Zurückweisung der Anmeldung</w:t>
      </w:r>
      <w:r>
        <w:t xml:space="preserve"> </w:t>
      </w:r>
      <w:r>
        <w:rPr>
          <w:rStyle w:val="Suchmarke"/>
        </w:rPr>
        <w:t>#60#</w:t>
      </w:r>
      <w:bookmarkEnd w:id="64"/>
    </w:p>
    <w:p>
      <w:r>
        <w:t xml:space="preserve">Die Anmeldung ist, wenn den Erfordernissen der </w:t>
      </w:r>
      <w:hyperlink w:anchor="b58" w:history="1">
        <w:r>
          <w:rPr>
            <w:color w:val="0A3A8C"/>
            <w:u w:val="single"/>
          </w:rPr>
          <w:t xml:space="preserve">§§ 56</w:t>
        </w:r>
      </w:hyperlink>
      <w:r>
        <w:t xml:space="preserve"> bis </w:t>
      </w:r>
      <w:hyperlink w:anchor="b61" w:history="1">
        <w:r>
          <w:rPr>
            <w:color w:val="0A3A8C"/>
            <w:u w:val="single"/>
          </w:rPr>
          <w:t xml:space="preserve">59</w:t>
        </w:r>
      </w:hyperlink>
      <w:r>
        <w:t xml:space="preserve"> nicht genügt ist, von dem Amtsgericht unter Angabe der Gründe zurückzuweisen.</w:t>
      </w:r>
    </w:p>
    <w:p>
      <w:pPr>
        <w:pStyle w:val="Heading6"/>
      </w:pPr>
      <w:bookmarkStart w:id="65" w:name="b63"/>
      <w:r>
        <w:t>§§ 61 bis 63 (weggefallen)</w:t>
      </w:r>
      <w:bookmarkEnd w:id="65"/>
    </w:p>
    <w:p>
      <w:pPr>
        <w:pStyle w:val="Heading6"/>
      </w:pPr>
      <w:bookmarkStart w:id="66" w:name="b64"/>
      <w:r>
        <w:t>§ 64 Inhalt der Vereinsregistereintragung</w:t>
      </w:r>
      <w:r>
        <w:t xml:space="preserve"> </w:t>
      </w:r>
      <w:r>
        <w:rPr>
          <w:rStyle w:val="Suchmarke"/>
        </w:rPr>
        <w:t>#64#</w:t>
      </w:r>
      <w:bookmarkEnd w:id="66"/>
    </w:p>
    <w:p>
      <w:r>
        <w:t>Bei der Eintragung sind der Name und der Sitz des Vereins, der Tag der Errichtung der Satzung, die Mitglieder des Vorstands und ihre Vertretungsmacht anzugeben.</w:t>
      </w:r>
    </w:p>
    <w:p>
      <w:pPr>
        <w:pStyle w:val="Heading6"/>
      </w:pPr>
      <w:bookmarkStart w:id="67" w:name="b65"/>
      <w:r>
        <w:t>§ 65 Namenszusatz</w:t>
      </w:r>
      <w:r>
        <w:t xml:space="preserve"> </w:t>
      </w:r>
      <w:r>
        <w:rPr>
          <w:rStyle w:val="Suchmarke"/>
        </w:rPr>
        <w:t>#65#</w:t>
      </w:r>
      <w:bookmarkEnd w:id="67"/>
    </w:p>
    <w:p>
      <w:r>
        <w:t>Mit der Eintragung erhält der Name des Vereins den Zusatz "eingetragener Verein".</w:t>
      </w:r>
    </w:p>
    <w:p>
      <w:pPr>
        <w:pStyle w:val="Heading6"/>
      </w:pPr>
      <w:bookmarkStart w:id="68" w:name="b66"/>
      <w:r>
        <w:t>§ 66 Aufbewahrung von Dokumenten</w:t>
      </w:r>
      <w:r>
        <w:t xml:space="preserve"> </w:t>
      </w:r>
      <w:r>
        <w:rPr>
          <w:rStyle w:val="Suchmarke"/>
        </w:rPr>
        <w:t>#66#</w:t>
      </w:r>
      <w:bookmarkEnd w:id="68"/>
    </w:p>
    <w:p>
      <w:r>
        <w:t>Die mit einer Anmeldung eingereichten Dokumente werden vom Amtsgericht aufbewahrt.</w:t>
      </w:r>
    </w:p>
    <w:p>
      <w:pPr>
        <w:pStyle w:val="Heading6"/>
      </w:pPr>
      <w:bookmarkStart w:id="69" w:name="b67"/>
      <w:r>
        <w:t>§ 67 Änderung des Vorstands</w:t>
      </w:r>
      <w:r>
        <w:t xml:space="preserve"> </w:t>
      </w:r>
      <w:r>
        <w:rPr>
          <w:rStyle w:val="Suchmarke"/>
        </w:rPr>
        <w:t>#67#</w:t>
      </w:r>
      <w:bookmarkEnd w:id="69"/>
    </w:p>
    <w:p>
      <w:r>
        <w:t xml:space="preserve">(1) </w:t>
      </w:r>
      <w:r>
        <w:rPr>
          <w:rStyle w:val="Satznummer"/>
        </w:rPr>
        <w:t>1</w:t>
      </w:r>
      <w:r>
        <w:t xml:space="preserve">Jede Änderung des Vorstands ist von dem Vorstand zur Eintragung anzumelden. </w:t>
      </w:r>
      <w:r>
        <w:rPr>
          <w:rStyle w:val="Satznummer"/>
        </w:rPr>
        <w:t>2</w:t>
      </w:r>
      <w:r>
        <w:t>Der Anmeldung ist eine Abschrift der Urkunde über die Änderung beizufügen.</w:t>
      </w:r>
    </w:p>
    <w:p>
      <w:r>
        <w:t>(2) Die Eintragung gerichtlich bestellter Vorstandsmitglieder erfolgt von Amts wegen.</w:t>
      </w:r>
    </w:p>
    <w:p>
      <w:pPr>
        <w:pStyle w:val="Heading6"/>
      </w:pPr>
      <w:bookmarkStart w:id="70" w:name="b68"/>
      <w:r>
        <w:t>§ 68 Vertrauensschutz durch Vereinsregister</w:t>
      </w:r>
      <w:r>
        <w:t xml:space="preserve"> </w:t>
      </w:r>
      <w:r>
        <w:rPr>
          <w:rStyle w:val="Suchmarke"/>
        </w:rPr>
        <w:t>#68#</w:t>
      </w:r>
      <w:bookmarkEnd w:id="70"/>
    </w:p>
    <w:p>
      <w:r>
        <w:rPr>
          <w:rStyle w:val="Satznummer"/>
        </w:rPr>
        <w:t>1</w:t>
      </w:r>
      <w:r>
        <w:t xml:space="preserve">Wird zwischen den bisherigen Mitgliedern des Vorstands und einem Dritten ein Rechtsgeschäft vorgenommen, so kann die Änderung des Vorstands dem Dritten nur entgegengesetzt werden, wenn sie zur Zeit der Vornahme des Rechtsgeschäfts im Vereinsregister eingetragen oder dem Dritten bekannt ist. </w:t>
      </w:r>
      <w:r>
        <w:rPr>
          <w:rStyle w:val="Satznummer"/>
        </w:rPr>
        <w:t>2</w:t>
      </w:r>
      <w:r>
        <w:t>Ist die Änderung eingetragen, so braucht der Dritte sie nicht gegen sich gelten zu lassen, wenn er sie nicht kennt, seine Unkenntnis auch nicht auf Fahrlässigkeit beruht.</w:t>
      </w:r>
    </w:p>
    <w:p>
      <w:pPr>
        <w:pStyle w:val="Heading6"/>
      </w:pPr>
      <w:bookmarkStart w:id="71" w:name="b69"/>
      <w:r>
        <w:t>§ 69 Nachweis des Vereinsvorstands</w:t>
      </w:r>
      <w:r>
        <w:t xml:space="preserve"> </w:t>
      </w:r>
      <w:r>
        <w:rPr>
          <w:rStyle w:val="Suchmarke"/>
        </w:rPr>
        <w:t>#69#</w:t>
      </w:r>
      <w:bookmarkEnd w:id="71"/>
    </w:p>
    <w:p>
      <w:r>
        <w:t>Der Nachweis, dass der Vorstand aus den im Register eingetragenen Personen besteht, wird Behörden gegenüber durch ein Zeugnis des Amtsgerichts über die Eintragung geführt.</w:t>
      </w:r>
    </w:p>
    <w:p>
      <w:pPr>
        <w:pStyle w:val="Heading6"/>
      </w:pPr>
      <w:bookmarkStart w:id="72" w:name="b70"/>
      <w:r>
        <w:t>§ 70 Vertrauensschutz bei Eintragungen zur Vertretungsmacht</w:t>
      </w:r>
      <w:r>
        <w:t xml:space="preserve"> </w:t>
      </w:r>
      <w:r>
        <w:rPr>
          <w:rStyle w:val="Suchmarke"/>
        </w:rPr>
        <w:t>#70#</w:t>
      </w:r>
      <w:bookmarkEnd w:id="72"/>
    </w:p>
    <w:p>
      <w:r>
        <w:t xml:space="preserve">Die Vorschriften des </w:t>
      </w:r>
      <w:hyperlink w:anchor="b68" w:history="1">
        <w:r>
          <w:rPr>
            <w:color w:val="0A3A8C"/>
            <w:u w:val="single"/>
          </w:rPr>
          <w:t xml:space="preserve">§ 68</w:t>
        </w:r>
      </w:hyperlink>
      <w:r>
        <w:t xml:space="preserve"> gelten auch für Bestimmungen, die den Umfang der Vertretungsmacht des Vorstands beschränken oder die Vertretungsmacht des Vorstands abweichend von der Vorschrift des </w:t>
      </w:r>
      <w:hyperlink w:anchor="b23" w:history="1">
        <w:r>
          <w:rPr>
            <w:color w:val="0A3A8C"/>
            <w:u w:val="single"/>
          </w:rPr>
          <w:t xml:space="preserve">§ 26</w:t>
        </w:r>
      </w:hyperlink>
      <w:r>
        <w:t xml:space="preserve"> Absatz 2 Satz 1 regeln.</w:t>
      </w:r>
    </w:p>
    <w:p>
      <w:pPr>
        <w:pStyle w:val="Heading6"/>
      </w:pPr>
      <w:bookmarkStart w:id="73" w:name="b71"/>
      <w:r>
        <w:t>§ 71 Änderungen der Satzung</w:t>
      </w:r>
      <w:r>
        <w:t xml:space="preserve"> </w:t>
      </w:r>
      <w:r>
        <w:rPr>
          <w:rStyle w:val="Suchmarke"/>
        </w:rPr>
        <w:t>#71#</w:t>
      </w:r>
      <w:bookmarkEnd w:id="73"/>
    </w:p>
    <w:p>
      <w:r>
        <w:t xml:space="preserve">(1) </w:t>
      </w:r>
      <w:r>
        <w:rPr>
          <w:rStyle w:val="Satznummer"/>
        </w:rPr>
        <w:t>1</w:t>
      </w:r>
      <w:r>
        <w:t xml:space="preserve">Änderungen der Satzung bedürfen zu ihrer Wirksamkeit der Eintragung in das Vereinsregister. </w:t>
      </w:r>
      <w:r>
        <w:rPr>
          <w:rStyle w:val="Satznummer"/>
        </w:rPr>
        <w:t>2</w:t>
      </w:r>
      <w:r>
        <w:t xml:space="preserve">Die Änderung ist von dem Vorstand zur Eintragung anzumelden. </w:t>
      </w:r>
      <w:r>
        <w:rPr>
          <w:rStyle w:val="Satznummer"/>
        </w:rPr>
        <w:t>3</w:t>
      </w:r>
      <w:r>
        <w:t xml:space="preserve">Der Anmeldung sind eine Abschrift des die Änderung enthaltenden Beschlusses und der Wortlaut der Satzung beizufügen. </w:t>
      </w:r>
      <w:r>
        <w:rPr>
          <w:rStyle w:val="Satznummer"/>
        </w:rPr>
        <w:t>4</w:t>
      </w:r>
      <w:r>
        <w:t>In dem Wortlaut der Satzung müssen die geänderten Bestimmungen mit dem Beschluss über die Satzungsänderung, die unveränderten Bestimmungen mit dem zuletzt eingereichten vollständigen Wortlaut der Satzung und, wenn die Satzung geändert worden ist, ohne dass ein vollständiger Wortlaut der Satzung eingereicht wurde, auch mit den zuvor eingetragenen Änderungen übereinstimmen.</w:t>
      </w:r>
    </w:p>
    <w:p>
      <w:r>
        <w:t xml:space="preserve">(2) Die Vorschriften der </w:t>
      </w:r>
      <w:hyperlink w:anchor="b62" w:history="1">
        <w:r>
          <w:rPr>
            <w:color w:val="0A3A8C"/>
            <w:u w:val="single"/>
          </w:rPr>
          <w:t xml:space="preserve">§§ 60</w:t>
        </w:r>
      </w:hyperlink>
      <w:r>
        <w:t xml:space="preserve">, </w:t>
      </w:r>
      <w:hyperlink w:anchor="b64" w:history="1">
        <w:r>
          <w:rPr>
            <w:color w:val="0A3A8C"/>
            <w:u w:val="single"/>
          </w:rPr>
          <w:t xml:space="preserve">64</w:t>
        </w:r>
      </w:hyperlink>
      <w:r>
        <w:t xml:space="preserve"> und </w:t>
      </w:r>
      <w:hyperlink w:anchor="b66" w:history="1">
        <w:r>
          <w:rPr>
            <w:color w:val="0A3A8C"/>
            <w:u w:val="single"/>
          </w:rPr>
          <w:t xml:space="preserve">66</w:t>
        </w:r>
      </w:hyperlink>
      <w:r>
        <w:t xml:space="preserve"> finden entsprechende Anwendung.</w:t>
      </w:r>
    </w:p>
    <w:p>
      <w:pPr>
        <w:pStyle w:val="Heading6"/>
      </w:pPr>
      <w:bookmarkStart w:id="74" w:name="b72"/>
      <w:r>
        <w:t>§ 72 Bescheinigung der Mitgliederzahl</w:t>
      </w:r>
      <w:r>
        <w:t xml:space="preserve"> </w:t>
      </w:r>
      <w:r>
        <w:rPr>
          <w:rStyle w:val="Suchmarke"/>
        </w:rPr>
        <w:t>#72#</w:t>
      </w:r>
      <w:bookmarkEnd w:id="74"/>
    </w:p>
    <w:p>
      <w:r>
        <w:t>Der Vorstand hat dem Amtsgericht auf dessen Verlangen jederzeit eine schriftliche Bescheinigung über die Zahl der Vereinsmitglieder einzureichen.</w:t>
      </w:r>
    </w:p>
    <w:p>
      <w:pPr>
        <w:pStyle w:val="Heading6"/>
      </w:pPr>
      <w:bookmarkStart w:id="75" w:name="b73"/>
      <w:r>
        <w:t>§ 73 Unterschreiten der Mindestmitgliederzahl</w:t>
      </w:r>
      <w:r>
        <w:t xml:space="preserve"> </w:t>
      </w:r>
      <w:r>
        <w:rPr>
          <w:rStyle w:val="Suchmarke"/>
        </w:rPr>
        <w:t>#73#</w:t>
      </w:r>
      <w:bookmarkEnd w:id="75"/>
    </w:p>
    <w:p>
      <w:r>
        <w:t>Sinkt die Zahl der Vereinsmitglieder unter drei herab, so hat das Amtsgericht auf Antrag des Vorstands und, wenn der Antrag nicht binnen drei Monaten gestellt wird, von Amts wegen nach Anhörung des Vorstands dem Verein die Rechtsfähigkeit zu entziehen.</w:t>
      </w:r>
    </w:p>
    <w:p>
      <w:pPr>
        <w:pStyle w:val="Heading6"/>
      </w:pPr>
      <w:bookmarkStart w:id="76" w:name="b74"/>
      <w:r>
        <w:t>§ 74 Auflösung</w:t>
      </w:r>
      <w:r>
        <w:t xml:space="preserve"> </w:t>
      </w:r>
      <w:r>
        <w:rPr>
          <w:rStyle w:val="Suchmarke"/>
        </w:rPr>
        <w:t>#74#</w:t>
      </w:r>
      <w:bookmarkEnd w:id="76"/>
    </w:p>
    <w:p>
      <w:r>
        <w:t>(1) Die Auflösung des Vereins sowie die Entziehung der Rechtsfähigkeit ist in das Vereinsregister einzutragen.</w:t>
      </w:r>
    </w:p>
    <w:p>
      <w:r>
        <w:t xml:space="preserve">(2) </w:t>
      </w:r>
      <w:r>
        <w:rPr>
          <w:rStyle w:val="Satznummer"/>
        </w:rPr>
        <w:t>1</w:t>
      </w:r>
      <w:r>
        <w:t xml:space="preserve">Wird der Verein durch Beschluss der Mitgliederversammlung oder durch den Ablauf der für die Dauer des Vereins bestimmten Zeit aufgelöst, so hat der Vorstand die Auflösung zur Eintragung anzumelden. </w:t>
      </w:r>
      <w:r>
        <w:rPr>
          <w:rStyle w:val="Satznummer"/>
        </w:rPr>
        <w:t>2</w:t>
      </w:r>
      <w:r>
        <w:t>Der Anmeldung ist im ersteren Falle eine Abschrift des Auflösungsbeschlusses beizufügen.</w:t>
      </w:r>
    </w:p>
    <w:p>
      <w:r>
        <w:t>(3) (weggefallen)</w:t>
      </w:r>
    </w:p>
    <w:p>
      <w:pPr>
        <w:pStyle w:val="Heading6"/>
      </w:pPr>
      <w:bookmarkStart w:id="77" w:name="b75"/>
      <w:r>
        <w:t>§ 75 Eintragungen bei Insolvenz</w:t>
      </w:r>
      <w:r>
        <w:t xml:space="preserve"> </w:t>
      </w:r>
      <w:r>
        <w:rPr>
          <w:rStyle w:val="Suchmarke"/>
        </w:rPr>
        <w:t>#75#</w:t>
      </w:r>
      <w:bookmarkEnd w:id="77"/>
    </w:p>
    <w:p>
      <w:r>
        <w:t xml:space="preserve">(1) </w:t>
      </w:r>
      <w:r>
        <w:rPr>
          <w:rStyle w:val="Satznummer"/>
        </w:rPr>
        <w:t>1</w:t>
      </w:r>
      <w:r>
        <w:t xml:space="preserve">Die Eröffnung des Insolvenzverfahrens und der Beschluss, durch den die Eröffnung des Insolvenzverfahrens mangels Masse rechtskräftig abgewiesen worden ist, sowie die Auflösung des Vereins nach </w:t>
      </w:r>
      <w:hyperlink w:anchor="b41" w:history="1">
        <w:r>
          <w:rPr>
            <w:color w:val="0A3A8C"/>
            <w:u w:val="single"/>
          </w:rPr>
          <w:t xml:space="preserve">§ 42</w:t>
        </w:r>
      </w:hyperlink>
      <w:r>
        <w:t xml:space="preserve"> Absatz 2 Satz 1 sind von Amts wegen einzutragen. </w:t>
      </w:r>
      <w:r>
        <w:rPr>
          <w:rStyle w:val="Satznummer"/>
        </w:rPr>
        <w:t>2</w:t>
      </w:r>
      <w:r>
        <w:t>Von Amts wegen sind auch einzutragen</w:t>
      </w:r>
    </w:p>
    <w:p>
      <w:pPr>
        <w:tabs>
          <w:tab w:pos="567" w:val="left"/>
        </w:tabs>
        <w:ind w:left="567" w:hanging="567"/>
      </w:pPr>
      <w:r>
        <w:t>1.</w:t>
      </w:r>
      <w:r>
        <w:tab/>
      </w:r>
      <w:r>
        <w:t>die Aufhebung des Eröffnungsbeschlusses,</w:t>
      </w:r>
    </w:p>
    <w:p>
      <w:pPr>
        <w:tabs>
          <w:tab w:pos="567" w:val="left"/>
        </w:tabs>
        <w:ind w:left="567" w:hanging="567"/>
      </w:pPr>
      <w:r>
        <w:t>2.</w:t>
      </w:r>
      <w:r>
        <w:tab/>
      </w:r>
      <w:r>
        <w:t>die Bestellung eines vorläufigen Insolvenzverwalters, wenn zusätzlich dem Schuldner ein allgemeines Verfügungsverbot auferlegt oder angeordnet wird, dass Verfügungen des Schuldners nur mit Zustimmung des vorläufigen Insolvenzverwalters wirksam sind, und die Aufhebung einer derartigen Sicherungsmaßnahme,</w:t>
      </w:r>
    </w:p>
    <w:p>
      <w:pPr>
        <w:tabs>
          <w:tab w:pos="567" w:val="left"/>
        </w:tabs>
        <w:ind w:left="567" w:hanging="567"/>
      </w:pPr>
      <w:r>
        <w:t>3.</w:t>
      </w:r>
      <w:r>
        <w:tab/>
      </w:r>
      <w:r>
        <w:t>die Anordnung der Eigenverwaltung durch den Schuldner und deren Aufhebung sowie die Anordnung der Zustimmungsbedürftigkeit bestimmter Rechtsgeschäfte des Schuldners,</w:t>
      </w:r>
    </w:p>
    <w:p>
      <w:pPr>
        <w:tabs>
          <w:tab w:pos="567" w:val="left"/>
        </w:tabs>
        <w:ind w:left="567" w:hanging="567"/>
      </w:pPr>
      <w:r>
        <w:t>4.</w:t>
      </w:r>
      <w:r>
        <w:tab/>
      </w:r>
      <w:r>
        <w:t>die Einstellung und die Aufhebung des Verfahrens und</w:t>
      </w:r>
    </w:p>
    <w:p>
      <w:pPr>
        <w:tabs>
          <w:tab w:pos="567" w:val="left"/>
        </w:tabs>
        <w:ind w:left="567" w:hanging="567"/>
      </w:pPr>
      <w:r>
        <w:t>5.</w:t>
      </w:r>
      <w:r>
        <w:tab/>
      </w:r>
      <w:r>
        <w:t>die Überwachung der Erfüllung eines Insolvenzplans und die Aufhebung der Überwachung.</w:t>
      </w:r>
    </w:p>
    <w:p>
      <w:r>
        <w:t xml:space="preserve">(2) </w:t>
      </w:r>
      <w:r>
        <w:rPr>
          <w:rStyle w:val="Satznummer"/>
        </w:rPr>
        <w:t>1</w:t>
      </w:r>
      <w:r>
        <w:t xml:space="preserve">Wird der Verein durch Beschluss der Mitgliederversammlung nach </w:t>
      </w:r>
      <w:hyperlink w:anchor="b41" w:history="1">
        <w:r>
          <w:rPr>
            <w:color w:val="0A3A8C"/>
            <w:u w:val="single"/>
          </w:rPr>
          <w:t xml:space="preserve">§ 42</w:t>
        </w:r>
      </w:hyperlink>
      <w:r>
        <w:t xml:space="preserve"> Absatz 1 Satz 2 fortgesetzt, so hat der Vorstand die Fortsetzung zur Eintragung anzumelden. </w:t>
      </w:r>
      <w:r>
        <w:rPr>
          <w:rStyle w:val="Satznummer"/>
        </w:rPr>
        <w:t>2</w:t>
      </w:r>
      <w:r>
        <w:t>Der Anmeldung ist eine Abschrift des Beschlusses beizufügen.</w:t>
      </w:r>
    </w:p>
    <w:p>
      <w:pPr>
        <w:pStyle w:val="Heading6"/>
      </w:pPr>
      <w:bookmarkStart w:id="78" w:name="b76"/>
      <w:r>
        <w:t>§ 76 Eintragungen bei Liquidation</w:t>
      </w:r>
      <w:r>
        <w:t xml:space="preserve"> </w:t>
      </w:r>
      <w:r>
        <w:rPr>
          <w:rStyle w:val="Suchmarke"/>
        </w:rPr>
        <w:t>#76#</w:t>
      </w:r>
      <w:bookmarkEnd w:id="78"/>
    </w:p>
    <w:p>
      <w:r>
        <w:t xml:space="preserve">(1) </w:t>
      </w:r>
      <w:r>
        <w:rPr>
          <w:rStyle w:val="Satznummer"/>
        </w:rPr>
        <w:t>1</w:t>
      </w:r>
      <w:r>
        <w:t xml:space="preserve">Bei der Liquidation des Vereins sind die Liquidatoren und ihre Vertretungsmacht in das Vereinsregister einzutragen. </w:t>
      </w:r>
      <w:r>
        <w:rPr>
          <w:rStyle w:val="Satznummer"/>
        </w:rPr>
        <w:t>2</w:t>
      </w:r>
      <w:r>
        <w:t>Das Gleiche gilt für die Beendigung des Vereins nach der Liquidation.</w:t>
      </w:r>
    </w:p>
    <w:p>
      <w:r>
        <w:t xml:space="preserve">(2) </w:t>
      </w:r>
      <w:r>
        <w:rPr>
          <w:rStyle w:val="Satznummer"/>
        </w:rPr>
        <w:t>1</w:t>
      </w:r>
      <w:r>
        <w:t xml:space="preserve">Die Anmeldung der Liquidatoren hat durch den Vorstand zu erfolgen. </w:t>
      </w:r>
      <w:r>
        <w:rPr>
          <w:rStyle w:val="Satznummer"/>
        </w:rPr>
        <w:t>2</w:t>
      </w:r>
      <w:r>
        <w:t xml:space="preserve">Bei der Anmeldung ist der Umfang der Vertretungsmacht der Liquidatoren anzugeben. </w:t>
      </w:r>
      <w:r>
        <w:rPr>
          <w:rStyle w:val="Satznummer"/>
        </w:rPr>
        <w:t>3</w:t>
      </w:r>
      <w:r>
        <w:t xml:space="preserve">Änderungen der Liquidatoren oder ihrer Vertretungsmacht sowie die Beendigung des Vereins sind von den Liquidatoren anzumelden. </w:t>
      </w:r>
      <w:r>
        <w:rPr>
          <w:rStyle w:val="Satznummer"/>
        </w:rPr>
        <w:t>4</w:t>
      </w:r>
      <w:r>
        <w:t xml:space="preserve">Der Anmeldung der durch Beschluss der Mitgliederversammlung bestellten Liquidatoren ist eine Abschrift des Bestellungsbeschlusses, der Anmeldung der Vertretungsmacht, die abweichend von </w:t>
      </w:r>
      <w:hyperlink w:anchor="b47" w:history="1">
        <w:r>
          <w:rPr>
            <w:color w:val="0A3A8C"/>
            <w:u w:val="single"/>
          </w:rPr>
          <w:t xml:space="preserve">§ 48</w:t>
        </w:r>
      </w:hyperlink>
      <w:r>
        <w:t xml:space="preserve"> Absatz 3 bestimmt wurde, ist eine Abschrift der diese Bestimmung enthaltenden Urkunde beizufügen.</w:t>
      </w:r>
    </w:p>
    <w:p>
      <w:r>
        <w:t>(3) Die Eintragung gerichtlich bestellter Liquidatoren geschieht von Amts wegen.</w:t>
      </w:r>
    </w:p>
    <w:p>
      <w:pPr>
        <w:pStyle w:val="Heading6"/>
      </w:pPr>
      <w:bookmarkStart w:id="79" w:name="b77"/>
      <w:r>
        <w:t>§ 77 Anmeldepflichtige und Form der Anmeldungen</w:t>
      </w:r>
      <w:r>
        <w:t xml:space="preserve"> </w:t>
      </w:r>
      <w:r>
        <w:rPr>
          <w:rStyle w:val="Suchmarke"/>
        </w:rPr>
        <w:t>#77#</w:t>
      </w:r>
      <w:bookmarkEnd w:id="79"/>
    </w:p>
    <w:p>
      <w:r>
        <w:t xml:space="preserve">(1) </w:t>
      </w:r>
      <w:r>
        <w:rPr>
          <w:rStyle w:val="Satznummer"/>
        </w:rPr>
        <w:t>1</w:t>
      </w:r>
      <w:r>
        <w:t xml:space="preserve">Die Anmeldungen zum Vereinsregister sind von Mitgliedern des Vorstands sowie von den Liquidatoren, die insoweit zur Vertretung des Vereins berechtigt sind, mittels öffentlich beglaubigter Erklärung abzugeben. </w:t>
      </w:r>
      <w:r>
        <w:rPr>
          <w:rStyle w:val="Satznummer"/>
        </w:rPr>
        <w:t>2</w:t>
      </w:r>
      <w:r>
        <w:t>Die Erklärung kann in Urschrift oder in öffentlich beglaubigter Abschrift beim Gericht eingereicht werden.</w:t>
      </w:r>
    </w:p>
    <w:p>
      <w:r>
        <w:t>(2) Die öffentliche Beglaubigung mittels Videokommunikation gemäß § 40a des Beurkundungsgesetzes ist zulässig.</w:t>
      </w:r>
    </w:p>
    <w:p>
      <w:pPr>
        <w:pStyle w:val="Heading6"/>
      </w:pPr>
      <w:bookmarkStart w:id="80" w:name="b78"/>
      <w:r>
        <w:t>§ 78 Festsetzung von Zwangsgeld</w:t>
      </w:r>
      <w:r>
        <w:t xml:space="preserve"> </w:t>
      </w:r>
      <w:r>
        <w:rPr>
          <w:rStyle w:val="Suchmarke"/>
        </w:rPr>
        <w:t>#78#</w:t>
      </w:r>
      <w:bookmarkEnd w:id="80"/>
    </w:p>
    <w:p>
      <w:r>
        <w:t xml:space="preserve">(1) Das Amtsgericht kann die Mitglieder des Vorstands zur Befolgung der Vorschriften des </w:t>
      </w:r>
      <w:hyperlink w:anchor="b67" w:history="1">
        <w:r>
          <w:rPr>
            <w:color w:val="0A3A8C"/>
            <w:u w:val="single"/>
          </w:rPr>
          <w:t xml:space="preserve">§ 67</w:t>
        </w:r>
      </w:hyperlink>
      <w:r>
        <w:t xml:space="preserve"> Abs. 1, des </w:t>
      </w:r>
      <w:hyperlink w:anchor="b71" w:history="1">
        <w:r>
          <w:rPr>
            <w:color w:val="0A3A8C"/>
            <w:u w:val="single"/>
          </w:rPr>
          <w:t xml:space="preserve">§ 71</w:t>
        </w:r>
      </w:hyperlink>
      <w:r>
        <w:t xml:space="preserve"> Abs. 1, des </w:t>
      </w:r>
      <w:hyperlink w:anchor="b72" w:history="1">
        <w:r>
          <w:rPr>
            <w:color w:val="0A3A8C"/>
            <w:u w:val="single"/>
          </w:rPr>
          <w:t xml:space="preserve">§ 72</w:t>
        </w:r>
      </w:hyperlink>
      <w:r>
        <w:t xml:space="preserve">, des </w:t>
      </w:r>
      <w:hyperlink w:anchor="b74" w:history="1">
        <w:r>
          <w:rPr>
            <w:color w:val="0A3A8C"/>
            <w:u w:val="single"/>
          </w:rPr>
          <w:t xml:space="preserve">§ 74</w:t>
        </w:r>
      </w:hyperlink>
      <w:r>
        <w:t xml:space="preserve"> Abs. 2, des </w:t>
      </w:r>
      <w:hyperlink w:anchor="b75" w:history="1">
        <w:r>
          <w:rPr>
            <w:color w:val="0A3A8C"/>
            <w:u w:val="single"/>
          </w:rPr>
          <w:t xml:space="preserve">§ 75</w:t>
        </w:r>
      </w:hyperlink>
      <w:r>
        <w:t xml:space="preserve"> Absatz 2 und des </w:t>
      </w:r>
      <w:hyperlink w:anchor="b76" w:history="1">
        <w:r>
          <w:rPr>
            <w:color w:val="0A3A8C"/>
            <w:u w:val="single"/>
          </w:rPr>
          <w:t xml:space="preserve">§ 76</w:t>
        </w:r>
      </w:hyperlink>
      <w:r>
        <w:t xml:space="preserve"> durch Festsetzung von Zwangsgeld anhalten.</w:t>
      </w:r>
    </w:p>
    <w:p>
      <w:r>
        <w:t xml:space="preserve">(2) In gleicher Weise können die Liquidatoren zur Befolgung der Vorschriften des </w:t>
      </w:r>
      <w:hyperlink w:anchor="b76" w:history="1">
        <w:r>
          <w:rPr>
            <w:color w:val="0A3A8C"/>
            <w:u w:val="single"/>
          </w:rPr>
          <w:t xml:space="preserve">§ 76</w:t>
        </w:r>
      </w:hyperlink>
      <w:r>
        <w:t xml:space="preserve"> angehalten werden.</w:t>
      </w:r>
    </w:p>
    <w:p>
      <w:pPr>
        <w:pStyle w:val="Heading6"/>
      </w:pPr>
      <w:bookmarkStart w:id="81" w:name="b79"/>
      <w:r>
        <w:t>§ 79 Einsicht in das Vereinsregister</w:t>
      </w:r>
      <w:r>
        <w:t xml:space="preserve"> </w:t>
      </w:r>
      <w:r>
        <w:rPr>
          <w:rStyle w:val="Suchmarke"/>
        </w:rPr>
        <w:t>#79#</w:t>
      </w:r>
      <w:bookmarkEnd w:id="81"/>
    </w:p>
    <w:p>
      <w:r>
        <w:t xml:space="preserve">(1) </w:t>
      </w:r>
      <w:r>
        <w:rPr>
          <w:rStyle w:val="Satznummer"/>
        </w:rPr>
        <w:t>1</w:t>
      </w:r>
      <w:r>
        <w:t xml:space="preserve">Die Einsicht des Vereinsregisters sowie der von dem Verein bei dem Amtsgericht eingereichten Dokumente ist jedem gestattet. </w:t>
      </w:r>
      <w:r>
        <w:rPr>
          <w:rStyle w:val="Satznummer"/>
        </w:rPr>
        <w:t>2</w:t>
      </w:r>
      <w:r>
        <w:t xml:space="preserve">Von den Eintragungen kann eine Abschrift verlangt werden; die Abschrift ist auf Verlangen zu beglaubigen. </w:t>
      </w:r>
      <w:r>
        <w:rPr>
          <w:rStyle w:val="Satznummer"/>
        </w:rPr>
        <w:t>3</w:t>
      </w:r>
      <w:r>
        <w:t>Wird das Vereinsregister maschinell geführt, tritt an die Stelle der Abschrift ein Ausdruck, an die der beglaubigten Abschrift ein amtlicher Ausdruck.</w:t>
      </w:r>
    </w:p>
    <w:p>
      <w:r>
        <w:t xml:space="preserve">(2) </w:t>
      </w:r>
      <w:r>
        <w:rPr>
          <w:rStyle w:val="Satznummer"/>
        </w:rPr>
        <w:t>1</w:t>
      </w:r>
      <w:r>
        <w:t>Die Einrichtung eines automatisierten Verfahrens, das die Übermittlung von Daten aus maschinell geführten Vereinsregistern durch Abruf ermöglicht, ist zulässig, wenn sichergestellt ist, dass</w:t>
      </w:r>
    </w:p>
    <w:p>
      <w:pPr>
        <w:tabs>
          <w:tab w:pos="567" w:val="left"/>
        </w:tabs>
        <w:ind w:left="567" w:hanging="567"/>
      </w:pPr>
      <w:r>
        <w:t>1.</w:t>
      </w:r>
      <w:r>
        <w:tab/>
      </w:r>
      <w:r>
        <w:t>der Abruf von Daten die zulässige Einsicht nach Absatz 1 nicht überschreitet und</w:t>
      </w:r>
    </w:p>
    <w:p>
      <w:pPr>
        <w:tabs>
          <w:tab w:pos="567" w:val="left"/>
        </w:tabs>
        <w:ind w:left="567" w:hanging="567"/>
      </w:pPr>
      <w:r>
        <w:t>2.</w:t>
      </w:r>
      <w:r>
        <w:tab/>
      </w:r>
      <w:r>
        <w:t>die Zulässigkeit der Abrufe auf der Grundlage einer Protokollierung kontrolliert werden kann.</w:t>
      </w:r>
    </w:p>
    <w:p>
      <w:r>
        <w:rPr>
          <w:rStyle w:val="Satznummer"/>
        </w:rPr>
        <w:t>2</w:t>
      </w:r>
      <w:r>
        <w:t>Die Länder können für das Verfahren ein länderübergreifendes elektronisches Informations- und Kommunikationssystem bestimmen.</w:t>
      </w:r>
    </w:p>
    <w:p>
      <w:r>
        <w:t xml:space="preserve">(3) </w:t>
      </w:r>
      <w:r>
        <w:rPr>
          <w:rStyle w:val="Satznummer"/>
        </w:rPr>
        <w:t>1</w:t>
      </w:r>
      <w:r>
        <w:t xml:space="preserve">Der Nutzer ist darauf hinzuweisen, dass er die übermittelten Daten nur zu Informationszwecken verwenden darf. </w:t>
      </w:r>
      <w:r>
        <w:rPr>
          <w:rStyle w:val="Satznummer"/>
        </w:rPr>
        <w:t>2</w:t>
      </w:r>
      <w:r>
        <w:t>Die zuständige Stelle hat (z. B. durch Stichproben) zu prüfen, ob sich Anhaltspunkte dafür ergeben, dass die nach Satz 1 zulässige Einsicht überschritten oder übermittelte Daten missbraucht werden.</w:t>
      </w:r>
    </w:p>
    <w:p>
      <w:r>
        <w:t>(4) Die zuständige Stelle kann einen Nutzer, der die Funktionsfähigkeit der Abrufeinrichtung gefährdet, die nach Absatz 3 Satz 1 zulässige Einsicht überschreitet oder übermittelte Daten missbraucht, von der Teilnahme am automatisierten Abrufverfahren ausschließen; dasselbe gilt bei drohender Überschreitung oder drohendem Missbrauch.</w:t>
      </w:r>
    </w:p>
    <w:p>
      <w:r>
        <w:t xml:space="preserve">(5) </w:t>
      </w:r>
      <w:r>
        <w:rPr>
          <w:rStyle w:val="Satznummer"/>
        </w:rPr>
        <w:t>1</w:t>
      </w:r>
      <w:r>
        <w:t xml:space="preserve">Zuständige Stelle ist die Landesjustizverwaltung. </w:t>
      </w:r>
      <w:r>
        <w:rPr>
          <w:rStyle w:val="Satznummer"/>
        </w:rPr>
        <w:t>2</w:t>
      </w:r>
      <w:r>
        <w:t xml:space="preserve">Örtlich zuständig ist die Landesjustizverwaltung, in deren Zuständigkeitsbereich das betreffende Amtsgericht liegt. </w:t>
      </w:r>
      <w:r>
        <w:rPr>
          <w:rStyle w:val="Satznummer"/>
        </w:rPr>
        <w:t>3</w:t>
      </w:r>
      <w:r>
        <w:t xml:space="preserve">Die Zuständigkeit kann durch Rechtsverordnung der Landesregierung abweichend geregelt werden. </w:t>
      </w:r>
      <w:r>
        <w:rPr>
          <w:rStyle w:val="Satznummer"/>
        </w:rPr>
        <w:t>4</w:t>
      </w:r>
      <w:r>
        <w:t xml:space="preserve">Sie kann diese Ermächtigung durch Rechtsverordnung auf die Landesjustizverwaltung übertragen. </w:t>
      </w:r>
      <w:r>
        <w:rPr>
          <w:rStyle w:val="Satznummer"/>
        </w:rPr>
        <w:t>5</w:t>
      </w:r>
      <w:r>
        <w:t>Die Länder können auch die Übertragung der Zuständigkeit auf die zuständige Stelle eines anderen Landes vereinbaren.</w:t>
      </w:r>
    </w:p>
    <w:p>
      <w:pPr>
        <w:pStyle w:val="Heading6"/>
      </w:pPr>
      <w:bookmarkStart w:id="82" w:name="b80"/>
      <w:r>
        <w:t>§ 79a Anwendung der Verordnung (EU) 2016/679 im Registerverfahren</w:t>
      </w:r>
      <w:r>
        <w:t xml:space="preserve"> </w:t>
      </w:r>
      <w:r>
        <w:rPr>
          <w:rStyle w:val="Suchmarke"/>
        </w:rPr>
        <w:t>#79a#</w:t>
      </w:r>
      <w:bookmarkEnd w:id="82"/>
    </w:p>
    <w:p>
      <w:r>
        <w:t xml:space="preserve">(1) </w:t>
      </w:r>
      <w:r>
        <w:rPr>
          <w:rStyle w:val="Satznummer"/>
        </w:rPr>
        <w:t>1</w:t>
      </w:r>
      <w:r>
        <w:t xml:space="preserve">Die Rechte nach Artikel 15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werden nach </w:t>
      </w:r>
      <w:hyperlink w:anchor="b79" w:history="1">
        <w:r>
          <w:rPr>
            <w:color w:val="0A3A8C"/>
            <w:u w:val="single"/>
          </w:rPr>
          <w:t xml:space="preserve">§ 79</w:t>
        </w:r>
      </w:hyperlink>
      <w:r>
        <w:t xml:space="preserve"> und den dazu erlassenen Vorschriften der Vereinsregisterverordnung durch Einsicht in das Register oder den Abruf von Registerdaten über das länderübergreifende Informations- und Kommunikationssystem gewährt. </w:t>
      </w:r>
      <w:r>
        <w:rPr>
          <w:rStyle w:val="Satznummer"/>
        </w:rPr>
        <w:t>2</w:t>
      </w:r>
      <w:r>
        <w:t>Das Registergericht ist nicht verpflichtet, Personen, deren personenbezogene Daten im Vereinsregister oder in den Registerakten gespeichert sind, über die Offenlegung dieser Daten an Dritte Auskunft zu erteilen.</w:t>
      </w:r>
    </w:p>
    <w:p>
      <w:r>
        <w:t>(2) Das Recht auf Berichtigung nach Artikel 16 der Verordnung (EU) 2016/679 kann für personenbezogene Daten, die im Vereinsregister oder in den Registerakten gespeichert sind, nur unter den Voraussetzungen und in dem Verfahren ausgeübt werden, die im Gesetz über das Verfahren in Familiensachen und in den Angelegenheiten der freiwilligen Gerichtsbarkeit sowie der Vereinsregisterverordnung für eine Löschung oder Berichtigung von Eintragungen geregelt sind.</w:t>
      </w:r>
    </w:p>
    <w:p>
      <w:r>
        <w:t>(3) Das Widerspruchsrecht nach Artikel 21 der Verordnung (EU) 2016/679 ist auf personenbezogene Daten, die im Vereinsregister und in den Registerakten gespeichert sind, nicht anzuwenden.</w:t>
      </w:r>
    </w:p>
    <w:p>
      <w:pPr>
        <w:pStyle w:val="Heading4"/>
      </w:pPr>
      <w:bookmarkStart w:id="83" w:name="b81"/>
      <w:r>
        <w:t>Untertitel 2 Rechtsfähige Stiftungen</w:t>
      </w:r>
      <w:bookmarkEnd w:id="83"/>
    </w:p>
    <w:p>
      <w:pPr>
        <w:pStyle w:val="Heading5"/>
      </w:pPr>
      <w:bookmarkStart w:id="84" w:name="b82"/>
      <w:r>
        <w:t>§ 80 Ausgestaltung und Entstehung der Stiftung</w:t>
      </w:r>
      <w:r>
        <w:t xml:space="preserve"> </w:t>
      </w:r>
      <w:r>
        <w:rPr>
          <w:rStyle w:val="Suchmarke"/>
        </w:rPr>
        <w:t>#80#</w:t>
      </w:r>
      <w:bookmarkEnd w:id="84"/>
    </w:p>
    <w:p>
      <w:r>
        <w:t xml:space="preserve">(1) </w:t>
      </w:r>
      <w:r>
        <w:rPr>
          <w:rStyle w:val="Satznummer"/>
        </w:rPr>
        <w:t>1</w:t>
      </w:r>
      <w:r>
        <w:t xml:space="preserve">Die Stiftung ist eine mit einem Vermögen zur dauernden und nachhaltigen Erfüllung eines vom Stifter vorgegebenen Zwecks ausgestattete, mitgliederlose juristische Person. </w:t>
      </w:r>
      <w:r>
        <w:rPr>
          <w:rStyle w:val="Satznummer"/>
        </w:rPr>
        <w:t>2</w:t>
      </w:r>
      <w:r>
        <w:t>Die Stiftung wird in der Regel auf unbestimmte Zeit errichtet, sie kann aber auch auf bestimmte Zeit errichtet werden, innerhalb derer ihr gesamtes Vermögen zur Erfüllung ihres Zwecks zu verbrauchen ist (Verbrauchsstiftung).</w:t>
      </w:r>
    </w:p>
    <w:p>
      <w:r>
        <w:t xml:space="preserve">(2) </w:t>
      </w:r>
      <w:r>
        <w:rPr>
          <w:rStyle w:val="Satznummer"/>
        </w:rPr>
        <w:t>1</w:t>
      </w:r>
      <w:r>
        <w:t xml:space="preserve">Zur Entstehung der Stiftung sind das Stiftungsgeschäft und die Anerkennung der Stiftung durch die zuständige Behörde des Landes erforderlich, in dem die Stiftung ihren Sitz haben soll. </w:t>
      </w:r>
      <w:r>
        <w:rPr>
          <w:rStyle w:val="Satznummer"/>
        </w:rPr>
        <w:t>2</w:t>
      </w:r>
      <w:r>
        <w:t>Wird die Stiftung erst nach dem Tode des Stifters anerkannt, so gilt sie für Zuwendungen des Stifters als schon vor dessen Tod entstanden.</w:t>
      </w:r>
    </w:p>
    <w:p>
      <w:pPr>
        <w:pStyle w:val="Heading5"/>
      </w:pPr>
      <w:bookmarkStart w:id="85" w:name="b83"/>
      <w:r>
        <w:t>§ 81 Stiftungsgeschäft</w:t>
      </w:r>
      <w:r>
        <w:t xml:space="preserve"> </w:t>
      </w:r>
      <w:r>
        <w:rPr>
          <w:rStyle w:val="Suchmarke"/>
        </w:rPr>
        <w:t>#81#</w:t>
      </w:r>
      <w:bookmarkEnd w:id="85"/>
    </w:p>
    <w:p>
      <w:r>
        <w:t>(1) Im Stiftungsgeschäft muss der Stifter</w:t>
      </w:r>
    </w:p>
    <w:p>
      <w:pPr>
        <w:tabs>
          <w:tab w:pos="567" w:val="left"/>
        </w:tabs>
        <w:ind w:left="567" w:hanging="567"/>
      </w:pPr>
      <w:r>
        <w:t>1.</w:t>
      </w:r>
      <w:r>
        <w:tab/>
      </w:r>
      <w:r>
        <w:t>der Stiftung eine Satzung geben, die mindestens Bestimmungen enthalten muss über</w:t>
      </w:r>
    </w:p>
    <w:p>
      <w:pPr>
        <w:tabs>
          <w:tab w:pos="1134" w:val="left"/>
        </w:tabs>
        <w:ind w:left="1134" w:hanging="567"/>
      </w:pPr>
      <w:r>
        <w:t>a)</w:t>
      </w:r>
      <w:r>
        <w:tab/>
      </w:r>
      <w:r>
        <w:t>den Zweck der Stiftung,</w:t>
      </w:r>
    </w:p>
    <w:p>
      <w:pPr>
        <w:tabs>
          <w:tab w:pos="1134" w:val="left"/>
        </w:tabs>
        <w:ind w:left="1134" w:hanging="567"/>
      </w:pPr>
      <w:r>
        <w:t>b)</w:t>
      </w:r>
      <w:r>
        <w:tab/>
      </w:r>
      <w:r>
        <w:t>den Namen der Stiftung,</w:t>
      </w:r>
    </w:p>
    <w:p>
      <w:pPr>
        <w:tabs>
          <w:tab w:pos="1134" w:val="left"/>
        </w:tabs>
        <w:ind w:left="1134" w:hanging="567"/>
      </w:pPr>
      <w:r>
        <w:t>c)</w:t>
      </w:r>
      <w:r>
        <w:tab/>
      </w:r>
      <w:r>
        <w:t>den Sitz der Stiftung und</w:t>
      </w:r>
    </w:p>
    <w:p>
      <w:pPr>
        <w:tabs>
          <w:tab w:pos="1134" w:val="left"/>
        </w:tabs>
        <w:ind w:left="1134" w:hanging="567"/>
      </w:pPr>
      <w:r>
        <w:t>d)</w:t>
      </w:r>
      <w:r>
        <w:tab/>
      </w:r>
      <w:r>
        <w:t>die Bildung des Vorstands der Stiftung sowie</w:t>
      </w:r>
    </w:p>
    <w:p>
      <w:pPr>
        <w:tabs>
          <w:tab w:pos="567" w:val="left"/>
        </w:tabs>
        <w:ind w:left="567" w:hanging="567"/>
      </w:pPr>
      <w:r>
        <w:t>2.</w:t>
      </w:r>
      <w:r>
        <w:tab/>
      </w:r>
      <w:r>
        <w:t>zur Erfüllung des von ihm vorgegebenen Stiftungszwecks ein Vermögen widmen (gewidmetes Vermögen), das der Stiftung zu deren eigener Verfügung zu überlassen ist.</w:t>
      </w:r>
    </w:p>
    <w:p>
      <w:r>
        <w:t>(2) Die Satzung einer Verbrauchsstiftung muss zusätzlich enthalten:</w:t>
      </w:r>
    </w:p>
    <w:p>
      <w:pPr>
        <w:tabs>
          <w:tab w:pos="567" w:val="left"/>
        </w:tabs>
        <w:ind w:left="567" w:hanging="567"/>
      </w:pPr>
      <w:r>
        <w:t>1.</w:t>
      </w:r>
      <w:r>
        <w:tab/>
      </w:r>
      <w:r>
        <w:t>die Festlegung der Zeit, für die die Stiftung errichtet wird, und</w:t>
      </w:r>
    </w:p>
    <w:p>
      <w:pPr>
        <w:tabs>
          <w:tab w:pos="567" w:val="left"/>
        </w:tabs>
        <w:ind w:left="567" w:hanging="567"/>
      </w:pPr>
      <w:r>
        <w:t>2.</w:t>
      </w:r>
      <w:r>
        <w:tab/>
      </w:r>
      <w:r>
        <w:t>Bestimmungen zur Verwendung des Stiftungsvermögens, die die nachhaltige Erfüllung des Stiftungszwecks und den vollständigen Verbrauch des Stiftungsvermögens innerhalb der Zeit, für welche die Stiftung errichtet wird, gesichert erscheinen lassen.</w:t>
      </w:r>
    </w:p>
    <w:p>
      <w:r>
        <w:t>(3) Das Stiftungsgeschäft bedarf der schriftlichen Form, wenn nicht in anderen Vorschriften ausdrücklich eine strengere Form als die schriftliche Form vorgeschrieben ist, oder es muss in einer Verfügung von Todes wegen enthalten sein.</w:t>
      </w:r>
    </w:p>
    <w:p>
      <w:r>
        <w:t xml:space="preserve">(4) </w:t>
      </w:r>
      <w:r>
        <w:rPr>
          <w:rStyle w:val="Satznummer"/>
        </w:rPr>
        <w:t>1</w:t>
      </w:r>
      <w:r>
        <w:t xml:space="preserve">Wenn der Stifter verstorben ist und er im Stiftungsgeschäft zwar den Zweck der Stiftung festgelegt und ein Vermögen gewidmet hat, das Stiftungsgeschäft im Übrigen jedoch nicht den gesetzlichen Anforderungen des Absatzes 1 oder des Absatzes 2 genügt, hat die nach Landesrecht zuständige Behörde das Stiftungsgeschäft um die Satzung oder um fehlende Satzungsbestimmungen zu ergänzen. </w:t>
      </w:r>
      <w:r>
        <w:rPr>
          <w:rStyle w:val="Satznummer"/>
        </w:rPr>
        <w:t>2</w:t>
      </w:r>
      <w:r>
        <w:t xml:space="preserve">Bei der Ergänzung des Stiftungsgeschäfts soll die Behörde den wirklichen, hilfsweise den mutmaßlichen Willen des Stifters beachten. </w:t>
      </w:r>
      <w:r>
        <w:rPr>
          <w:rStyle w:val="Satznummer"/>
        </w:rPr>
        <w:t>3</w:t>
      </w:r>
      <w:r>
        <w:t>Wurde im Stiftungsgeschäft kein Sitz der Stiftung bestimmt, ist im Zweifel anzunehmen, dass der Sitz am letzten Wohnsitz des Stifters im Inland sein soll.</w:t>
      </w:r>
    </w:p>
    <w:p>
      <w:pPr>
        <w:pStyle w:val="Heading5"/>
      </w:pPr>
      <w:bookmarkStart w:id="86" w:name="b84"/>
      <w:r>
        <w:t>§ 81a Widerruf des Stiftungsgeschäfts</w:t>
      </w:r>
      <w:r>
        <w:t xml:space="preserve"> </w:t>
      </w:r>
      <w:r>
        <w:rPr>
          <w:rStyle w:val="Suchmarke"/>
        </w:rPr>
        <w:t>#81a#</w:t>
      </w:r>
      <w:bookmarkEnd w:id="86"/>
    </w:p>
    <w:p>
      <w:r>
        <w:rPr>
          <w:rStyle w:val="Satznummer"/>
        </w:rPr>
        <w:t>1</w:t>
      </w:r>
      <w:r>
        <w:t xml:space="preserve">Bis zur Anerkennung der Stiftung ist der Stifter zum Widerruf des Stiftungsgeschäfts berechtigt. </w:t>
      </w:r>
      <w:r>
        <w:rPr>
          <w:rStyle w:val="Satznummer"/>
        </w:rPr>
        <w:t>2</w:t>
      </w:r>
      <w:r>
        <w:t xml:space="preserve">Ist die Anerkennung bei der zuständigen Behörde des Landes beantragt, so ist der Widerruf dieser gegenüber zu erklären. </w:t>
      </w:r>
      <w:r>
        <w:rPr>
          <w:rStyle w:val="Satznummer"/>
        </w:rPr>
        <w:t>3</w:t>
      </w:r>
      <w:r>
        <w:t>Der Erbe des Stifters ist zum Widerruf des Stiftungsgeschäfts nicht berechtigt, wenn der Stifter den Antrag auf Anerkennung der Stiftung bei der zuständigen Behörde des Landes gestellt oder im Falle der notariellen Beurkundung des Stiftungsgeschäfts den Notar mit der Antragstellung betraut hat.</w:t>
      </w:r>
    </w:p>
    <w:p>
      <w:pPr>
        <w:pStyle w:val="Heading5"/>
      </w:pPr>
      <w:bookmarkStart w:id="87" w:name="b85"/>
      <w:r>
        <w:t>§ 82 Anerkennung der Stiftung</w:t>
      </w:r>
      <w:r>
        <w:t xml:space="preserve"> </w:t>
      </w:r>
      <w:r>
        <w:rPr>
          <w:rStyle w:val="Suchmarke"/>
        </w:rPr>
        <w:t>#82#</w:t>
      </w:r>
      <w:bookmarkEnd w:id="87"/>
    </w:p>
    <w:p>
      <w:r>
        <w:rPr>
          <w:rStyle w:val="Satznummer"/>
        </w:rPr>
        <w:t>1</w:t>
      </w:r>
      <w:r>
        <w:t xml:space="preserve">Die Stiftung ist anzuerkennen, wenn das Stiftungsgeschäft den Anforderungen des </w:t>
      </w:r>
      <w:hyperlink w:anchor="b83" w:history="1">
        <w:r>
          <w:rPr>
            <w:color w:val="0A3A8C"/>
            <w:u w:val="single"/>
          </w:rPr>
          <w:t xml:space="preserve">§ 81</w:t>
        </w:r>
      </w:hyperlink>
      <w:r>
        <w:t xml:space="preserve"> Absatz 1 bis 3 genügt und die dauernde und nachhaltige Erfüllung des Stiftungszwecks gesichert erscheint, es sei denn, die Stiftung würde das Gemeinwohl gefährden. </w:t>
      </w:r>
      <w:r>
        <w:rPr>
          <w:rStyle w:val="Satznummer"/>
        </w:rPr>
        <w:t>2</w:t>
      </w:r>
      <w:r>
        <w:t>Bei einer Verbrauchsstiftung erscheint die dauernde Erfüllung des Stiftungszwecks gesichert, wenn die in der Satzung für die Stiftung bestimmte Zeit mindestens zehn Jahre umfasst.</w:t>
      </w:r>
    </w:p>
    <w:p>
      <w:pPr>
        <w:pStyle w:val="Heading5"/>
      </w:pPr>
      <w:bookmarkStart w:id="88" w:name="b86"/>
      <w:r>
        <w:t>§ 82a Übertragung und Übergang des gewidmeten Vermögens</w:t>
      </w:r>
      <w:r>
        <w:t xml:space="preserve"> </w:t>
      </w:r>
      <w:r>
        <w:rPr>
          <w:rStyle w:val="Suchmarke"/>
        </w:rPr>
        <w:t>#82a#</w:t>
      </w:r>
      <w:bookmarkEnd w:id="88"/>
    </w:p>
    <w:p>
      <w:r>
        <w:rPr>
          <w:rStyle w:val="Satznummer"/>
        </w:rPr>
        <w:t>1</w:t>
      </w:r>
      <w:r>
        <w:t xml:space="preserve">Ist die Stiftung anerkannt, so ist der Stifter verpflichtet, das gewidmete Vermögen auf die Stiftung zu übertragen. </w:t>
      </w:r>
      <w:r>
        <w:rPr>
          <w:rStyle w:val="Satznummer"/>
        </w:rPr>
        <w:t>2</w:t>
      </w:r>
      <w:r>
        <w:t>Rechte, zu deren Übertragung eine Abtretung genügt, gehen mit der Anerkennung auf die Stiftung über, sofern sich nicht aus dem Stiftungsgeschäft ein anderer Wille des Stifters ergibt.</w:t>
      </w:r>
    </w:p>
    <w:p>
      <w:pPr>
        <w:pStyle w:val="Heading5"/>
      </w:pPr>
      <w:bookmarkStart w:id="89" w:name="b87"/>
      <w:r>
        <w:t>§ 83 Stiftungsverfassung und Stifterwille</w:t>
      </w:r>
      <w:r>
        <w:t xml:space="preserve"> </w:t>
      </w:r>
      <w:r>
        <w:rPr>
          <w:rStyle w:val="Suchmarke"/>
        </w:rPr>
        <w:t>#83#</w:t>
      </w:r>
      <w:bookmarkEnd w:id="89"/>
    </w:p>
    <w:p>
      <w:r>
        <w:t>(1) Die Verfassung der Stiftung wird, soweit sie nicht auf Bundes- oder Landesgesetz beruht, durch das Stiftungsgeschäft und insbesondere die Satzung bestimmt.</w:t>
      </w:r>
    </w:p>
    <w:p>
      <w:r>
        <w:t>(2) Die Stiftungsorgane haben bei ihrer Tätigkeit für die Stiftung und die zuständigen Behörden haben bei der Aufsicht über die Stiftung den bei der Errichtung der Stiftung zum Ausdruck gekommenen Willen, hilfsweise den mutmaßlichen Willen des Stifters zu beachten.</w:t>
      </w:r>
    </w:p>
    <w:p>
      <w:pPr>
        <w:pStyle w:val="Heading5"/>
      </w:pPr>
      <w:bookmarkStart w:id="90" w:name="b88"/>
      <w:r>
        <w:t>§ 83a Verwaltungssitz der Stiftung</w:t>
      </w:r>
      <w:r>
        <w:t xml:space="preserve"> </w:t>
      </w:r>
      <w:r>
        <w:rPr>
          <w:rStyle w:val="Suchmarke"/>
        </w:rPr>
        <w:t>#83a#</w:t>
      </w:r>
      <w:bookmarkEnd w:id="90"/>
    </w:p>
    <w:p>
      <w:r>
        <w:t>Die Verwaltung der Stiftung ist im Inland zu führen.</w:t>
      </w:r>
    </w:p>
    <w:p>
      <w:pPr>
        <w:pStyle w:val="Heading5"/>
      </w:pPr>
      <w:bookmarkStart w:id="91" w:name="b89"/>
      <w:r>
        <w:t>§ 83b Stiftungsvermögen</w:t>
      </w:r>
      <w:r>
        <w:t xml:space="preserve"> </w:t>
      </w:r>
      <w:r>
        <w:rPr>
          <w:rStyle w:val="Suchmarke"/>
        </w:rPr>
        <w:t>#83b#</w:t>
      </w:r>
      <w:bookmarkEnd w:id="91"/>
    </w:p>
    <w:p>
      <w:r>
        <w:t xml:space="preserve">(1) </w:t>
      </w:r>
      <w:r>
        <w:rPr>
          <w:rStyle w:val="Satznummer"/>
        </w:rPr>
        <w:t>1</w:t>
      </w:r>
      <w:r>
        <w:t xml:space="preserve">Bei einer Stiftung, die auf unbestimmte Zeit errichtet wurde, besteht das Stiftungsvermögen aus dem Grundstockvermögen und ihrem sonstigen Vermögen. </w:t>
      </w:r>
      <w:r>
        <w:rPr>
          <w:rStyle w:val="Satznummer"/>
        </w:rPr>
        <w:t>2</w:t>
      </w:r>
      <w:r>
        <w:t>Bei einer Verbrauchsstiftung besteht das Stiftungsvermögen aufgrund der Satzung nur aus sonstigem Vermögen.</w:t>
      </w:r>
    </w:p>
    <w:p>
      <w:r>
        <w:t>(2) Zum Grundstockvermögen gehören</w:t>
      </w:r>
    </w:p>
    <w:p>
      <w:pPr>
        <w:tabs>
          <w:tab w:pos="567" w:val="left"/>
        </w:tabs>
        <w:ind w:left="567" w:hanging="567"/>
      </w:pPr>
      <w:r>
        <w:t>1.</w:t>
      </w:r>
      <w:r>
        <w:tab/>
      </w:r>
      <w:r>
        <w:t>das gewidmete Vermögen,</w:t>
      </w:r>
    </w:p>
    <w:p>
      <w:pPr>
        <w:tabs>
          <w:tab w:pos="567" w:val="left"/>
        </w:tabs>
        <w:ind w:left="567" w:hanging="567"/>
      </w:pPr>
      <w:r>
        <w:t>2.</w:t>
      </w:r>
      <w:r>
        <w:tab/>
      </w:r>
      <w:r>
        <w:t>das der Stiftung zugewendete Vermögen, das vom Zuwendenden dazu bestimmt wurde, Teil des Grundstockvermögens zu werden (Zustiftung), und</w:t>
      </w:r>
    </w:p>
    <w:p>
      <w:pPr>
        <w:tabs>
          <w:tab w:pos="567" w:val="left"/>
        </w:tabs>
        <w:ind w:left="567" w:hanging="567"/>
      </w:pPr>
      <w:r>
        <w:t>3.</w:t>
      </w:r>
      <w:r>
        <w:tab/>
      </w:r>
      <w:r>
        <w:t>das Vermögen, das von der Stiftung zu Grundstockvermögen bestimmt wurde.</w:t>
      </w:r>
    </w:p>
    <w:p>
      <w:r>
        <w:t>(3) Der Stifter kann auch bei einer Stiftung, die auf unbestimmte Zeit errichtet wird, im Stiftungsgeschäft abweichend von Absatz 2 Nummer 1 einen Teil des gewidmeten Vermögens zu sonstigem Vermögen bestimmen.</w:t>
      </w:r>
    </w:p>
    <w:p>
      <w:r>
        <w:t xml:space="preserve">(4) </w:t>
      </w:r>
      <w:r>
        <w:rPr>
          <w:rStyle w:val="Satznummer"/>
        </w:rPr>
        <w:t>1</w:t>
      </w:r>
      <w:r>
        <w:t xml:space="preserve">Das Stiftungsvermögen ist getrennt von fremdem Vermögen zu verwalten. </w:t>
      </w:r>
      <w:r>
        <w:rPr>
          <w:rStyle w:val="Satznummer"/>
        </w:rPr>
        <w:t>2</w:t>
      </w:r>
      <w:r>
        <w:t>Mit dem Stiftungsvermögen darf nur der Stiftungszweck erfüllt werden.</w:t>
      </w:r>
    </w:p>
    <w:p>
      <w:pPr>
        <w:pStyle w:val="Heading5"/>
      </w:pPr>
      <w:bookmarkStart w:id="92" w:name="b90"/>
      <w:r>
        <w:t>§ 83c Verwaltung des Grundstockvermögens</w:t>
      </w:r>
      <w:r>
        <w:t xml:space="preserve"> </w:t>
      </w:r>
      <w:r>
        <w:rPr>
          <w:rStyle w:val="Suchmarke"/>
        </w:rPr>
        <w:t>#83c#</w:t>
      </w:r>
      <w:bookmarkEnd w:id="92"/>
    </w:p>
    <w:p>
      <w:r>
        <w:t xml:space="preserve">(1) </w:t>
      </w:r>
      <w:r>
        <w:rPr>
          <w:rStyle w:val="Satznummer"/>
        </w:rPr>
        <w:t>1</w:t>
      </w:r>
      <w:r>
        <w:t xml:space="preserve">Das Grundstockvermögen ist ungeschmälert zu erhalten. </w:t>
      </w:r>
      <w:r>
        <w:rPr>
          <w:rStyle w:val="Satznummer"/>
        </w:rPr>
        <w:t>2</w:t>
      </w:r>
      <w:r>
        <w:t xml:space="preserve">Der Stiftungszweck ist mit den Nutzungen des Grundstockvermögens zu erfüllen. </w:t>
      </w:r>
      <w:r>
        <w:rPr>
          <w:rStyle w:val="Satznummer"/>
        </w:rPr>
        <w:t>3</w:t>
      </w:r>
      <w:r>
        <w:t>Zuwächse aus der Umschichtung des Grundstockvermögens können für die Erfüllung des Stiftungszwecks verwendet werden, soweit dies durch die Satzung nicht ausgeschlossen wurde und die Erhaltung des Grundstockvermögens gewährleistet ist.</w:t>
      </w:r>
    </w:p>
    <w:p>
      <w:r>
        <w:t xml:space="preserve">(2) </w:t>
      </w:r>
      <w:r>
        <w:rPr>
          <w:rStyle w:val="Satznummer"/>
        </w:rPr>
        <w:t>1</w:t>
      </w:r>
      <w:r>
        <w:t xml:space="preserve">Durch die Satzung kann bestimmt werden, dass die Stiftung einen Teil des Grundstockvermögens verbrauchen darf. </w:t>
      </w:r>
      <w:r>
        <w:rPr>
          <w:rStyle w:val="Satznummer"/>
        </w:rPr>
        <w:t>2</w:t>
      </w:r>
      <w:r>
        <w:t>In einer solchen Satzungsbestimmung muss die Stiftung verpflichtet werden, das Grundstockvermögen in absehbarer Zeit wieder um den verbrauchten Teil aufzustocken.</w:t>
      </w:r>
    </w:p>
    <w:p>
      <w:r>
        <w:t>(3) Durch Landesrecht kann vorgesehen werden, dass die nach Landesrecht zuständigen Behörden auf Antrag einer Stiftung für einen bestimmten Teil des Grundstockvermögens eine zeitlich begrenzte Ausnahme von Absatz 1 Satz 1 zulassen können, wenn dadurch die dauernde und nachhaltige Erfüllung des Stiftungszwecks nicht beeinträchtigt wird.</w:t>
      </w:r>
    </w:p>
    <w:p>
      <w:pPr>
        <w:pStyle w:val="Heading5"/>
      </w:pPr>
      <w:bookmarkStart w:id="93" w:name="b91"/>
      <w:r>
        <w:t>§ 84 Stiftungsorgane</w:t>
      </w:r>
      <w:r>
        <w:t xml:space="preserve"> </w:t>
      </w:r>
      <w:r>
        <w:rPr>
          <w:rStyle w:val="Suchmarke"/>
        </w:rPr>
        <w:t>#84#</w:t>
      </w:r>
      <w:bookmarkEnd w:id="93"/>
    </w:p>
    <w:p>
      <w:r>
        <w:t xml:space="preserve">(1) </w:t>
      </w:r>
      <w:r>
        <w:rPr>
          <w:rStyle w:val="Satznummer"/>
        </w:rPr>
        <w:t>1</w:t>
      </w:r>
      <w:r>
        <w:t xml:space="preserve">Die Stiftung muss einen Vorstand haben. </w:t>
      </w:r>
      <w:r>
        <w:rPr>
          <w:rStyle w:val="Satznummer"/>
        </w:rPr>
        <w:t>2</w:t>
      </w:r>
      <w:r>
        <w:t>Der Vorstand führt die Geschäfte der Stiftung.</w:t>
      </w:r>
    </w:p>
    <w:p>
      <w:r>
        <w:t xml:space="preserve">(2) </w:t>
      </w:r>
      <w:r>
        <w:rPr>
          <w:rStyle w:val="Satznummer"/>
        </w:rPr>
        <w:t>1</w:t>
      </w:r>
      <w:r>
        <w:t xml:space="preserve">Der Vorstand vertritt die Stiftung gerichtlich und außergerichtlich; er hat die Stellung eines gesetzlichen Vertreters. </w:t>
      </w:r>
      <w:r>
        <w:rPr>
          <w:rStyle w:val="Satznummer"/>
        </w:rPr>
        <w:t>2</w:t>
      </w:r>
      <w:r>
        <w:t xml:space="preserve">Besteht der Vorstand aus mehreren Personen, so wird die Stiftung durch die Mehrheit der Vorstandsmitglieder vertreten. </w:t>
      </w:r>
      <w:r>
        <w:rPr>
          <w:rStyle w:val="Satznummer"/>
        </w:rPr>
        <w:t>3</w:t>
      </w:r>
      <w:r>
        <w:t>Ist eine Willenserklärung gegenüber der Stiftung abzugeben, so genügt die Abgabe gegenüber einem Mitglied des Vorstands.</w:t>
      </w:r>
    </w:p>
    <w:p>
      <w:r>
        <w:t>(3) Durch die Satzung kann von Absatz 1 Satz 2 und Absatz 2 Satz 2 abgewichen und der Umfang der Vertretungsmacht des Vorstands mit Wirkung gegen Dritte beschränkt werden.</w:t>
      </w:r>
    </w:p>
    <w:p>
      <w:r>
        <w:t xml:space="preserve">(4) </w:t>
      </w:r>
      <w:r>
        <w:rPr>
          <w:rStyle w:val="Satznummer"/>
        </w:rPr>
        <w:t>1</w:t>
      </w:r>
      <w:r>
        <w:t xml:space="preserve">In der Satzung können neben dem Vorstand weitere Organe vorgesehen werden. </w:t>
      </w:r>
      <w:r>
        <w:rPr>
          <w:rStyle w:val="Satznummer"/>
        </w:rPr>
        <w:t>2</w:t>
      </w:r>
      <w:r>
        <w:t>In der Satzung sollen für ein weiteres Organ auch die Bestimmungen über die Bildung, die Aufgaben und die Befugnisse enthalten sein.</w:t>
      </w:r>
    </w:p>
    <w:p>
      <w:r>
        <w:t xml:space="preserve">(5) Die </w:t>
      </w:r>
      <w:hyperlink w:anchor="b27" w:history="1">
        <w:r>
          <w:rPr>
            <w:color w:val="0A3A8C"/>
            <w:u w:val="single"/>
          </w:rPr>
          <w:t xml:space="preserve">§§ 30</w:t>
        </w:r>
      </w:hyperlink>
      <w:r>
        <w:t xml:space="preserve">, </w:t>
      </w:r>
      <w:hyperlink w:anchor="b28" w:history="1">
        <w:r>
          <w:rPr>
            <w:color w:val="0A3A8C"/>
            <w:u w:val="single"/>
          </w:rPr>
          <w:t xml:space="preserve">31</w:t>
        </w:r>
      </w:hyperlink>
      <w:r>
        <w:t xml:space="preserve"> und </w:t>
      </w:r>
      <w:hyperlink w:anchor="b41" w:history="1">
        <w:r>
          <w:rPr>
            <w:color w:val="0A3A8C"/>
            <w:u w:val="single"/>
          </w:rPr>
          <w:t xml:space="preserve">42</w:t>
        </w:r>
      </w:hyperlink>
      <w:r>
        <w:t xml:space="preserve"> Absatz 2 sind entsprechend anzuwenden.</w:t>
      </w:r>
    </w:p>
    <w:p>
      <w:pPr>
        <w:pStyle w:val="Heading5"/>
      </w:pPr>
      <w:bookmarkStart w:id="94" w:name="b92"/>
      <w:r>
        <w:t>§ 84a Rechte und Pflichten der Organmitglieder</w:t>
      </w:r>
      <w:r>
        <w:t xml:space="preserve"> </w:t>
      </w:r>
      <w:r>
        <w:rPr>
          <w:rStyle w:val="Suchmarke"/>
        </w:rPr>
        <w:t>#84a#</w:t>
      </w:r>
      <w:bookmarkEnd w:id="94"/>
    </w:p>
    <w:p>
      <w:r>
        <w:t xml:space="preserve">(1) </w:t>
      </w:r>
      <w:r>
        <w:rPr>
          <w:rStyle w:val="Satznummer"/>
        </w:rPr>
        <w:t>1</w:t>
      </w:r>
      <w:r>
        <w:t xml:space="preserve">Auf die Tätigkeit eines Organmitglieds für die Stiftung sind die </w:t>
      </w:r>
      <w:hyperlink w:anchor="b1037" w:history="1">
        <w:r>
          <w:rPr>
            <w:color w:val="0A3A8C"/>
            <w:u w:val="single"/>
          </w:rPr>
          <w:t xml:space="preserve">§§ 664</w:t>
        </w:r>
      </w:hyperlink>
      <w:r>
        <w:t xml:space="preserve"> bis </w:t>
      </w:r>
      <w:hyperlink w:anchor="b1043" w:history="1">
        <w:r>
          <w:rPr>
            <w:color w:val="0A3A8C"/>
            <w:u w:val="single"/>
          </w:rPr>
          <w:t xml:space="preserve">670</w:t>
        </w:r>
      </w:hyperlink>
      <w:r>
        <w:t xml:space="preserve"> entsprechend anzuwenden. </w:t>
      </w:r>
      <w:r>
        <w:rPr>
          <w:rStyle w:val="Satznummer"/>
        </w:rPr>
        <w:t>2</w:t>
      </w:r>
      <w:r>
        <w:t xml:space="preserve">Organmitglieder sind unentgeltlich tätig. </w:t>
      </w:r>
      <w:r>
        <w:rPr>
          <w:rStyle w:val="Satznummer"/>
        </w:rPr>
        <w:t>3</w:t>
      </w:r>
      <w:r>
        <w:t>Durch die Satzung kann von den Sätzen 1 und 2 abgewichen werden, insbesondere auch die Haftung für Pflichtverletzungen von Organmitgliedern beschränkt werden.</w:t>
      </w:r>
    </w:p>
    <w:p>
      <w:r>
        <w:t xml:space="preserve">(2) </w:t>
      </w:r>
      <w:r>
        <w:rPr>
          <w:rStyle w:val="Satznummer"/>
        </w:rPr>
        <w:t>1</w:t>
      </w:r>
      <w:r>
        <w:t xml:space="preserve">Das Mitglied eines Organs hat bei der Führung der Geschäfte der Stiftung die Sorgfalt eines ordentlichen Geschäftsführers anzuwenden. </w:t>
      </w:r>
      <w:r>
        <w:rPr>
          <w:rStyle w:val="Satznummer"/>
        </w:rPr>
        <w:t>2</w:t>
      </w:r>
      <w:r>
        <w:t>Eine Pflichtverletzung liegt nicht vor, wenn das Mitglied des Organs bei der Geschäftsführung unter Beachtung der gesetzlichen und satzungsgemäßen Vorgaben vernünftigerweise annehmen durfte, auf der Grundlage angemessener Informationen zum Wohle der Stiftung zu handeln.</w:t>
      </w:r>
    </w:p>
    <w:p>
      <w:r>
        <w:t xml:space="preserve">(3) </w:t>
      </w:r>
      <w:r>
        <w:rPr>
          <w:rStyle w:val="Satznummer"/>
        </w:rPr>
        <w:t>1</w:t>
      </w:r>
      <w:hyperlink w:anchor="b29" w:history="1">
        <w:r>
          <w:rPr>
            <w:color w:val="0A3A8C"/>
            <w:u w:val="single"/>
          </w:rPr>
          <w:t xml:space="preserve">§ 31a</w:t>
        </w:r>
      </w:hyperlink>
      <w:r>
        <w:t xml:space="preserve"> ist entsprechend anzuwenden. </w:t>
      </w:r>
      <w:r>
        <w:rPr>
          <w:rStyle w:val="Satznummer"/>
        </w:rPr>
        <w:t>2</w:t>
      </w:r>
      <w:r>
        <w:t xml:space="preserve">Durch die Satzung kann die Anwendbarkeit des </w:t>
      </w:r>
      <w:hyperlink w:anchor="b29" w:history="1">
        <w:r>
          <w:rPr>
            <w:color w:val="0A3A8C"/>
            <w:u w:val="single"/>
          </w:rPr>
          <w:t xml:space="preserve">§ 31a</w:t>
        </w:r>
      </w:hyperlink>
      <w:r>
        <w:t xml:space="preserve"> beschränkt oder ausgeschlossen werden.</w:t>
      </w:r>
    </w:p>
    <w:p>
      <w:pPr>
        <w:pStyle w:val="Heading5"/>
      </w:pPr>
      <w:bookmarkStart w:id="95" w:name="b93"/>
      <w:r>
        <w:t>§ 84b Beschlussfassung der Organe</w:t>
      </w:r>
      <w:r>
        <w:t xml:space="preserve"> </w:t>
      </w:r>
      <w:r>
        <w:rPr>
          <w:rStyle w:val="Suchmarke"/>
        </w:rPr>
        <w:t>#84b#</w:t>
      </w:r>
      <w:bookmarkEnd w:id="95"/>
    </w:p>
    <w:p>
      <w:r>
        <w:rPr>
          <w:rStyle w:val="Satznummer"/>
        </w:rPr>
        <w:t>1</w:t>
      </w:r>
      <w:r>
        <w:t xml:space="preserve">Besteht ein Organ aus mehreren Mitgliedern, erfolgt die Beschlussfassung entsprechend </w:t>
      </w:r>
      <w:hyperlink w:anchor="b31" w:history="1">
        <w:r>
          <w:rPr>
            <w:color w:val="0A3A8C"/>
            <w:u w:val="single"/>
          </w:rPr>
          <w:t xml:space="preserve">§ 32</w:t>
        </w:r>
      </w:hyperlink>
      <w:r>
        <w:t xml:space="preserve">, wenn in der Satzung nichts Abweichendes geregelt ist. </w:t>
      </w:r>
      <w:r>
        <w:rPr>
          <w:rStyle w:val="Satznummer"/>
        </w:rPr>
        <w:t>2</w:t>
      </w:r>
      <w:r>
        <w:t>Ein Organmitglied ist nicht stimmberechtigt, wenn die Beschlussfassung die Vornahme eines Rechtsgeschäfts mit ihm oder die Einleitung oder Erledigung eines Rechtsstreits zwischen ihm und der Stiftung betrifft.</w:t>
      </w:r>
    </w:p>
    <w:p>
      <w:pPr>
        <w:pStyle w:val="Heading5"/>
      </w:pPr>
      <w:bookmarkStart w:id="96" w:name="b94"/>
      <w:r>
        <w:t>§ 84c Notmaßnahmen bei fehlenden Organmitgliedern</w:t>
      </w:r>
      <w:r>
        <w:t xml:space="preserve"> </w:t>
      </w:r>
      <w:r>
        <w:rPr>
          <w:rStyle w:val="Suchmarke"/>
        </w:rPr>
        <w:t>#84c#</w:t>
      </w:r>
      <w:bookmarkEnd w:id="96"/>
    </w:p>
    <w:p>
      <w:r>
        <w:t xml:space="preserve">(1) </w:t>
      </w:r>
      <w:r>
        <w:rPr>
          <w:rStyle w:val="Satznummer"/>
        </w:rPr>
        <w:t>1</w:t>
      </w:r>
      <w:r>
        <w:t xml:space="preserve">Wenn der Vorstand oder ein anderes Organ der Stiftung seine Aufgaben nicht wahrnehmen kann, weil Mitglieder des Organs fehlen, hat die nach Landesrecht zuständige Behörde in dringenden Fällen auf Antrag eines Beteiligten oder von Amts wegen notwendige Maßnahmen zu treffen, um die Handlungsfähigkeit des Organs zu gewährleisten. </w:t>
      </w:r>
      <w:r>
        <w:rPr>
          <w:rStyle w:val="Satznummer"/>
        </w:rPr>
        <w:t>2</w:t>
      </w:r>
      <w:r>
        <w:t>Die Behörde ist insbesondere befugt, Organmitglieder befristet zu bestellen oder von der satzungsmäßig vorgesehenen Zahl von Organmitgliedern befristet abzuweichen, insbesondere indem die Behörde einzelne Organmitglieder mit Befugnissen ausstattet, die ihnen nach der Satzung nur gemeinsam mit anderen Organmitgliedern zustehen.</w:t>
      </w:r>
    </w:p>
    <w:p>
      <w:r>
        <w:t xml:space="preserve">(2) </w:t>
      </w:r>
      <w:r>
        <w:rPr>
          <w:rStyle w:val="Satznummer"/>
        </w:rPr>
        <w:t>1</w:t>
      </w:r>
      <w:r>
        <w:t xml:space="preserve">Die Behörde kann einem von ihr bestellten Organmitglied bei oder nach der Bestellung eine angemessene Vergütung auf Kosten der Stiftung bewilligen, wenn das Vermögen der Stiftung sowie der Umfang und die Bedeutung der zu erledigenden Aufgabe dies rechtfertigen. </w:t>
      </w:r>
      <w:r>
        <w:rPr>
          <w:rStyle w:val="Satznummer"/>
        </w:rPr>
        <w:t>2</w:t>
      </w:r>
      <w:r>
        <w:t>Die Behörde kann die Bewilligung der Vergütung mit Wirkung für die Zukunft ändern oder aufheben.</w:t>
      </w:r>
    </w:p>
    <w:p>
      <w:pPr>
        <w:pStyle w:val="Heading5"/>
      </w:pPr>
      <w:bookmarkStart w:id="97" w:name="b95"/>
      <w:r>
        <w:t>§ 85 Voraussetzungen für Satzungsänderungen</w:t>
      </w:r>
      <w:r>
        <w:t xml:space="preserve"> </w:t>
      </w:r>
      <w:r>
        <w:rPr>
          <w:rStyle w:val="Suchmarke"/>
        </w:rPr>
        <w:t>#85#</w:t>
      </w:r>
      <w:bookmarkEnd w:id="97"/>
    </w:p>
    <w:p>
      <w:r>
        <w:t xml:space="preserve">(1) </w:t>
      </w:r>
      <w:r>
        <w:rPr>
          <w:rStyle w:val="Satznummer"/>
        </w:rPr>
        <w:t>1</w:t>
      </w:r>
      <w:r>
        <w:t>Durch Satzungsänderung kann der Stiftung ein anderer Zweck gegeben oder der Zweck der Stiftung kann erheblich beschränkt werden, wenn</w:t>
      </w:r>
    </w:p>
    <w:p>
      <w:pPr>
        <w:tabs>
          <w:tab w:pos="567" w:val="left"/>
        </w:tabs>
        <w:ind w:left="567" w:hanging="567"/>
      </w:pPr>
      <w:r>
        <w:t>1.</w:t>
      </w:r>
      <w:r>
        <w:tab/>
      </w:r>
      <w:r>
        <w:t>der Stiftungszweck nicht mehr dauernd und nachhaltig erfüllt werden kann oder</w:t>
      </w:r>
    </w:p>
    <w:p>
      <w:pPr>
        <w:tabs>
          <w:tab w:pos="567" w:val="left"/>
        </w:tabs>
        <w:ind w:left="567" w:hanging="567"/>
      </w:pPr>
      <w:r>
        <w:t>2.</w:t>
      </w:r>
      <w:r>
        <w:tab/>
      </w:r>
      <w:r>
        <w:t>der Stiftungszweck das Gemeinwohl gefährdet.</w:t>
      </w:r>
    </w:p>
    <w:p>
      <w:r>
        <w:rPr>
          <w:rStyle w:val="Satznummer"/>
        </w:rPr>
        <w:t>2</w:t>
      </w:r>
      <w:r>
        <w:t xml:space="preserve">Die Voraussetzungen des Satzes 1 Nummer 1 liegen insbesondere vor, wenn eine Stiftung keine ausreichenden Mittel für die nachhaltige Erfüllung des Stiftungszwecks hat und solche Mittel in absehbarer Zeit auch nicht erwerben kann. </w:t>
      </w:r>
      <w:r>
        <w:rPr>
          <w:rStyle w:val="Satznummer"/>
        </w:rPr>
        <w:t>3</w:t>
      </w:r>
      <w:r>
        <w:t xml:space="preserve">Der Stiftungszweck kann nach Satz 1 nur geändert werden, wenn gesichert erscheint, dass die Stiftung den beabsichtigten neuen oder beschränkten Stiftungszweck dauernd und nachhaltig erfüllen kann. </w:t>
      </w:r>
      <w:r>
        <w:rPr>
          <w:rStyle w:val="Satznummer"/>
        </w:rPr>
        <w:t>4</w:t>
      </w:r>
      <w:r>
        <w:t xml:space="preserve">Liegen die Voraussetzungen nach Satz 1 Nummer 1 und Satz 3 vor, kann eine auf unbestimmte Zeit errichtete Stiftung auch abweichend von </w:t>
      </w:r>
      <w:hyperlink w:anchor="b90" w:history="1">
        <w:r>
          <w:rPr>
            <w:color w:val="0A3A8C"/>
            <w:u w:val="single"/>
          </w:rPr>
          <w:t xml:space="preserve">§ 83c</w:t>
        </w:r>
      </w:hyperlink>
      <w:r>
        <w:t xml:space="preserve"> durch Satzungsänderung in eine Verbrauchsstiftung umgestaltet werden, indem die Satzung um Bestimmungen nach </w:t>
      </w:r>
      <w:hyperlink w:anchor="b83" w:history="1">
        <w:r>
          <w:rPr>
            <w:color w:val="0A3A8C"/>
            <w:u w:val="single"/>
          </w:rPr>
          <w:t xml:space="preserve">§ 81</w:t>
        </w:r>
      </w:hyperlink>
      <w:r>
        <w:t xml:space="preserve"> Absatz 2 ergänzt wird.</w:t>
      </w:r>
    </w:p>
    <w:p>
      <w:r>
        <w:t xml:space="preserve">(2) </w:t>
      </w:r>
      <w:r>
        <w:rPr>
          <w:rStyle w:val="Satznummer"/>
        </w:rPr>
        <w:t>1</w:t>
      </w:r>
      <w:r>
        <w:t xml:space="preserve">Durch Satzungsänderung kann der Stiftungszweck in anderer Weise als nach Absatz 1 Satz 1 oder es können andere prägende Bestimmungen der Stiftungsverfassung geändert werden, wenn sich die Verhältnisse nach Errichtung der Stiftung wesentlich verändert haben und eine solche Änderung erforderlich ist, um die Stiftung an die veränderten Verhältnisse anzupassen. </w:t>
      </w:r>
      <w:r>
        <w:rPr>
          <w:rStyle w:val="Satznummer"/>
        </w:rPr>
        <w:t>2</w:t>
      </w:r>
      <w:r>
        <w:t>Als prägend für eine Stiftung sind regelmäßig die Bestimmungen über den Namen, den Sitz, die Art und Weise der Zweckerfüllung und über die Verwaltung des Grundstockvermögens anzusehen.</w:t>
      </w:r>
    </w:p>
    <w:p>
      <w:r>
        <w:t>(3) Durch Satzungsänderung können Bestimmungen der Satzung, die nicht unter Absatz 1 oder Absatz 2 Satz 1 fallen, geändert werden, wenn dies der Erfüllung des Stiftungszwecks dient.</w:t>
      </w:r>
    </w:p>
    <w:p>
      <w:r>
        <w:t xml:space="preserve">(4) </w:t>
      </w:r>
      <w:r>
        <w:rPr>
          <w:rStyle w:val="Satznummer"/>
        </w:rPr>
        <w:t>1</w:t>
      </w:r>
      <w:r>
        <w:t xml:space="preserve">Im Stiftungsgeschäft kann der Stifter Satzungsänderungen nach den Absätzen 1 bis 3 ausschließen oder beschränken. </w:t>
      </w:r>
      <w:r>
        <w:rPr>
          <w:rStyle w:val="Satznummer"/>
        </w:rPr>
        <w:t>2</w:t>
      </w:r>
      <w:r>
        <w:t xml:space="preserve">Satzungsänderungen durch Organe der Stiftung kann der Stifter im Stiftungsgeschäft auch abweichend von den Absätzen 1 bis 3 zulassen. </w:t>
      </w:r>
      <w:r>
        <w:rPr>
          <w:rStyle w:val="Satznummer"/>
        </w:rPr>
        <w:t>3</w:t>
      </w:r>
      <w:r>
        <w:t>Satzungsbestimmungen nach Satz 2 sind nur wirksam, wenn der Stifter Inhalt und Ausmaß der Änderungsermächtigung hinreichend bestimmt festlegt.</w:t>
      </w:r>
    </w:p>
    <w:p>
      <w:pPr>
        <w:pStyle w:val="Heading5"/>
      </w:pPr>
      <w:bookmarkStart w:id="98" w:name="b96"/>
      <w:r>
        <w:t>§ 85a Verfahren bei Satzungsänderungen</w:t>
      </w:r>
      <w:r>
        <w:t xml:space="preserve"> </w:t>
      </w:r>
      <w:r>
        <w:rPr>
          <w:rStyle w:val="Suchmarke"/>
        </w:rPr>
        <w:t>#85a#</w:t>
      </w:r>
      <w:bookmarkEnd w:id="98"/>
    </w:p>
    <w:p>
      <w:r>
        <w:t xml:space="preserve">(1) </w:t>
      </w:r>
      <w:r>
        <w:rPr>
          <w:rStyle w:val="Satznummer"/>
        </w:rPr>
        <w:t>1</w:t>
      </w:r>
      <w:r>
        <w:t xml:space="preserve">Die Satzung kann durch den Vorstand oder ein anderes durch die Satzung dazu bestimmtes Stiftungsorgan geändert werden. </w:t>
      </w:r>
      <w:r>
        <w:rPr>
          <w:rStyle w:val="Satznummer"/>
        </w:rPr>
        <w:t>2</w:t>
      </w:r>
      <w:r>
        <w:t>Die Satzungsänderung bedarf der Genehmigung der nach Landesrecht zuständigen Behörde.</w:t>
      </w:r>
    </w:p>
    <w:p>
      <w:r>
        <w:t xml:space="preserve">(2) Die Behörde kann die Satzung nach </w:t>
      </w:r>
      <w:hyperlink w:anchor="b95" w:history="1">
        <w:r>
          <w:rPr>
            <w:color w:val="0A3A8C"/>
            <w:u w:val="single"/>
          </w:rPr>
          <w:t xml:space="preserve">§ 85</w:t>
        </w:r>
      </w:hyperlink>
      <w:r>
        <w:t xml:space="preserve"> ändern, wenn die Satzungsänderung notwendig ist und das zuständige Stiftungsorgan sie nicht rechtzeitig beschließt.</w:t>
      </w:r>
    </w:p>
    <w:p>
      <w:r>
        <w:t>(3) Wenn durch die Satzungsänderung der Sitz der Stiftung in den Zuständigkeitsbereich einer anderen Behörde verlegt werden soll, bedarf die nach Absatz 1 Satz 2 erforderliche Genehmigung der Satzungsänderung der Zustimmung der Behörde, in deren Zuständigkeitsbereich der neue Sitz begründet werden soll.</w:t>
      </w:r>
    </w:p>
    <w:p>
      <w:pPr>
        <w:pStyle w:val="Heading5"/>
      </w:pPr>
      <w:bookmarkStart w:id="99" w:name="b97"/>
      <w:r>
        <w:t>§ 86 Voraussetzungen für die Zulegung</w:t>
      </w:r>
      <w:r>
        <w:t xml:space="preserve"> </w:t>
      </w:r>
      <w:r>
        <w:rPr>
          <w:rStyle w:val="Suchmarke"/>
        </w:rPr>
        <w:t>#86#</w:t>
      </w:r>
      <w:bookmarkEnd w:id="99"/>
    </w:p>
    <w:p>
      <w:r>
        <w:t>Durch Übertragung ihres Stiftungsvermögens als Ganzes kann die übertragende Stiftung einer übernehmenden Stiftung zugelegt werden, wenn</w:t>
      </w:r>
    </w:p>
    <w:p>
      <w:pPr>
        <w:tabs>
          <w:tab w:pos="567" w:val="left"/>
        </w:tabs>
        <w:ind w:left="567" w:hanging="567"/>
      </w:pPr>
      <w:r>
        <w:t>1.</w:t>
      </w:r>
      <w:r>
        <w:tab/>
      </w:r>
      <w:r>
        <w:t xml:space="preserve">sich die Verhältnisse nach Errichtung der übertragenden Stiftung wesentlich verändert haben und eine Satzungsänderung nach </w:t>
      </w:r>
      <w:hyperlink w:anchor="b95" w:history="1">
        <w:r>
          <w:rPr>
            <w:color w:val="0A3A8C"/>
            <w:u w:val="single"/>
          </w:rPr>
          <w:t xml:space="preserve">§ 85</w:t>
        </w:r>
      </w:hyperlink>
      <w:r>
        <w:t xml:space="preserve"> Absatz 2 bis 4 nicht ausreicht, um die übertragende Stiftung an die veränderten Verhältnisse anzupassen, oder wenn schon seit Errichtung der Stiftung die Voraussetzungen für eine Auflösung nach </w:t>
      </w:r>
      <w:hyperlink w:anchor="b106" w:history="1">
        <w:r>
          <w:rPr>
            <w:color w:val="0A3A8C"/>
            <w:u w:val="single"/>
          </w:rPr>
          <w:t xml:space="preserve">§ 87</w:t>
        </w:r>
      </w:hyperlink>
      <w:r>
        <w:t xml:space="preserve"> Absatz 1 Satz 1 vorlagen,</w:t>
      </w:r>
    </w:p>
    <w:p>
      <w:pPr>
        <w:tabs>
          <w:tab w:pos="567" w:val="left"/>
        </w:tabs>
        <w:ind w:left="567" w:hanging="567"/>
      </w:pPr>
      <w:r>
        <w:t>2.</w:t>
      </w:r>
      <w:r>
        <w:tab/>
      </w:r>
      <w:r>
        <w:t>der Zweck der übertragenden Stiftung im Wesentlichen mit einem Zweck der übernehmenden Stiftung übereinstimmt,</w:t>
      </w:r>
    </w:p>
    <w:p>
      <w:pPr>
        <w:tabs>
          <w:tab w:pos="567" w:val="left"/>
        </w:tabs>
        <w:ind w:left="567" w:hanging="567"/>
      </w:pPr>
      <w:r>
        <w:t>3.</w:t>
      </w:r>
      <w:r>
        <w:tab/>
      </w:r>
      <w:r>
        <w:t>gesichert erscheint, dass die übernehmende Stiftung ihren Zweck auch nach der Zulegung im Wesentlichen in gleicher Weise dauernd und nachhaltig erfüllen kann, und</w:t>
      </w:r>
    </w:p>
    <w:p>
      <w:pPr>
        <w:tabs>
          <w:tab w:pos="567" w:val="left"/>
        </w:tabs>
        <w:ind w:left="567" w:hanging="567"/>
      </w:pPr>
      <w:r>
        <w:t>4.</w:t>
      </w:r>
      <w:r>
        <w:tab/>
      </w:r>
      <w:r>
        <w:t>die Rechte von Personen gewahrt werden, für die in der Satzung der übertragenden Stiftung Ansprüche auf Stiftungsleistungen begründet sind.</w:t>
      </w:r>
    </w:p>
    <w:p>
      <w:pPr>
        <w:pStyle w:val="Heading5"/>
      </w:pPr>
      <w:bookmarkStart w:id="100" w:name="b98"/>
      <w:r>
        <w:t>§ 86a Voraussetzungen für die Zusammenlegung</w:t>
      </w:r>
      <w:r>
        <w:t xml:space="preserve"> </w:t>
      </w:r>
      <w:r>
        <w:rPr>
          <w:rStyle w:val="Suchmarke"/>
        </w:rPr>
        <w:t>#86a#</w:t>
      </w:r>
      <w:bookmarkEnd w:id="100"/>
    </w:p>
    <w:p>
      <w:r>
        <w:t>Mindestens zwei übertragende Stiftungen können durch Errichtung einer neuen Stiftung und Übertragung ihres jeweiligen Stiftungsvermögens als Ganzes auf die neue übernehmende Stiftung zusammengelegt werden, wenn</w:t>
      </w:r>
    </w:p>
    <w:p>
      <w:pPr>
        <w:tabs>
          <w:tab w:pos="567" w:val="left"/>
        </w:tabs>
        <w:ind w:left="567" w:hanging="567"/>
      </w:pPr>
      <w:r>
        <w:t>1.</w:t>
      </w:r>
      <w:r>
        <w:tab/>
      </w:r>
      <w:r>
        <w:t xml:space="preserve">sich die Verhältnisse nach Errichtung der übertragenden Stiftungen wesentlich verändert haben und eine Satzungsänderung nach </w:t>
      </w:r>
      <w:hyperlink w:anchor="b95" w:history="1">
        <w:r>
          <w:rPr>
            <w:color w:val="0A3A8C"/>
            <w:u w:val="single"/>
          </w:rPr>
          <w:t xml:space="preserve">§ 85</w:t>
        </w:r>
      </w:hyperlink>
      <w:r>
        <w:t xml:space="preserve"> Absatz 2 bis 4 nicht ausreicht, um die übertragenden Stiftungen an die veränderten Verhältnisse anzupassen, oder wenn schon seit Errichtung der Stiftung die Voraussetzungen für eine Auflösung nach </w:t>
      </w:r>
      <w:hyperlink w:anchor="b106" w:history="1">
        <w:r>
          <w:rPr>
            <w:color w:val="0A3A8C"/>
            <w:u w:val="single"/>
          </w:rPr>
          <w:t xml:space="preserve">§ 87</w:t>
        </w:r>
      </w:hyperlink>
      <w:r>
        <w:t xml:space="preserve"> Absatz 1 Satz 1 vorlagen,</w:t>
      </w:r>
    </w:p>
    <w:p>
      <w:pPr>
        <w:tabs>
          <w:tab w:pos="567" w:val="left"/>
        </w:tabs>
        <w:ind w:left="567" w:hanging="567"/>
      </w:pPr>
      <w:r>
        <w:t>2.</w:t>
      </w:r>
      <w:r>
        <w:tab/>
      </w:r>
      <w:r>
        <w:t>gesichert erscheint, dass die neue übernehmende Stiftung die Zwecke der übertragenden Stiftungen im Wesentlichen in gleicher Weise dauernd und nachhaltig erfüllen kann, und</w:t>
      </w:r>
    </w:p>
    <w:p>
      <w:pPr>
        <w:tabs>
          <w:tab w:pos="567" w:val="left"/>
        </w:tabs>
        <w:ind w:left="567" w:hanging="567"/>
      </w:pPr>
      <w:r>
        <w:t>3.</w:t>
      </w:r>
      <w:r>
        <w:tab/>
      </w:r>
      <w:r>
        <w:t>die Rechte von Personen gewahrt werden, für die in den Satzungen der übertragenden Stiftungen Ansprüche auf Stiftungsleistungen begründet sind.</w:t>
      </w:r>
    </w:p>
    <w:p>
      <w:pPr>
        <w:pStyle w:val="Heading5"/>
      </w:pPr>
      <w:bookmarkStart w:id="101" w:name="b99"/>
      <w:r>
        <w:t>§ 86b Verfahren der Zulegung und der Zusammenlegung</w:t>
      </w:r>
      <w:r>
        <w:t xml:space="preserve"> </w:t>
      </w:r>
      <w:r>
        <w:rPr>
          <w:rStyle w:val="Suchmarke"/>
        </w:rPr>
        <w:t>#86b#</w:t>
      </w:r>
      <w:bookmarkEnd w:id="101"/>
    </w:p>
    <w:p>
      <w:r>
        <w:t xml:space="preserve">(1) </w:t>
      </w:r>
      <w:r>
        <w:rPr>
          <w:rStyle w:val="Satznummer"/>
        </w:rPr>
        <w:t>1</w:t>
      </w:r>
      <w:r>
        <w:t xml:space="preserve">Stiftungen können durch Vertrag zugelegt oder zusammengelegt werden. </w:t>
      </w:r>
      <w:r>
        <w:rPr>
          <w:rStyle w:val="Satznummer"/>
        </w:rPr>
        <w:t>2</w:t>
      </w:r>
      <w:r>
        <w:t>Der Zulegungsvertrag oder der Zusammenlegungsvertrag bedarf der Genehmigung durch die für die übernehmende Stiftung nach Landesrecht zuständige Behörde.</w:t>
      </w:r>
    </w:p>
    <w:p>
      <w:r>
        <w:t xml:space="preserve">(2) </w:t>
      </w:r>
      <w:r>
        <w:rPr>
          <w:rStyle w:val="Satznummer"/>
        </w:rPr>
        <w:t>1</w:t>
      </w:r>
      <w:r>
        <w:t xml:space="preserve">Die Behörde nach Absatz 1 Satz 2 kann Stiftungen zulegen oder zusammenlegen, wenn die Stiftungen die Zulegung oder Zusammenlegung nicht vereinbaren können. </w:t>
      </w:r>
      <w:r>
        <w:rPr>
          <w:rStyle w:val="Satznummer"/>
        </w:rPr>
        <w:t>2</w:t>
      </w:r>
      <w:r>
        <w:t>Die übernehmende Stiftung muss einer Zulegung durch die Behörde zustimmen.</w:t>
      </w:r>
    </w:p>
    <w:p>
      <w:r>
        <w:t>(3) Ist nach Landesrecht für eine übertragende Stiftung eine andere Behörde zuständig als die Behörde nach Absatz 1 Satz 2, bedürfen die Genehmigung eines Zulegungsvertrags oder eines Zusammenlegungsvertrags und die behördliche Zulegung oder Zusammenlegung der Zustimmung der für die übertragenden Stiftungen nach dem jeweiligen Landesrecht zuständigen Behörden.</w:t>
      </w:r>
    </w:p>
    <w:p>
      <w:pPr>
        <w:pStyle w:val="Heading5"/>
      </w:pPr>
      <w:bookmarkStart w:id="102" w:name="b100"/>
      <w:r>
        <w:t>§ 86c Zulegungsvertrag und Zusammenlegungsvertrag</w:t>
      </w:r>
      <w:r>
        <w:t xml:space="preserve"> </w:t>
      </w:r>
      <w:r>
        <w:rPr>
          <w:rStyle w:val="Suchmarke"/>
        </w:rPr>
        <w:t>#86c#</w:t>
      </w:r>
      <w:bookmarkEnd w:id="102"/>
    </w:p>
    <w:p>
      <w:r>
        <w:t xml:space="preserve">(1) </w:t>
      </w:r>
      <w:r>
        <w:rPr>
          <w:rStyle w:val="Satznummer"/>
        </w:rPr>
        <w:t>1</w:t>
      </w:r>
      <w:r>
        <w:t>Ein Zulegungsvertrag muss mindestens enthalten:</w:t>
      </w:r>
    </w:p>
    <w:p>
      <w:pPr>
        <w:tabs>
          <w:tab w:pos="567" w:val="left"/>
        </w:tabs>
        <w:ind w:left="567" w:hanging="567"/>
      </w:pPr>
      <w:r>
        <w:t>1.</w:t>
      </w:r>
      <w:r>
        <w:tab/>
      </w:r>
      <w:r>
        <w:t>die Angabe des jeweiligen Namens und des jeweiligen Sitzes der beteiligten Stiftungen und</w:t>
      </w:r>
    </w:p>
    <w:p>
      <w:pPr>
        <w:tabs>
          <w:tab w:pos="567" w:val="left"/>
        </w:tabs>
        <w:ind w:left="567" w:hanging="567"/>
      </w:pPr>
      <w:r>
        <w:t>2.</w:t>
      </w:r>
      <w:r>
        <w:tab/>
      </w:r>
      <w:r>
        <w:t>die Vereinbarung, dass das Stiftungsvermögen der übertragenden Stiftung als Ganzes auf die übernehmende Stiftung übertragen werden soll und mit der Vermögensübertragung das Grundstockvermögen der übertragenden Stiftung Teil des Grundstockvermögens der übernehmenden Stiftung wird.</w:t>
      </w:r>
    </w:p>
    <w:p>
      <w:r>
        <w:rPr>
          <w:rStyle w:val="Satznummer"/>
        </w:rPr>
        <w:t>2</w:t>
      </w:r>
      <w:r>
        <w:t>Wenn durch die Satzung der übertragenden Stiftung für Personen Ansprüche auf Stiftungsleistungen begründet sind, muss der Zulegungsvertrag Angaben zu den Auswirkungen der Zulegung auf diese Ansprüche und zu den Maßnahmen enthalten, die vorgesehen sind, um die Rechte dieser Personen zu wahren.</w:t>
      </w:r>
    </w:p>
    <w:p>
      <w:r>
        <w:t>(2) Ein Zusammenlegungsvertrag muss mindestens die Angaben nach Absatz 1 enthalten sowie das Stiftungsgeschäft zur Errichtung der neuen übernehmenden Stiftung.</w:t>
      </w:r>
    </w:p>
    <w:p>
      <w:r>
        <w:t>(3) Der Zulegungsvertrag oder der Zusammenlegungsvertrag ist Personen nach Absatz 1 Satz 2 spätestens einen Monat vor der Beantragung der Genehmigung nach § 86b Absatz 1 Satz 2 von derjenigen Stiftung zuzuleiten, in deren Satzung die Ansprüche begründet sind.</w:t>
      </w:r>
    </w:p>
    <w:p>
      <w:pPr>
        <w:pStyle w:val="Heading5"/>
      </w:pPr>
      <w:bookmarkStart w:id="103" w:name="b101"/>
      <w:r>
        <w:t>§ 86d Form des Zulegungsvertrags und des Zusammenlegungsvertrags</w:t>
      </w:r>
      <w:r>
        <w:t xml:space="preserve"> </w:t>
      </w:r>
      <w:r>
        <w:rPr>
          <w:rStyle w:val="Suchmarke"/>
        </w:rPr>
        <w:t>#86d#</w:t>
      </w:r>
      <w:bookmarkEnd w:id="103"/>
    </w:p>
    <w:p>
      <w:r>
        <w:t xml:space="preserve">Zulegungsverträge und Zusammenlegungsverträge bedürfen nur der schriftlichen Form, insbesondere </w:t>
      </w:r>
      <w:hyperlink w:anchor="b366" w:history="1">
        <w:r>
          <w:rPr>
            <w:color w:val="0A3A8C"/>
            <w:u w:val="single"/>
          </w:rPr>
          <w:t xml:space="preserve">§ 311b</w:t>
        </w:r>
      </w:hyperlink>
      <w:r>
        <w:t xml:space="preserve"> Absatz 1 bis 3 ist nicht anzuwenden.</w:t>
      </w:r>
    </w:p>
    <w:p>
      <w:pPr>
        <w:pStyle w:val="Heading5"/>
      </w:pPr>
      <w:bookmarkStart w:id="104" w:name="b102"/>
      <w:r>
        <w:t>§ 86e Behördliche Zulegungsentscheidung und Zusammenlegungsentscheidung</w:t>
      </w:r>
      <w:r>
        <w:t xml:space="preserve"> </w:t>
      </w:r>
      <w:r>
        <w:rPr>
          <w:rStyle w:val="Suchmarke"/>
        </w:rPr>
        <w:t>#86e#</w:t>
      </w:r>
      <w:bookmarkEnd w:id="104"/>
    </w:p>
    <w:p>
      <w:r>
        <w:t xml:space="preserve">(1) Auf den Inhalt der Entscheidungen über die Zulegung oder Zusammenlegung von Stiftungen durch die nach Landesrecht zuständige Behörde ist </w:t>
      </w:r>
      <w:hyperlink w:anchor="b100" w:history="1">
        <w:r>
          <w:rPr>
            <w:color w:val="0A3A8C"/>
            <w:u w:val="single"/>
          </w:rPr>
          <w:t xml:space="preserve">§ 86c</w:t>
        </w:r>
      </w:hyperlink>
      <w:r>
        <w:t xml:space="preserve"> Absatz 1 und 2 entsprechend anzuwenden.</w:t>
      </w:r>
    </w:p>
    <w:p>
      <w:r>
        <w:t xml:space="preserve">(2) Die Behörde hat Personen nach </w:t>
      </w:r>
      <w:hyperlink w:anchor="b100" w:history="1">
        <w:r>
          <w:rPr>
            <w:color w:val="0A3A8C"/>
            <w:u w:val="single"/>
          </w:rPr>
          <w:t xml:space="preserve">§ 86c</w:t>
        </w:r>
      </w:hyperlink>
      <w:r>
        <w:t xml:space="preserve"> Absatz 1 Satz 2 mindestens einen Monat vor der Entscheidung über die Zulegung oder Zusammenlegung anzuhören und auf die möglichen Folgen der Zulegung oder Zusammenlegung für deren Ansprüche gegen eine übertragende Stiftung hinzuweisen.</w:t>
      </w:r>
    </w:p>
    <w:p>
      <w:pPr>
        <w:pStyle w:val="Heading5"/>
      </w:pPr>
      <w:bookmarkStart w:id="105" w:name="b103"/>
      <w:r>
        <w:t>§ 86f Wirkungen der Zulegung und der Zusammenlegung</w:t>
      </w:r>
      <w:r>
        <w:t xml:space="preserve"> </w:t>
      </w:r>
      <w:r>
        <w:rPr>
          <w:rStyle w:val="Suchmarke"/>
        </w:rPr>
        <w:t>#86f#</w:t>
      </w:r>
      <w:bookmarkEnd w:id="105"/>
    </w:p>
    <w:p>
      <w:r>
        <w:t>(1) Mit der Unanfechtbarkeit der Genehmigung des Zulegungsvertrags oder der Unanfechtbarkeit der Entscheidung über die Zulegung durch die nach Landesrecht zuständige Behörde geht das Stiftungsvermögen der übertragenden Stiftung auf die übernehmende Stiftung über und erlischt die übertragende Stiftung.</w:t>
      </w:r>
    </w:p>
    <w:p>
      <w:r>
        <w:t>(2) Mit der Unanfechtbarkeit der Genehmigung des Zusammenlegungsvertrags oder der Unanfechtbarkeit der Entscheidung über die Zusammenlegung durch die Behörde entsteht die neue Stiftung, geht das Stiftungsvermögen der übertragenden Stiftungen auf die neue übernehmende Stiftung über und erlöschen die übertragenden Stiftungen.</w:t>
      </w:r>
    </w:p>
    <w:p>
      <w:r>
        <w:t>(3) Mängel des Zulegungsvertrags oder des Zusammenlegungsvertrags lassen die Wirkungen der behördlichen Genehmigung unberührt.</w:t>
      </w:r>
    </w:p>
    <w:p>
      <w:pPr>
        <w:pStyle w:val="Heading5"/>
      </w:pPr>
      <w:bookmarkStart w:id="106" w:name="b104"/>
      <w:r>
        <w:t>§ 86g Bekanntmachung der Zulegung und der Zusammenlegung</w:t>
      </w:r>
      <w:r>
        <w:t xml:space="preserve"> </w:t>
      </w:r>
      <w:r>
        <w:rPr>
          <w:rStyle w:val="Suchmarke"/>
        </w:rPr>
        <w:t>#86g#</w:t>
      </w:r>
      <w:bookmarkEnd w:id="106"/>
    </w:p>
    <w:p>
      <w:r>
        <w:rPr>
          <w:rStyle w:val="Satznummer"/>
        </w:rPr>
        <w:t>1</w:t>
      </w:r>
      <w:r>
        <w:t xml:space="preserve">Die übernehmende Stiftung hat die Zulegung oder die Zusammenlegung innerhalb eines Monats nach dem Zeitpunkt, zu dem die Wirkungen der Zulegung oder Zusammenlegung nach </w:t>
      </w:r>
      <w:hyperlink w:anchor="b103" w:history="1">
        <w:r>
          <w:rPr>
            <w:color w:val="0A3A8C"/>
            <w:u w:val="single"/>
          </w:rPr>
          <w:t xml:space="preserve">§ 86f</w:t>
        </w:r>
      </w:hyperlink>
      <w:r>
        <w:t xml:space="preserve"> Absatz 1 oder Absatz 2 eingetreten sind, durch Veröffentlichung im Bundesanzeiger bekannt zu machen. </w:t>
      </w:r>
      <w:r>
        <w:rPr>
          <w:rStyle w:val="Satznummer"/>
        </w:rPr>
        <w:t>2</w:t>
      </w:r>
      <w:r>
        <w:t xml:space="preserve">In der Bekanntmachung sind die Gläubiger der an der Zulegung oder Zusammenlegung beteiligten Stiftungen auf ihr Recht nach </w:t>
      </w:r>
      <w:hyperlink w:anchor="b105" w:history="1">
        <w:r>
          <w:rPr>
            <w:color w:val="0A3A8C"/>
            <w:u w:val="single"/>
          </w:rPr>
          <w:t xml:space="preserve">§ 86h</w:t>
        </w:r>
      </w:hyperlink>
      <w:r>
        <w:t xml:space="preserve"> hinzuweisen. </w:t>
      </w:r>
      <w:r>
        <w:rPr>
          <w:rStyle w:val="Satznummer"/>
        </w:rPr>
        <w:t>3</w:t>
      </w:r>
      <w:r>
        <w:t>Die Bekanntmachung gilt mit dem Ablauf des zweiten Tages nach der Veröffentlichung im Bundesanzeiger als bewirkt.</w:t>
      </w:r>
    </w:p>
    <w:p>
      <w:pPr>
        <w:pStyle w:val="Heading5"/>
      </w:pPr>
      <w:bookmarkStart w:id="107" w:name="b105"/>
      <w:r>
        <w:t>§ 86h Gläubigerschutz</w:t>
      </w:r>
      <w:r>
        <w:t xml:space="preserve"> </w:t>
      </w:r>
      <w:r>
        <w:rPr>
          <w:rStyle w:val="Suchmarke"/>
        </w:rPr>
        <w:t>#86h#</w:t>
      </w:r>
      <w:bookmarkEnd w:id="107"/>
    </w:p>
    <w:p>
      <w:r>
        <w:t xml:space="preserve">Die übernehmende Stiftung hat einem Gläubiger nach </w:t>
      </w:r>
      <w:hyperlink w:anchor="b104" w:history="1">
        <w:r>
          <w:rPr>
            <w:color w:val="0A3A8C"/>
            <w:u w:val="single"/>
          </w:rPr>
          <w:t xml:space="preserve">§ 86g</w:t>
        </w:r>
      </w:hyperlink>
      <w:r>
        <w:t xml:space="preserve"> Satz 2 für einen Anspruch, der vor dem Zeitpunkt entstanden ist, zu dem die Wirkungen der Zulegung oder Zusammenlegung nach </w:t>
      </w:r>
      <w:hyperlink w:anchor="b103" w:history="1">
        <w:r>
          <w:rPr>
            <w:color w:val="0A3A8C"/>
            <w:u w:val="single"/>
          </w:rPr>
          <w:t xml:space="preserve">§ 86f</w:t>
        </w:r>
      </w:hyperlink>
      <w:r>
        <w:t xml:space="preserve"> Absatz 1 oder Absatz 2 eingetreten sind, und dessen Erfüllung noch nicht verlangt werden kann, Sicherheit zu leisten, wenn der Gläubiger</w:t>
      </w:r>
    </w:p>
    <w:p>
      <w:pPr>
        <w:tabs>
          <w:tab w:pos="567" w:val="left"/>
        </w:tabs>
        <w:ind w:left="567" w:hanging="567"/>
      </w:pPr>
      <w:r>
        <w:t>1.</w:t>
      </w:r>
      <w:r>
        <w:tab/>
      </w:r>
      <w:r>
        <w:t>den Anspruch nach Grund und Höhe binnen sechs Monaten nach dem Tag, an dem die Zulegung oder Zusammenlegung bekanntgemacht wurde, bei der Stiftung schriftlich anmeldet und</w:t>
      </w:r>
    </w:p>
    <w:p>
      <w:pPr>
        <w:tabs>
          <w:tab w:pos="567" w:val="left"/>
        </w:tabs>
        <w:ind w:left="567" w:hanging="567"/>
      </w:pPr>
      <w:r>
        <w:t>2.</w:t>
      </w:r>
      <w:r>
        <w:tab/>
      </w:r>
      <w:r>
        <w:t>mit der Anmeldung glaubhaft macht, dass die Erfüllung des Anspruchs aufgrund der Zulegung oder Zusammenlegung gefährdet ist.</w:t>
      </w:r>
    </w:p>
    <w:p>
      <w:pPr>
        <w:pStyle w:val="Heading5"/>
      </w:pPr>
      <w:bookmarkStart w:id="108" w:name="b106"/>
      <w:r>
        <w:t>§ 87 Auflösung der Stiftung durch die Stiftungsorgane</w:t>
      </w:r>
      <w:r>
        <w:t xml:space="preserve"> </w:t>
      </w:r>
      <w:r>
        <w:rPr>
          <w:rStyle w:val="Suchmarke"/>
        </w:rPr>
        <w:t>#87#</w:t>
      </w:r>
      <w:bookmarkEnd w:id="108"/>
    </w:p>
    <w:p>
      <w:r>
        <w:t xml:space="preserve">(1) </w:t>
      </w:r>
      <w:r>
        <w:rPr>
          <w:rStyle w:val="Satznummer"/>
        </w:rPr>
        <w:t>1</w:t>
      </w:r>
      <w:r>
        <w:t xml:space="preserve">Der Vorstand soll die Stiftung auflösen, wenn die Stiftung ihren Zweck endgültig nicht mehr dauernd und nachhaltig erfüllen kann. </w:t>
      </w:r>
      <w:r>
        <w:rPr>
          <w:rStyle w:val="Satznummer"/>
        </w:rPr>
        <w:t>2</w:t>
      </w:r>
      <w:r>
        <w:t xml:space="preserve">Die Voraussetzungen des Satzes 1 liegen nicht endgültig vor, wenn die Stiftung durch eine Satzungsänderung so umgestaltet werden kann, dass sie ihren Zweck wieder dauernd und nachhaltig erfüllen kann. </w:t>
      </w:r>
      <w:r>
        <w:rPr>
          <w:rStyle w:val="Satznummer"/>
        </w:rPr>
        <w:t>3</w:t>
      </w:r>
      <w:r>
        <w:t>In der Satzung kann geregelt werden, dass ein anderes Organ über die Auflösung entscheidet.</w:t>
      </w:r>
    </w:p>
    <w:p>
      <w:r>
        <w:t>(2) Eine Verbrauchsstiftung ist aufzulösen, wenn die Zeit, für die sie errichtet wurde, abgelaufen ist.</w:t>
      </w:r>
    </w:p>
    <w:p>
      <w:r>
        <w:t>(3) Die Auflösung einer Stiftung bedarf der Genehmigung der nach Landesrecht zuständigen Behörde.</w:t>
      </w:r>
    </w:p>
    <w:p>
      <w:pPr>
        <w:pStyle w:val="Heading5"/>
      </w:pPr>
      <w:bookmarkStart w:id="109" w:name="b107"/>
      <w:r>
        <w:t>§ 87a Aufhebung der Stiftung</w:t>
      </w:r>
      <w:r>
        <w:t xml:space="preserve"> </w:t>
      </w:r>
      <w:r>
        <w:rPr>
          <w:rStyle w:val="Suchmarke"/>
        </w:rPr>
        <w:t>#87a#</w:t>
      </w:r>
      <w:bookmarkEnd w:id="109"/>
    </w:p>
    <w:p>
      <w:r>
        <w:t xml:space="preserve">(1) Die nach Landesrecht zuständige Behörde soll eine Stiftung aufheben, wenn die Voraussetzungen des </w:t>
      </w:r>
      <w:hyperlink w:anchor="b106" w:history="1">
        <w:r>
          <w:rPr>
            <w:color w:val="0A3A8C"/>
            <w:u w:val="single"/>
          </w:rPr>
          <w:t xml:space="preserve">§ 87</w:t>
        </w:r>
      </w:hyperlink>
      <w:r>
        <w:t xml:space="preserve"> Absatz 1 Satz 1 vorliegen und ein Tätigwerden der Behörde erforderlich ist, weil das zuständige Organ über die Auflösung nicht rechtzeitig entscheidet.</w:t>
      </w:r>
    </w:p>
    <w:p>
      <w:r>
        <w:t>(2) Die nach Landesrecht zuständige Behörde hat die Stiftung aufzuheben, wenn</w:t>
      </w:r>
    </w:p>
    <w:p>
      <w:pPr>
        <w:tabs>
          <w:tab w:pos="567" w:val="left"/>
        </w:tabs>
        <w:ind w:left="567" w:hanging="567"/>
      </w:pPr>
      <w:r>
        <w:t>1.</w:t>
      </w:r>
      <w:r>
        <w:tab/>
      </w:r>
      <w:r>
        <w:t xml:space="preserve">die Voraussetzungen des </w:t>
      </w:r>
      <w:hyperlink w:anchor="b106" w:history="1">
        <w:r>
          <w:rPr>
            <w:color w:val="0A3A8C"/>
            <w:u w:val="single"/>
          </w:rPr>
          <w:t xml:space="preserve">§ 87</w:t>
        </w:r>
      </w:hyperlink>
      <w:r>
        <w:t xml:space="preserve"> Absatz 2 vorliegen und ein Tätigwerden der Behörde erforderlich ist, weil das zuständige Organ über die Auflösung nicht unverzüglich entscheidet,</w:t>
      </w:r>
    </w:p>
    <w:p>
      <w:pPr>
        <w:tabs>
          <w:tab w:pos="567" w:val="left"/>
        </w:tabs>
        <w:ind w:left="567" w:hanging="567"/>
      </w:pPr>
      <w:r>
        <w:t>2.</w:t>
      </w:r>
      <w:r>
        <w:tab/>
      </w:r>
      <w:r>
        <w:t>die Stiftung das Gemeinwohl gefährdet und die Gefährdung des Gemeinwohls nicht auf andere Weise beseitigt werden kann oder</w:t>
      </w:r>
    </w:p>
    <w:p>
      <w:pPr>
        <w:tabs>
          <w:tab w:pos="567" w:val="left"/>
        </w:tabs>
        <w:ind w:left="567" w:hanging="567"/>
      </w:pPr>
      <w:r>
        <w:t>3.</w:t>
      </w:r>
      <w:r>
        <w:tab/>
      </w:r>
      <w:r>
        <w:t>der Verwaltungssitz der Stiftung im Ausland begründet wurde und die Behörde die Verlegung des Verwaltungssitzes ins Inland nicht innerhalb angemessener Zeit erreichen kann.</w:t>
      </w:r>
    </w:p>
    <w:p>
      <w:pPr>
        <w:pStyle w:val="Heading5"/>
      </w:pPr>
      <w:bookmarkStart w:id="110" w:name="b108"/>
      <w:r>
        <w:t>§ 87b Auflösung der Stiftung bei Insolvenz</w:t>
      </w:r>
      <w:r>
        <w:t xml:space="preserve"> </w:t>
      </w:r>
      <w:r>
        <w:rPr>
          <w:rStyle w:val="Suchmarke"/>
        </w:rPr>
        <w:t>#87b#</w:t>
      </w:r>
      <w:bookmarkEnd w:id="110"/>
    </w:p>
    <w:p>
      <w:r>
        <w:t>Die Stiftung wird durch die Eröffnung des Insolvenzverfahrens und mit der Rechtskraft des Beschlusses, durch den die Eröffnung des Insolvenzverfahrens mangels Masse abgewiesen worden ist, aufgelöst.</w:t>
      </w:r>
    </w:p>
    <w:p>
      <w:pPr>
        <w:pStyle w:val="Heading5"/>
      </w:pPr>
      <w:bookmarkStart w:id="111" w:name="b109"/>
      <w:r>
        <w:t>§ 87c Vermögensanfall und Liquidation</w:t>
      </w:r>
      <w:r>
        <w:t xml:space="preserve"> </w:t>
      </w:r>
      <w:r>
        <w:rPr>
          <w:rStyle w:val="Suchmarke"/>
        </w:rPr>
        <w:t>#87c#</w:t>
      </w:r>
      <w:bookmarkEnd w:id="111"/>
    </w:p>
    <w:p>
      <w:r>
        <w:t xml:space="preserve">(1) </w:t>
      </w:r>
      <w:r>
        <w:rPr>
          <w:rStyle w:val="Satznummer"/>
        </w:rPr>
        <w:t>1</w:t>
      </w:r>
      <w:r>
        <w:t xml:space="preserve">Mit der Auflösung oder Aufhebung der Stiftung fällt das Stiftungsvermögen an die in der Satzung bestimmten Anfallberechtigten. </w:t>
      </w:r>
      <w:r>
        <w:rPr>
          <w:rStyle w:val="Satznummer"/>
        </w:rPr>
        <w:t>2</w:t>
      </w:r>
      <w:r>
        <w:t xml:space="preserve">Durch die Satzung kann vorgesehen werden, dass die Anfallberechtigten durch ein Stiftungsorgan bestimmt werden. </w:t>
      </w:r>
      <w:r>
        <w:rPr>
          <w:rStyle w:val="Satznummer"/>
        </w:rPr>
        <w:t>3</w:t>
      </w:r>
      <w:r>
        <w:t xml:space="preserve">Fehlt es an der Bestimmung der Anfallberechtigten durch oder aufgrund der Satzung, fällt das Stiftungsvermögen an den Fiskus des Landes, in dem die Stiftung ihren Sitz hatte. </w:t>
      </w:r>
      <w:r>
        <w:rPr>
          <w:rStyle w:val="Satznummer"/>
        </w:rPr>
        <w:t>4</w:t>
      </w:r>
      <w:r>
        <w:t>Durch landesrechtliche Vorschriften kann als Anfallberechtigte an Stelle des Fiskus eine andere juristische Person des öffentlichen Rechts bestimmt werden.</w:t>
      </w:r>
    </w:p>
    <w:p>
      <w:r>
        <w:t xml:space="preserve">(2) </w:t>
      </w:r>
      <w:r>
        <w:rPr>
          <w:rStyle w:val="Satznummer"/>
        </w:rPr>
        <w:t>1</w:t>
      </w:r>
      <w:r>
        <w:t xml:space="preserve">Auf den Anfall des Stiftungsvermögens beim Fiskus des Landes oder des Bundes oder bei einer anderen juristischen Person des öffentlichen Rechts nach Absatz 1 Satz 4 ist </w:t>
      </w:r>
      <w:hyperlink w:anchor="b45" w:history="1">
        <w:r>
          <w:rPr>
            <w:color w:val="0A3A8C"/>
            <w:u w:val="single"/>
          </w:rPr>
          <w:t xml:space="preserve">§ 46</w:t>
        </w:r>
      </w:hyperlink>
      <w:r>
        <w:t xml:space="preserve"> entsprechend anzuwenden. </w:t>
      </w:r>
      <w:r>
        <w:rPr>
          <w:rStyle w:val="Satznummer"/>
        </w:rPr>
        <w:t>2</w:t>
      </w:r>
      <w:r>
        <w:t xml:space="preserve">Fällt das Stiftungsvermögen bei anderen Anfallberechtigten an, sind die </w:t>
      </w:r>
      <w:hyperlink w:anchor="b46" w:history="1">
        <w:r>
          <w:rPr>
            <w:color w:val="0A3A8C"/>
            <w:u w:val="single"/>
          </w:rPr>
          <w:t xml:space="preserve">§§ 47</w:t>
        </w:r>
      </w:hyperlink>
      <w:r>
        <w:t xml:space="preserve"> bis </w:t>
      </w:r>
      <w:hyperlink w:anchor="b53" w:history="1">
        <w:r>
          <w:rPr>
            <w:color w:val="0A3A8C"/>
            <w:u w:val="single"/>
          </w:rPr>
          <w:t xml:space="preserve">53</w:t>
        </w:r>
      </w:hyperlink>
      <w:r>
        <w:t xml:space="preserve"> entsprechend anzuwenden.</w:t>
      </w:r>
    </w:p>
    <w:p>
      <w:pPr>
        <w:pStyle w:val="Heading5"/>
      </w:pPr>
      <w:bookmarkStart w:id="112" w:name="b110"/>
      <w:r>
        <w:t>§ 88 Kirchliche Stiftungen</w:t>
      </w:r>
      <w:r>
        <w:t xml:space="preserve"> </w:t>
      </w:r>
      <w:r>
        <w:rPr>
          <w:rStyle w:val="Suchmarke"/>
        </w:rPr>
        <w:t>#88#</w:t>
      </w:r>
      <w:bookmarkEnd w:id="112"/>
    </w:p>
    <w:p>
      <w:r>
        <w:rPr>
          <w:rStyle w:val="Satznummer"/>
        </w:rPr>
        <w:t>1</w:t>
      </w:r>
      <w:r>
        <w:t xml:space="preserve">Die Vorschriften der Landesgesetze über die kirchlichen Stiftungen bleiben unberührt, insbesondere die Vorschriften zur Beteiligung, Zuständigkeit und Anfallsberechtigung der Kirchen. </w:t>
      </w:r>
      <w:r>
        <w:rPr>
          <w:rStyle w:val="Satznummer"/>
        </w:rPr>
        <w:t>2</w:t>
      </w:r>
      <w:r>
        <w:t>Dasselbe gilt entsprechend für Stiftungen, die nach den Landesgesetzen kirchlichen Stiftungen gleichgestellt sind.</w:t>
      </w:r>
    </w:p>
    <w:p>
      <w:pPr>
        <w:pStyle w:val="Heading4"/>
      </w:pPr>
      <w:bookmarkStart w:id="113" w:name="b111"/>
      <w:r>
        <w:t>Untertitel 3 Juristische Personen des öffentlichen Rechts</w:t>
      </w:r>
      <w:bookmarkEnd w:id="113"/>
    </w:p>
    <w:p>
      <w:pPr>
        <w:pStyle w:val="Heading5"/>
      </w:pPr>
      <w:bookmarkStart w:id="114" w:name="b112"/>
      <w:r>
        <w:t>§ 89 Haftung für Organe; Insolvenz</w:t>
      </w:r>
      <w:r>
        <w:t xml:space="preserve"> </w:t>
      </w:r>
      <w:r>
        <w:rPr>
          <w:rStyle w:val="Suchmarke"/>
        </w:rPr>
        <w:t>#89#</w:t>
      </w:r>
      <w:bookmarkEnd w:id="114"/>
    </w:p>
    <w:p>
      <w:r>
        <w:t xml:space="preserve">(1) Die Vorschrift des </w:t>
      </w:r>
      <w:hyperlink w:anchor="b28" w:history="1">
        <w:r>
          <w:rPr>
            <w:color w:val="0A3A8C"/>
            <w:u w:val="single"/>
          </w:rPr>
          <w:t xml:space="preserve">§ 31</w:t>
        </w:r>
      </w:hyperlink>
      <w:r>
        <w:t xml:space="preserve"> findet auf den Fiskus sowie auf die Körperschaften, Stiftungen und Anstalten des öffentlichen Rechts entsprechende Anwendung.</w:t>
      </w:r>
    </w:p>
    <w:p>
      <w:r>
        <w:t xml:space="preserve">(2) Das Gleiche gilt, soweit bei Körperschaften, Stiftungen und Anstalten des öffentlichen Rechts das Insolvenzverfahren zulässig ist, von der Vorschrift des </w:t>
      </w:r>
      <w:hyperlink w:anchor="b41" w:history="1">
        <w:r>
          <w:rPr>
            <w:color w:val="0A3A8C"/>
            <w:u w:val="single"/>
          </w:rPr>
          <w:t xml:space="preserve">§ 42</w:t>
        </w:r>
      </w:hyperlink>
      <w:r>
        <w:t xml:space="preserve"> Abs. 2.</w:t>
      </w:r>
    </w:p>
    <w:p>
      <w:pPr>
        <w:pStyle w:val="Heading2"/>
      </w:pPr>
      <w:bookmarkStart w:id="115" w:name="b113"/>
      <w:r>
        <w:t>Abschnitt 2 Sachen und Tiere</w:t>
      </w:r>
      <w:bookmarkEnd w:id="115"/>
    </w:p>
    <w:p>
      <w:pPr>
        <w:pStyle w:val="Heading3"/>
      </w:pPr>
      <w:bookmarkStart w:id="116" w:name="b114"/>
      <w:r>
        <w:t>§ 90 Begriff der Sache</w:t>
      </w:r>
      <w:r>
        <w:t xml:space="preserve"> </w:t>
      </w:r>
      <w:r>
        <w:rPr>
          <w:rStyle w:val="Suchmarke"/>
        </w:rPr>
        <w:t>#90#</w:t>
      </w:r>
      <w:bookmarkEnd w:id="116"/>
    </w:p>
    <w:p>
      <w:r>
        <w:t>Sachen im Sinne des Gesetzes sind nur körperliche Gegenstände.</w:t>
      </w:r>
    </w:p>
    <w:p>
      <w:pPr>
        <w:pStyle w:val="Heading3"/>
      </w:pPr>
      <w:bookmarkStart w:id="117" w:name="b115"/>
      <w:r>
        <w:t>§ 90a Tiere</w:t>
      </w:r>
      <w:r>
        <w:t xml:space="preserve"> </w:t>
      </w:r>
      <w:r>
        <w:rPr>
          <w:rStyle w:val="Suchmarke"/>
        </w:rPr>
        <w:t>#90a#</w:t>
      </w:r>
      <w:bookmarkEnd w:id="117"/>
    </w:p>
    <w:p>
      <w:r>
        <w:rPr>
          <w:rStyle w:val="Satznummer"/>
        </w:rPr>
        <w:t>1</w:t>
      </w:r>
      <w:r>
        <w:t xml:space="preserve">Tiere sind keine Sachen. </w:t>
      </w:r>
      <w:r>
        <w:rPr>
          <w:rStyle w:val="Satznummer"/>
        </w:rPr>
        <w:t>2</w:t>
      </w:r>
      <w:r>
        <w:t xml:space="preserve">Sie werden durch besondere Gesetze geschützt. </w:t>
      </w:r>
      <w:r>
        <w:rPr>
          <w:rStyle w:val="Satznummer"/>
        </w:rPr>
        <w:t>3</w:t>
      </w:r>
      <w:r>
        <w:t>Auf sie sind die für Sachen geltenden Vorschriften entsprechend anzuwenden, soweit nicht etwas anderes bestimmt ist.</w:t>
      </w:r>
    </w:p>
    <w:p>
      <w:pPr>
        <w:pStyle w:val="Heading3"/>
      </w:pPr>
      <w:bookmarkStart w:id="118" w:name="b116"/>
      <w:r>
        <w:t>§ 91 Vertretbare Sachen</w:t>
      </w:r>
      <w:r>
        <w:t xml:space="preserve"> </w:t>
      </w:r>
      <w:r>
        <w:rPr>
          <w:rStyle w:val="Suchmarke"/>
        </w:rPr>
        <w:t>#91#</w:t>
      </w:r>
      <w:bookmarkEnd w:id="118"/>
    </w:p>
    <w:p>
      <w:r>
        <w:t>Vertretbare Sachen im Sinne des Gesetzes sind bewegliche Sachen, die im Verkehr nach Zahl, Maß oder Gewicht bestimmt zu werden pflegen.</w:t>
      </w:r>
    </w:p>
    <w:p>
      <w:pPr>
        <w:pStyle w:val="Heading3"/>
      </w:pPr>
      <w:bookmarkStart w:id="119" w:name="b117"/>
      <w:r>
        <w:t>§ 92 Verbrauchbare Sachen</w:t>
      </w:r>
      <w:r>
        <w:t xml:space="preserve"> </w:t>
      </w:r>
      <w:r>
        <w:rPr>
          <w:rStyle w:val="Suchmarke"/>
        </w:rPr>
        <w:t>#92#</w:t>
      </w:r>
      <w:bookmarkEnd w:id="119"/>
    </w:p>
    <w:p>
      <w:r>
        <w:t>(1) Verbrauchbare Sachen im Sinne des Gesetzes sind bewegliche Sachen, deren bestimmungsmäßiger Gebrauch in dem Verbrauch oder in der Veräußerung besteht.</w:t>
      </w:r>
    </w:p>
    <w:p>
      <w:r>
        <w:t>(2) Als verbrauchbar gelten auch bewegliche Sachen, die zu einem Warenlager oder zu einem sonstigen Sachinbegriff gehören, dessen bestimmungsmäßiger Gebrauch in der Veräußerung der einzelnen Sachen besteht.</w:t>
      </w:r>
    </w:p>
    <w:p>
      <w:pPr>
        <w:pStyle w:val="Heading3"/>
      </w:pPr>
      <w:bookmarkStart w:id="120" w:name="b118"/>
      <w:r>
        <w:t>§ 93 Wesentliche Bestandteile einer Sache</w:t>
      </w:r>
      <w:r>
        <w:t xml:space="preserve"> </w:t>
      </w:r>
      <w:r>
        <w:rPr>
          <w:rStyle w:val="Suchmarke"/>
        </w:rPr>
        <w:t>#93#</w:t>
      </w:r>
      <w:bookmarkEnd w:id="120"/>
    </w:p>
    <w:p>
      <w:r>
        <w:t>Bestandteile einer Sache, die voneinander nicht getrennt werden können, ohne dass der eine oder der andere zerstört oder in seinem Wesen verändert wird (wesentliche Bestandteile), können nicht Gegenstand besonderer Rechte sein.</w:t>
      </w:r>
    </w:p>
    <w:p>
      <w:pPr>
        <w:pStyle w:val="Heading3"/>
      </w:pPr>
      <w:bookmarkStart w:id="121" w:name="b119"/>
      <w:r>
        <w:t>§ 94 Wesentliche Bestandteile eines Grundstücks oder Gebäudes</w:t>
      </w:r>
      <w:r>
        <w:t xml:space="preserve"> </w:t>
      </w:r>
      <w:r>
        <w:rPr>
          <w:rStyle w:val="Suchmarke"/>
        </w:rPr>
        <w:t>#94#</w:t>
      </w:r>
      <w:bookmarkEnd w:id="121"/>
    </w:p>
    <w:p>
      <w:r>
        <w:t xml:space="preserve">(1) </w:t>
      </w:r>
      <w:r>
        <w:rPr>
          <w:rStyle w:val="Satznummer"/>
        </w:rPr>
        <w:t>1</w:t>
      </w:r>
      <w:r>
        <w:t xml:space="preserve">Zu den wesentlichen Bestandteilen eines Grundstücks gehören die mit dem Grund und Boden fest verbundenen Sachen, insbesondere Gebäude, sowie die Erzeugnisse des Grundstücks, solange sie mit dem Boden zusammenhängen. </w:t>
      </w:r>
      <w:r>
        <w:rPr>
          <w:rStyle w:val="Satznummer"/>
        </w:rPr>
        <w:t>2</w:t>
      </w:r>
      <w:r>
        <w:t>Samen wird mit dem Aussäen, eine Pflanze wird mit dem Einpflanzen wesentlicher Bestandteil des Grundstücks.</w:t>
      </w:r>
    </w:p>
    <w:p>
      <w:r>
        <w:t>(2) Zu den wesentlichen Bestandteilen eines Gebäudes gehören die zur Herstellung des Gebäudes eingefügten Sachen.</w:t>
      </w:r>
    </w:p>
    <w:p>
      <w:pPr>
        <w:pStyle w:val="Heading3"/>
      </w:pPr>
      <w:bookmarkStart w:id="122" w:name="b120"/>
      <w:r>
        <w:t>§ 95 Nur vorübergehender Zweck</w:t>
      </w:r>
      <w:r>
        <w:t xml:space="preserve"> </w:t>
      </w:r>
      <w:r>
        <w:rPr>
          <w:rStyle w:val="Suchmarke"/>
        </w:rPr>
        <w:t>#95#</w:t>
      </w:r>
      <w:bookmarkEnd w:id="122"/>
    </w:p>
    <w:p>
      <w:r>
        <w:t xml:space="preserve">(1) </w:t>
      </w:r>
      <w:r>
        <w:rPr>
          <w:rStyle w:val="Satznummer"/>
        </w:rPr>
        <w:t>1</w:t>
      </w:r>
      <w:r>
        <w:t xml:space="preserve">Zu den Bestandteilen eines Grundstücks gehören solche Sachen nicht, die nur zu einem vorübergehenden Zweck mit dem Grund und Boden verbunden sind. </w:t>
      </w:r>
      <w:r>
        <w:rPr>
          <w:rStyle w:val="Satznummer"/>
        </w:rPr>
        <w:t>2</w:t>
      </w:r>
      <w:r>
        <w:t>Das Gleiche gilt von einem Gebäude oder anderen Werk, das in Ausübung eines Rechts an einem fremden Grundstück von dem Berechtigten mit dem Grundstück verbunden worden ist.</w:t>
      </w:r>
    </w:p>
    <w:p>
      <w:r>
        <w:t>(2) Sachen, die nur zu einem vorübergehenden Zwecke in ein Gebäude eingefügt sind, gehören nicht zu den Bestandteilen des Gebäudes.</w:t>
      </w:r>
    </w:p>
    <w:p>
      <w:pPr>
        <w:pStyle w:val="Heading3"/>
      </w:pPr>
      <w:bookmarkStart w:id="123" w:name="b121"/>
      <w:r>
        <w:t>§ 96 Rechte als Bestandteile eines Grundstücks</w:t>
      </w:r>
      <w:r>
        <w:t xml:space="preserve"> </w:t>
      </w:r>
      <w:r>
        <w:rPr>
          <w:rStyle w:val="Suchmarke"/>
        </w:rPr>
        <w:t>#96#</w:t>
      </w:r>
      <w:bookmarkEnd w:id="123"/>
    </w:p>
    <w:p>
      <w:r>
        <w:t>Rechte, die mit dem Eigentum an einem Grundstück verbunden sind, gelten als Bestandteile des Grundstücks.</w:t>
      </w:r>
    </w:p>
    <w:p>
      <w:pPr>
        <w:pStyle w:val="Heading3"/>
      </w:pPr>
      <w:bookmarkStart w:id="124" w:name="b122"/>
      <w:r>
        <w:t>§ 97 Zubehör</w:t>
      </w:r>
      <w:r>
        <w:t xml:space="preserve"> </w:t>
      </w:r>
      <w:r>
        <w:rPr>
          <w:rStyle w:val="Suchmarke"/>
        </w:rPr>
        <w:t>#97#</w:t>
      </w:r>
      <w:bookmarkEnd w:id="124"/>
    </w:p>
    <w:p>
      <w:r>
        <w:t xml:space="preserve">(1) </w:t>
      </w:r>
      <w:r>
        <w:rPr>
          <w:rStyle w:val="Satznummer"/>
        </w:rPr>
        <w:t>1</w:t>
      </w:r>
      <w:r>
        <w:t xml:space="preserve">Zubehör sind bewegliche Sachen, die, ohne Bestandteile der Hauptsache zu sein, dem wirtschaftlichen Zwecke der Hauptsache zu dienen bestimmt sind und zu ihr in einem dieser Bestimmung entsprechenden räumlichen Verhältnis stehen. </w:t>
      </w:r>
      <w:r>
        <w:rPr>
          <w:rStyle w:val="Satznummer"/>
        </w:rPr>
        <w:t>2</w:t>
      </w:r>
      <w:r>
        <w:t>Eine Sache ist nicht Zubehör, wenn sie im Verkehr nicht als Zubehör angesehen wird.</w:t>
      </w:r>
    </w:p>
    <w:p>
      <w:r>
        <w:t xml:space="preserve">(2) </w:t>
      </w:r>
      <w:r>
        <w:rPr>
          <w:rStyle w:val="Satznummer"/>
        </w:rPr>
        <w:t>1</w:t>
      </w:r>
      <w:r>
        <w:t xml:space="preserve">Die vorübergehende Benutzung einer Sache für den wirtschaftlichen Zweck einer anderen begründet nicht die Zubehöreigenschaft. </w:t>
      </w:r>
      <w:r>
        <w:rPr>
          <w:rStyle w:val="Satznummer"/>
        </w:rPr>
        <w:t>2</w:t>
      </w:r>
      <w:r>
        <w:t>Die vorübergehende Trennung eines Zubehörstücks von der Hauptsache hebt die Zubehöreigenschaft nicht auf.</w:t>
      </w:r>
    </w:p>
    <w:p>
      <w:pPr>
        <w:pStyle w:val="Heading3"/>
      </w:pPr>
      <w:bookmarkStart w:id="125" w:name="b123"/>
      <w:r>
        <w:t>§ 98 Gewerbliches und landwirtschaftliches Inventar</w:t>
      </w:r>
      <w:r>
        <w:t xml:space="preserve"> </w:t>
      </w:r>
      <w:r>
        <w:rPr>
          <w:rStyle w:val="Suchmarke"/>
        </w:rPr>
        <w:t>#98#</w:t>
      </w:r>
      <w:bookmarkEnd w:id="125"/>
    </w:p>
    <w:p>
      <w:r>
        <w:t>Dem wirtschaftlichen Zwecke der Hauptsache sind zu dienen bestimmt:</w:t>
      </w:r>
    </w:p>
    <w:p>
      <w:pPr>
        <w:tabs>
          <w:tab w:pos="567" w:val="left"/>
        </w:tabs>
        <w:ind w:left="567" w:hanging="567"/>
      </w:pPr>
      <w:r>
        <w:t>1.</w:t>
      </w:r>
      <w:r>
        <w:tab/>
      </w:r>
      <w:r>
        <w:t>bei einem Gebäude, das für einen gewerblichen Betrieb dauernd eingerichtet ist, insbesondere bei einer Mühle, einer Schmiede, einem Brauhaus, einer Fabrik, die zu dem Betrieb bestimmten Maschinen und sonstigen Gerätschaften,</w:t>
      </w:r>
    </w:p>
    <w:p>
      <w:pPr>
        <w:tabs>
          <w:tab w:pos="567" w:val="left"/>
        </w:tabs>
        <w:ind w:left="567" w:hanging="567"/>
      </w:pPr>
      <w:r>
        <w:t>2.</w:t>
      </w:r>
      <w:r>
        <w:tab/>
      </w:r>
      <w:r>
        <w:t>bei einem Landgut das zum Wirtschaftsbetrieb bestimmte Gerät und Vieh, die landwirtschaftlichen Erzeugnisse, soweit sie zur Fortführung der Wirtschaft bis zu der Zeit erforderlich sind, zu welcher gleiche oder ähnliche Erzeugnisse voraussichtlich gewonnen werden, sowie der vorhandene, auf dem Gut gewonnene Dünger.</w:t>
      </w:r>
    </w:p>
    <w:p>
      <w:pPr>
        <w:pStyle w:val="Heading3"/>
      </w:pPr>
      <w:bookmarkStart w:id="126" w:name="b124"/>
      <w:r>
        <w:t>§ 99 Früchte</w:t>
      </w:r>
      <w:r>
        <w:t xml:space="preserve"> </w:t>
      </w:r>
      <w:r>
        <w:rPr>
          <w:rStyle w:val="Suchmarke"/>
        </w:rPr>
        <w:t>#99#</w:t>
      </w:r>
      <w:bookmarkEnd w:id="126"/>
    </w:p>
    <w:p>
      <w:r>
        <w:t>(1) Früchte einer Sache sind die Erzeugnisse der Sache und die sonstige Ausbeute, welche aus der Sache ihrer Bestimmung gemäß gewonnen wird.</w:t>
      </w:r>
    </w:p>
    <w:p>
      <w:r>
        <w:t>(2) Früchte eines Rechts sind die Erträge, welche das Recht seiner Bestimmung gemäß gewährt, insbesondere bei einem Recht auf Gewinnung von Bodenbestandteilen die gewonnenen Bestandteile.</w:t>
      </w:r>
    </w:p>
    <w:p>
      <w:r>
        <w:t>(3) Früchte sind auch die Erträge, welche eine Sache oder ein Recht vermöge eines Rechtsverhältnisses gewährt.</w:t>
      </w:r>
    </w:p>
    <w:p>
      <w:pPr>
        <w:pStyle w:val="Heading3"/>
      </w:pPr>
      <w:bookmarkStart w:id="127" w:name="b125"/>
      <w:r>
        <w:t>§ 100 Nutzungen</w:t>
      </w:r>
      <w:r>
        <w:t xml:space="preserve"> </w:t>
      </w:r>
      <w:r>
        <w:rPr>
          <w:rStyle w:val="Suchmarke"/>
        </w:rPr>
        <w:t>#100#</w:t>
      </w:r>
      <w:bookmarkEnd w:id="127"/>
    </w:p>
    <w:p>
      <w:r>
        <w:t>Nutzungen sind die Früchte einer Sache oder eines Rechts sowie die Vorteile, welche der Gebrauch der Sache oder des Rechts gewährt.</w:t>
      </w:r>
    </w:p>
    <w:p>
      <w:pPr>
        <w:pStyle w:val="Heading3"/>
      </w:pPr>
      <w:bookmarkStart w:id="128" w:name="b126"/>
      <w:r>
        <w:t>§ 101 Verteilung der Früchte</w:t>
      </w:r>
      <w:r>
        <w:t xml:space="preserve"> </w:t>
      </w:r>
      <w:r>
        <w:rPr>
          <w:rStyle w:val="Suchmarke"/>
        </w:rPr>
        <w:t>#101#</w:t>
      </w:r>
      <w:bookmarkEnd w:id="128"/>
    </w:p>
    <w:p>
      <w:r>
        <w:t>Ist jemand berechtigt, die Früchte einer Sache oder eines Rechts bis zu einer bestimmten Zeit oder von einer bestimmten Zeit an zu beziehen, so gebühren ihm, sofern nicht ein anderes bestimmt ist:</w:t>
      </w:r>
    </w:p>
    <w:p>
      <w:pPr>
        <w:tabs>
          <w:tab w:pos="567" w:val="left"/>
        </w:tabs>
        <w:ind w:left="567" w:hanging="567"/>
      </w:pPr>
      <w:r>
        <w:t>1.</w:t>
      </w:r>
      <w:r>
        <w:tab/>
      </w:r>
      <w:r>
        <w:t xml:space="preserve">die in </w:t>
      </w:r>
      <w:hyperlink w:anchor="b124" w:history="1">
        <w:r>
          <w:rPr>
            <w:color w:val="0A3A8C"/>
            <w:u w:val="single"/>
          </w:rPr>
          <w:t xml:space="preserve">§ 99</w:t>
        </w:r>
      </w:hyperlink>
      <w:r>
        <w:t xml:space="preserve"> Abs. 1 bezeichneten Erzeugnisse und Bestandteile, auch wenn er sie als Früchte eines Rechts zu beziehen hat, insoweit, als sie während der Dauer der Berechtigung von der Sache getrennt werden,</w:t>
      </w:r>
    </w:p>
    <w:p>
      <w:pPr>
        <w:tabs>
          <w:tab w:pos="567" w:val="left"/>
        </w:tabs>
        <w:ind w:left="567" w:hanging="567"/>
      </w:pPr>
      <w:r>
        <w:t>2.</w:t>
      </w:r>
      <w:r>
        <w:tab/>
      </w:r>
      <w:r>
        <w:t>andere Früchte insoweit, als sie während der Dauer der Berechtigung fällig werden; bestehen jedoch die Früchte in der Vergütung für die Überlassung des Gebrauchs oder des Fruchtgenusses, in Zinsen, Gewinnanteilen oder anderen regelmäßig wiederkehrenden Erträgen, so gebührt dem Berechtigten ein der Dauer seiner Berechtigung entsprechender Teil.</w:t>
      </w:r>
    </w:p>
    <w:p>
      <w:pPr>
        <w:pStyle w:val="Heading3"/>
      </w:pPr>
      <w:bookmarkStart w:id="129" w:name="b127"/>
      <w:r>
        <w:t>§ 102 Ersatz der Gewinnungskosten</w:t>
      </w:r>
      <w:r>
        <w:t xml:space="preserve"> </w:t>
      </w:r>
      <w:r>
        <w:rPr>
          <w:rStyle w:val="Suchmarke"/>
        </w:rPr>
        <w:t>#102#</w:t>
      </w:r>
      <w:bookmarkEnd w:id="129"/>
    </w:p>
    <w:p>
      <w:r>
        <w:t>Wer zur Herausgabe von Früchten verpflichtet ist, kann Ersatz der auf die Gewinnung der Früchte verwendeten Kosten insoweit verlangen, als sie einer ordnungsmäßigen Wirtschaft entsprechen und den Wert der Früchte nicht übersteigen.</w:t>
      </w:r>
    </w:p>
    <w:p>
      <w:pPr>
        <w:pStyle w:val="Heading3"/>
      </w:pPr>
      <w:bookmarkStart w:id="130" w:name="b128"/>
      <w:r>
        <w:t>§ 103 Verteilung der Lasten</w:t>
      </w:r>
      <w:r>
        <w:t xml:space="preserve"> </w:t>
      </w:r>
      <w:r>
        <w:rPr>
          <w:rStyle w:val="Suchmarke"/>
        </w:rPr>
        <w:t>#103#</w:t>
      </w:r>
      <w:bookmarkEnd w:id="130"/>
    </w:p>
    <w:p>
      <w:r>
        <w:t>Wer verpflichtet ist, die Lasten einer Sache oder eines Rechts bis zu einer bestimmten Zeit oder von einer bestimmten Zeit an zu tragen, hat, sofern nicht ein anderes bestimmt ist, die regelmäßig wiederkehrenden Lasten nach dem Verhältnis der Dauer seiner Verpflichtung, andere Lasten insoweit zu tragen, als sie während der Dauer seiner Verpflichtung zu entrichten sind.</w:t>
      </w:r>
    </w:p>
    <w:p>
      <w:pPr>
        <w:pStyle w:val="Heading2"/>
      </w:pPr>
      <w:bookmarkStart w:id="131" w:name="b129"/>
      <w:r>
        <w:t>Abschnitt 3 Rechtsgeschäfte</w:t>
      </w:r>
      <w:bookmarkEnd w:id="131"/>
    </w:p>
    <w:p>
      <w:pPr>
        <w:pStyle w:val="Heading3"/>
      </w:pPr>
      <w:bookmarkStart w:id="132" w:name="b130"/>
      <w:r>
        <w:t>Titel 1 Geschäftsfähigkeit</w:t>
      </w:r>
      <w:bookmarkEnd w:id="132"/>
    </w:p>
    <w:p>
      <w:pPr>
        <w:pStyle w:val="Heading4"/>
      </w:pPr>
      <w:bookmarkStart w:id="133" w:name="b131"/>
      <w:r>
        <w:t>§ 104 Geschäftsunfähigkeit</w:t>
      </w:r>
      <w:r>
        <w:t xml:space="preserve"> </w:t>
      </w:r>
      <w:r>
        <w:rPr>
          <w:rStyle w:val="Suchmarke"/>
        </w:rPr>
        <w:t>#104#</w:t>
      </w:r>
      <w:bookmarkEnd w:id="133"/>
    </w:p>
    <w:p>
      <w:r>
        <w:t>Geschäftsunfähig ist:</w:t>
      </w:r>
    </w:p>
    <w:p>
      <w:pPr>
        <w:tabs>
          <w:tab w:pos="567" w:val="left"/>
        </w:tabs>
        <w:ind w:left="567" w:hanging="567"/>
      </w:pPr>
      <w:r>
        <w:t>1.</w:t>
      </w:r>
      <w:r>
        <w:tab/>
      </w:r>
      <w:r>
        <w:t>wer nicht das siebente Lebensjahr vollendet hat,</w:t>
      </w:r>
    </w:p>
    <w:p>
      <w:pPr>
        <w:tabs>
          <w:tab w:pos="567" w:val="left"/>
        </w:tabs>
        <w:ind w:left="567" w:hanging="567"/>
      </w:pPr>
      <w:r>
        <w:t>2.</w:t>
      </w:r>
      <w:r>
        <w:tab/>
      </w:r>
      <w:r>
        <w:t>wer sich in einem die freie Willensbestimmung ausschließenden Zustand krankhafter Störung der Geistestätigkeit befindet, sofern nicht der Zustand seiner Natur nach ein vorübergehender ist.</w:t>
      </w:r>
    </w:p>
    <w:p>
      <w:pPr>
        <w:pStyle w:val="Heading4"/>
      </w:pPr>
      <w:bookmarkStart w:id="134" w:name="b132"/>
      <w:r>
        <w:t>§ 105 Nichtigkeit der Willenserklärung</w:t>
      </w:r>
      <w:r>
        <w:t xml:space="preserve"> </w:t>
      </w:r>
      <w:r>
        <w:rPr>
          <w:rStyle w:val="Suchmarke"/>
        </w:rPr>
        <w:t>#105#</w:t>
      </w:r>
      <w:bookmarkEnd w:id="134"/>
    </w:p>
    <w:p>
      <w:r>
        <w:t>(1) Die Willenserklärung eines Geschäftsunfähigen ist nichtig.</w:t>
      </w:r>
    </w:p>
    <w:p>
      <w:r>
        <w:t>(2) Nichtig ist auch eine Willenserklärung, die im Zustand der Bewusstlosigkeit oder vorübergehender Störung der Geistestätigkeit abgegeben wird.</w:t>
      </w:r>
    </w:p>
    <w:p>
      <w:pPr>
        <w:pStyle w:val="Heading4"/>
      </w:pPr>
      <w:bookmarkStart w:id="135" w:name="b133"/>
      <w:r>
        <w:t>§ 105a Geschäfte des täglichen Lebens</w:t>
      </w:r>
      <w:r>
        <w:t xml:space="preserve"> </w:t>
      </w:r>
      <w:r>
        <w:rPr>
          <w:rStyle w:val="Suchmarke"/>
        </w:rPr>
        <w:t>#105a#</w:t>
      </w:r>
      <w:bookmarkEnd w:id="135"/>
    </w:p>
    <w:p>
      <w:r>
        <w:rPr>
          <w:rStyle w:val="Satznummer"/>
        </w:rPr>
        <w:t>1</w:t>
      </w:r>
      <w:r>
        <w:t xml:space="preserve">Tätigt ein volljähriger Geschäftsunfähiger ein Geschäft des täglichen Lebens, das mit geringwertigen Mitteln bewirkt werden kann, so gilt der von ihm geschlossene Vertrag in Ansehung von Leistung und, soweit vereinbart, Gegenleistung als wirksam, sobald Leistung und Gegenleistung bewirkt sind. </w:t>
      </w:r>
      <w:r>
        <w:rPr>
          <w:rStyle w:val="Satznummer"/>
        </w:rPr>
        <w:t>2</w:t>
      </w:r>
      <w:r>
        <w:t>Satz 1 gilt nicht bei einer erheblichen Gefahr für die Person oder das Vermögen des Geschäftsunfähigen.</w:t>
      </w:r>
    </w:p>
    <w:p>
      <w:pPr>
        <w:pStyle w:val="Heading4"/>
      </w:pPr>
      <w:bookmarkStart w:id="136" w:name="b134"/>
      <w:r>
        <w:t>§ 106 Beschränkte Geschäftsfähigkeit Minderjähriger</w:t>
      </w:r>
      <w:r>
        <w:t xml:space="preserve"> </w:t>
      </w:r>
      <w:r>
        <w:rPr>
          <w:rStyle w:val="Suchmarke"/>
        </w:rPr>
        <w:t>#106#</w:t>
      </w:r>
      <w:bookmarkEnd w:id="136"/>
    </w:p>
    <w:p>
      <w:r>
        <w:t>Ein Minderjähriger, der das siebente Lebensjahr vollendet hat, ist nach Maßgabe der §§ 107 bis 113 in der Geschäftsfähigkeit beschränkt.</w:t>
      </w:r>
    </w:p>
    <w:p>
      <w:pPr>
        <w:pStyle w:val="Heading4"/>
      </w:pPr>
      <w:bookmarkStart w:id="137" w:name="b135"/>
      <w:r>
        <w:t>§ 107 Einwilligung des gesetzlichen Vertreters</w:t>
      </w:r>
      <w:r>
        <w:t xml:space="preserve"> </w:t>
      </w:r>
      <w:r>
        <w:rPr>
          <w:rStyle w:val="Suchmarke"/>
        </w:rPr>
        <w:t>#107#</w:t>
      </w:r>
      <w:bookmarkEnd w:id="137"/>
    </w:p>
    <w:p>
      <w:r>
        <w:t>Der Minderjährige bedarf zu einer Willenserklärung, durch die er nicht lediglich einen rechtlichen Vorteil erlangt, der Einwilligung seines gesetzlichen Vertreters.</w:t>
      </w:r>
    </w:p>
    <w:p>
      <w:pPr>
        <w:pStyle w:val="Heading4"/>
      </w:pPr>
      <w:bookmarkStart w:id="138" w:name="b136"/>
      <w:r>
        <w:t>§ 108 Vertragsschluss ohne Einwilligung</w:t>
      </w:r>
      <w:r>
        <w:t xml:space="preserve"> </w:t>
      </w:r>
      <w:r>
        <w:rPr>
          <w:rStyle w:val="Suchmarke"/>
        </w:rPr>
        <w:t>#108#</w:t>
      </w:r>
      <w:bookmarkEnd w:id="138"/>
    </w:p>
    <w:p>
      <w:r>
        <w:t>(1) Schließt der Minderjährige einen Vertrag ohne die erforderliche Einwilligung des gesetzlichen Vertreters, so hängt die Wirksamkeit des Vertrags von der Genehmigung des Vertreters ab.</w:t>
      </w:r>
    </w:p>
    <w:p>
      <w:r>
        <w:t xml:space="preserve">(2) </w:t>
      </w:r>
      <w:r>
        <w:rPr>
          <w:rStyle w:val="Satznummer"/>
        </w:rPr>
        <w:t>1</w:t>
      </w:r>
      <w:r>
        <w:t xml:space="preserve">Fordert der andere Teil den Vertreter zur Erklärung über die Genehmigung auf, so kann die Erklärung nur ihm gegenüber erfolgen; eine vor der Aufforderung dem Minderjährigen gegenüber erklärte Genehmigung oder Verweigerung der Genehmigung wird unwirksam. </w:t>
      </w:r>
      <w:r>
        <w:rPr>
          <w:rStyle w:val="Satznummer"/>
        </w:rPr>
        <w:t>2</w:t>
      </w:r>
      <w:r>
        <w:t>Die Genehmigung kann nur bis zum Ablauf von zwei Wochen nach dem Empfang der Aufforderung erklärt werden; wird sie nicht erklärt, so gilt sie als verweigert.</w:t>
      </w:r>
    </w:p>
    <w:p>
      <w:r>
        <w:t>(3) Ist der Minderjährige unbeschränkt geschäftsfähig geworden, so tritt seine Genehmigung an die Stelle der Genehmigung des Vertreters.</w:t>
      </w:r>
    </w:p>
    <w:p>
      <w:pPr>
        <w:pStyle w:val="Heading4"/>
      </w:pPr>
      <w:bookmarkStart w:id="139" w:name="b137"/>
      <w:r>
        <w:t>§ 109 Widerrufsrecht des anderen Teils</w:t>
      </w:r>
      <w:r>
        <w:t xml:space="preserve"> </w:t>
      </w:r>
      <w:r>
        <w:rPr>
          <w:rStyle w:val="Suchmarke"/>
        </w:rPr>
        <w:t>#109#</w:t>
      </w:r>
      <w:bookmarkEnd w:id="139"/>
    </w:p>
    <w:p>
      <w:r>
        <w:t xml:space="preserve">(1) </w:t>
      </w:r>
      <w:r>
        <w:rPr>
          <w:rStyle w:val="Satznummer"/>
        </w:rPr>
        <w:t>1</w:t>
      </w:r>
      <w:r>
        <w:t xml:space="preserve">Bis zur Genehmigung des Vertrags ist der andere Teil zum Widerruf berechtigt. </w:t>
      </w:r>
      <w:r>
        <w:rPr>
          <w:rStyle w:val="Satznummer"/>
        </w:rPr>
        <w:t>2</w:t>
      </w:r>
      <w:r>
        <w:t>Der Widerruf kann auch dem Minderjährigen gegenüber erklärt werden.</w:t>
      </w:r>
    </w:p>
    <w:p>
      <w:r>
        <w:t>(2) Hat der andere Teil die Minderjährigkeit gekannt, so kann er nur widerrufen, wenn der Minderjährige der Wahrheit zuwider die Einwilligung des Vertreters behauptet hat; er kann auch in diesem Falle nicht widerrufen, wenn ihm das Fehlen der Einwilligung bei dem Abschluss des Vertrags bekannt war.</w:t>
      </w:r>
    </w:p>
    <w:p>
      <w:pPr>
        <w:pStyle w:val="Heading4"/>
      </w:pPr>
      <w:bookmarkStart w:id="140" w:name="b138"/>
      <w:r>
        <w:t>§ 110 Bewirken der Leistung mit eigenen Mitteln</w:t>
      </w:r>
      <w:r>
        <w:t xml:space="preserve"> </w:t>
      </w:r>
      <w:r>
        <w:rPr>
          <w:rStyle w:val="Suchmarke"/>
        </w:rPr>
        <w:t>#110#</w:t>
      </w:r>
      <w:bookmarkEnd w:id="140"/>
    </w:p>
    <w:p>
      <w:r>
        <w:t>Ein von dem Minderjährigen ohne Zustimmung des gesetzlichen Vertreters geschlossener Vertrag gilt als von Anfang an wirksam, wenn der Minderjährige die vertragsmäßige Leistung mit Mitteln bewirkt, die ihm zu diesem Zweck oder zu freier Verfügung von dem Vertreter oder mit dessen Zustimmung von einem Dritten überlassen worden sind.</w:t>
      </w:r>
    </w:p>
    <w:p>
      <w:pPr>
        <w:pStyle w:val="Heading4"/>
      </w:pPr>
      <w:bookmarkStart w:id="141" w:name="b139"/>
      <w:r>
        <w:t>§ 111 Einseitige Rechtsgeschäfte</w:t>
      </w:r>
      <w:r>
        <w:t xml:space="preserve"> </w:t>
      </w:r>
      <w:r>
        <w:rPr>
          <w:rStyle w:val="Suchmarke"/>
        </w:rPr>
        <w:t>#111#</w:t>
      </w:r>
      <w:bookmarkEnd w:id="141"/>
    </w:p>
    <w:p>
      <w:r>
        <w:rPr>
          <w:rStyle w:val="Satznummer"/>
        </w:rPr>
        <w:t>1</w:t>
      </w:r>
      <w:r>
        <w:t xml:space="preserve">Ein einseitiges Rechtsgeschäft, das der Minderjährige ohne die erforderliche Einwilligung des gesetzlichen Vertreters vornimmt, ist unwirksam. </w:t>
      </w:r>
      <w:r>
        <w:rPr>
          <w:rStyle w:val="Satznummer"/>
        </w:rPr>
        <w:t>2</w:t>
      </w:r>
      <w:r>
        <w:t xml:space="preserve">Nimmt der Minderjährige mit dieser Einwilligung ein solches Rechtsgeschäft einem anderen gegenüber vor, so ist das Rechtsgeschäft unwirksam, wenn der Minderjährige die Einwilligung nicht in schriftlicher Form vorlegt und der andere das Rechtsgeschäft aus diesem Grunde unverzüglich zurückweist. </w:t>
      </w:r>
      <w:r>
        <w:rPr>
          <w:rStyle w:val="Satznummer"/>
        </w:rPr>
        <w:t>3</w:t>
      </w:r>
      <w:r>
        <w:t>Die Zurückweisung ist ausgeschlossen, wenn der Vertreter den anderen von der Einwilligung in Kenntnis gesetzt hatte.</w:t>
      </w:r>
    </w:p>
    <w:p>
      <w:pPr>
        <w:pStyle w:val="Heading4"/>
      </w:pPr>
      <w:bookmarkStart w:id="142" w:name="b140"/>
      <w:r>
        <w:t>§ 112 Selbständiger Betrieb eines Erwerbsgeschäfts</w:t>
      </w:r>
      <w:r>
        <w:t xml:space="preserve"> </w:t>
      </w:r>
      <w:r>
        <w:rPr>
          <w:rStyle w:val="Suchmarke"/>
        </w:rPr>
        <w:t>#112#</w:t>
      </w:r>
      <w:bookmarkEnd w:id="142"/>
    </w:p>
    <w:p>
      <w:r>
        <w:t xml:space="preserve">(1) </w:t>
      </w:r>
      <w:r>
        <w:rPr>
          <w:rStyle w:val="Satznummer"/>
        </w:rPr>
        <w:t>1</w:t>
      </w:r>
      <w:r>
        <w:t xml:space="preserve">Ermächtigt der gesetzliche Vertreter mit Genehmigung des Familiengerichts den Minderjährigen zum selbständigen Betrieb eines Erwerbsgeschäfts, so ist der Minderjährige für solche Rechtsgeschäfte unbeschränkt geschäftsfähig, welche der Geschäftsbetrieb mit sich bringt. </w:t>
      </w:r>
      <w:r>
        <w:rPr>
          <w:rStyle w:val="Satznummer"/>
        </w:rPr>
        <w:t>2</w:t>
      </w:r>
      <w:r>
        <w:t>Ausgenommen sind Rechtsgeschäfte, zu denen der Vertreter der Genehmigung des Familiengerichts bedarf.</w:t>
      </w:r>
    </w:p>
    <w:p>
      <w:r>
        <w:t>(2) Die Ermächtigung kann von dem Vertreter nur mit Genehmigung des Familiengerichts zurückgenommen werden.</w:t>
      </w:r>
    </w:p>
    <w:p>
      <w:pPr>
        <w:pStyle w:val="Heading4"/>
      </w:pPr>
      <w:bookmarkStart w:id="143" w:name="b141"/>
      <w:r>
        <w:t>§ 113 Dienst- oder Arbeitsverhältnis</w:t>
      </w:r>
      <w:r>
        <w:t xml:space="preserve"> </w:t>
      </w:r>
      <w:r>
        <w:rPr>
          <w:rStyle w:val="Suchmarke"/>
        </w:rPr>
        <w:t>#113#</w:t>
      </w:r>
      <w:bookmarkEnd w:id="143"/>
    </w:p>
    <w:p>
      <w:r>
        <w:t xml:space="preserve">(1) </w:t>
      </w:r>
      <w:r>
        <w:rPr>
          <w:rStyle w:val="Satznummer"/>
        </w:rPr>
        <w:t>1</w:t>
      </w:r>
      <w:r>
        <w:t xml:space="preserve">Ermächtigt der gesetzliche Vertreter den Minderjährigen, in Dienst oder in Arbeit zu treten, so ist der Minderjährige für solche Rechtsgeschäfte unbeschränkt geschäftsfähig, welche die Eingehung oder Aufhebung eines Dienst- oder Arbeitsverhältnisses der gestatteten Art oder die Erfüllung der sich aus einem solchen Verhältnis ergebenden Verpflichtungen betreffen. </w:t>
      </w:r>
      <w:r>
        <w:rPr>
          <w:rStyle w:val="Satznummer"/>
        </w:rPr>
        <w:t>2</w:t>
      </w:r>
      <w:r>
        <w:t>Ausgenommen sind Verträge, zu denen der Vertreter der Genehmigung des Familiengerichts bedarf.</w:t>
      </w:r>
    </w:p>
    <w:p>
      <w:r>
        <w:t>(2) Die Ermächtigung kann von dem Vertreter zurückgenommen oder eingeschränkt werden.</w:t>
      </w:r>
    </w:p>
    <w:p>
      <w:r>
        <w:t xml:space="preserve">(3) </w:t>
      </w:r>
      <w:r>
        <w:rPr>
          <w:rStyle w:val="Satznummer"/>
        </w:rPr>
        <w:t>1</w:t>
      </w:r>
      <w:r>
        <w:t xml:space="preserve">Ist der gesetzliche Vertreter ein Vormund, so kann die Ermächtigung, wenn sie von ihm verweigert wird, auf Antrag des Minderjährigen durch das Familiengericht ersetzt werden. </w:t>
      </w:r>
      <w:r>
        <w:rPr>
          <w:rStyle w:val="Satznummer"/>
        </w:rPr>
        <w:t>2</w:t>
      </w:r>
      <w:r>
        <w:t>Das Familiengericht hat die Ermächtigung zu ersetzen, wenn sie im Interesse des Mündels liegt.</w:t>
      </w:r>
    </w:p>
    <w:p>
      <w:r>
        <w:t>(4) Die für einen einzelnen Fall erteilte Ermächtigung gilt im Zweifel als allgemeine Ermächtigung zur Eingehung von Verhältnissen derselben Art.</w:t>
      </w:r>
    </w:p>
    <w:p>
      <w:pPr>
        <w:pStyle w:val="Heading4"/>
      </w:pPr>
      <w:bookmarkStart w:id="144" w:name="b142"/>
      <w:r>
        <w:t>§§ 114 und 115 (weggefallen)</w:t>
      </w:r>
      <w:bookmarkEnd w:id="144"/>
    </w:p>
    <w:p>
      <w:pPr>
        <w:pStyle w:val="Heading3"/>
      </w:pPr>
      <w:bookmarkStart w:id="145" w:name="b143"/>
      <w:r>
        <w:t>Titel 2 Willenserklärung</w:t>
      </w:r>
      <w:bookmarkEnd w:id="145"/>
    </w:p>
    <w:p>
      <w:pPr>
        <w:pStyle w:val="Heading4"/>
      </w:pPr>
      <w:bookmarkStart w:id="146" w:name="b144"/>
      <w:r>
        <w:t>§ 116 Geheimer Vorbehalt</w:t>
      </w:r>
      <w:r>
        <w:t xml:space="preserve"> </w:t>
      </w:r>
      <w:r>
        <w:rPr>
          <w:rStyle w:val="Suchmarke"/>
        </w:rPr>
        <w:t>#116#</w:t>
      </w:r>
      <w:bookmarkEnd w:id="146"/>
    </w:p>
    <w:p>
      <w:r>
        <w:rPr>
          <w:rStyle w:val="Satznummer"/>
        </w:rPr>
        <w:t>1</w:t>
      </w:r>
      <w:r>
        <w:t xml:space="preserve">Eine Willenserklärung ist nicht deshalb nichtig, weil sich der Erklärende insgeheim vorbehält, das Erklärte nicht zu wollen. </w:t>
      </w:r>
      <w:r>
        <w:rPr>
          <w:rStyle w:val="Satznummer"/>
        </w:rPr>
        <w:t>2</w:t>
      </w:r>
      <w:r>
        <w:t>Die Erklärung ist nichtig, wenn sie einem anderen gegenüber abzugeben ist und dieser den Vorbehalt kennt.</w:t>
      </w:r>
    </w:p>
    <w:p>
      <w:pPr>
        <w:pStyle w:val="Heading4"/>
      </w:pPr>
      <w:bookmarkStart w:id="147" w:name="b145"/>
      <w:r>
        <w:t>§ 117 Scheingeschäft</w:t>
      </w:r>
      <w:r>
        <w:t xml:space="preserve"> </w:t>
      </w:r>
      <w:r>
        <w:rPr>
          <w:rStyle w:val="Suchmarke"/>
        </w:rPr>
        <w:t>#117#</w:t>
      </w:r>
      <w:bookmarkEnd w:id="147"/>
    </w:p>
    <w:p>
      <w:r>
        <w:t>(1) Wird eine Willenserklärung, die einem anderen gegenüber abzugeben ist, mit dessen Einverständnis nur zum Schein abgegeben, so ist sie nichtig.</w:t>
      </w:r>
    </w:p>
    <w:p>
      <w:r>
        <w:t>(2) Wird durch ein Scheingeschäft ein anderes Rechtsgeschäft verdeckt, so finden die für das verdeckte Rechtsgeschäft geltenden Vorschriften Anwendung.</w:t>
      </w:r>
    </w:p>
    <w:p>
      <w:pPr>
        <w:pStyle w:val="Heading4"/>
      </w:pPr>
      <w:bookmarkStart w:id="148" w:name="b146"/>
      <w:r>
        <w:t>§ 118 Mangel der Ernstlichkeit</w:t>
      </w:r>
      <w:r>
        <w:t xml:space="preserve"> </w:t>
      </w:r>
      <w:r>
        <w:rPr>
          <w:rStyle w:val="Suchmarke"/>
        </w:rPr>
        <w:t>#118#</w:t>
      </w:r>
      <w:bookmarkEnd w:id="148"/>
    </w:p>
    <w:p>
      <w:r>
        <w:t>Eine nicht ernstlich gemeinte Willenserklärung, die in der Erwartung abgegeben wird, der Mangel der Ernstlichkeit werde nicht verkannt werden, ist nichtig.</w:t>
      </w:r>
    </w:p>
    <w:p>
      <w:pPr>
        <w:pStyle w:val="Heading4"/>
      </w:pPr>
      <w:bookmarkStart w:id="149" w:name="b147"/>
      <w:r>
        <w:t>§ 119 Anfechtbarkeit wegen Irrtums</w:t>
      </w:r>
      <w:r>
        <w:t xml:space="preserve"> </w:t>
      </w:r>
      <w:r>
        <w:rPr>
          <w:rStyle w:val="Suchmarke"/>
        </w:rPr>
        <w:t>#119#</w:t>
      </w:r>
      <w:bookmarkEnd w:id="149"/>
    </w:p>
    <w:p>
      <w:r>
        <w:t>(1) Wer bei der Abgabe einer Willenserklärung über deren Inhalt im Irrtum war oder eine Erklärung dieses Inhalts überhaupt nicht abgeben wollte, kann die Erklärung anfechten, wenn anzunehmen ist, dass er sie bei Kenntnis der Sachlage und bei verständiger Würdigung des Falles nicht abgegeben haben würde.</w:t>
      </w:r>
    </w:p>
    <w:p>
      <w:r>
        <w:t>(2) Als Irrtum über den Inhalt der Erklärung gilt auch der Irrtum über solche Eigenschaften der Person oder der Sache, die im Verkehr als wesentlich angesehen werden.</w:t>
      </w:r>
    </w:p>
    <w:p>
      <w:pPr>
        <w:pStyle w:val="Heading4"/>
      </w:pPr>
      <w:bookmarkStart w:id="150" w:name="b148"/>
      <w:r>
        <w:t>§ 120 Anfechtbarkeit wegen falscher Übermittlung</w:t>
      </w:r>
      <w:r>
        <w:t xml:space="preserve"> </w:t>
      </w:r>
      <w:r>
        <w:rPr>
          <w:rStyle w:val="Suchmarke"/>
        </w:rPr>
        <w:t>#120#</w:t>
      </w:r>
      <w:bookmarkEnd w:id="150"/>
    </w:p>
    <w:p>
      <w:r>
        <w:t xml:space="preserve">Eine Willenserklärung, welche durch die zur Übermittlung verwendete Person oder Einrichtung unrichtig übermittelt worden ist, kann unter der gleichen Voraussetzung angefochten werden wie nach </w:t>
      </w:r>
      <w:hyperlink w:anchor="b147" w:history="1">
        <w:r>
          <w:rPr>
            <w:color w:val="0A3A8C"/>
            <w:u w:val="single"/>
          </w:rPr>
          <w:t xml:space="preserve">§ 119</w:t>
        </w:r>
      </w:hyperlink>
      <w:r>
        <w:t xml:space="preserve"> eine irrtümlich abgegebene Willenserklärung.</w:t>
      </w:r>
    </w:p>
    <w:p>
      <w:pPr>
        <w:pStyle w:val="Heading4"/>
      </w:pPr>
      <w:bookmarkStart w:id="151" w:name="b149"/>
      <w:r>
        <w:t>§ 121 Anfechtungsfrist</w:t>
      </w:r>
      <w:r>
        <w:t xml:space="preserve"> </w:t>
      </w:r>
      <w:r>
        <w:rPr>
          <w:rStyle w:val="Suchmarke"/>
        </w:rPr>
        <w:t>#121#</w:t>
      </w:r>
      <w:bookmarkEnd w:id="151"/>
    </w:p>
    <w:p>
      <w:r>
        <w:t xml:space="preserve">(1) </w:t>
      </w:r>
      <w:r>
        <w:rPr>
          <w:rStyle w:val="Satznummer"/>
        </w:rPr>
        <w:t>1</w:t>
      </w:r>
      <w:r>
        <w:t xml:space="preserve">Die Anfechtung muss in den Fällen der </w:t>
      </w:r>
      <w:hyperlink w:anchor="b147" w:history="1">
        <w:r>
          <w:rPr>
            <w:color w:val="0A3A8C"/>
            <w:u w:val="single"/>
          </w:rPr>
          <w:t xml:space="preserve">§§ 119</w:t>
        </w:r>
      </w:hyperlink>
      <w:r>
        <w:t xml:space="preserve">, </w:t>
      </w:r>
      <w:hyperlink w:anchor="b148" w:history="1">
        <w:r>
          <w:rPr>
            <w:color w:val="0A3A8C"/>
            <w:u w:val="single"/>
          </w:rPr>
          <w:t xml:space="preserve">120</w:t>
        </w:r>
      </w:hyperlink>
      <w:r>
        <w:t xml:space="preserve"> ohne schuldhaftes Zögern (unverzüglich) erfolgen, nachdem der Anfechtungsberechtigte von dem Anfechtungsgrund Kenntnis erlangt hat. </w:t>
      </w:r>
      <w:r>
        <w:rPr>
          <w:rStyle w:val="Satznummer"/>
        </w:rPr>
        <w:t>2</w:t>
      </w:r>
      <w:r>
        <w:t>Die einem Abwesenden gegenüber erfolgte Anfechtung gilt als rechtzeitig erfolgt, wenn die Anfechtungserklärung unverzüglich abgesendet worden ist.</w:t>
      </w:r>
    </w:p>
    <w:p>
      <w:r>
        <w:t>(2) Die Anfechtung ist ausgeschlossen, wenn seit der Abgabe der Willenserklärung zehn Jahre verstrichen sind.</w:t>
      </w:r>
    </w:p>
    <w:p>
      <w:pPr>
        <w:pStyle w:val="Heading4"/>
      </w:pPr>
      <w:bookmarkStart w:id="152" w:name="b150"/>
      <w:r>
        <w:t>§ 122 Schadensersatzpflicht des Anfechtenden</w:t>
      </w:r>
      <w:r>
        <w:t xml:space="preserve"> </w:t>
      </w:r>
      <w:r>
        <w:rPr>
          <w:rStyle w:val="Suchmarke"/>
        </w:rPr>
        <w:t>#122#</w:t>
      </w:r>
      <w:bookmarkEnd w:id="152"/>
    </w:p>
    <w:p>
      <w:r>
        <w:t xml:space="preserve">(1) Ist eine Willenserklärung nach </w:t>
      </w:r>
      <w:hyperlink w:anchor="b146" w:history="1">
        <w:r>
          <w:rPr>
            <w:color w:val="0A3A8C"/>
            <w:u w:val="single"/>
          </w:rPr>
          <w:t xml:space="preserve">§ 118</w:t>
        </w:r>
      </w:hyperlink>
      <w:r>
        <w:t xml:space="preserve"> nichtig oder auf Grund der </w:t>
      </w:r>
      <w:hyperlink w:anchor="b147" w:history="1">
        <w:r>
          <w:rPr>
            <w:color w:val="0A3A8C"/>
            <w:u w:val="single"/>
          </w:rPr>
          <w:t xml:space="preserve">§§ 119</w:t>
        </w:r>
      </w:hyperlink>
      <w:r>
        <w:t xml:space="preserve">, </w:t>
      </w:r>
      <w:hyperlink w:anchor="b148" w:history="1">
        <w:r>
          <w:rPr>
            <w:color w:val="0A3A8C"/>
            <w:u w:val="single"/>
          </w:rPr>
          <w:t xml:space="preserve">120</w:t>
        </w:r>
      </w:hyperlink>
      <w:r>
        <w:t xml:space="preserve"> angefochten, so hat der Erklärende, wenn die Erklärung einem anderen gegenüber abzugeben war, diesem, andernfalls jedem Dritten den Schaden zu ersetzen, den der andere oder der Dritte dadurch erleidet, dass er auf die Gültigkeit der Erklärung vertraut, jedoch nicht über den Betrag des Interesses hinaus, welches der andere oder der Dritte an der Gültigkeit der Erklärung hat.</w:t>
      </w:r>
    </w:p>
    <w:p>
      <w:r>
        <w:t>(2) Die Schadensersatzpflicht tritt nicht ein, wenn der Beschädigte den Grund der Nichtigkeit oder der Anfechtbarkeit kannte oder infolge von Fahrlässigkeit nicht kannte (kennen musste).</w:t>
      </w:r>
    </w:p>
    <w:p>
      <w:pPr>
        <w:pStyle w:val="Heading4"/>
      </w:pPr>
      <w:bookmarkStart w:id="153" w:name="b151"/>
      <w:r>
        <w:t>§ 123 Anfechtbarkeit wegen Täuschung oder Drohung</w:t>
      </w:r>
      <w:r>
        <w:t xml:space="preserve"> </w:t>
      </w:r>
      <w:r>
        <w:rPr>
          <w:rStyle w:val="Suchmarke"/>
        </w:rPr>
        <w:t>#123#</w:t>
      </w:r>
      <w:bookmarkEnd w:id="153"/>
    </w:p>
    <w:p>
      <w:r>
        <w:t>(1) Wer zur Abgabe einer Willenserklärung durch arglistige Täuschung oder widerrechtlich durch Drohung bestimmt worden ist, kann die Erklärung anfechten.</w:t>
      </w:r>
    </w:p>
    <w:p>
      <w:r>
        <w:t xml:space="preserve">(2) </w:t>
      </w:r>
      <w:r>
        <w:rPr>
          <w:rStyle w:val="Satznummer"/>
        </w:rPr>
        <w:t>1</w:t>
      </w:r>
      <w:r>
        <w:t xml:space="preserve">Hat ein Dritter die Täuschung verübt, so ist eine Erklärung, die einem anderen gegenüber abzugeben war, nur dann anfechtbar, wenn dieser die Täuschung kannte oder kennen musste. </w:t>
      </w:r>
      <w:r>
        <w:rPr>
          <w:rStyle w:val="Satznummer"/>
        </w:rPr>
        <w:t>2</w:t>
      </w:r>
      <w:r>
        <w:t>Soweit ein anderer als derjenige, welchem gegenüber die Erklärung abzugeben war, aus der Erklärung unmittelbar ein Recht erworben hat, ist die Erklärung ihm gegenüber anfechtbar, wenn er die Täuschung kannte oder kennen musste.</w:t>
      </w:r>
    </w:p>
    <w:p>
      <w:pPr>
        <w:pStyle w:val="Heading4"/>
      </w:pPr>
      <w:bookmarkStart w:id="154" w:name="b152"/>
      <w:r>
        <w:t>§ 124 Anfechtungsfrist</w:t>
      </w:r>
      <w:r>
        <w:t xml:space="preserve"> </w:t>
      </w:r>
      <w:r>
        <w:rPr>
          <w:rStyle w:val="Suchmarke"/>
        </w:rPr>
        <w:t>#124#</w:t>
      </w:r>
      <w:bookmarkEnd w:id="154"/>
    </w:p>
    <w:p>
      <w:r>
        <w:t xml:space="preserve">(1) Die Anfechtung einer nach </w:t>
      </w:r>
      <w:hyperlink w:anchor="b151" w:history="1">
        <w:r>
          <w:rPr>
            <w:color w:val="0A3A8C"/>
            <w:u w:val="single"/>
          </w:rPr>
          <w:t xml:space="preserve">§ 123</w:t>
        </w:r>
      </w:hyperlink>
      <w:r>
        <w:t xml:space="preserve"> anfechtbaren Willenserklärung kann nur binnen Jahresfrist erfolgen.</w:t>
      </w:r>
    </w:p>
    <w:p>
      <w:r>
        <w:t xml:space="preserve">(2) </w:t>
      </w:r>
      <w:r>
        <w:rPr>
          <w:rStyle w:val="Satznummer"/>
        </w:rPr>
        <w:t>1</w:t>
      </w:r>
      <w:r>
        <w:t xml:space="preserve">Die Frist beginnt im Falle der arglistigen Täuschung mit dem Zeitpunkt, in welchem der Anfechtungsberechtigte die Täuschung entdeckt, im Falle der Drohung mit dem Zeitpunkt, in welchem die Zwangslage aufhört. </w:t>
      </w:r>
      <w:r>
        <w:rPr>
          <w:rStyle w:val="Satznummer"/>
        </w:rPr>
        <w:t>2</w:t>
      </w:r>
      <w:r>
        <w:t xml:space="preserve">Auf den Lauf der Frist finden die für die Verjährung geltenden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und </w:t>
      </w:r>
      <w:hyperlink w:anchor="b251" w:history="1">
        <w:r>
          <w:rPr>
            <w:color w:val="0A3A8C"/>
            <w:u w:val="single"/>
          </w:rPr>
          <w:t xml:space="preserve">211</w:t>
        </w:r>
      </w:hyperlink>
      <w:r>
        <w:t xml:space="preserve"> entsprechende Anwendung.</w:t>
      </w:r>
    </w:p>
    <w:p>
      <w:r>
        <w:t>(3) Die Anfechtung ist ausgeschlossen, wenn seit der Abgabe der Willenserklärung zehn Jahre verstrichen sind.</w:t>
      </w:r>
    </w:p>
    <w:p>
      <w:pPr>
        <w:pStyle w:val="Heading4"/>
      </w:pPr>
      <w:bookmarkStart w:id="155" w:name="b153"/>
      <w:r>
        <w:t>§ 125 Nichtigkeit wegen Formmangels</w:t>
      </w:r>
      <w:r>
        <w:t xml:space="preserve"> </w:t>
      </w:r>
      <w:r>
        <w:rPr>
          <w:rStyle w:val="Suchmarke"/>
        </w:rPr>
        <w:t>#125#</w:t>
      </w:r>
      <w:bookmarkEnd w:id="155"/>
    </w:p>
    <w:p>
      <w:r>
        <w:rPr>
          <w:rStyle w:val="Satznummer"/>
        </w:rPr>
        <w:t>1</w:t>
      </w:r>
      <w:r>
        <w:t xml:space="preserve">Ein Rechtsgeschäft, welches der durch Gesetz vorgeschriebenen Form ermangelt, ist nichtig. </w:t>
      </w:r>
      <w:r>
        <w:rPr>
          <w:rStyle w:val="Satznummer"/>
        </w:rPr>
        <w:t>2</w:t>
      </w:r>
      <w:r>
        <w:t>Der Mangel der durch Rechtsgeschäft bestimmten Form hat im Zweifel gleichfalls Nichtigkeit zur Folge.</w:t>
      </w:r>
    </w:p>
    <w:p>
      <w:pPr>
        <w:pStyle w:val="Heading4"/>
      </w:pPr>
      <w:bookmarkStart w:id="156" w:name="b154"/>
      <w:r>
        <w:t>§ 126 Schriftform</w:t>
      </w:r>
      <w:r>
        <w:t xml:space="preserve"> </w:t>
      </w:r>
      <w:r>
        <w:rPr>
          <w:rStyle w:val="Suchmarke"/>
        </w:rPr>
        <w:t>#126#</w:t>
      </w:r>
      <w:bookmarkEnd w:id="156"/>
    </w:p>
    <w:p>
      <w:r>
        <w:t>(1) Ist durch Gesetz schriftliche Form vorgeschrieben, so muss die Urkunde von dem Aussteller eigenhändig durch Namensunterschrift oder mittels notariell beglaubigten Handzeichens unterzeichnet werden.</w:t>
      </w:r>
    </w:p>
    <w:p>
      <w:r>
        <w:t xml:space="preserve">(2) </w:t>
      </w:r>
      <w:r>
        <w:rPr>
          <w:rStyle w:val="Satznummer"/>
        </w:rPr>
        <w:t>1</w:t>
      </w:r>
      <w:r>
        <w:t xml:space="preserve">Bei einem Vertrag muss die Unterzeichnung der Parteien auf derselben Urkunde erfolgen. </w:t>
      </w:r>
      <w:r>
        <w:rPr>
          <w:rStyle w:val="Satznummer"/>
        </w:rPr>
        <w:t>2</w:t>
      </w:r>
      <w:r>
        <w:t>Werden über den Vertrag mehrere gleichlautende Urkunden aufgenommen, so genügt es, wenn jede Partei die für die andere Partei bestimmte Urkunde unterzeichnet.</w:t>
      </w:r>
    </w:p>
    <w:p>
      <w:r>
        <w:t>(3) Die schriftliche Form kann durch die elektronische Form ersetzt werden, wenn sich nicht aus dem Gesetz ein anderes ergibt.</w:t>
      </w:r>
    </w:p>
    <w:p>
      <w:r>
        <w:t xml:space="preserve">(4) Als Erklärung in schriftlicher Form gilt auch eine öffentlich beglaubigte Erklärung nach </w:t>
      </w:r>
      <w:hyperlink w:anchor="b160" w:history="1">
        <w:r>
          <w:rPr>
            <w:color w:val="0A3A8C"/>
            <w:u w:val="single"/>
          </w:rPr>
          <w:t xml:space="preserve">§ 129</w:t>
        </w:r>
      </w:hyperlink>
      <w:r>
        <w:t xml:space="preserve"> Absatz 1 Satz 1 Nummer 2 oder eine Erklärung nach </w:t>
      </w:r>
      <w:hyperlink w:anchor="b160" w:history="1">
        <w:r>
          <w:rPr>
            <w:color w:val="0A3A8C"/>
            <w:u w:val="single"/>
          </w:rPr>
          <w:t xml:space="preserve">§ 129</w:t>
        </w:r>
      </w:hyperlink>
      <w:r>
        <w:t xml:space="preserve"> Absatz 3.</w:t>
      </w:r>
    </w:p>
    <w:p>
      <w:r>
        <w:t>(5) Die schriftliche Form wird durch die notarielle Beurkundung ersetzt.</w:t>
      </w:r>
    </w:p>
    <w:p>
      <w:pPr>
        <w:pStyle w:val="Heading4"/>
      </w:pPr>
      <w:bookmarkStart w:id="157" w:name="b155"/>
      <w:r>
        <w:t>§ 126a Elektronische Form</w:t>
      </w:r>
      <w:r>
        <w:t xml:space="preserve"> </w:t>
      </w:r>
      <w:r>
        <w:rPr>
          <w:rStyle w:val="Suchmarke"/>
        </w:rPr>
        <w:t>#126a#</w:t>
      </w:r>
      <w:bookmarkEnd w:id="157"/>
    </w:p>
    <w:p>
      <w:r>
        <w:t>(1) Soll die gesetzlich vorgeschriebene schriftliche Form durch die elektronische Form ersetzt werden, so muss der Aussteller der Erklärung dieser seinen Namen hinzufügen und das elektronische Dokument mit seiner qualifizierten elektronischen Signatur versehen.</w:t>
      </w:r>
    </w:p>
    <w:p>
      <w:r>
        <w:t>(2) Bei einem Vertrag müssen die Parteien jeweils ein gleichlautendes Dokument in der in Absatz 1 bezeichneten Weise elektronisch signieren.</w:t>
      </w:r>
    </w:p>
    <w:p>
      <w:pPr>
        <w:pStyle w:val="Heading4"/>
      </w:pPr>
      <w:bookmarkStart w:id="158" w:name="b156"/>
      <w:r>
        <w:t>§ 126b Textform</w:t>
      </w:r>
      <w:r>
        <w:t xml:space="preserve"> </w:t>
      </w:r>
      <w:r>
        <w:rPr>
          <w:rStyle w:val="Suchmarke"/>
        </w:rPr>
        <w:t>#126b#</w:t>
      </w:r>
      <w:bookmarkEnd w:id="158"/>
    </w:p>
    <w:p>
      <w:r>
        <w:rPr>
          <w:rStyle w:val="Satznummer"/>
        </w:rPr>
        <w:t>1</w:t>
      </w:r>
      <w:r>
        <w:t xml:space="preserve">Ist durch Gesetz Textform vorgeschrieben, so muss eine lesbare Erklärung, in der die Person des Erklärenden genannt ist, auf einem dauerhaften Datenträger abgegeben werden. </w:t>
      </w:r>
      <w:r>
        <w:rPr>
          <w:rStyle w:val="Satznummer"/>
        </w:rPr>
        <w:t>2</w:t>
      </w:r>
      <w:r>
        <w:t>Ein dauerhafter Datenträger ist jedes Medium, das</w:t>
      </w:r>
    </w:p>
    <w:p>
      <w:pPr>
        <w:tabs>
          <w:tab w:pos="567" w:val="left"/>
        </w:tabs>
        <w:ind w:left="567" w:hanging="567"/>
      </w:pPr>
      <w:r>
        <w:t>1.</w:t>
      </w:r>
      <w:r>
        <w:tab/>
      </w:r>
      <w:r>
        <w:t>es dem Empfänger ermöglicht, eine auf dem Datenträger befindliche, an ihn persönlich gerichtete Erklärung so aufzubewahren oder zu speichern, dass sie ihm während eines für ihren Zweck angemessenen Zeitraums zugänglich ist, und</w:t>
      </w:r>
    </w:p>
    <w:p>
      <w:pPr>
        <w:tabs>
          <w:tab w:pos="567" w:val="left"/>
        </w:tabs>
        <w:ind w:left="567" w:hanging="567"/>
      </w:pPr>
      <w:r>
        <w:t>2.</w:t>
      </w:r>
      <w:r>
        <w:tab/>
      </w:r>
      <w:r>
        <w:t>geeignet ist, die Erklärung unverändert wiederzugeben.</w:t>
      </w:r>
    </w:p>
    <w:p>
      <w:pPr>
        <w:pStyle w:val="Heading4"/>
      </w:pPr>
      <w:bookmarkStart w:id="159" w:name="b157"/>
      <w:r>
        <w:t>§ 127 Vereinbarte Form</w:t>
      </w:r>
      <w:r>
        <w:t xml:space="preserve"> </w:t>
      </w:r>
      <w:r>
        <w:rPr>
          <w:rStyle w:val="Suchmarke"/>
        </w:rPr>
        <w:t>#127#</w:t>
      </w:r>
      <w:bookmarkEnd w:id="159"/>
    </w:p>
    <w:p>
      <w:r>
        <w:t xml:space="preserve">(1) Die Vorschriften des </w:t>
      </w:r>
      <w:hyperlink w:anchor="b154" w:history="1">
        <w:r>
          <w:rPr>
            <w:color w:val="0A3A8C"/>
            <w:u w:val="single"/>
          </w:rPr>
          <w:t xml:space="preserve">§ 126</w:t>
        </w:r>
      </w:hyperlink>
      <w:r>
        <w:t xml:space="preserve">, des </w:t>
      </w:r>
      <w:hyperlink w:anchor="b155" w:history="1">
        <w:r>
          <w:rPr>
            <w:color w:val="0A3A8C"/>
            <w:u w:val="single"/>
          </w:rPr>
          <w:t xml:space="preserve">§ 126a</w:t>
        </w:r>
      </w:hyperlink>
      <w:r>
        <w:t xml:space="preserve"> oder des </w:t>
      </w:r>
      <w:hyperlink w:anchor="b156" w:history="1">
        <w:r>
          <w:rPr>
            <w:color w:val="0A3A8C"/>
            <w:u w:val="single"/>
          </w:rPr>
          <w:t xml:space="preserve">§ 126b</w:t>
        </w:r>
      </w:hyperlink>
      <w:r>
        <w:t xml:space="preserve"> gelten im Zweifel auch für die durch Rechtsgeschäft bestimmte Form.</w:t>
      </w:r>
    </w:p>
    <w:p>
      <w:r>
        <w:t xml:space="preserve">(2) </w:t>
      </w:r>
      <w:r>
        <w:rPr>
          <w:rStyle w:val="Satznummer"/>
        </w:rPr>
        <w:t>1</w:t>
      </w:r>
      <w:r>
        <w:t xml:space="preserve">Zur Wahrung der durch Rechtsgeschäft bestimmten schriftlichen Form genügt, soweit nicht ein anderer Wille anzunehmen ist, die telekommunikative Übermittlung und bei einem Vertrag der Briefwechsel. </w:t>
      </w:r>
      <w:r>
        <w:rPr>
          <w:rStyle w:val="Satznummer"/>
        </w:rPr>
        <w:t>2</w:t>
      </w:r>
      <w:r>
        <w:t xml:space="preserve">Wird eine solche Form gewählt, so kann nachträglich eine dem </w:t>
      </w:r>
      <w:hyperlink w:anchor="b154" w:history="1">
        <w:r>
          <w:rPr>
            <w:color w:val="0A3A8C"/>
            <w:u w:val="single"/>
          </w:rPr>
          <w:t xml:space="preserve">§ 126</w:t>
        </w:r>
      </w:hyperlink>
      <w:r>
        <w:t xml:space="preserve"> entsprechende Beurkundung verlangt werden.</w:t>
      </w:r>
    </w:p>
    <w:p>
      <w:r>
        <w:t xml:space="preserve">(3) </w:t>
      </w:r>
      <w:r>
        <w:rPr>
          <w:rStyle w:val="Satznummer"/>
        </w:rPr>
        <w:t>1</w:t>
      </w:r>
      <w:r>
        <w:t xml:space="preserve">Zur Wahrung der durch Rechtsgeschäft bestimmten elektronischen Form genügt, soweit nicht ein anderer Wille anzunehmen ist, auch eine andere als die in </w:t>
      </w:r>
      <w:hyperlink w:anchor="b155" w:history="1">
        <w:r>
          <w:rPr>
            <w:color w:val="0A3A8C"/>
            <w:u w:val="single"/>
          </w:rPr>
          <w:t xml:space="preserve">§ 126a</w:t>
        </w:r>
      </w:hyperlink>
      <w:r>
        <w:t xml:space="preserve"> bestimmte elektronische Signatur und bei einem Vertrag der Austausch von Angebots- und Annahmeerklärung, die jeweils mit einer elektronischen Signatur versehen sind. </w:t>
      </w:r>
      <w:r>
        <w:rPr>
          <w:rStyle w:val="Satznummer"/>
        </w:rPr>
        <w:t>2</w:t>
      </w:r>
      <w:r>
        <w:t xml:space="preserve">Wird eine solche Form gewählt, so kann nachträglich eine dem </w:t>
      </w:r>
      <w:hyperlink w:anchor="b155" w:history="1">
        <w:r>
          <w:rPr>
            <w:color w:val="0A3A8C"/>
            <w:u w:val="single"/>
          </w:rPr>
          <w:t xml:space="preserve">§ 126a</w:t>
        </w:r>
      </w:hyperlink>
      <w:r>
        <w:t xml:space="preserve"> entsprechende elektronische Signierung oder, wenn diese einer der Parteien nicht möglich ist, eine dem </w:t>
      </w:r>
      <w:hyperlink w:anchor="b154" w:history="1">
        <w:r>
          <w:rPr>
            <w:color w:val="0A3A8C"/>
            <w:u w:val="single"/>
          </w:rPr>
          <w:t xml:space="preserve">§ 126</w:t>
        </w:r>
      </w:hyperlink>
      <w:r>
        <w:t xml:space="preserve"> entsprechende Beurkundung verlangt werden.</w:t>
      </w:r>
    </w:p>
    <w:p>
      <w:pPr>
        <w:pStyle w:val="Heading4"/>
      </w:pPr>
      <w:bookmarkStart w:id="160" w:name="b158"/>
      <w:r>
        <w:t>§ 127a Gerichtlicher Vergleich</w:t>
      </w:r>
      <w:r>
        <w:t xml:space="preserve"> </w:t>
      </w:r>
      <w:r>
        <w:rPr>
          <w:rStyle w:val="Suchmarke"/>
        </w:rPr>
        <w:t>#127a#</w:t>
      </w:r>
      <w:bookmarkEnd w:id="160"/>
    </w:p>
    <w:p>
      <w:r>
        <w:t>Die notarielle Beurkundung wird bei einem gerichtlichen Vergleich durch die Aufnahme der Erklärungen in ein nach den Vorschriften der Zivilprozessordnung errichtetes Protokoll ersetzt.</w:t>
      </w:r>
    </w:p>
    <w:p>
      <w:pPr>
        <w:pStyle w:val="Heading4"/>
      </w:pPr>
      <w:bookmarkStart w:id="161" w:name="b159"/>
      <w:r>
        <w:t>§ 128 Notarielle Beurkundung</w:t>
      </w:r>
      <w:r>
        <w:t xml:space="preserve"> </w:t>
      </w:r>
      <w:r>
        <w:rPr>
          <w:rStyle w:val="Suchmarke"/>
        </w:rPr>
        <w:t>#128#</w:t>
      </w:r>
      <w:bookmarkEnd w:id="161"/>
    </w:p>
    <w:p>
      <w:r>
        <w:t>Ist durch Gesetz notarielle Beurkundung eines Vertrags vorgeschrieben, so genügt es, wenn zunächst der Antrag und sodann die Annahme des Antrags von einem Notar beurkundet wird.</w:t>
      </w:r>
    </w:p>
    <w:p>
      <w:pPr>
        <w:pStyle w:val="Heading4"/>
      </w:pPr>
      <w:bookmarkStart w:id="162" w:name="b160"/>
      <w:r>
        <w:t>§ 129 Öffentliche Beglaubigung</w:t>
      </w:r>
      <w:r>
        <w:t xml:space="preserve"> </w:t>
      </w:r>
      <w:r>
        <w:rPr>
          <w:rStyle w:val="Suchmarke"/>
        </w:rPr>
        <w:t>#129#</w:t>
      </w:r>
      <w:bookmarkEnd w:id="162"/>
    </w:p>
    <w:p>
      <w:r>
        <w:t xml:space="preserve">(1) </w:t>
      </w:r>
      <w:r>
        <w:rPr>
          <w:rStyle w:val="Satznummer"/>
        </w:rPr>
        <w:t>1</w:t>
      </w:r>
      <w:r>
        <w:t>Ist für eine Erklärung durch Gesetz öffentliche Beglaubigung vorgeschrieben, so muss die Erklärung</w:t>
      </w:r>
    </w:p>
    <w:p>
      <w:pPr>
        <w:tabs>
          <w:tab w:pos="567" w:val="left"/>
        </w:tabs>
        <w:ind w:left="567" w:hanging="567"/>
      </w:pPr>
      <w:r>
        <w:t>1.</w:t>
      </w:r>
      <w:r>
        <w:tab/>
      </w:r>
      <w:r>
        <w:t>in schriftlicher Form abgefasst und die Unterschrift des Erklärenden von einem Notar beglaubigt werden oder</w:t>
      </w:r>
    </w:p>
    <w:p>
      <w:pPr>
        <w:tabs>
          <w:tab w:pos="567" w:val="left"/>
        </w:tabs>
        <w:ind w:left="567" w:hanging="567"/>
      </w:pPr>
      <w:r>
        <w:t>2.</w:t>
      </w:r>
      <w:r>
        <w:tab/>
      </w:r>
      <w:r>
        <w:t>in elektronischer Form abgefasst und die qualifizierte elektronische Signatur des Erklärenden von einem Notar beglaubigt werden.</w:t>
      </w:r>
    </w:p>
    <w:p>
      <w:r>
        <w:rPr>
          <w:rStyle w:val="Satznummer"/>
        </w:rPr>
        <w:t>2</w:t>
      </w:r>
      <w:r>
        <w:t>In dem Gesetz kann vorgesehen werden, dass eine Erklärung nur nach Satz 1 Nummer 1 oder nach Satz 1 Nummer 2 öffentlich beglaubigt werden kann.</w:t>
      </w:r>
    </w:p>
    <w:p>
      <w:r>
        <w:t>(2) Wurde eine Erklärung in schriftlicher Form von dem Erklärenden mittels notariell beglaubigten Handzeichens unterzeichnet, so erfüllt die Erklärung auch die Anforderungen nach Absatz 1 Satz 1 Nummer 1.</w:t>
      </w:r>
    </w:p>
    <w:p>
      <w:r>
        <w:t>(3) Wurde eine Erklärung in einem elektronischen Dokument von dem Erklärenden mit einer notariell beglaubigten eigenhändigen elektronischen Namensunterschrift oder einem notariell beglaubigten eigenhändigen elektronischen Handzeichen versehen, so gilt sie als öffentlich beglaubigte Erklärung.</w:t>
      </w:r>
    </w:p>
    <w:p>
      <w:r>
        <w:t>(4) Die öffentliche Beglaubigung wird durch die notarielle Beurkundung ersetzt.</w:t>
      </w:r>
    </w:p>
    <w:p>
      <w:pPr>
        <w:pStyle w:val="Heading4"/>
      </w:pPr>
      <w:bookmarkStart w:id="163" w:name="b161"/>
      <w:r>
        <w:t>§ 130 Wirksamwerden der Willenserklärung gegenüber Abwesenden</w:t>
      </w:r>
      <w:r>
        <w:t xml:space="preserve"> </w:t>
      </w:r>
      <w:r>
        <w:rPr>
          <w:rStyle w:val="Suchmarke"/>
        </w:rPr>
        <w:t>#130#</w:t>
      </w:r>
      <w:bookmarkEnd w:id="163"/>
    </w:p>
    <w:p>
      <w:r>
        <w:t xml:space="preserve">(1) </w:t>
      </w:r>
      <w:r>
        <w:rPr>
          <w:rStyle w:val="Satznummer"/>
        </w:rPr>
        <w:t>1</w:t>
      </w:r>
      <w:r>
        <w:t xml:space="preserve">Eine Willenserklärung, die einem anderen gegenüber abzugeben ist, wird, wenn sie in dessen Abwesenheit abgegeben wird, in dem Zeitpunkt wirksam, in welchem sie ihm zugeht. </w:t>
      </w:r>
      <w:r>
        <w:rPr>
          <w:rStyle w:val="Satznummer"/>
        </w:rPr>
        <w:t>2</w:t>
      </w:r>
      <w:r>
        <w:t>Sie wird nicht wirksam, wenn dem anderen vorher oder gleichzeitig ein Widerruf zugeht.</w:t>
      </w:r>
    </w:p>
    <w:p>
      <w:r>
        <w:t>(2) Eine Willenserklärung, die notariell beurkundet oder öffentlich beglaubigt wurde, wird auch wirksam, wenn dem Erklärungsempfänger eine öffentlich beglaubigte Abschrift der Urschrift zugeht.</w:t>
      </w:r>
    </w:p>
    <w:p>
      <w:r>
        <w:t>(3) Auf die Wirksamkeit der Willenserklärung ist es ohne Einfluss, wenn der Erklärende nach der Abgabe stirbt oder geschäftsunfähig wird.</w:t>
      </w:r>
    </w:p>
    <w:p>
      <w:r>
        <w:t>(4) Diese Vorschriften finden auch dann Anwendung, wenn die Willenserklärung einer Behörde gegenüber abzugeben ist.</w:t>
      </w:r>
    </w:p>
    <w:p>
      <w:pPr>
        <w:pStyle w:val="Heading4"/>
      </w:pPr>
      <w:bookmarkStart w:id="164" w:name="b162"/>
      <w:r>
        <w:t>§ 131 Wirksamwerden gegenüber nicht voll Geschäftsfähigen</w:t>
      </w:r>
      <w:r>
        <w:t xml:space="preserve"> </w:t>
      </w:r>
      <w:r>
        <w:rPr>
          <w:rStyle w:val="Suchmarke"/>
        </w:rPr>
        <w:t>#131#</w:t>
      </w:r>
      <w:bookmarkEnd w:id="164"/>
    </w:p>
    <w:p>
      <w:r>
        <w:t>(1) Wird die Willenserklärung einem Geschäftsunfähigen gegenüber abgegeben, so wird sie nicht wirksam, bevor sie dem gesetzlichen Vertreter zugeht.</w:t>
      </w:r>
    </w:p>
    <w:p>
      <w:r>
        <w:t xml:space="preserve">(2) </w:t>
      </w:r>
      <w:r>
        <w:rPr>
          <w:rStyle w:val="Satznummer"/>
        </w:rPr>
        <w:t>1</w:t>
      </w:r>
      <w:r>
        <w:t xml:space="preserve">Das Gleiche gilt, wenn die Willenserklärung einer in der Geschäftsfähigkeit beschränkten Person gegenüber abgegeben wird. </w:t>
      </w:r>
      <w:r>
        <w:rPr>
          <w:rStyle w:val="Satznummer"/>
        </w:rPr>
        <w:t>2</w:t>
      </w:r>
      <w:r>
        <w:t>Bringt die Erklärung jedoch der in der Geschäftsfähigkeit beschränkten Person lediglich einen rechtlichen Vorteil oder hat der gesetzliche Vertreter seine Einwilligung erteilt, so wird die Erklärung in dem Zeitpunkt wirksam, in welchem sie ihr zugeht.</w:t>
      </w:r>
    </w:p>
    <w:p>
      <w:pPr>
        <w:pStyle w:val="Heading4"/>
      </w:pPr>
      <w:bookmarkStart w:id="165" w:name="b163"/>
      <w:r>
        <w:t>§ 132 Ersatz des Zugehens durch Zustellung</w:t>
      </w:r>
      <w:r>
        <w:t xml:space="preserve"> </w:t>
      </w:r>
      <w:r>
        <w:rPr>
          <w:rStyle w:val="Suchmarke"/>
        </w:rPr>
        <w:t>#132#</w:t>
      </w:r>
      <w:bookmarkEnd w:id="165"/>
    </w:p>
    <w:p>
      <w:r>
        <w:t xml:space="preserve">(1) </w:t>
      </w:r>
      <w:r>
        <w:rPr>
          <w:rStyle w:val="Satznummer"/>
        </w:rPr>
        <w:t>1</w:t>
      </w:r>
      <w:r>
        <w:t xml:space="preserve">Eine Willenserklärung gilt auch dann als zugegangen, wenn sie durch Vermittlung eines Gerichtsvollziehers zugestellt worden ist. </w:t>
      </w:r>
      <w:r>
        <w:rPr>
          <w:rStyle w:val="Satznummer"/>
        </w:rPr>
        <w:t>2</w:t>
      </w:r>
      <w:r>
        <w:t>Die Zustellung erfolgt nach den Vorschriften der Zivilprozessordnung.</w:t>
      </w:r>
    </w:p>
    <w:p>
      <w:r>
        <w:t xml:space="preserve">(2) </w:t>
      </w:r>
      <w:r>
        <w:rPr>
          <w:rStyle w:val="Satznummer"/>
        </w:rPr>
        <w:t>1</w:t>
      </w:r>
      <w:r>
        <w:t xml:space="preserve">Befindet sich der Erklärende über die Person desjenigen, welchem gegenüber die Erklärung abzugeben ist, in einer nicht auf Fahrlässigkeit beruhenden Unkenntnis oder ist der Aufenthalt dieser Person unbekannt, so kann die Zustellung nach den für die öffentliche Zustellung geltenden Vorschriften der Zivilprozessordnung erfolgen. </w:t>
      </w:r>
      <w:r>
        <w:rPr>
          <w:rStyle w:val="Satznummer"/>
        </w:rPr>
        <w:t>2</w:t>
      </w:r>
      <w:r>
        <w:t>Zuständig für die Bewilligung ist im ersteren Falle das Amtsgericht, in dessen Bezirk der Erklärende seinen Wohnsitz oder in Ermangelung eines inländischen Wohnsitzes seinen Aufenthalt hat, im letzteren Falle das Amtsgericht, in dessen Bezirk die Person, welcher zuzustellen ist, den letzten Wohnsitz oder in Ermangelung eines inländischen Wohnsitzes den letzten Aufenthalt hatte.</w:t>
      </w:r>
    </w:p>
    <w:p>
      <w:pPr>
        <w:pStyle w:val="Heading4"/>
      </w:pPr>
      <w:bookmarkStart w:id="166" w:name="b164"/>
      <w:r>
        <w:t>§ 133 Auslegung einer Willenserklärung</w:t>
      </w:r>
      <w:r>
        <w:t xml:space="preserve"> </w:t>
      </w:r>
      <w:r>
        <w:rPr>
          <w:rStyle w:val="Suchmarke"/>
        </w:rPr>
        <w:t>#133#</w:t>
      </w:r>
      <w:bookmarkEnd w:id="166"/>
    </w:p>
    <w:p>
      <w:r>
        <w:t>Bei der Auslegung einer Willenserklärung ist der wirkliche Wille zu erforschen und nicht an dem buchstäblichen Sinne des Ausdrucks zu haften.</w:t>
      </w:r>
    </w:p>
    <w:p>
      <w:pPr>
        <w:pStyle w:val="Heading4"/>
      </w:pPr>
      <w:bookmarkStart w:id="167" w:name="b165"/>
      <w:r>
        <w:t>§ 134 Gesetzliches Verbot</w:t>
      </w:r>
      <w:r>
        <w:t xml:space="preserve"> </w:t>
      </w:r>
      <w:r>
        <w:rPr>
          <w:rStyle w:val="Suchmarke"/>
        </w:rPr>
        <w:t>#134#</w:t>
      </w:r>
      <w:bookmarkEnd w:id="167"/>
    </w:p>
    <w:p>
      <w:r>
        <w:t>Ein Rechtsgeschäft, das gegen ein gesetzliches Verbot verstößt, ist nichtig, wenn sich nicht aus dem Gesetz ein anderes ergibt.</w:t>
      </w:r>
    </w:p>
    <w:p>
      <w:pPr>
        <w:pStyle w:val="Heading4"/>
      </w:pPr>
      <w:bookmarkStart w:id="168" w:name="b166"/>
      <w:r>
        <w:t>§ 135 Gesetzliches Veräußerungsverbot</w:t>
      </w:r>
      <w:r>
        <w:t xml:space="preserve"> </w:t>
      </w:r>
      <w:r>
        <w:rPr>
          <w:rStyle w:val="Suchmarke"/>
        </w:rPr>
        <w:t>#135#</w:t>
      </w:r>
      <w:bookmarkEnd w:id="168"/>
    </w:p>
    <w:p>
      <w:r>
        <w:t xml:space="preserve">(1) </w:t>
      </w:r>
      <w:r>
        <w:rPr>
          <w:rStyle w:val="Satznummer"/>
        </w:rPr>
        <w:t>1</w:t>
      </w:r>
      <w:r>
        <w:t xml:space="preserve">Verstößt die Verfügung über einen Gegenstand gegen ein gesetzliches Veräußerungsverbot, das nur den Schutz bestimmter Personen bezweckt, so ist sie nur diesen Personen gegenüber unwirksam. </w:t>
      </w:r>
      <w:r>
        <w:rPr>
          <w:rStyle w:val="Satznummer"/>
        </w:rPr>
        <w:t>2</w:t>
      </w:r>
      <w:r>
        <w:t>Der rechtsgeschäftlichen Verfügung steht eine Verfügung gleich, die im Wege der Zwangsvollstreckung oder der Arrestvollziehung erfolgt.</w:t>
      </w:r>
    </w:p>
    <w:p>
      <w:r>
        <w:t>(2) Die Vorschriften zugunsten derjenigen, welche Rechte von einem Nichtberechtigten herleiten, finden entsprechende Anwendung.</w:t>
      </w:r>
    </w:p>
    <w:p>
      <w:pPr>
        <w:pStyle w:val="Heading4"/>
      </w:pPr>
      <w:bookmarkStart w:id="169" w:name="b167"/>
      <w:r>
        <w:t>§ 136 Behördliches Veräußerungsverbot</w:t>
      </w:r>
      <w:r>
        <w:t xml:space="preserve"> </w:t>
      </w:r>
      <w:r>
        <w:rPr>
          <w:rStyle w:val="Suchmarke"/>
        </w:rPr>
        <w:t>#136#</w:t>
      </w:r>
      <w:bookmarkEnd w:id="169"/>
    </w:p>
    <w:p>
      <w:r>
        <w:t xml:space="preserve">Ein Veräußerungsverbot, das von einem Gericht oder von einer anderen Behörde innerhalb ihrer Zuständigkeit erlassen wird, steht einem gesetzlichen Veräußerungsverbot der in </w:t>
      </w:r>
      <w:hyperlink w:anchor="b166" w:history="1">
        <w:r>
          <w:rPr>
            <w:color w:val="0A3A8C"/>
            <w:u w:val="single"/>
          </w:rPr>
          <w:t xml:space="preserve">§ 135</w:t>
        </w:r>
      </w:hyperlink>
      <w:r>
        <w:t xml:space="preserve"> bezeichneten Art gleich.</w:t>
      </w:r>
    </w:p>
    <w:p>
      <w:pPr>
        <w:pStyle w:val="Heading4"/>
      </w:pPr>
      <w:bookmarkStart w:id="170" w:name="b168"/>
      <w:r>
        <w:t>§ 137 Rechtsgeschäftliches Verfügungsverbot</w:t>
      </w:r>
      <w:r>
        <w:t xml:space="preserve"> </w:t>
      </w:r>
      <w:r>
        <w:rPr>
          <w:rStyle w:val="Suchmarke"/>
        </w:rPr>
        <w:t>#137#</w:t>
      </w:r>
      <w:bookmarkEnd w:id="170"/>
    </w:p>
    <w:p>
      <w:r>
        <w:rPr>
          <w:rStyle w:val="Satznummer"/>
        </w:rPr>
        <w:t>1</w:t>
      </w:r>
      <w:r>
        <w:t xml:space="preserve">Die Befugnis zur Verfügung über ein veräußerliches Recht kann nicht durch Rechtsgeschäft ausgeschlossen oder beschränkt werden. </w:t>
      </w:r>
      <w:r>
        <w:rPr>
          <w:rStyle w:val="Satznummer"/>
        </w:rPr>
        <w:t>2</w:t>
      </w:r>
      <w:r>
        <w:t>Die Wirksamkeit einer Verpflichtung, über ein solches Recht nicht zu verfügen, wird durch diese Vorschrift nicht berührt.</w:t>
      </w:r>
    </w:p>
    <w:p>
      <w:pPr>
        <w:pStyle w:val="Heading4"/>
      </w:pPr>
      <w:bookmarkStart w:id="171" w:name="b169"/>
      <w:r>
        <w:t>§ 138 Sittenwidriges Rechtsgeschäft; Wucher</w:t>
      </w:r>
      <w:r>
        <w:t xml:space="preserve"> </w:t>
      </w:r>
      <w:r>
        <w:rPr>
          <w:rStyle w:val="Suchmarke"/>
        </w:rPr>
        <w:t>#138#</w:t>
      </w:r>
      <w:bookmarkEnd w:id="171"/>
    </w:p>
    <w:p>
      <w:r>
        <w:t>(1) Ein Rechtsgeschäft, das gegen die guten Sitten verstößt, ist nichtig.</w:t>
      </w:r>
    </w:p>
    <w:p>
      <w:r>
        <w:t>(2) Nichtig ist insbesondere ein Rechtsgeschäft, durch das jemand unter Ausbeutung der Zwangslage, der Unerfahrenheit, des Mangels an Urteilsvermögen oder der erheblichen Willensschwäche eines anderen sich oder einem Dritten für eine Leistung Vermögensvorteile versprechen oder gewähren lässt, die in einem auffälligen Missverhältnis zu der Leistung stehen.</w:t>
      </w:r>
    </w:p>
    <w:p>
      <w:pPr>
        <w:pStyle w:val="Heading4"/>
      </w:pPr>
      <w:bookmarkStart w:id="172" w:name="b170"/>
      <w:r>
        <w:t>§ 139 Teilnichtigkeit</w:t>
      </w:r>
      <w:r>
        <w:t xml:space="preserve"> </w:t>
      </w:r>
      <w:r>
        <w:rPr>
          <w:rStyle w:val="Suchmarke"/>
        </w:rPr>
        <w:t>#139#</w:t>
      </w:r>
      <w:bookmarkEnd w:id="172"/>
    </w:p>
    <w:p>
      <w:r>
        <w:t>Ist ein Teil eines Rechtsgeschäfts nichtig, so ist das ganze Rechtsgeschäft nichtig, wenn nicht anzunehmen ist, dass es auch ohne den nichtigen Teil vorgenommen sein würde.</w:t>
      </w:r>
    </w:p>
    <w:p>
      <w:pPr>
        <w:pStyle w:val="Heading4"/>
      </w:pPr>
      <w:bookmarkStart w:id="173" w:name="b171"/>
      <w:r>
        <w:t>§ 140 Umdeutung</w:t>
      </w:r>
      <w:r>
        <w:t xml:space="preserve"> </w:t>
      </w:r>
      <w:r>
        <w:rPr>
          <w:rStyle w:val="Suchmarke"/>
        </w:rPr>
        <w:t>#140#</w:t>
      </w:r>
      <w:bookmarkEnd w:id="173"/>
    </w:p>
    <w:p>
      <w:r>
        <w:t>Entspricht ein nichtiges Rechtsgeschäft den Erfordernissen eines anderen Rechtsgeschäfts, so gilt das letztere, wenn anzunehmen ist, dass dessen Geltung bei Kenntnis der Nichtigkeit gewollt sein würde.</w:t>
      </w:r>
    </w:p>
    <w:p>
      <w:pPr>
        <w:pStyle w:val="Heading4"/>
      </w:pPr>
      <w:bookmarkStart w:id="174" w:name="b172"/>
      <w:r>
        <w:t>§ 141 Bestätigung des nichtigen Rechtsgeschäfts</w:t>
      </w:r>
      <w:r>
        <w:t xml:space="preserve"> </w:t>
      </w:r>
      <w:r>
        <w:rPr>
          <w:rStyle w:val="Suchmarke"/>
        </w:rPr>
        <w:t>#141#</w:t>
      </w:r>
      <w:bookmarkEnd w:id="174"/>
    </w:p>
    <w:p>
      <w:r>
        <w:t>(1) Wird ein nichtiges Rechtsgeschäft von demjenigen, welcher es vorgenommen hat, bestätigt, so ist die Bestätigung als erneute Vornahme zu beurteilen.</w:t>
      </w:r>
    </w:p>
    <w:p>
      <w:r>
        <w:t>(2) Wird ein nichtiger Vertrag von den Parteien bestätigt, so sind diese im Zweifel verpflichtet, einander zu gewähren, was sie haben würden, wenn der Vertrag von Anfang an gültig gewesen wäre.</w:t>
      </w:r>
    </w:p>
    <w:p>
      <w:pPr>
        <w:pStyle w:val="Heading4"/>
      </w:pPr>
      <w:bookmarkStart w:id="175" w:name="b173"/>
      <w:r>
        <w:t>§ 142 Wirkung der Anfechtung</w:t>
      </w:r>
      <w:r>
        <w:t xml:space="preserve"> </w:t>
      </w:r>
      <w:r>
        <w:rPr>
          <w:rStyle w:val="Suchmarke"/>
        </w:rPr>
        <w:t>#142#</w:t>
      </w:r>
      <w:bookmarkEnd w:id="175"/>
    </w:p>
    <w:p>
      <w:r>
        <w:t>(1) Wird ein anfechtbares Rechtsgeschäft angefochten, so ist es als von Anfang an nichtig anzusehen.</w:t>
      </w:r>
    </w:p>
    <w:p>
      <w:r>
        <w:t>(2) Wer die Anfechtbarkeit kannte oder kennen musste, wird, wenn die Anfechtung erfolgt, so behandelt, wie wenn er die Nichtigkeit des Rechtsgeschäfts gekannt hätte oder hätte kennen müssen.</w:t>
      </w:r>
    </w:p>
    <w:p>
      <w:pPr>
        <w:pStyle w:val="Heading4"/>
      </w:pPr>
      <w:bookmarkStart w:id="176" w:name="b174"/>
      <w:r>
        <w:t>§ 143 Anfechtungserklärung</w:t>
      </w:r>
      <w:r>
        <w:t xml:space="preserve"> </w:t>
      </w:r>
      <w:r>
        <w:rPr>
          <w:rStyle w:val="Suchmarke"/>
        </w:rPr>
        <w:t>#143#</w:t>
      </w:r>
      <w:bookmarkEnd w:id="176"/>
    </w:p>
    <w:p>
      <w:r>
        <w:t>(1) Die Anfechtung erfolgt durch Erklärung gegenüber dem Anfechtungsgegner.</w:t>
      </w:r>
    </w:p>
    <w:p>
      <w:r>
        <w:t xml:space="preserve">(2) Anfechtungsgegner ist bei einem Vertrag der andere Teil, im Falle des </w:t>
      </w:r>
      <w:hyperlink w:anchor="b151" w:history="1">
        <w:r>
          <w:rPr>
            <w:color w:val="0A3A8C"/>
            <w:u w:val="single"/>
          </w:rPr>
          <w:t xml:space="preserve">§ 123</w:t>
        </w:r>
      </w:hyperlink>
      <w:r>
        <w:t xml:space="preserve"> Abs. 2 Satz 2 derjenige, welcher aus dem Vertrag unmittelbar ein Recht erworben hat.</w:t>
      </w:r>
    </w:p>
    <w:p>
      <w:r>
        <w:t xml:space="preserve">(3) </w:t>
      </w:r>
      <w:r>
        <w:rPr>
          <w:rStyle w:val="Satznummer"/>
        </w:rPr>
        <w:t>1</w:t>
      </w:r>
      <w:r>
        <w:t xml:space="preserve">Bei einem einseitigen Rechtsgeschäft, das einem anderen gegenüber vorzunehmen war, ist der andere der Anfechtungsgegner. </w:t>
      </w:r>
      <w:r>
        <w:rPr>
          <w:rStyle w:val="Satznummer"/>
        </w:rPr>
        <w:t>2</w:t>
      </w:r>
      <w:r>
        <w:t>Das Gleiche gilt bei einem Rechtsgeschäft, das einem anderen oder einer Behörde gegenüber vorzunehmen war, auch dann, wenn das Rechtsgeschäft der Behörde gegenüber vorgenommen worden ist.</w:t>
      </w:r>
    </w:p>
    <w:p>
      <w:r>
        <w:t xml:space="preserve">(4) </w:t>
      </w:r>
      <w:r>
        <w:rPr>
          <w:rStyle w:val="Satznummer"/>
        </w:rPr>
        <w:t>1</w:t>
      </w:r>
      <w:r>
        <w:t xml:space="preserve">Bei einem einseitigen Rechtsgeschäft anderer Art ist Anfechtungsgegner jeder, der auf Grund des Rechtsgeschäfts unmittelbar einen rechtlichen Vorteil erlangt hat. </w:t>
      </w:r>
      <w:r>
        <w:rPr>
          <w:rStyle w:val="Satznummer"/>
        </w:rPr>
        <w:t>2</w:t>
      </w:r>
      <w:r>
        <w:t>Die Anfechtung kann jedoch, wenn die Willenserklärung einer Behörde gegenüber abzugeben war, durch Erklärung gegenüber der Behörde erfolgen; die Behörde soll die Anfechtung demjenigen mitteilen, welcher durch das Rechtsgeschäft unmittelbar betroffen worden ist.</w:t>
      </w:r>
    </w:p>
    <w:p>
      <w:pPr>
        <w:pStyle w:val="Heading4"/>
      </w:pPr>
      <w:bookmarkStart w:id="177" w:name="b175"/>
      <w:r>
        <w:t>§ 144 Bestätigung des anfechtbaren Rechtsgeschäfts</w:t>
      </w:r>
      <w:r>
        <w:t xml:space="preserve"> </w:t>
      </w:r>
      <w:r>
        <w:rPr>
          <w:rStyle w:val="Suchmarke"/>
        </w:rPr>
        <w:t>#144#</w:t>
      </w:r>
      <w:bookmarkEnd w:id="177"/>
    </w:p>
    <w:p>
      <w:r>
        <w:t>(1) Die Anfechtung ist ausgeschlossen, wenn das anfechtbare Rechtsgeschäft von dem Anfechtungsberechtigten bestätigt wird.</w:t>
      </w:r>
    </w:p>
    <w:p>
      <w:r>
        <w:t>(2) Die Bestätigung bedarf nicht der für das Rechtsgeschäft bestimmten Form.</w:t>
      </w:r>
    </w:p>
    <w:p>
      <w:pPr>
        <w:pStyle w:val="Heading3"/>
      </w:pPr>
      <w:bookmarkStart w:id="178" w:name="b176"/>
      <w:r>
        <w:t>Titel 3 Vertrag</w:t>
      </w:r>
      <w:bookmarkEnd w:id="178"/>
    </w:p>
    <w:p>
      <w:pPr>
        <w:pStyle w:val="Heading4"/>
      </w:pPr>
      <w:bookmarkStart w:id="179" w:name="b177"/>
      <w:r>
        <w:t>§ 145 Bindung an den Antrag</w:t>
      </w:r>
      <w:r>
        <w:t xml:space="preserve"> </w:t>
      </w:r>
      <w:r>
        <w:rPr>
          <w:rStyle w:val="Suchmarke"/>
        </w:rPr>
        <w:t>#145#</w:t>
      </w:r>
      <w:bookmarkEnd w:id="179"/>
    </w:p>
    <w:p>
      <w:r>
        <w:t>Wer einem anderen die Schließung eines Vertrags anträgt, ist an den Antrag gebunden, es sei denn, dass er die Gebundenheit ausgeschlossen hat.</w:t>
      </w:r>
    </w:p>
    <w:p>
      <w:pPr>
        <w:pStyle w:val="Heading4"/>
      </w:pPr>
      <w:bookmarkStart w:id="180" w:name="b178"/>
      <w:r>
        <w:t>§ 146 Erlöschen des Antrags</w:t>
      </w:r>
      <w:r>
        <w:t xml:space="preserve"> </w:t>
      </w:r>
      <w:r>
        <w:rPr>
          <w:rStyle w:val="Suchmarke"/>
        </w:rPr>
        <w:t>#146#</w:t>
      </w:r>
      <w:bookmarkEnd w:id="180"/>
    </w:p>
    <w:p>
      <w:r>
        <w:t xml:space="preserve">Der Antrag erlischt, wenn er dem Antragenden gegenüber abgelehnt oder wenn er nicht diesem gegenüber nach den </w:t>
      </w:r>
      <w:hyperlink w:anchor="b179" w:history="1">
        <w:r>
          <w:rPr>
            <w:color w:val="0A3A8C"/>
            <w:u w:val="single"/>
          </w:rPr>
          <w:t xml:space="preserve">§§ 147</w:t>
        </w:r>
      </w:hyperlink>
      <w:r>
        <w:t xml:space="preserve"> bis </w:t>
      </w:r>
      <w:hyperlink w:anchor="b181" w:history="1">
        <w:r>
          <w:rPr>
            <w:color w:val="0A3A8C"/>
            <w:u w:val="single"/>
          </w:rPr>
          <w:t xml:space="preserve">149</w:t>
        </w:r>
      </w:hyperlink>
      <w:r>
        <w:t xml:space="preserve"> rechtzeitig angenommen wird.</w:t>
      </w:r>
    </w:p>
    <w:p>
      <w:pPr>
        <w:pStyle w:val="Heading4"/>
      </w:pPr>
      <w:bookmarkStart w:id="181" w:name="b179"/>
      <w:r>
        <w:t>§ 147 Annahmefrist</w:t>
      </w:r>
      <w:r>
        <w:t xml:space="preserve"> </w:t>
      </w:r>
      <w:r>
        <w:rPr>
          <w:rStyle w:val="Suchmarke"/>
        </w:rPr>
        <w:t>#147#</w:t>
      </w:r>
      <w:bookmarkEnd w:id="181"/>
    </w:p>
    <w:p>
      <w:r>
        <w:t xml:space="preserve">(1) </w:t>
      </w:r>
      <w:r>
        <w:rPr>
          <w:rStyle w:val="Satznummer"/>
        </w:rPr>
        <w:t>1</w:t>
      </w:r>
      <w:r>
        <w:t xml:space="preserve">Der einem Anwesenden gemachte Antrag kann nur sofort angenommen werden. </w:t>
      </w:r>
      <w:r>
        <w:rPr>
          <w:rStyle w:val="Satznummer"/>
        </w:rPr>
        <w:t>2</w:t>
      </w:r>
      <w:r>
        <w:t>Dies gilt auch von einem mittels Fernsprechers oder einer sonstigen technischen Einrichtung von Person zu Person gemachten Antrag.</w:t>
      </w:r>
    </w:p>
    <w:p>
      <w:r>
        <w:t>(2) Der einem Abwesenden gemachte Antrag kann nur bis zu dem Zeitpunkt angenommen werden, in welchem der Antragende den Eingang der Antwort unter regelmäßigen Umständen erwarten darf.</w:t>
      </w:r>
    </w:p>
    <w:p>
      <w:pPr>
        <w:pStyle w:val="Heading4"/>
      </w:pPr>
      <w:bookmarkStart w:id="182" w:name="b180"/>
      <w:r>
        <w:t>§ 148 Bestimmung einer Annahmefrist</w:t>
      </w:r>
      <w:r>
        <w:t xml:space="preserve"> </w:t>
      </w:r>
      <w:r>
        <w:rPr>
          <w:rStyle w:val="Suchmarke"/>
        </w:rPr>
        <w:t>#148#</w:t>
      </w:r>
      <w:bookmarkEnd w:id="182"/>
    </w:p>
    <w:p>
      <w:r>
        <w:t>Hat der Antragende für die Annahme des Antrags eine Frist bestimmt, so kann die Annahme nur innerhalb der Frist erfolgen.</w:t>
      </w:r>
    </w:p>
    <w:p>
      <w:pPr>
        <w:pStyle w:val="Heading4"/>
      </w:pPr>
      <w:bookmarkStart w:id="183" w:name="b181"/>
      <w:r>
        <w:t>§ 149 Verspätet zugegangene Annahmeerklärung</w:t>
      </w:r>
      <w:r>
        <w:t xml:space="preserve"> </w:t>
      </w:r>
      <w:r>
        <w:rPr>
          <w:rStyle w:val="Suchmarke"/>
        </w:rPr>
        <w:t>#149#</w:t>
      </w:r>
      <w:bookmarkEnd w:id="183"/>
    </w:p>
    <w:p>
      <w:r>
        <w:rPr>
          <w:rStyle w:val="Satznummer"/>
        </w:rPr>
        <w:t>1</w:t>
      </w:r>
      <w:r>
        <w:t xml:space="preserve">Ist eine dem Antragenden verspätet zugegangene Annahmeerklärung dergestalt abgesendet worden, dass sie bei regelmäßiger Beförderung ihm rechtzeitig zugegangen sein würde, und musste der Antragende dies erkennen, so hat er die Verspätung dem Annehmenden unverzüglich nach dem Empfang der Erklärung anzuzeigen, sofern es nicht schon vorher geschehen ist. </w:t>
      </w:r>
      <w:r>
        <w:rPr>
          <w:rStyle w:val="Satznummer"/>
        </w:rPr>
        <w:t>2</w:t>
      </w:r>
      <w:r>
        <w:t>Verzögert er die Absendung der Anzeige, so gilt die Annahme als nicht verspätet.</w:t>
      </w:r>
    </w:p>
    <w:p>
      <w:pPr>
        <w:pStyle w:val="Heading4"/>
      </w:pPr>
      <w:bookmarkStart w:id="184" w:name="b182"/>
      <w:r>
        <w:t>§ 150 Verspätete und abändernde Annahme</w:t>
      </w:r>
      <w:r>
        <w:t xml:space="preserve"> </w:t>
      </w:r>
      <w:r>
        <w:rPr>
          <w:rStyle w:val="Suchmarke"/>
        </w:rPr>
        <w:t>#150#</w:t>
      </w:r>
      <w:bookmarkEnd w:id="184"/>
    </w:p>
    <w:p>
      <w:r>
        <w:t>(1) Die verspätete Annahme eines Antrags gilt als neuer Antrag.</w:t>
      </w:r>
    </w:p>
    <w:p>
      <w:r>
        <w:t>(2) Eine Annahme unter Erweiterungen, Einschränkungen oder sonstigen Änderungen gilt als Ablehnung verbunden mit einem neuen Antrag.</w:t>
      </w:r>
    </w:p>
    <w:p>
      <w:pPr>
        <w:pStyle w:val="Heading4"/>
      </w:pPr>
      <w:bookmarkStart w:id="185" w:name="b183"/>
      <w:r>
        <w:t>§ 151 Annahme ohne Erklärung gegenüber dem Antragenden</w:t>
      </w:r>
      <w:r>
        <w:t xml:space="preserve"> </w:t>
      </w:r>
      <w:r>
        <w:rPr>
          <w:rStyle w:val="Suchmarke"/>
        </w:rPr>
        <w:t>#151#</w:t>
      </w:r>
      <w:bookmarkEnd w:id="185"/>
    </w:p>
    <w:p>
      <w:r>
        <w:rPr>
          <w:rStyle w:val="Satznummer"/>
        </w:rPr>
        <w:t>1</w:t>
      </w:r>
      <w:r>
        <w:t xml:space="preserve">Der Vertrag kommt durch die Annahme des Antrags zustande, ohne dass die Annahme dem Antragenden gegenüber erklärt zu werden braucht, wenn eine solche Erklärung nach der Verkehrssitte nicht zu erwarten ist oder der Antragende auf sie verzichtet hat. </w:t>
      </w:r>
      <w:r>
        <w:rPr>
          <w:rStyle w:val="Satznummer"/>
        </w:rPr>
        <w:t>2</w:t>
      </w:r>
      <w:r>
        <w:t>Der Zeitpunkt, in welchem der Antrag erlischt, bestimmt sich nach dem aus dem Antrag oder den Umständen zu entnehmenden Willen des Antragenden.</w:t>
      </w:r>
    </w:p>
    <w:p>
      <w:pPr>
        <w:pStyle w:val="Heading4"/>
      </w:pPr>
      <w:bookmarkStart w:id="186" w:name="b184"/>
      <w:r>
        <w:t>§ 152 Annahme bei notarieller Beurkundung</w:t>
      </w:r>
      <w:r>
        <w:t xml:space="preserve"> </w:t>
      </w:r>
      <w:r>
        <w:rPr>
          <w:rStyle w:val="Suchmarke"/>
        </w:rPr>
        <w:t>#152#</w:t>
      </w:r>
      <w:bookmarkEnd w:id="186"/>
    </w:p>
    <w:p>
      <w:r>
        <w:rPr>
          <w:rStyle w:val="Satznummer"/>
        </w:rPr>
        <w:t>1</w:t>
      </w:r>
      <w:r>
        <w:t xml:space="preserve">Wird ein Vertrag notariell beurkundet, ohne dass beide Teile gleichzeitig anwesend sind, so kommt der Vertrag mit der nach </w:t>
      </w:r>
      <w:hyperlink w:anchor="b159" w:history="1">
        <w:r>
          <w:rPr>
            <w:color w:val="0A3A8C"/>
            <w:u w:val="single"/>
          </w:rPr>
          <w:t xml:space="preserve">§ 128</w:t>
        </w:r>
      </w:hyperlink>
      <w:r>
        <w:t xml:space="preserve"> erfolgten Beurkundung der Annahme zustande, wenn nicht ein anderes bestimmt ist. </w:t>
      </w:r>
      <w:r>
        <w:rPr>
          <w:rStyle w:val="Satznummer"/>
        </w:rPr>
        <w:t>2</w:t>
      </w:r>
      <w:r>
        <w:t xml:space="preserve">Die Vorschrift des </w:t>
      </w:r>
      <w:hyperlink w:anchor="b183" w:history="1">
        <w:r>
          <w:rPr>
            <w:color w:val="0A3A8C"/>
            <w:u w:val="single"/>
          </w:rPr>
          <w:t xml:space="preserve">§ 151</w:t>
        </w:r>
      </w:hyperlink>
      <w:r>
        <w:t xml:space="preserve"> Satz 2 findet Anwendung.</w:t>
      </w:r>
    </w:p>
    <w:p>
      <w:pPr>
        <w:pStyle w:val="Heading4"/>
      </w:pPr>
      <w:bookmarkStart w:id="187" w:name="b185"/>
      <w:r>
        <w:t>§ 153 Tod oder Geschäftsunfähigkeit des Antragenden</w:t>
      </w:r>
      <w:r>
        <w:t xml:space="preserve"> </w:t>
      </w:r>
      <w:r>
        <w:rPr>
          <w:rStyle w:val="Suchmarke"/>
        </w:rPr>
        <w:t>#153#</w:t>
      </w:r>
      <w:bookmarkEnd w:id="187"/>
    </w:p>
    <w:p>
      <w:r>
        <w:t>Das Zustandekommen des Vertrags wird nicht dadurch gehindert, dass der Antragende vor der Annahme stirbt oder geschäftsunfähig wird, es sei denn, dass ein anderer Wille des Antragenden anzunehmen ist.</w:t>
      </w:r>
    </w:p>
    <w:p>
      <w:pPr>
        <w:pStyle w:val="Heading4"/>
      </w:pPr>
      <w:bookmarkStart w:id="188" w:name="b186"/>
      <w:r>
        <w:t>§ 154 Offener Einigungsmangel; fehlende Beurkundung</w:t>
      </w:r>
      <w:r>
        <w:t xml:space="preserve"> </w:t>
      </w:r>
      <w:r>
        <w:rPr>
          <w:rStyle w:val="Suchmarke"/>
        </w:rPr>
        <w:t>#154#</w:t>
      </w:r>
      <w:bookmarkEnd w:id="188"/>
    </w:p>
    <w:p>
      <w:r>
        <w:t xml:space="preserve">(1) </w:t>
      </w:r>
      <w:r>
        <w:rPr>
          <w:rStyle w:val="Satznummer"/>
        </w:rPr>
        <w:t>1</w:t>
      </w:r>
      <w:r>
        <w:t xml:space="preserve">Solange nicht die Parteien sich über alle Punkte eines Vertrags geeinigt haben, über die nach der Erklärung auch nur einer Partei eine Vereinbarung getroffen werden soll, ist im Zweifel der Vertrag nicht geschlossen. </w:t>
      </w:r>
      <w:r>
        <w:rPr>
          <w:rStyle w:val="Satznummer"/>
        </w:rPr>
        <w:t>2</w:t>
      </w:r>
      <w:r>
        <w:t>Die Verständigung über einzelne Punkte ist auch dann nicht bindend, wenn eine Aufzeichnung stattgefunden hat.</w:t>
      </w:r>
    </w:p>
    <w:p>
      <w:r>
        <w:t>(2) Ist eine Beurkundung des beabsichtigten Vertrags verabredet worden, so ist im Zweifel der Vertrag nicht geschlossen, bis die Beurkundung erfolgt ist.</w:t>
      </w:r>
    </w:p>
    <w:p>
      <w:pPr>
        <w:pStyle w:val="Heading4"/>
      </w:pPr>
      <w:bookmarkStart w:id="189" w:name="b187"/>
      <w:r>
        <w:t>§ 155 Versteckter Einigungsmangel</w:t>
      </w:r>
      <w:r>
        <w:t xml:space="preserve"> </w:t>
      </w:r>
      <w:r>
        <w:rPr>
          <w:rStyle w:val="Suchmarke"/>
        </w:rPr>
        <w:t>#155#</w:t>
      </w:r>
      <w:bookmarkEnd w:id="189"/>
    </w:p>
    <w:p>
      <w:r>
        <w:t>Haben sich die Parteien bei einem Vertrag, den sie als geschlossen ansehen, über einen Punkt, über den eine Vereinbarung getroffen werden sollte, in Wirklichkeit nicht geeinigt, so gilt das Vereinbarte, sofern anzunehmen ist, dass der Vertrag auch ohne eine Bestimmung über diesen Punkt geschlossen sein würde.</w:t>
      </w:r>
    </w:p>
    <w:p>
      <w:pPr>
        <w:pStyle w:val="Heading4"/>
      </w:pPr>
      <w:bookmarkStart w:id="190" w:name="b188"/>
      <w:r>
        <w:t>§ 156 Vertragsschluss bei Versteigerung</w:t>
      </w:r>
      <w:r>
        <w:t xml:space="preserve"> </w:t>
      </w:r>
      <w:r>
        <w:rPr>
          <w:rStyle w:val="Suchmarke"/>
        </w:rPr>
        <w:t>#156#</w:t>
      </w:r>
      <w:bookmarkEnd w:id="190"/>
    </w:p>
    <w:p>
      <w:r>
        <w:rPr>
          <w:rStyle w:val="Satznummer"/>
        </w:rPr>
        <w:t>1</w:t>
      </w:r>
      <w:r>
        <w:t xml:space="preserve">Bei einer Versteigerung kommt der Vertrag erst durch den Zuschlag zustande. </w:t>
      </w:r>
      <w:r>
        <w:rPr>
          <w:rStyle w:val="Satznummer"/>
        </w:rPr>
        <w:t>2</w:t>
      </w:r>
      <w:r>
        <w:t>Ein Gebot erlischt, wenn ein Übergebot abgegeben oder die Versteigerung ohne Erteilung des Zuschlags geschlossen wird.</w:t>
      </w:r>
    </w:p>
    <w:p>
      <w:pPr>
        <w:pStyle w:val="Heading4"/>
      </w:pPr>
      <w:bookmarkStart w:id="191" w:name="b189"/>
      <w:r>
        <w:t>§ 157 Auslegung von Verträgen</w:t>
      </w:r>
      <w:r>
        <w:t xml:space="preserve"> </w:t>
      </w:r>
      <w:r>
        <w:rPr>
          <w:rStyle w:val="Suchmarke"/>
        </w:rPr>
        <w:t>#157#</w:t>
      </w:r>
      <w:bookmarkEnd w:id="191"/>
    </w:p>
    <w:p>
      <w:r>
        <w:t>Verträge sind so auszulegen, wie Treu und Glauben mit Rücksicht auf die Verkehrssitte es erfordern.</w:t>
      </w:r>
    </w:p>
    <w:p>
      <w:pPr>
        <w:pStyle w:val="Heading3"/>
      </w:pPr>
      <w:bookmarkStart w:id="192" w:name="b190"/>
      <w:r>
        <w:t>Titel 4 Bedingung und Zeitbestimmung</w:t>
      </w:r>
      <w:bookmarkEnd w:id="192"/>
    </w:p>
    <w:p>
      <w:pPr>
        <w:pStyle w:val="Heading4"/>
      </w:pPr>
      <w:bookmarkStart w:id="193" w:name="b191"/>
      <w:r>
        <w:t>§ 158 Aufschiebende und auflösende Bedingung</w:t>
      </w:r>
      <w:r>
        <w:t xml:space="preserve"> </w:t>
      </w:r>
      <w:r>
        <w:rPr>
          <w:rStyle w:val="Suchmarke"/>
        </w:rPr>
        <w:t>#158#</w:t>
      </w:r>
      <w:bookmarkEnd w:id="193"/>
    </w:p>
    <w:p>
      <w:r>
        <w:t>(1) Wird ein Rechtsgeschäft unter einer aufschiebenden Bedingung vorgenommen, so tritt die von der Bedingung abhängig gemachte Wirkung mit dem Eintritt der Bedingung ein.</w:t>
      </w:r>
    </w:p>
    <w:p>
      <w:r>
        <w:t>(2) Wird ein Rechtsgeschäft unter einer auflösenden Bedingung vorgenommen, so endigt mit dem Eintritt der Bedingung die Wirkung des Rechtsgeschäfts; mit diesem Zeitpunkt tritt der frühere Rechtszustand wieder ein.</w:t>
      </w:r>
    </w:p>
    <w:p>
      <w:pPr>
        <w:pStyle w:val="Heading4"/>
      </w:pPr>
      <w:bookmarkStart w:id="194" w:name="b192"/>
      <w:r>
        <w:t>§ 159 Rückbeziehung</w:t>
      </w:r>
      <w:r>
        <w:t xml:space="preserve"> </w:t>
      </w:r>
      <w:r>
        <w:rPr>
          <w:rStyle w:val="Suchmarke"/>
        </w:rPr>
        <w:t>#159#</w:t>
      </w:r>
      <w:bookmarkEnd w:id="194"/>
    </w:p>
    <w:p>
      <w:r>
        <w:t>Sollen nach dem Inhalt des Rechtsgeschäfts die an den Eintritt der Bedingung geknüpften Folgen auf einen früheren Zeitpunkt zurückbezogen werden, so sind im Falle des Eintritts der Bedingung die Beteiligten verpflichtet, einander zu gewähren, was sie haben würden, wenn die Folgen in dem früheren Zeitpunkt eingetreten wären.</w:t>
      </w:r>
    </w:p>
    <w:p>
      <w:pPr>
        <w:pStyle w:val="Heading4"/>
      </w:pPr>
      <w:bookmarkStart w:id="195" w:name="b193"/>
      <w:r>
        <w:t>§ 160 Haftung während der Schwebezeit</w:t>
      </w:r>
      <w:r>
        <w:t xml:space="preserve"> </w:t>
      </w:r>
      <w:r>
        <w:rPr>
          <w:rStyle w:val="Suchmarke"/>
        </w:rPr>
        <w:t>#160#</w:t>
      </w:r>
      <w:bookmarkEnd w:id="195"/>
    </w:p>
    <w:p>
      <w:r>
        <w:t>(1) Wer unter einer aufschiebenden Bedingung berechtigt ist, kann im Falle des Eintritts der Bedingung Schadensersatz von dem anderen Teil verlangen, wenn dieser während der Schwebezeit das von der Bedingung abhängige Recht durch sein Verschulden vereitelt oder beeinträchtigt.</w:t>
      </w:r>
    </w:p>
    <w:p>
      <w:r>
        <w:t>(2) Den gleichen Anspruch hat unter denselben Voraussetzungen bei einem unter einer auflösenden Bedingung vorgenommenen Rechtsgeschäft derjenige, zu dessen Gunsten der frühere Rechtszustand wieder eintritt.</w:t>
      </w:r>
    </w:p>
    <w:p>
      <w:pPr>
        <w:pStyle w:val="Heading4"/>
      </w:pPr>
      <w:bookmarkStart w:id="196" w:name="b194"/>
      <w:r>
        <w:t>§ 161 Unwirksamkeit von Verfügungen während der Schwebezeit</w:t>
      </w:r>
      <w:r>
        <w:t xml:space="preserve"> </w:t>
      </w:r>
      <w:r>
        <w:rPr>
          <w:rStyle w:val="Suchmarke"/>
        </w:rPr>
        <w:t>#161#</w:t>
      </w:r>
      <w:bookmarkEnd w:id="196"/>
    </w:p>
    <w:p>
      <w:r>
        <w:t xml:space="preserve">(1) </w:t>
      </w:r>
      <w:r>
        <w:rPr>
          <w:rStyle w:val="Satznummer"/>
        </w:rPr>
        <w:t>1</w:t>
      </w:r>
      <w:r>
        <w:t xml:space="preserve">Hat jemand unter einer aufschiebenden Bedingung über einen Gegenstand verfügt, so ist jede weitere Verfügung, die er während der Schwebezeit über den Gegenstand trifft, im Falle des Eintritts der Bedingung insoweit unwirksam, als sie die von der Bedingung abhängige Wirkung vereiteln oder beeinträchtigen würde. </w:t>
      </w:r>
      <w:r>
        <w:rPr>
          <w:rStyle w:val="Satznummer"/>
        </w:rPr>
        <w:t>2</w:t>
      </w:r>
      <w:r>
        <w:t>Einer solchen Verfügung steht eine Verfügung gleich, die während der Schwebezeit im Wege der Zwangsvollstreckung oder der Arrestvollziehung oder durch den Insolvenzverwalter erfolgt.</w:t>
      </w:r>
    </w:p>
    <w:p>
      <w:r>
        <w:t>(2) Dasselbe gilt bei einer auflösenden Bedingung von den Verfügungen desjenigen, dessen Recht mit dem Eintritt der Bedingung endigt.</w:t>
      </w:r>
    </w:p>
    <w:p>
      <w:r>
        <w:t>(3) Die Vorschriften zugunsten derjenigen, welche Rechte von einem Nichtberechtigten herleiten, finden entsprechende Anwendung.</w:t>
      </w:r>
    </w:p>
    <w:p>
      <w:pPr>
        <w:pStyle w:val="Heading4"/>
      </w:pPr>
      <w:bookmarkStart w:id="197" w:name="b195"/>
      <w:r>
        <w:t>§ 162 Verhinderung oder Herbeiführung des Bedingungseintritts</w:t>
      </w:r>
      <w:r>
        <w:t xml:space="preserve"> </w:t>
      </w:r>
      <w:r>
        <w:rPr>
          <w:rStyle w:val="Suchmarke"/>
        </w:rPr>
        <w:t>#162#</w:t>
      </w:r>
      <w:bookmarkEnd w:id="197"/>
    </w:p>
    <w:p>
      <w:r>
        <w:t>(1) Wird der Eintritt der Bedingung von der Partei, zu deren Nachteil er gereichen würde, wider Treu und Glauben verhindert, so gilt die Bedingung als eingetreten.</w:t>
      </w:r>
    </w:p>
    <w:p>
      <w:r>
        <w:t>(2) Wird der Eintritt der Bedingung von der Partei, zu deren Vorteil er gereicht, wider Treu und Glauben herbeigeführt, so gilt der Eintritt als nicht erfolgt.</w:t>
      </w:r>
    </w:p>
    <w:p>
      <w:pPr>
        <w:pStyle w:val="Heading4"/>
      </w:pPr>
      <w:bookmarkStart w:id="198" w:name="b196"/>
      <w:r>
        <w:t>§ 163 Zeitbestimmung</w:t>
      </w:r>
      <w:r>
        <w:t xml:space="preserve"> </w:t>
      </w:r>
      <w:r>
        <w:rPr>
          <w:rStyle w:val="Suchmarke"/>
        </w:rPr>
        <w:t>#163#</w:t>
      </w:r>
      <w:bookmarkEnd w:id="198"/>
    </w:p>
    <w:p>
      <w:r>
        <w:t xml:space="preserve">Ist für die Wirkung eines Rechtsgeschäfts bei dessen Vornahme ein Anfangs- oder ein Endtermin bestimmt worden, so finden im ersteren Falle die für die aufschiebende, im letzteren Falle die für die auflösende Bedingung geltenden Vorschriften der </w:t>
      </w:r>
      <w:hyperlink w:anchor="b191" w:history="1">
        <w:r>
          <w:rPr>
            <w:color w:val="0A3A8C"/>
            <w:u w:val="single"/>
          </w:rPr>
          <w:t xml:space="preserve">§§ 158</w:t>
        </w:r>
      </w:hyperlink>
      <w:r>
        <w:t xml:space="preserve">, </w:t>
      </w:r>
      <w:hyperlink w:anchor="b193" w:history="1">
        <w:r>
          <w:rPr>
            <w:color w:val="0A3A8C"/>
            <w:u w:val="single"/>
          </w:rPr>
          <w:t xml:space="preserve">160</w:t>
        </w:r>
      </w:hyperlink>
      <w:r>
        <w:t xml:space="preserve">, </w:t>
      </w:r>
      <w:hyperlink w:anchor="b194" w:history="1">
        <w:r>
          <w:rPr>
            <w:color w:val="0A3A8C"/>
            <w:u w:val="single"/>
          </w:rPr>
          <w:t xml:space="preserve">161</w:t>
        </w:r>
      </w:hyperlink>
      <w:r>
        <w:t xml:space="preserve"> entsprechende Anwendung.</w:t>
      </w:r>
    </w:p>
    <w:p>
      <w:pPr>
        <w:pStyle w:val="Heading3"/>
      </w:pPr>
      <w:bookmarkStart w:id="199" w:name="b197"/>
      <w:r>
        <w:t>Titel 5 Vertretung und Vollmacht</w:t>
      </w:r>
      <w:bookmarkEnd w:id="199"/>
    </w:p>
    <w:p>
      <w:pPr>
        <w:pStyle w:val="Heading4"/>
      </w:pPr>
      <w:bookmarkStart w:id="200" w:name="b198"/>
      <w:r>
        <w:t>§ 164 Wirkung der Erklärung des Vertreters</w:t>
      </w:r>
      <w:r>
        <w:t xml:space="preserve"> </w:t>
      </w:r>
      <w:r>
        <w:rPr>
          <w:rStyle w:val="Suchmarke"/>
        </w:rPr>
        <w:t>#164#</w:t>
      </w:r>
      <w:bookmarkEnd w:id="200"/>
    </w:p>
    <w:p>
      <w:r>
        <w:t xml:space="preserve">(1) </w:t>
      </w:r>
      <w:r>
        <w:rPr>
          <w:rStyle w:val="Satznummer"/>
        </w:rPr>
        <w:t>1</w:t>
      </w:r>
      <w:r>
        <w:t xml:space="preserve">Eine Willenserklärung, die jemand innerhalb der ihm zustehenden Vertretungsmacht im Namen des Vertretenen abgibt, wirkt unmittelbar für und gegen den Vertretenen. </w:t>
      </w:r>
      <w:r>
        <w:rPr>
          <w:rStyle w:val="Satznummer"/>
        </w:rPr>
        <w:t>2</w:t>
      </w:r>
      <w:r>
        <w:t>Es macht keinen Unterschied, ob die Erklärung ausdrücklich im Namen des Vertretenen erfolgt oder ob die Umstände ergeben, dass sie in dessen Namen erfolgen soll.</w:t>
      </w:r>
    </w:p>
    <w:p>
      <w:r>
        <w:t>(2) Tritt der Wille, in fremdem Namen zu handeln, nicht erkennbar hervor, so kommt der Mangel des Willens, im eigenen Namen zu handeln, nicht in Betracht.</w:t>
      </w:r>
    </w:p>
    <w:p>
      <w:r>
        <w:t>(3) Die Vorschriften des Absatzes 1 finden entsprechende Anwendung, wenn eine gegenüber einem anderen abzugebende Willenserklärung dessen Vertreter gegenüber erfolgt.</w:t>
      </w:r>
    </w:p>
    <w:p>
      <w:pPr>
        <w:pStyle w:val="Heading4"/>
      </w:pPr>
      <w:bookmarkStart w:id="201" w:name="b199"/>
      <w:r>
        <w:t>§ 165 Beschränkt geschäftsfähiger Vertreter</w:t>
      </w:r>
      <w:r>
        <w:t xml:space="preserve"> </w:t>
      </w:r>
      <w:r>
        <w:rPr>
          <w:rStyle w:val="Suchmarke"/>
        </w:rPr>
        <w:t>#165#</w:t>
      </w:r>
      <w:bookmarkEnd w:id="201"/>
    </w:p>
    <w:p>
      <w:r>
        <w:t>Die Wirksamkeit einer von oder gegenüber einem Vertreter abgegebenen Willenserklärung wird nicht dadurch beeinträchtigt, dass der Vertreter in der Geschäftsfähigkeit beschränkt ist.</w:t>
      </w:r>
    </w:p>
    <w:p>
      <w:pPr>
        <w:pStyle w:val="Heading4"/>
      </w:pPr>
      <w:bookmarkStart w:id="202" w:name="b200"/>
      <w:r>
        <w:t>§ 166 Willensmängel; Wissenszurechnung</w:t>
      </w:r>
      <w:r>
        <w:t xml:space="preserve"> </w:t>
      </w:r>
      <w:r>
        <w:rPr>
          <w:rStyle w:val="Suchmarke"/>
        </w:rPr>
        <w:t>#166#</w:t>
      </w:r>
      <w:bookmarkEnd w:id="202"/>
    </w:p>
    <w:p>
      <w:r>
        <w:t>(1) Soweit die rechtlichen Folgen einer Willenserklärung durch Willensmängel oder durch die Kenntnis oder das Kennenmüssen gewisser Umstände beeinflusst werden, kommt nicht die Person des Vertretenen, sondern die des Vertreters in Betracht.</w:t>
      </w:r>
    </w:p>
    <w:p>
      <w:r>
        <w:t xml:space="preserve">(2) </w:t>
      </w:r>
      <w:r>
        <w:rPr>
          <w:rStyle w:val="Satznummer"/>
        </w:rPr>
        <w:t>1</w:t>
      </w:r>
      <w:r>
        <w:t xml:space="preserve">Hat im Falle einer durch Rechtsgeschäft erteilten Vertretungsmacht (Vollmacht) der Vertreter nach bestimmten Weisungen des Vollmachtgebers gehandelt, so kann sich dieser in Ansehung solcher Umstände, die er selbst kannte, nicht auf die Unkenntnis des Vertreters berufen. </w:t>
      </w:r>
      <w:r>
        <w:rPr>
          <w:rStyle w:val="Satznummer"/>
        </w:rPr>
        <w:t>2</w:t>
      </w:r>
      <w:r>
        <w:t>Dasselbe gilt von Umständen, die der Vollmachtgeber kennen musste, sofern das Kennenmüssen der Kenntnis gleichsteht.</w:t>
      </w:r>
    </w:p>
    <w:p>
      <w:pPr>
        <w:pStyle w:val="Heading4"/>
      </w:pPr>
      <w:bookmarkStart w:id="203" w:name="b201"/>
      <w:r>
        <w:t>§ 167 Erteilung der Vollmacht</w:t>
      </w:r>
      <w:r>
        <w:t xml:space="preserve"> </w:t>
      </w:r>
      <w:r>
        <w:rPr>
          <w:rStyle w:val="Suchmarke"/>
        </w:rPr>
        <w:t>#167#</w:t>
      </w:r>
      <w:bookmarkEnd w:id="203"/>
    </w:p>
    <w:p>
      <w:r>
        <w:t>(1) Die Erteilung der Vollmacht erfolgt durch Erklärung gegenüber dem zu Bevollmächtigenden oder dem Dritten, dem gegenüber die Vertretung stattfinden soll.</w:t>
      </w:r>
    </w:p>
    <w:p>
      <w:r>
        <w:t>(2) Die Erklärung bedarf nicht der Form, welche für das Rechtsgeschäft bestimmt ist, auf das sich die Vollmacht bezieht.</w:t>
      </w:r>
    </w:p>
    <w:p>
      <w:pPr>
        <w:pStyle w:val="Heading4"/>
      </w:pPr>
      <w:bookmarkStart w:id="204" w:name="b202"/>
      <w:r>
        <w:t>§ 168 Erlöschen der Vollmacht</w:t>
      </w:r>
      <w:r>
        <w:t xml:space="preserve"> </w:t>
      </w:r>
      <w:r>
        <w:rPr>
          <w:rStyle w:val="Suchmarke"/>
        </w:rPr>
        <w:t>#168#</w:t>
      </w:r>
      <w:bookmarkEnd w:id="204"/>
    </w:p>
    <w:p>
      <w:r>
        <w:rPr>
          <w:rStyle w:val="Satznummer"/>
        </w:rPr>
        <w:t>1</w:t>
      </w:r>
      <w:r>
        <w:t xml:space="preserve">Das Erlöschen der Vollmacht bestimmt sich nach dem ihrer Erteilung zugrunde liegenden Rechtsverhältnis. </w:t>
      </w:r>
      <w:r>
        <w:rPr>
          <w:rStyle w:val="Satznummer"/>
        </w:rPr>
        <w:t>2</w:t>
      </w:r>
      <w:r>
        <w:t xml:space="preserve">Die Vollmacht ist auch bei dem Fortbestehen des Rechtsverhältnisses widerruflich, sofern sich nicht aus diesem ein anderes ergibt. </w:t>
      </w:r>
      <w:r>
        <w:rPr>
          <w:rStyle w:val="Satznummer"/>
        </w:rPr>
        <w:t>3</w:t>
      </w:r>
      <w:r>
        <w:t xml:space="preserve">Auf die Erklärung des Widerrufs findet die Vorschrift des </w:t>
      </w:r>
      <w:hyperlink w:anchor="b201" w:history="1">
        <w:r>
          <w:rPr>
            <w:color w:val="0A3A8C"/>
            <w:u w:val="single"/>
          </w:rPr>
          <w:t xml:space="preserve">§ 167</w:t>
        </w:r>
      </w:hyperlink>
      <w:r>
        <w:t xml:space="preserve"> Abs. 1 entsprechende Anwendung.</w:t>
      </w:r>
    </w:p>
    <w:p>
      <w:pPr>
        <w:pStyle w:val="Heading4"/>
      </w:pPr>
      <w:bookmarkStart w:id="205" w:name="b203"/>
      <w:r>
        <w:t>§ 169 Vollmacht des Beauftragten und des geschäftsführenden Gesellschafters</w:t>
      </w:r>
      <w:r>
        <w:t xml:space="preserve"> </w:t>
      </w:r>
      <w:r>
        <w:rPr>
          <w:rStyle w:val="Suchmarke"/>
        </w:rPr>
        <w:t>#169#</w:t>
      </w:r>
      <w:bookmarkEnd w:id="205"/>
    </w:p>
    <w:p>
      <w:r>
        <w:t xml:space="preserve">Soweit nach den </w:t>
      </w:r>
      <w:hyperlink w:anchor="b1047" w:history="1">
        <w:r>
          <w:rPr>
            <w:color w:val="0A3A8C"/>
            <w:u w:val="single"/>
          </w:rPr>
          <w:t xml:space="preserve">§§ 674</w:t>
        </w:r>
      </w:hyperlink>
      <w:r>
        <w:t xml:space="preserve">, </w:t>
      </w:r>
      <w:hyperlink w:anchor="b1163" w:history="1">
        <w:r>
          <w:rPr>
            <w:color w:val="0A3A8C"/>
            <w:u w:val="single"/>
          </w:rPr>
          <w:t xml:space="preserve">729</w:t>
        </w:r>
      </w:hyperlink>
      <w:r>
        <w:t xml:space="preserve"> die erloschene Vollmacht eines Beauftragten oder eines geschäftsführenden Gesellschafters als fortbestehend gilt, wirkt sie nicht zugunsten eines Dritten, der bei der Vornahme eines Rechtsgeschäfts das Erlöschen kennt oder kennen muss.</w:t>
      </w:r>
    </w:p>
    <w:p>
      <w:pPr>
        <w:pStyle w:val="Heading4"/>
      </w:pPr>
      <w:bookmarkStart w:id="206" w:name="b204"/>
      <w:r>
        <w:t>§ 170 Wirkungsdauer der Vollmacht</w:t>
      </w:r>
      <w:r>
        <w:t xml:space="preserve"> </w:t>
      </w:r>
      <w:r>
        <w:rPr>
          <w:rStyle w:val="Suchmarke"/>
        </w:rPr>
        <w:t>#170#</w:t>
      </w:r>
      <w:bookmarkEnd w:id="206"/>
    </w:p>
    <w:p>
      <w:r>
        <w:t>Wird die Vollmacht durch Erklärung gegenüber einem Dritten erteilt, so bleibt sie diesem gegenüber in Kraft, bis ihm das Erlöschen von dem Vollmachtgeber angezeigt wird.</w:t>
      </w:r>
    </w:p>
    <w:p>
      <w:pPr>
        <w:pStyle w:val="Heading4"/>
      </w:pPr>
      <w:bookmarkStart w:id="207" w:name="b205"/>
      <w:r>
        <w:t>§ 171 Wirkungsdauer bei Kundgebung</w:t>
      </w:r>
      <w:r>
        <w:t xml:space="preserve"> </w:t>
      </w:r>
      <w:r>
        <w:rPr>
          <w:rStyle w:val="Suchmarke"/>
        </w:rPr>
        <w:t>#171#</w:t>
      </w:r>
      <w:bookmarkEnd w:id="207"/>
    </w:p>
    <w:p>
      <w:r>
        <w:t>(1) Hat jemand durch besondere Mitteilung an einen Dritten oder durch öffentliche Bekanntmachung kundgegeben, dass er einen anderen bevollmächtigt habe, so ist dieser auf Grund der Kundgebung im ersteren Falle dem Dritten gegenüber, im letzteren Falle jedem Dritten gegenüber zur Vertretung befugt.</w:t>
      </w:r>
    </w:p>
    <w:p>
      <w:r>
        <w:t>(2) Die Vertretungsmacht bleibt bestehen, bis die Kundgebung in derselben Weise, wie sie erfolgt ist, widerrufen wird.</w:t>
      </w:r>
    </w:p>
    <w:p>
      <w:pPr>
        <w:pStyle w:val="Heading4"/>
      </w:pPr>
      <w:bookmarkStart w:id="208" w:name="b206"/>
      <w:r>
        <w:t>§ 172 Vollmachtsurkunde</w:t>
      </w:r>
      <w:r>
        <w:t xml:space="preserve"> </w:t>
      </w:r>
      <w:r>
        <w:rPr>
          <w:rStyle w:val="Suchmarke"/>
        </w:rPr>
        <w:t>#172#</w:t>
      </w:r>
      <w:bookmarkEnd w:id="208"/>
    </w:p>
    <w:p>
      <w:r>
        <w:t>(1) Der besonderen Mitteilung einer Bevollmächtigung durch den Vollmachtgeber steht es gleich, wenn dieser dem Vertreter eine Vollmachtsurkunde ausgehändigt hat und der Vertreter sie dem Dritten vorlegt.</w:t>
      </w:r>
    </w:p>
    <w:p>
      <w:r>
        <w:t>(2) Die Vertretungsmacht bleibt bestehen, bis die Vollmachtsurkunde dem Vollmachtgeber zurückgegeben oder für kraftlos erklärt wird.</w:t>
      </w:r>
    </w:p>
    <w:p>
      <w:pPr>
        <w:pStyle w:val="Heading4"/>
      </w:pPr>
      <w:bookmarkStart w:id="209" w:name="b207"/>
      <w:r>
        <w:t>§ 173 Wirkungsdauer bei Kenntnis und fahrlässiger Unkenntnis</w:t>
      </w:r>
      <w:r>
        <w:t xml:space="preserve"> </w:t>
      </w:r>
      <w:r>
        <w:rPr>
          <w:rStyle w:val="Suchmarke"/>
        </w:rPr>
        <w:t>#173#</w:t>
      </w:r>
      <w:bookmarkEnd w:id="209"/>
    </w:p>
    <w:p>
      <w:r>
        <w:t xml:space="preserve">Die Vorschriften des </w:t>
      </w:r>
      <w:hyperlink w:anchor="b204" w:history="1">
        <w:r>
          <w:rPr>
            <w:color w:val="0A3A8C"/>
            <w:u w:val="single"/>
          </w:rPr>
          <w:t xml:space="preserve">§ 170</w:t>
        </w:r>
      </w:hyperlink>
      <w:r>
        <w:t xml:space="preserve">, des </w:t>
      </w:r>
      <w:hyperlink w:anchor="b205" w:history="1">
        <w:r>
          <w:rPr>
            <w:color w:val="0A3A8C"/>
            <w:u w:val="single"/>
          </w:rPr>
          <w:t xml:space="preserve">§ 171</w:t>
        </w:r>
      </w:hyperlink>
      <w:r>
        <w:t xml:space="preserve"> Abs. 2 und des </w:t>
      </w:r>
      <w:hyperlink w:anchor="b206" w:history="1">
        <w:r>
          <w:rPr>
            <w:color w:val="0A3A8C"/>
            <w:u w:val="single"/>
          </w:rPr>
          <w:t xml:space="preserve">§ 172</w:t>
        </w:r>
      </w:hyperlink>
      <w:r>
        <w:t xml:space="preserve"> Abs. 2 finden keine Anwendung, wenn der Dritte das Erlöschen der Vertretungsmacht bei der Vornahme des Rechtsgeschäfts kennt oder kennen muss.</w:t>
      </w:r>
    </w:p>
    <w:p>
      <w:pPr>
        <w:pStyle w:val="Heading4"/>
      </w:pPr>
      <w:bookmarkStart w:id="210" w:name="b208"/>
      <w:r>
        <w:t>§ 174 Einseitiges Rechtsgeschäft eines Bevollmächtigten</w:t>
      </w:r>
      <w:r>
        <w:t xml:space="preserve"> </w:t>
      </w:r>
      <w:r>
        <w:rPr>
          <w:rStyle w:val="Suchmarke"/>
        </w:rPr>
        <w:t>#174#</w:t>
      </w:r>
      <w:bookmarkEnd w:id="210"/>
    </w:p>
    <w:p>
      <w:r>
        <w:rPr>
          <w:rStyle w:val="Satznummer"/>
        </w:rPr>
        <w:t>1</w:t>
      </w:r>
      <w:r>
        <w:t xml:space="preserve">Ein einseitiges Rechtsgeschäft, das ein Bevollmächtigter einem anderen gegenüber vornimmt, ist unwirksam, wenn der Bevollmächtigte eine Vollmachtsurkunde nicht vorlegt und der andere das Rechtsgeschäft aus diesem Grunde unverzüglich zurückweist. </w:t>
      </w:r>
      <w:r>
        <w:rPr>
          <w:rStyle w:val="Satznummer"/>
        </w:rPr>
        <w:t>2</w:t>
      </w:r>
      <w:r>
        <w:t>Die Zurückweisung ist ausgeschlossen, wenn der Vollmachtgeber den anderen von der Bevollmächtigung in Kenntnis gesetzt hatte.</w:t>
      </w:r>
    </w:p>
    <w:p>
      <w:pPr>
        <w:pStyle w:val="Heading4"/>
      </w:pPr>
      <w:bookmarkStart w:id="211" w:name="b209"/>
      <w:r>
        <w:t>§ 175 Rückgabe der Vollmachtsurkunde</w:t>
      </w:r>
      <w:r>
        <w:t xml:space="preserve"> </w:t>
      </w:r>
      <w:r>
        <w:rPr>
          <w:rStyle w:val="Suchmarke"/>
        </w:rPr>
        <w:t>#175#</w:t>
      </w:r>
      <w:bookmarkEnd w:id="211"/>
    </w:p>
    <w:p>
      <w:r>
        <w:t>Nach dem Erlöschen der Vollmacht hat der Bevollmächtigte die Vollmachtsurkunde dem Vollmachtgeber zurückzugeben; ein Zurückbehaltungsrecht steht ihm nicht zu.</w:t>
      </w:r>
    </w:p>
    <w:p>
      <w:pPr>
        <w:pStyle w:val="Heading4"/>
      </w:pPr>
      <w:bookmarkStart w:id="212" w:name="b210"/>
      <w:r>
        <w:t>§ 176 Kraftloserklärung der Vollmachtsurkunde</w:t>
      </w:r>
      <w:r>
        <w:t xml:space="preserve"> </w:t>
      </w:r>
      <w:r>
        <w:rPr>
          <w:rStyle w:val="Suchmarke"/>
        </w:rPr>
        <w:t>#176#</w:t>
      </w:r>
      <w:bookmarkEnd w:id="212"/>
    </w:p>
    <w:p>
      <w:r>
        <w:t xml:space="preserve">(1) </w:t>
      </w:r>
      <w:r>
        <w:rPr>
          <w:rStyle w:val="Satznummer"/>
        </w:rPr>
        <w:t>1</w:t>
      </w:r>
      <w:r>
        <w:t xml:space="preserve">Der Vollmachtgeber kann die Vollmachtsurkunde durch eine öffentliche Bekanntmachung für kraftlos erklären; die Kraftloserklärung muss nach den für die öffentliche Zustellung einer Ladung geltenden Vorschriften der Zivilprozessordnung veröffentlicht werden. </w:t>
      </w:r>
      <w:r>
        <w:rPr>
          <w:rStyle w:val="Satznummer"/>
        </w:rPr>
        <w:t>2</w:t>
      </w:r>
      <w:r>
        <w:t>Mit dem Ablauf eines Monats nach der letzten Einrückung in die öffentlichen Blätter wird die Kraftloserklärung wirksam.</w:t>
      </w:r>
    </w:p>
    <w:p>
      <w:r>
        <w:t>(2) Zuständig für die Bewilligung der Veröffentlichung ist sowohl das Amtsgericht, in dessen Bezirk der Vollmachtgeber seinen allgemeinen Gerichtsstand hat, als das Amtsgericht, welches für die Klage auf Rückgabe der Urkunde, abgesehen von dem Wert des Streitgegenstands, zuständig sein würde.</w:t>
      </w:r>
    </w:p>
    <w:p>
      <w:r>
        <w:t>(3) Die Kraftloserklärung ist unwirksam, wenn der Vollmachtgeber die Vollmacht nicht widerrufen kann.</w:t>
      </w:r>
    </w:p>
    <w:p>
      <w:pPr>
        <w:pStyle w:val="Heading4"/>
      </w:pPr>
      <w:bookmarkStart w:id="213" w:name="b211"/>
      <w:r>
        <w:t>§ 177 Vertragsschluss durch Vertreter ohne Vertretungsmacht</w:t>
      </w:r>
      <w:r>
        <w:t xml:space="preserve"> </w:t>
      </w:r>
      <w:r>
        <w:rPr>
          <w:rStyle w:val="Suchmarke"/>
        </w:rPr>
        <w:t>#177#</w:t>
      </w:r>
      <w:bookmarkEnd w:id="213"/>
    </w:p>
    <w:p>
      <w:r>
        <w:t>(1) Schließt jemand ohne Vertretungsmacht im Namen eines anderen einen Vertrag, so hängt die Wirksamkeit des Vertrags für und gegen den Vertretenen von dessen Genehmigung ab.</w:t>
      </w:r>
    </w:p>
    <w:p>
      <w:r>
        <w:t xml:space="preserve">(2) </w:t>
      </w:r>
      <w:r>
        <w:rPr>
          <w:rStyle w:val="Satznummer"/>
        </w:rPr>
        <w:t>1</w:t>
      </w:r>
      <w:r>
        <w:t xml:space="preserve">Fordert der andere Teil den Vertretenen zur Erklärung über die Genehmigung auf, so kann die Erklärung nur ihm gegenüber erfolgen; eine vor der Aufforderung dem Vertreter gegenüber erklärte Genehmigung oder Verweigerung der Genehmigung wird unwirksam. </w:t>
      </w:r>
      <w:r>
        <w:rPr>
          <w:rStyle w:val="Satznummer"/>
        </w:rPr>
        <w:t>2</w:t>
      </w:r>
      <w:r>
        <w:t>Die Genehmigung kann nur bis zum Ablauf von zwei Wochen nach dem Empfang der Aufforderung erklärt werden; wird sie nicht erklärt, so gilt sie als verweigert.</w:t>
      </w:r>
    </w:p>
    <w:p>
      <w:pPr>
        <w:pStyle w:val="Heading4"/>
      </w:pPr>
      <w:bookmarkStart w:id="214" w:name="b212"/>
      <w:r>
        <w:t>§ 178 Widerrufsrecht des anderen Teils</w:t>
      </w:r>
      <w:r>
        <w:t xml:space="preserve"> </w:t>
      </w:r>
      <w:r>
        <w:rPr>
          <w:rStyle w:val="Suchmarke"/>
        </w:rPr>
        <w:t>#178#</w:t>
      </w:r>
      <w:bookmarkEnd w:id="214"/>
    </w:p>
    <w:p>
      <w:r>
        <w:rPr>
          <w:rStyle w:val="Satznummer"/>
        </w:rPr>
        <w:t>1</w:t>
      </w:r>
      <w:r>
        <w:t xml:space="preserve">Bis zur Genehmigung des Vertrags ist der andere Teil zum Widerruf berechtigt, es sei denn, dass er den Mangel der Vertretungsmacht bei dem Abschluss des Vertrags gekannt hat. </w:t>
      </w:r>
      <w:r>
        <w:rPr>
          <w:rStyle w:val="Satznummer"/>
        </w:rPr>
        <w:t>2</w:t>
      </w:r>
      <w:r>
        <w:t>Der Widerruf kann auch dem Vertreter gegenüber erklärt werden.</w:t>
      </w:r>
    </w:p>
    <w:p>
      <w:pPr>
        <w:pStyle w:val="Heading4"/>
      </w:pPr>
      <w:bookmarkStart w:id="215" w:name="b213"/>
      <w:r>
        <w:t>§ 179 Haftung des Vertreters ohne Vertretungsmacht</w:t>
      </w:r>
      <w:r>
        <w:t xml:space="preserve"> </w:t>
      </w:r>
      <w:r>
        <w:rPr>
          <w:rStyle w:val="Suchmarke"/>
        </w:rPr>
        <w:t>#179#</w:t>
      </w:r>
      <w:bookmarkEnd w:id="215"/>
    </w:p>
    <w:p>
      <w:r>
        <w:t>(1) Wer als Vertreter einen Vertrag geschlossen hat, ist, sofern er nicht seine Vertretungsmacht nachweist, dem anderen Teil nach dessen Wahl zur Erfüllung oder zum Schadensersatz verpflichtet, wenn der Vertretene die Genehmigung des Vertrags verweigert.</w:t>
      </w:r>
    </w:p>
    <w:p>
      <w:r>
        <w:t>(2) Hat der Vertreter den Mangel der Vertretungsmacht nicht gekannt, so ist er nur zum Ersatz desjenigen Schadens verpflichtet, welchen der andere Teil dadurch erleidet, dass er auf die Vertretungsmacht vertraut, jedoch nicht über den Betrag des Interesses hinaus, welches der andere Teil an der Wirksamkeit des Vertrags hat.</w:t>
      </w:r>
    </w:p>
    <w:p>
      <w:r>
        <w:t xml:space="preserve">(3) </w:t>
      </w:r>
      <w:r>
        <w:rPr>
          <w:rStyle w:val="Satznummer"/>
        </w:rPr>
        <w:t>1</w:t>
      </w:r>
      <w:r>
        <w:t xml:space="preserve">Der Vertreter haftet nicht, wenn der andere Teil den Mangel der Vertretungsmacht kannte oder kennen musste. </w:t>
      </w:r>
      <w:r>
        <w:rPr>
          <w:rStyle w:val="Satznummer"/>
        </w:rPr>
        <w:t>2</w:t>
      </w:r>
      <w:r>
        <w:t>Der Vertreter haftet auch dann nicht, wenn er in der Geschäftsfähigkeit beschränkt war, es sei denn, dass er mit Zustimmung seines gesetzlichen Vertreters gehandelt hat.</w:t>
      </w:r>
    </w:p>
    <w:p>
      <w:pPr>
        <w:pStyle w:val="Heading4"/>
      </w:pPr>
      <w:bookmarkStart w:id="216" w:name="b214"/>
      <w:r>
        <w:t>§ 180 Einseitiges Rechtsgeschäft</w:t>
      </w:r>
      <w:r>
        <w:t xml:space="preserve"> </w:t>
      </w:r>
      <w:r>
        <w:rPr>
          <w:rStyle w:val="Suchmarke"/>
        </w:rPr>
        <w:t>#180#</w:t>
      </w:r>
      <w:bookmarkEnd w:id="216"/>
    </w:p>
    <w:p>
      <w:r>
        <w:rPr>
          <w:rStyle w:val="Satznummer"/>
        </w:rPr>
        <w:t>1</w:t>
      </w:r>
      <w:r>
        <w:t xml:space="preserve">Bei einem einseitigen Rechtsgeschäft ist Vertretung ohne Vertretungsmacht unzulässig. </w:t>
      </w:r>
      <w:r>
        <w:rPr>
          <w:rStyle w:val="Satznummer"/>
        </w:rPr>
        <w:t>2</w:t>
      </w:r>
      <w:r>
        <w:t xml:space="preserve">Hat jedoch derjenige, welchem gegenüber ein solches Rechtsgeschäft vorzunehmen war, die von dem Vertreter behauptete Vertretungsmacht bei der Vornahme des Rechtsgeschäfts nicht beanstandet oder ist er damit einverstanden gewesen, dass der Vertreter ohne Vertretungsmacht handele, so finden die Vorschriften über Verträge entsprechende Anwendung. </w:t>
      </w:r>
      <w:r>
        <w:rPr>
          <w:rStyle w:val="Satznummer"/>
        </w:rPr>
        <w:t>3</w:t>
      </w:r>
      <w:r>
        <w:t>Das Gleiche gilt, wenn ein einseitiges Rechtsgeschäft gegenüber einem Vertreter ohne Vertretungsmacht mit dessen Einverständnis vorgenommen wird.</w:t>
      </w:r>
    </w:p>
    <w:p>
      <w:pPr>
        <w:pStyle w:val="Heading4"/>
      </w:pPr>
      <w:bookmarkStart w:id="217" w:name="b215"/>
      <w:r>
        <w:t>§ 181 Insichgeschäft</w:t>
      </w:r>
      <w:r>
        <w:t xml:space="preserve"> </w:t>
      </w:r>
      <w:r>
        <w:rPr>
          <w:rStyle w:val="Suchmarke"/>
        </w:rPr>
        <w:t>#181#</w:t>
      </w:r>
      <w:bookmarkEnd w:id="217"/>
    </w:p>
    <w:p>
      <w:r>
        <w:t>Ein Vertreter kann, soweit nicht ein anderes ihm gestattet ist, im Namen des Vertretenen mit sich im eigenen Namen oder als Vertreter eines Dritten ein Rechtsgeschäft nicht vornehmen, es sei denn, dass das Rechtsgeschäft ausschließlich in der Erfüllung einer Verbindlichkeit besteht.</w:t>
      </w:r>
    </w:p>
    <w:p>
      <w:pPr>
        <w:pStyle w:val="Heading3"/>
      </w:pPr>
      <w:bookmarkStart w:id="218" w:name="b216"/>
      <w:r>
        <w:t>Titel 6 Einwilligung und Genehmigung</w:t>
      </w:r>
      <w:bookmarkEnd w:id="218"/>
    </w:p>
    <w:p>
      <w:pPr>
        <w:pStyle w:val="Heading4"/>
      </w:pPr>
      <w:bookmarkStart w:id="219" w:name="b217"/>
      <w:r>
        <w:t>§ 182 Zustimmung</w:t>
      </w:r>
      <w:r>
        <w:t xml:space="preserve"> </w:t>
      </w:r>
      <w:r>
        <w:rPr>
          <w:rStyle w:val="Suchmarke"/>
        </w:rPr>
        <w:t>#182#</w:t>
      </w:r>
      <w:bookmarkEnd w:id="219"/>
    </w:p>
    <w:p>
      <w:r>
        <w:t>(1) Hängt die Wirksamkeit eines Vertrags oder eines einseitigen Rechtsgeschäfts, das einem anderen gegenüber vorzunehmen ist, von der Zustimmung eines Dritten ab, so kann die Erteilung sowie die Verweigerung der Zustimmung sowohl dem einen als dem anderen Teil gegenüber erklärt werden.</w:t>
      </w:r>
    </w:p>
    <w:p>
      <w:r>
        <w:t>(2) Die Zustimmung bedarf nicht der für das Rechtsgeschäft bestimmten Form.</w:t>
      </w:r>
    </w:p>
    <w:p>
      <w:r>
        <w:t xml:space="preserve">(3) Wird ein einseitiges Rechtsgeschäft, dessen Wirksamkeit von der Zustimmung eines Dritten abhängt, mit Einwilligung des Dritten vorgenommen, so finden die Vorschriften des </w:t>
      </w:r>
      <w:hyperlink w:anchor="b139" w:history="1">
        <w:r>
          <w:rPr>
            <w:color w:val="0A3A8C"/>
            <w:u w:val="single"/>
          </w:rPr>
          <w:t xml:space="preserve">§ 111</w:t>
        </w:r>
      </w:hyperlink>
      <w:r>
        <w:t xml:space="preserve"> Satz 2, 3 entsprechende Anwendung.</w:t>
      </w:r>
    </w:p>
    <w:p>
      <w:pPr>
        <w:pStyle w:val="Heading4"/>
      </w:pPr>
      <w:bookmarkStart w:id="220" w:name="b218"/>
      <w:r>
        <w:t>§ 183 Widerruflichkeit der Einwilligung</w:t>
      </w:r>
      <w:r>
        <w:t xml:space="preserve"> </w:t>
      </w:r>
      <w:r>
        <w:rPr>
          <w:rStyle w:val="Suchmarke"/>
        </w:rPr>
        <w:t>#183#</w:t>
      </w:r>
      <w:bookmarkEnd w:id="220"/>
    </w:p>
    <w:p>
      <w:r>
        <w:rPr>
          <w:rStyle w:val="Satznummer"/>
        </w:rPr>
        <w:t>1</w:t>
      </w:r>
      <w:r>
        <w:t xml:space="preserve">Die vorherige Zustimmung (Einwilligung) ist bis zur Vornahme des Rechtsgeschäfts widerruflich, soweit nicht aus dem ihrer Erteilung zugrunde liegenden Rechtsverhältnis sich ein anderes ergibt. </w:t>
      </w:r>
      <w:r>
        <w:rPr>
          <w:rStyle w:val="Satznummer"/>
        </w:rPr>
        <w:t>2</w:t>
      </w:r>
      <w:r>
        <w:t>Der Widerruf kann sowohl dem einen als dem anderen Teil gegenüber erklärt werden.</w:t>
      </w:r>
    </w:p>
    <w:p>
      <w:pPr>
        <w:pStyle w:val="Heading4"/>
      </w:pPr>
      <w:bookmarkStart w:id="221" w:name="b219"/>
      <w:r>
        <w:t>§ 184 Rückwirkung der Genehmigung</w:t>
      </w:r>
      <w:r>
        <w:t xml:space="preserve"> </w:t>
      </w:r>
      <w:r>
        <w:rPr>
          <w:rStyle w:val="Suchmarke"/>
        </w:rPr>
        <w:t>#184#</w:t>
      </w:r>
      <w:bookmarkEnd w:id="221"/>
    </w:p>
    <w:p>
      <w:r>
        <w:t>(1) Die nachträgliche Zustimmung (Genehmigung) wirkt auf den Zeitpunkt der Vornahme des Rechtsgeschäfts zurück, soweit nicht ein anderes bestimmt ist.</w:t>
      </w:r>
    </w:p>
    <w:p>
      <w:r>
        <w:t>(2) Durch die Rückwirkung werden Verfügungen nicht unwirksam, die vor der Genehmigung über den Gegenstand des Rechtsgeschäfts von dem Genehmigenden getroffen worden oder im Wege der Zwangsvollstreckung oder der Arrestvollziehung oder durch den Insolvenzverwalter erfolgt sind.</w:t>
      </w:r>
    </w:p>
    <w:p>
      <w:pPr>
        <w:pStyle w:val="Heading4"/>
      </w:pPr>
      <w:bookmarkStart w:id="222" w:name="b220"/>
      <w:r>
        <w:t>§ 185 Verfügung eines Nichtberechtigten</w:t>
      </w:r>
      <w:r>
        <w:t xml:space="preserve"> </w:t>
      </w:r>
      <w:r>
        <w:rPr>
          <w:rStyle w:val="Suchmarke"/>
        </w:rPr>
        <w:t>#185#</w:t>
      </w:r>
      <w:bookmarkEnd w:id="222"/>
    </w:p>
    <w:p>
      <w:r>
        <w:t>(1) Eine Verfügung, die ein Nichtberechtigter über einen Gegenstand trifft, ist wirksam, wenn sie mit Einwilligung des Berechtigten erfolgt.</w:t>
      </w:r>
    </w:p>
    <w:p>
      <w:r>
        <w:t xml:space="preserve">(2) </w:t>
      </w:r>
      <w:r>
        <w:rPr>
          <w:rStyle w:val="Satznummer"/>
        </w:rPr>
        <w:t>1</w:t>
      </w:r>
      <w:r>
        <w:t xml:space="preserve">Die Verfügung wird wirksam, wenn der Berechtigte sie genehmigt oder wenn der Verfügende den Gegenstand erwirbt oder wenn er von dem Berechtigten beerbt wird und dieser für die Nachlassverbindlichkeiten unbeschränkt haftet. </w:t>
      </w:r>
      <w:r>
        <w:rPr>
          <w:rStyle w:val="Satznummer"/>
        </w:rPr>
        <w:t>2</w:t>
      </w:r>
      <w:r>
        <w:t>In den beiden letzteren Fällen wird, wenn über den Gegenstand mehrere miteinander nicht in Einklang stehende Verfügungen getroffen worden sind, nur die frühere Verfügung wirksam.</w:t>
      </w:r>
    </w:p>
    <w:p>
      <w:pPr>
        <w:pStyle w:val="Heading2"/>
      </w:pPr>
      <w:bookmarkStart w:id="223" w:name="b221"/>
      <w:r>
        <w:t>Abschnitt 4 Fristen, Termine</w:t>
      </w:r>
      <w:bookmarkEnd w:id="223"/>
    </w:p>
    <w:p>
      <w:pPr>
        <w:pStyle w:val="Heading3"/>
      </w:pPr>
      <w:bookmarkStart w:id="224" w:name="b222"/>
      <w:r>
        <w:t>§ 186 Geltungsbereich</w:t>
      </w:r>
      <w:r>
        <w:t xml:space="preserve"> </w:t>
      </w:r>
      <w:r>
        <w:rPr>
          <w:rStyle w:val="Suchmarke"/>
        </w:rPr>
        <w:t>#186#</w:t>
      </w:r>
      <w:bookmarkEnd w:id="224"/>
    </w:p>
    <w:p>
      <w:r>
        <w:t xml:space="preserve">Für die in Gesetzen, gerichtlichen Verfügungen und Rechtsgeschäften enthaltenen Frist- und Terminsbestimmungen gelten die Auslegungsvorschriften der </w:t>
      </w:r>
      <w:hyperlink w:anchor="b223" w:history="1">
        <w:r>
          <w:rPr>
            <w:color w:val="0A3A8C"/>
            <w:u w:val="single"/>
          </w:rPr>
          <w:t xml:space="preserve">§§ 187</w:t>
        </w:r>
      </w:hyperlink>
      <w:r>
        <w:t xml:space="preserve"> bis </w:t>
      </w:r>
      <w:hyperlink w:anchor="b229" w:history="1">
        <w:r>
          <w:rPr>
            <w:color w:val="0A3A8C"/>
            <w:u w:val="single"/>
          </w:rPr>
          <w:t xml:space="preserve">193</w:t>
        </w:r>
      </w:hyperlink>
      <w:r>
        <w:t>.</w:t>
      </w:r>
    </w:p>
    <w:p>
      <w:pPr>
        <w:pStyle w:val="Heading3"/>
      </w:pPr>
      <w:bookmarkStart w:id="225" w:name="b223"/>
      <w:r>
        <w:t>§ 187 Fristbeginn</w:t>
      </w:r>
      <w:r>
        <w:t xml:space="preserve"> </w:t>
      </w:r>
      <w:r>
        <w:rPr>
          <w:rStyle w:val="Suchmarke"/>
        </w:rPr>
        <w:t>#187#</w:t>
      </w:r>
      <w:bookmarkEnd w:id="225"/>
    </w:p>
    <w:p>
      <w:r>
        <w:t>(1) Ist für den Anfang einer Frist ein Ereignis oder ein in den Lauf eines Tages fallender Zeitpunkt maßgebend, so wird bei der Berechnung der Frist der Tag nicht mitgerechnet, in welchen das Ereignis oder der Zeitpunkt fällt.</w:t>
      </w:r>
    </w:p>
    <w:p>
      <w:r>
        <w:t xml:space="preserve">(2) </w:t>
      </w:r>
      <w:r>
        <w:rPr>
          <w:rStyle w:val="Satznummer"/>
        </w:rPr>
        <w:t>1</w:t>
      </w:r>
      <w:r>
        <w:t xml:space="preserve">Ist der Beginn eines Tages der für den Anfang einer Frist maßgebende Zeitpunkt, so wird dieser Tag bei der Berechnung der Frist mitgerechnet. </w:t>
      </w:r>
      <w:r>
        <w:rPr>
          <w:rStyle w:val="Satznummer"/>
        </w:rPr>
        <w:t>2</w:t>
      </w:r>
      <w:r>
        <w:t>Das Gleiche gilt von dem Tage der Geburt bei der Berechnung des Lebensalters.</w:t>
      </w:r>
    </w:p>
    <w:p>
      <w:pPr>
        <w:pStyle w:val="Heading3"/>
      </w:pPr>
      <w:bookmarkStart w:id="226" w:name="b224"/>
      <w:r>
        <w:t>§ 188 Fristende</w:t>
      </w:r>
      <w:r>
        <w:t xml:space="preserve"> </w:t>
      </w:r>
      <w:r>
        <w:rPr>
          <w:rStyle w:val="Suchmarke"/>
        </w:rPr>
        <w:t>#188#</w:t>
      </w:r>
      <w:bookmarkEnd w:id="226"/>
    </w:p>
    <w:p>
      <w:r>
        <w:t>(1) Eine nach Tagen bestimmte Frist endigt mit dem Ablauf des letzten Tages der Frist.</w:t>
      </w:r>
    </w:p>
    <w:p>
      <w:r>
        <w:t xml:space="preserve">(2) Eine Frist, die nach Wochen, nach Monaten oder nach einem mehrere Monate umfassenden Zeitraum - Jahr, halbes Jahr, Vierteljahr - bestimmt ist, endigt im Falle des </w:t>
      </w:r>
      <w:hyperlink w:anchor="b223" w:history="1">
        <w:r>
          <w:rPr>
            <w:color w:val="0A3A8C"/>
            <w:u w:val="single"/>
          </w:rPr>
          <w:t xml:space="preserve">§ 187</w:t>
        </w:r>
      </w:hyperlink>
      <w:r>
        <w:t xml:space="preserve"> Abs. 1 mit dem Ablauf desjenigen Tages der letzten Woche oder des letzten Monats, welcher durch seine Benennung oder seine Zahl dem Tage entspricht, in den das Ereignis oder der Zeitpunkt fällt, im Falle des </w:t>
      </w:r>
      <w:hyperlink w:anchor="b223" w:history="1">
        <w:r>
          <w:rPr>
            <w:color w:val="0A3A8C"/>
            <w:u w:val="single"/>
          </w:rPr>
          <w:t xml:space="preserve">§ 187</w:t>
        </w:r>
      </w:hyperlink>
      <w:r>
        <w:t xml:space="preserve"> Abs. 2 mit dem Ablauf desjenigen Tages der letzten Woche oder des letzten Monats, welcher dem Tage vorhergeht, der durch seine Benennung oder seine Zahl dem Anfangstag der Frist entspricht.</w:t>
      </w:r>
    </w:p>
    <w:p>
      <w:r>
        <w:t>(3) Fehlt bei einer nach Monaten bestimmten Frist in dem letzten Monat der für ihren Ablauf maßgebende Tag, so endigt die Frist mit dem Ablauf des letzten Tages dieses Monats.</w:t>
      </w:r>
    </w:p>
    <w:p>
      <w:pPr>
        <w:pStyle w:val="Heading3"/>
      </w:pPr>
      <w:bookmarkStart w:id="227" w:name="b225"/>
      <w:r>
        <w:t>§ 189 Berechnung einzelner Fristen</w:t>
      </w:r>
      <w:r>
        <w:t xml:space="preserve"> </w:t>
      </w:r>
      <w:r>
        <w:rPr>
          <w:rStyle w:val="Suchmarke"/>
        </w:rPr>
        <w:t>#189#</w:t>
      </w:r>
      <w:bookmarkEnd w:id="227"/>
    </w:p>
    <w:p>
      <w:r>
        <w:t>(1) Unter einem halben Jahr wird eine Frist von sechs Monaten, unter einem Vierteljahr eine Frist von drei Monaten, unter einem halben Monat eine Frist von 15 Tagen verstanden.</w:t>
      </w:r>
    </w:p>
    <w:p>
      <w:r>
        <w:t>(2) Ist eine Frist auf einen oder mehrere ganze Monate und einen halben Monat gestellt, so sind die 15 Tage zuletzt zu zählen.</w:t>
      </w:r>
    </w:p>
    <w:p>
      <w:pPr>
        <w:pStyle w:val="Heading3"/>
      </w:pPr>
      <w:bookmarkStart w:id="228" w:name="b226"/>
      <w:r>
        <w:t>§ 190 Fristverlängerung</w:t>
      </w:r>
      <w:r>
        <w:t xml:space="preserve"> </w:t>
      </w:r>
      <w:r>
        <w:rPr>
          <w:rStyle w:val="Suchmarke"/>
        </w:rPr>
        <w:t>#190#</w:t>
      </w:r>
      <w:bookmarkEnd w:id="228"/>
    </w:p>
    <w:p>
      <w:r>
        <w:t>Im Falle der Verlängerung einer Frist wird die neue Frist von dem Ablauf der vorigen Frist an berechnet.</w:t>
      </w:r>
    </w:p>
    <w:p>
      <w:pPr>
        <w:pStyle w:val="Heading3"/>
      </w:pPr>
      <w:bookmarkStart w:id="229" w:name="b227"/>
      <w:r>
        <w:t>§ 191 Berechnung von Zeiträumen</w:t>
      </w:r>
      <w:r>
        <w:t xml:space="preserve"> </w:t>
      </w:r>
      <w:r>
        <w:rPr>
          <w:rStyle w:val="Suchmarke"/>
        </w:rPr>
        <w:t>#191#</w:t>
      </w:r>
      <w:bookmarkEnd w:id="229"/>
    </w:p>
    <w:p>
      <w:r>
        <w:t>Ist ein Zeitraum nach Monaten oder nach Jahren in dem Sinne bestimmt, dass er nicht zusammenhängend zu verlaufen braucht, so wird der Monat zu 30, das Jahr zu 365 Tagen gerechnet.</w:t>
      </w:r>
    </w:p>
    <w:p>
      <w:pPr>
        <w:pStyle w:val="Heading3"/>
      </w:pPr>
      <w:bookmarkStart w:id="230" w:name="b228"/>
      <w:r>
        <w:t>§ 192 Anfang, Mitte, Ende des Monats</w:t>
      </w:r>
      <w:r>
        <w:t xml:space="preserve"> </w:t>
      </w:r>
      <w:r>
        <w:rPr>
          <w:rStyle w:val="Suchmarke"/>
        </w:rPr>
        <w:t>#192#</w:t>
      </w:r>
      <w:bookmarkEnd w:id="230"/>
    </w:p>
    <w:p>
      <w:r>
        <w:t>Unter Anfang des Monats wird der erste, unter Mitte des Monats der 15., unter Ende des Monats der letzte Tag des Monats verstanden.</w:t>
      </w:r>
    </w:p>
    <w:p>
      <w:pPr>
        <w:pStyle w:val="Heading3"/>
      </w:pPr>
      <w:bookmarkStart w:id="231" w:name="b229"/>
      <w:r>
        <w:t>§ 193 Sonn- und Feiertag; Sonnabend</w:t>
      </w:r>
      <w:r>
        <w:t xml:space="preserve"> </w:t>
      </w:r>
      <w:r>
        <w:rPr>
          <w:rStyle w:val="Suchmarke"/>
        </w:rPr>
        <w:t>#193#</w:t>
      </w:r>
      <w:bookmarkEnd w:id="231"/>
    </w:p>
    <w:p>
      <w:r>
        <w:t>Ist an einem bestimmten Tage oder innerhalb einer Frist eine Willenserklärung abzugeben oder eine Leistung zu bewirken und fällt der bestimmte Tag oder der letzte Tag der Frist auf einen Sonntag, einen am Erklärungs- oder Leistungsort staatlich anerkannten allgemeinen Feiertag oder einen Sonnabend, so tritt an die Stelle eines solchen Tages der nächste Werktag.</w:t>
      </w:r>
    </w:p>
    <w:p>
      <w:pPr>
        <w:pStyle w:val="Heading2"/>
      </w:pPr>
      <w:bookmarkStart w:id="232" w:name="b230"/>
      <w:r>
        <w:t>Abschnitt 5 Verjährung</w:t>
      </w:r>
      <w:bookmarkEnd w:id="232"/>
    </w:p>
    <w:p>
      <w:pPr>
        <w:pStyle w:val="Heading3"/>
      </w:pPr>
      <w:bookmarkStart w:id="233" w:name="b231"/>
      <w:r>
        <w:t>Titel 1 Gegenstand und Dauer der Verjährung</w:t>
      </w:r>
      <w:bookmarkEnd w:id="233"/>
    </w:p>
    <w:p>
      <w:pPr>
        <w:pStyle w:val="Heading4"/>
      </w:pPr>
      <w:bookmarkStart w:id="234" w:name="b232"/>
      <w:r>
        <w:t>§ 194 Gegenstand der Verjährung</w:t>
      </w:r>
      <w:r>
        <w:t xml:space="preserve"> </w:t>
      </w:r>
      <w:r>
        <w:rPr>
          <w:rStyle w:val="Suchmarke"/>
        </w:rPr>
        <w:t>#194#</w:t>
      </w:r>
      <w:bookmarkEnd w:id="234"/>
    </w:p>
    <w:p>
      <w:r>
        <w:t>(1) Das Recht, von einem anderen ein Tun oder Unterlassen zu verlangen (Anspruch), unterliegt der Verjährung.</w:t>
      </w:r>
    </w:p>
    <w:p>
      <w:r>
        <w:t>(2) Der Verjährung unterliegen nicht</w:t>
      </w:r>
    </w:p>
    <w:p>
      <w:pPr>
        <w:tabs>
          <w:tab w:pos="567" w:val="left"/>
        </w:tabs>
        <w:ind w:left="567" w:hanging="567"/>
      </w:pPr>
      <w:r>
        <w:t>1.</w:t>
      </w:r>
      <w:r>
        <w:tab/>
      </w:r>
      <w:r>
        <w:t>Ansprüche, die aus einem nicht verjährbaren Verbrechen erwachsen sind,</w:t>
      </w:r>
    </w:p>
    <w:p>
      <w:pPr>
        <w:tabs>
          <w:tab w:pos="567" w:val="left"/>
        </w:tabs>
        <w:ind w:left="567" w:hanging="567"/>
      </w:pPr>
      <w:r>
        <w:t>2.</w:t>
      </w:r>
      <w:r>
        <w:tab/>
      </w:r>
      <w:r>
        <w:t>Ansprüche aus einem familienrechtlichen Verhältnis, soweit sie auf die Herstellung des dem Verhältnis entsprechenden Zustands für die Zukunft oder auf die Einwilligung in die genetische Untersuchung zur Klärung der leiblichen Abstammung gerichtet sind.</w:t>
      </w:r>
    </w:p>
    <w:p>
      <w:pPr>
        <w:pStyle w:val="Heading4"/>
      </w:pPr>
      <w:bookmarkStart w:id="235" w:name="b233"/>
      <w:r>
        <w:t>§ 195 Regelmäßige Verjährungsfrist</w:t>
      </w:r>
      <w:r>
        <w:t xml:space="preserve"> </w:t>
      </w:r>
      <w:r>
        <w:rPr>
          <w:rStyle w:val="Suchmarke"/>
        </w:rPr>
        <w:t>#195#</w:t>
      </w:r>
      <w:bookmarkEnd w:id="235"/>
    </w:p>
    <w:p>
      <w:r>
        <w:t>Die regelmäßige Verjährungsfrist beträgt drei Jahre.</w:t>
      </w:r>
    </w:p>
    <w:p>
      <w:pPr>
        <w:pStyle w:val="Heading4"/>
      </w:pPr>
      <w:bookmarkStart w:id="236" w:name="b234"/>
      <w:r>
        <w:t>§ 196 Verjährungsfrist bei Rechten an einem Grundstück</w:t>
      </w:r>
      <w:r>
        <w:t xml:space="preserve"> </w:t>
      </w:r>
      <w:r>
        <w:rPr>
          <w:rStyle w:val="Suchmarke"/>
        </w:rPr>
        <w:t>#196#</w:t>
      </w:r>
      <w:bookmarkEnd w:id="236"/>
    </w:p>
    <w:p>
      <w:r>
        <w:t>Ansprüche auf Übertragung des Eigentums an einem Grundstück sowie auf Begründung, Übertragung oder Aufhebung eines Rechts an einem Grundstück oder auf Änderung des Inhalts eines solchen Rechts sowie die Ansprüche auf die Gegenleistung verjähren in zehn Jahren.</w:t>
      </w:r>
    </w:p>
    <w:p>
      <w:pPr>
        <w:pStyle w:val="Heading4"/>
      </w:pPr>
      <w:bookmarkStart w:id="237" w:name="b235"/>
      <w:r>
        <w:t>§ 197 Dreißigjährige Verjährungsfrist</w:t>
      </w:r>
      <w:r>
        <w:t xml:space="preserve"> </w:t>
      </w:r>
      <w:r>
        <w:rPr>
          <w:rStyle w:val="Suchmarke"/>
        </w:rPr>
        <w:t>#197#</w:t>
      </w:r>
      <w:bookmarkEnd w:id="237"/>
    </w:p>
    <w:p>
      <w:r>
        <w:t>(1) In 30 Jahren verjähren, soweit nicht ein anderes bestimmt ist,</w:t>
      </w:r>
    </w:p>
    <w:p>
      <w:pPr>
        <w:tabs>
          <w:tab w:pos="567" w:val="left"/>
        </w:tabs>
        <w:ind w:left="567" w:hanging="567"/>
      </w:pPr>
      <w:r>
        <w:t>1.</w:t>
      </w:r>
      <w:r>
        <w:tab/>
      </w:r>
      <w:r>
        <w:t>Schadensersatzansprüche, die auf der vorsätzlichen Verletzung des Lebens, des Körpers, der Gesundheit, der Freiheit oder der sexuellen Selbstbestimmung beruhen,</w:t>
      </w:r>
    </w:p>
    <w:p>
      <w:pPr>
        <w:tabs>
          <w:tab w:pos="567" w:val="left"/>
        </w:tabs>
        <w:ind w:left="567" w:hanging="567"/>
      </w:pPr>
      <w:r>
        <w:t>2.</w:t>
      </w:r>
      <w:r>
        <w:tab/>
      </w:r>
      <w:r>
        <w:t xml:space="preserve">Herausgabeansprüche aus Eigentum, anderen dinglichen Rechten, den </w:t>
      </w:r>
      <w:hyperlink w:anchor="b2466" w:history="1">
        <w:r>
          <w:rPr>
            <w:color w:val="0A3A8C"/>
            <w:u w:val="single"/>
          </w:rPr>
          <w:t xml:space="preserve">§§ 2018</w:t>
        </w:r>
      </w:hyperlink>
      <w:r>
        <w:t xml:space="preserve">, </w:t>
      </w:r>
      <w:hyperlink w:anchor="b2586" w:history="1">
        <w:r>
          <w:rPr>
            <w:color w:val="0A3A8C"/>
            <w:u w:val="single"/>
          </w:rPr>
          <w:t xml:space="preserve">2130</w:t>
        </w:r>
      </w:hyperlink>
      <w:r>
        <w:t xml:space="preserve"> und </w:t>
      </w:r>
      <w:hyperlink w:anchor="b2814" w:history="1">
        <w:r>
          <w:rPr>
            <w:color w:val="0A3A8C"/>
            <w:u w:val="single"/>
          </w:rPr>
          <w:t xml:space="preserve">2362</w:t>
        </w:r>
      </w:hyperlink>
      <w:r>
        <w:t xml:space="preserve"> sowie die Ansprüche, die der Geltendmachung der Herausgabeansprüche dienen,</w:t>
      </w:r>
    </w:p>
    <w:p>
      <w:pPr>
        <w:tabs>
          <w:tab w:pos="567" w:val="left"/>
        </w:tabs>
        <w:ind w:left="567" w:hanging="567"/>
      </w:pPr>
      <w:r>
        <w:t>3.</w:t>
      </w:r>
      <w:r>
        <w:tab/>
      </w:r>
      <w:r>
        <w:t>rechtskräftig festgestellte Ansprüche,</w:t>
      </w:r>
    </w:p>
    <w:p>
      <w:pPr>
        <w:tabs>
          <w:tab w:pos="567" w:val="left"/>
        </w:tabs>
        <w:ind w:left="567" w:hanging="567"/>
      </w:pPr>
      <w:r>
        <w:t>4.</w:t>
      </w:r>
      <w:r>
        <w:tab/>
      </w:r>
      <w:r>
        <w:t>Ansprüche aus vollstreckbaren Vergleichen oder vollstreckbaren Urkunden,</w:t>
      </w:r>
    </w:p>
    <w:p>
      <w:pPr>
        <w:tabs>
          <w:tab w:pos="567" w:val="left"/>
        </w:tabs>
        <w:ind w:left="567" w:hanging="567"/>
      </w:pPr>
      <w:r>
        <w:t>5.</w:t>
      </w:r>
      <w:r>
        <w:tab/>
      </w:r>
      <w:r>
        <w:t>Ansprüche, die durch die im Insolvenzverfahren erfolgte Feststellung vollstreckbar geworden sind, und</w:t>
      </w:r>
    </w:p>
    <w:p>
      <w:pPr>
        <w:tabs>
          <w:tab w:pos="567" w:val="left"/>
        </w:tabs>
        <w:ind w:left="567" w:hanging="567"/>
      </w:pPr>
      <w:r>
        <w:t>6.</w:t>
      </w:r>
      <w:r>
        <w:tab/>
      </w:r>
      <w:r>
        <w:t>Ansprüche auf Erstattung der Kosten der Zwangsvollstreckung.</w:t>
      </w:r>
    </w:p>
    <w:p>
      <w:r>
        <w:t>(2) Soweit Ansprüche nach Absatz 1 Nr. 3 bis 5 künftig fällig werdende regelmäßig wiederkehrende Leistungen zum Inhalt haben, tritt an die Stelle der Verjährungsfrist von 30 Jahren die regelmäßige Verjährungsfrist.</w:t>
      </w:r>
    </w:p>
    <w:p>
      <w:pPr>
        <w:pStyle w:val="Heading4"/>
      </w:pPr>
      <w:bookmarkStart w:id="238" w:name="b236"/>
      <w:r>
        <w:t>§ 198 Verjährung bei Rechtsnachfolge</w:t>
      </w:r>
      <w:r>
        <w:t xml:space="preserve"> </w:t>
      </w:r>
      <w:r>
        <w:rPr>
          <w:rStyle w:val="Suchmarke"/>
        </w:rPr>
        <w:t>#198#</w:t>
      </w:r>
      <w:bookmarkEnd w:id="238"/>
    </w:p>
    <w:p>
      <w:r>
        <w:t>Gelangt eine Sache, hinsichtlich derer ein dinglicher Anspruch besteht, durch Rechtsnachfolge in den Besitz eines Dritten, so kommt die während des Besitzes des Rechtsvorgängers verstrichene Verjährungszeit dem Rechtsnachfolger zugute.</w:t>
      </w:r>
    </w:p>
    <w:p>
      <w:pPr>
        <w:pStyle w:val="Heading4"/>
      </w:pPr>
      <w:bookmarkStart w:id="239" w:name="b237"/>
      <w:r>
        <w:t>§ 199 Beginn der regelmäßigen Verjährungsfrist und Verjährungshöchstfristen</w:t>
      </w:r>
      <w:r>
        <w:t xml:space="preserve"> </w:t>
      </w:r>
      <w:r>
        <w:rPr>
          <w:rStyle w:val="Suchmarke"/>
        </w:rPr>
        <w:t>#199#</w:t>
      </w:r>
      <w:bookmarkEnd w:id="239"/>
    </w:p>
    <w:p>
      <w:r>
        <w:t>(1) Die regelmäßige Verjährungsfrist beginnt, soweit nicht ein anderer Verjährungsbeginn bestimmt ist, mit dem Schluss des Jahres, in dem</w:t>
      </w:r>
    </w:p>
    <w:p>
      <w:pPr>
        <w:tabs>
          <w:tab w:pos="567" w:val="left"/>
        </w:tabs>
        <w:ind w:left="567" w:hanging="567"/>
      </w:pPr>
      <w:r>
        <w:t>1.</w:t>
      </w:r>
      <w:r>
        <w:tab/>
      </w:r>
      <w:r>
        <w:t>der Anspruch entstanden ist und</w:t>
      </w:r>
    </w:p>
    <w:p>
      <w:pPr>
        <w:tabs>
          <w:tab w:pos="567" w:val="left"/>
        </w:tabs>
        <w:ind w:left="567" w:hanging="567"/>
      </w:pPr>
      <w:r>
        <w:t>2.</w:t>
      </w:r>
      <w:r>
        <w:tab/>
      </w:r>
      <w:r>
        <w:t>der Gläubiger von den den Anspruch begründenden Umständen und der Person des Schuldners Kenntnis erlangt oder ohne grobe Fahrlässigkeit erlangen müsste.</w:t>
      </w:r>
    </w:p>
    <w:p>
      <w:r>
        <w:t>(2) Schadensersatzansprüche, die auf der Verletzung des Lebens, des Körpers, der Gesundheit oder der Freiheit beruhen, verjähren ohne Rücksicht auf ihre Entstehung und die Kenntnis oder grob fahrlässige Unkenntnis in 30 Jahren von der Begehung der Handlung, der Pflichtverletzung oder dem sonstigen, den Schaden auslösenden Ereignis an.</w:t>
      </w:r>
    </w:p>
    <w:p>
      <w:r>
        <w:t xml:space="preserve">(3) </w:t>
      </w:r>
      <w:r>
        <w:rPr>
          <w:rStyle w:val="Satznummer"/>
        </w:rPr>
        <w:t>1</w:t>
      </w:r>
      <w:r>
        <w:t>Sonstige Schadensersatzansprüche verjähren</w:t>
      </w:r>
    </w:p>
    <w:p>
      <w:pPr>
        <w:tabs>
          <w:tab w:pos="567" w:val="left"/>
        </w:tabs>
        <w:ind w:left="567" w:hanging="567"/>
      </w:pPr>
      <w:r>
        <w:t>1.</w:t>
      </w:r>
      <w:r>
        <w:tab/>
      </w:r>
      <w:r>
        <w:t>ohne Rücksicht auf die Kenntnis oder grob fahrlässige Unkenntnis in zehn Jahren von ihrer Entstehung an und</w:t>
      </w:r>
    </w:p>
    <w:p>
      <w:pPr>
        <w:tabs>
          <w:tab w:pos="567" w:val="left"/>
        </w:tabs>
        <w:ind w:left="567" w:hanging="567"/>
      </w:pPr>
      <w:r>
        <w:t>2.</w:t>
      </w:r>
      <w:r>
        <w:tab/>
      </w:r>
      <w:r>
        <w:t>ohne Rücksicht auf ihre Entstehung und die Kenntnis oder grob fahrlässige Unkenntnis in 30 Jahren von der Begehung der Handlung, der Pflichtverletzung oder dem sonstigen, den Schaden auslösenden Ereignis an.</w:t>
      </w:r>
    </w:p>
    <w:p>
      <w:r>
        <w:rPr>
          <w:rStyle w:val="Satznummer"/>
        </w:rPr>
        <w:t>2</w:t>
      </w:r>
      <w:r>
        <w:t>Maßgeblich ist die früher endende Frist.</w:t>
      </w:r>
    </w:p>
    <w:p>
      <w:r>
        <w:t>(3a) Ansprüche, die auf einem Erbfall beruhen oder deren Geltendmachung die Kenntnis einer Verfügung von Todes wegen voraussetzt, verjähren ohne Rücksicht auf die Kenntnis oder grob fahrlässige Unkenntnis in 30 Jahren von der Entstehung des Anspruchs an.</w:t>
      </w:r>
    </w:p>
    <w:p>
      <w:r>
        <w:t>(4) Andere Ansprüche als die nach den Absätzen 2 bis 3a verjähren ohne Rücksicht auf die Kenntnis oder grob fahrlässige Unkenntnis in zehn Jahren von ihrer Entstehung an.</w:t>
      </w:r>
    </w:p>
    <w:p>
      <w:r>
        <w:t>(5) Geht der Anspruch auf ein Unterlassen, so tritt an die Stelle der Entstehung die Zuwiderhandlung.</w:t>
      </w:r>
    </w:p>
    <w:p>
      <w:pPr>
        <w:pStyle w:val="Heading4"/>
      </w:pPr>
      <w:bookmarkStart w:id="240" w:name="b238"/>
      <w:r>
        <w:t>§ 200 Beginn anderer Verjährungsfristen</w:t>
      </w:r>
      <w:r>
        <w:t xml:space="preserve"> </w:t>
      </w:r>
      <w:r>
        <w:rPr>
          <w:rStyle w:val="Suchmarke"/>
        </w:rPr>
        <w:t>#200#</w:t>
      </w:r>
      <w:bookmarkEnd w:id="240"/>
    </w:p>
    <w:p>
      <w:r>
        <w:rPr>
          <w:rStyle w:val="Satznummer"/>
        </w:rPr>
        <w:t>1</w:t>
      </w:r>
      <w:r>
        <w:t xml:space="preserve">Die Verjährungsfrist von Ansprüchen, die nicht der regelmäßigen Verjährungsfrist unterliegen, beginnt mit der Entstehung des Anspruchs, soweit nicht ein anderer Verjährungsbeginn bestimmt ist. </w:t>
      </w:r>
      <w:r>
        <w:rPr>
          <w:rStyle w:val="Satznummer"/>
        </w:rPr>
        <w:t>2</w:t>
      </w:r>
      <w:hyperlink w:anchor="b237" w:history="1">
        <w:r>
          <w:rPr>
            <w:color w:val="0A3A8C"/>
            <w:u w:val="single"/>
          </w:rPr>
          <w:t xml:space="preserve">§ 199</w:t>
        </w:r>
      </w:hyperlink>
      <w:r>
        <w:t xml:space="preserve"> Abs. 5 findet entsprechende Anwendung.</w:t>
      </w:r>
    </w:p>
    <w:p>
      <w:pPr>
        <w:pStyle w:val="Heading4"/>
      </w:pPr>
      <w:bookmarkStart w:id="241" w:name="b239"/>
      <w:r>
        <w:t>§ 201 Beginn der Verjährungsfrist von festgestellten Ansprüchen</w:t>
      </w:r>
      <w:r>
        <w:t xml:space="preserve"> </w:t>
      </w:r>
      <w:r>
        <w:rPr>
          <w:rStyle w:val="Suchmarke"/>
        </w:rPr>
        <w:t>#201#</w:t>
      </w:r>
      <w:bookmarkEnd w:id="241"/>
    </w:p>
    <w:p>
      <w:r>
        <w:rPr>
          <w:rStyle w:val="Satznummer"/>
        </w:rPr>
        <w:t>1</w:t>
      </w:r>
      <w:r>
        <w:t xml:space="preserve">Die Verjährung von Ansprüchen der in </w:t>
      </w:r>
      <w:hyperlink w:anchor="b235" w:history="1">
        <w:r>
          <w:rPr>
            <w:color w:val="0A3A8C"/>
            <w:u w:val="single"/>
          </w:rPr>
          <w:t xml:space="preserve">§ 197</w:t>
        </w:r>
      </w:hyperlink>
      <w:r>
        <w:t xml:space="preserve"> Abs. 1 Nr. 3 bis 6 bezeichneten Art beginnt mit der Rechtskraft der Entscheidung, der Errichtung des vollstreckbaren Titels oder der Feststellung im Insolvenzverfahren, nicht jedoch vor der Entstehung des Anspruchs. </w:t>
      </w:r>
      <w:r>
        <w:rPr>
          <w:rStyle w:val="Satznummer"/>
        </w:rPr>
        <w:t>2</w:t>
      </w:r>
      <w:hyperlink w:anchor="b237" w:history="1">
        <w:r>
          <w:rPr>
            <w:color w:val="0A3A8C"/>
            <w:u w:val="single"/>
          </w:rPr>
          <w:t xml:space="preserve">§ 199</w:t>
        </w:r>
      </w:hyperlink>
      <w:r>
        <w:t xml:space="preserve"> Abs. 5 findet entsprechende Anwendung.</w:t>
      </w:r>
    </w:p>
    <w:p>
      <w:pPr>
        <w:pStyle w:val="Heading4"/>
      </w:pPr>
      <w:bookmarkStart w:id="242" w:name="b240"/>
      <w:r>
        <w:t>§ 202 Unzulässigkeit von Vereinbarungen über die Verjährung</w:t>
      </w:r>
      <w:r>
        <w:t xml:space="preserve"> </w:t>
      </w:r>
      <w:r>
        <w:rPr>
          <w:rStyle w:val="Suchmarke"/>
        </w:rPr>
        <w:t>#202#</w:t>
      </w:r>
      <w:bookmarkEnd w:id="242"/>
    </w:p>
    <w:p>
      <w:r>
        <w:t>(1) Die Verjährung kann bei Haftung wegen Vorsatzes nicht im Voraus durch Rechtsgeschäft erleichtert werden.</w:t>
      </w:r>
    </w:p>
    <w:p>
      <w:r>
        <w:t>(2) Die Verjährung kann durch Rechtsgeschäft nicht über eine Verjährungsfrist von 30 Jahren ab dem gesetzlichen Verjährungsbeginn hinaus erschwert werden.</w:t>
      </w:r>
    </w:p>
    <w:p>
      <w:pPr>
        <w:pStyle w:val="Heading3"/>
      </w:pPr>
      <w:bookmarkStart w:id="243" w:name="b241"/>
      <w:r>
        <w:t>Titel 2 Hemmung, Ablaufhemmung und Neubeginn der Verjährung</w:t>
      </w:r>
      <w:bookmarkEnd w:id="243"/>
    </w:p>
    <w:p>
      <w:pPr>
        <w:pStyle w:val="Heading4"/>
      </w:pPr>
      <w:bookmarkStart w:id="244" w:name="b242"/>
      <w:r>
        <w:t>§ 203 Hemmung der Verjährung bei Verhandlungen</w:t>
      </w:r>
      <w:r>
        <w:t xml:space="preserve"> </w:t>
      </w:r>
      <w:r>
        <w:rPr>
          <w:rStyle w:val="Suchmarke"/>
        </w:rPr>
        <w:t>#203#</w:t>
      </w:r>
      <w:bookmarkEnd w:id="244"/>
    </w:p>
    <w:p>
      <w:r>
        <w:rPr>
          <w:rStyle w:val="Satznummer"/>
        </w:rPr>
        <w:t>1</w:t>
      </w:r>
      <w:r>
        <w:t xml:space="preserve">Schweben zwischen dem Schuldner und dem Gläubiger Verhandlungen über den Anspruch oder die den Anspruch begründenden Umstände, so ist die Verjährung gehemmt, bis der eine oder der andere Teil die Fortsetzung der Verhandlungen verweigert. </w:t>
      </w:r>
      <w:r>
        <w:rPr>
          <w:rStyle w:val="Satznummer"/>
        </w:rPr>
        <w:t>2</w:t>
      </w:r>
      <w:r>
        <w:t>Die Verjährung tritt frühestens drei Monate nach dem Ende der Hemmung ein.</w:t>
      </w:r>
    </w:p>
    <w:p>
      <w:pPr>
        <w:pStyle w:val="Heading4"/>
      </w:pPr>
      <w:bookmarkStart w:id="245" w:name="b243"/>
      <w:r>
        <w:t>§ 204 Hemmung der Verjährung durch Rechtsverfolgung</w:t>
      </w:r>
      <w:r>
        <w:t xml:space="preserve"> </w:t>
      </w:r>
      <w:r>
        <w:rPr>
          <w:rStyle w:val="Suchmarke"/>
        </w:rPr>
        <w:t>#204#</w:t>
      </w:r>
      <w:bookmarkEnd w:id="245"/>
    </w:p>
    <w:p>
      <w:r>
        <w:t>(1) Die Verjährung wird gehemmt durch</w:t>
      </w:r>
    </w:p>
    <w:p>
      <w:pPr>
        <w:tabs>
          <w:tab w:pos="567" w:val="left"/>
        </w:tabs>
        <w:ind w:left="567" w:hanging="567"/>
      </w:pPr>
      <w:r>
        <w:t>1.</w:t>
      </w:r>
      <w:r>
        <w:tab/>
      </w:r>
      <w:r>
        <w:t>die Erhebung der Klage auf Leistung oder auf Feststellung des Anspruchs, auf Erteilung der Vollstreckungsklausel oder auf Erlass des Vollstreckungsurteils,</w:t>
      </w:r>
    </w:p>
    <w:p>
      <w:pPr>
        <w:tabs>
          <w:tab w:pos="567" w:val="left"/>
        </w:tabs>
        <w:ind w:left="567" w:hanging="567"/>
      </w:pPr>
      <w:r>
        <w:t>1a.</w:t>
      </w:r>
      <w:r>
        <w:tab/>
      </w:r>
      <w:r>
        <w:t>(weggefallen)</w:t>
      </w:r>
    </w:p>
    <w:p>
      <w:pPr>
        <w:tabs>
          <w:tab w:pos="567" w:val="left"/>
        </w:tabs>
        <w:ind w:left="567" w:hanging="567"/>
      </w:pPr>
      <w:r>
        <w:t>2.</w:t>
      </w:r>
      <w:r>
        <w:tab/>
      </w:r>
      <w:r>
        <w:t>die Zustellung des Antrags im vereinfachten Verfahren über den Unterhalt Minderjähriger,</w:t>
      </w:r>
    </w:p>
    <w:p>
      <w:pPr>
        <w:tabs>
          <w:tab w:pos="567" w:val="left"/>
        </w:tabs>
        <w:ind w:left="567" w:hanging="567"/>
      </w:pPr>
      <w:r>
        <w:t>3.</w:t>
      </w:r>
      <w:r>
        <w:tab/>
      </w:r>
      <w:r>
        <w:t>die Zustellung des Mahnbescheids im Mahnverfahren oder des Europäischen Zahlungsbefehls im Europäischen Mahnverfahren nach der Verordnung (EG) Nr. 1896/2006 des Europäischen Parlaments und des Rates vom 12. Dezember 2006 zur Einführung eines Europäischen Mahnverfahrens (ABl. EU Nr. L 399 S. 1),</w:t>
      </w:r>
    </w:p>
    <w:p>
      <w:pPr>
        <w:tabs>
          <w:tab w:pos="567" w:val="left"/>
        </w:tabs>
        <w:ind w:left="567" w:hanging="567"/>
      </w:pPr>
      <w:r>
        <w:t>4.</w:t>
      </w:r>
      <w:r>
        <w:tab/>
      </w:r>
      <w:r>
        <w:t>die Veranlassung der Bekanntgabe eines Antrags, mit dem der Anspruch geltend gemacht wird, bei einer</w:t>
      </w:r>
    </w:p>
    <w:p>
      <w:pPr>
        <w:tabs>
          <w:tab w:pos="1134" w:val="left"/>
        </w:tabs>
        <w:ind w:left="1134" w:hanging="567"/>
      </w:pPr>
      <w:r>
        <w:t>a)</w:t>
      </w:r>
      <w:r>
        <w:tab/>
      </w:r>
      <w:r>
        <w:t>staatlichen oder staatlich anerkannten Streitbeilegungsstelle oder</w:t>
      </w:r>
    </w:p>
    <w:p>
      <w:pPr>
        <w:tabs>
          <w:tab w:pos="1134" w:val="left"/>
        </w:tabs>
        <w:ind w:left="1134" w:hanging="567"/>
      </w:pPr>
      <w:r>
        <w:t>b)</w:t>
      </w:r>
      <w:r>
        <w:tab/>
      </w:r>
      <w:r>
        <w:t>anderen Streitbeilegungsstelle, wenn das Verfahren im Einvernehmen mit dem Antragsgegner betrieben wird;</w:t>
      </w:r>
    </w:p>
    <w:p>
      <w:pPr>
        <w:ind w:left="567"/>
      </w:pPr>
      <w:r>
        <w:t>die Verjährung wird schon durch den Eingang des Antrags bei der Streitbeilegungsstelle gehemmt, wenn der Antrag demnächst bekannt gegeben wird,</w:t>
      </w:r>
    </w:p>
    <w:p>
      <w:pPr>
        <w:tabs>
          <w:tab w:pos="567" w:val="left"/>
        </w:tabs>
        <w:ind w:left="567" w:hanging="567"/>
      </w:pPr>
      <w:r>
        <w:t>5.</w:t>
      </w:r>
      <w:r>
        <w:tab/>
      </w:r>
      <w:r>
        <w:t>die Geltendmachung der Aufrechnung des Anspruchs im Prozess,</w:t>
      </w:r>
    </w:p>
    <w:p>
      <w:pPr>
        <w:tabs>
          <w:tab w:pos="567" w:val="left"/>
        </w:tabs>
        <w:ind w:left="567" w:hanging="567"/>
      </w:pPr>
      <w:r>
        <w:t>6.</w:t>
      </w:r>
      <w:r>
        <w:tab/>
      </w:r>
      <w:r>
        <w:t>die Zustellung der Streitverkündung,</w:t>
      </w:r>
    </w:p>
    <w:p>
      <w:pPr>
        <w:tabs>
          <w:tab w:pos="567" w:val="left"/>
        </w:tabs>
        <w:ind w:left="567" w:hanging="567"/>
      </w:pPr>
      <w:r>
        <w:t>6a.</w:t>
      </w:r>
      <w:r>
        <w:tab/>
      </w:r>
      <w:r>
        <w:t>die öffentliche Bekanntmachung des Vorlagebeschlusses in einem Musterverfahren für Ansprüche, denen derselbe Lebenssachverhalt zugrunde liegt wie den Feststellungszielen des Musterverfahrens, wenn die Ansprüche zum Musterverfahren angemeldet werden,</w:t>
      </w:r>
    </w:p>
    <w:p>
      <w:pPr>
        <w:tabs>
          <w:tab w:pos="567" w:val="left"/>
        </w:tabs>
        <w:ind w:left="567" w:hanging="567"/>
      </w:pPr>
      <w:r>
        <w:t>7.</w:t>
      </w:r>
      <w:r>
        <w:tab/>
      </w:r>
      <w:r>
        <w:t>die Zustellung des Antrags auf Durchführung eines selbständigen Beweisverfahrens,</w:t>
      </w:r>
    </w:p>
    <w:p>
      <w:pPr>
        <w:tabs>
          <w:tab w:pos="567" w:val="left"/>
        </w:tabs>
        <w:ind w:left="567" w:hanging="567"/>
      </w:pPr>
      <w:r>
        <w:t>8.</w:t>
      </w:r>
      <w:r>
        <w:tab/>
      </w:r>
      <w:r>
        <w:t>den Beginn eines vereinbarten Begutachtungsverfahrens,</w:t>
      </w:r>
    </w:p>
    <w:p>
      <w:pPr>
        <w:tabs>
          <w:tab w:pos="567" w:val="left"/>
        </w:tabs>
        <w:ind w:left="567" w:hanging="567"/>
      </w:pPr>
      <w:r>
        <w:t>9.</w:t>
      </w:r>
      <w:r>
        <w:tab/>
      </w:r>
      <w:r>
        <w:t>die Zustellung des Antrags auf Erlass eines Arrests, einer einstweiligen Verfügung oder einer einstweiligen Anordnung, oder, wenn der Antrag nicht zugestellt wird, dessen Einreichung, wenn der Arrestbefehl, die einstweilige Verfügung oder die einstweilige Anordnung innerhalb eines Monats seit Verkündung oder Zustellung an den Gläubiger dem Schuldner zugestellt wird,</w:t>
      </w:r>
    </w:p>
    <w:p>
      <w:pPr>
        <w:tabs>
          <w:tab w:pos="567" w:val="left"/>
        </w:tabs>
        <w:ind w:left="567" w:hanging="567"/>
      </w:pPr>
      <w:r>
        <w:t>10.</w:t>
      </w:r>
      <w:r>
        <w:tab/>
      </w:r>
      <w:r>
        <w:t>die Anmeldung des Anspruchs im Insolvenzverfahren oder im Schifffahrtsrechtlichen Verteilungsverfahren,</w:t>
      </w:r>
    </w:p>
    <w:p>
      <w:pPr>
        <w:tabs>
          <w:tab w:pos="567" w:val="left"/>
        </w:tabs>
        <w:ind w:left="567" w:hanging="567"/>
      </w:pPr>
      <w:r>
        <w:t>10a.</w:t>
      </w:r>
      <w:r>
        <w:tab/>
      </w:r>
      <w:r>
        <w:t>die Anordnung einer Vollstreckungssperre nach dem Unternehmensstabilisierungs- und -restrukturierungsgesetz, durch die der Gläubiger an der Einleitung der Zwangsvollstreckung wegen des Anspruchs gehindert ist,</w:t>
      </w:r>
    </w:p>
    <w:p>
      <w:pPr>
        <w:tabs>
          <w:tab w:pos="567" w:val="left"/>
        </w:tabs>
        <w:ind w:left="567" w:hanging="567"/>
      </w:pPr>
      <w:r>
        <w:t>11.</w:t>
      </w:r>
      <w:r>
        <w:tab/>
      </w:r>
      <w:r>
        <w:t>den Beginn des schiedsrichterlichen Verfahrens,</w:t>
      </w:r>
    </w:p>
    <w:p>
      <w:pPr>
        <w:tabs>
          <w:tab w:pos="567" w:val="left"/>
        </w:tabs>
        <w:ind w:left="567" w:hanging="567"/>
      </w:pPr>
      <w:r>
        <w:t>12.</w:t>
      </w:r>
      <w:r>
        <w:tab/>
      </w:r>
      <w:r>
        <w:t>die Einreichung des Antrags bei einer Behörde, wenn die Zulässigkeit der Klage von der Vorentscheidung dieser Behörde abhängt und innerhalb von drei Monaten nach Erledigung des Gesuchs die Klage erhoben wird; dies gilt entsprechend für bei einem Gericht oder bei einer in Nummer 4 bezeichneten Streitbeilegungsstelle zu stellende Anträge, deren Zulässigkeit von der Vorentscheidung einer Behörde abhängt,</w:t>
      </w:r>
    </w:p>
    <w:p>
      <w:pPr>
        <w:tabs>
          <w:tab w:pos="567" w:val="left"/>
        </w:tabs>
        <w:ind w:left="567" w:hanging="567"/>
      </w:pPr>
      <w:r>
        <w:t>13.</w:t>
      </w:r>
      <w:r>
        <w:tab/>
      </w:r>
      <w:r>
        <w:t>die Einreichung des Antrags bei dem höheren Gericht, wenn dieses das zuständige Gericht zu bestimmen hat und innerhalb von drei Monaten nach Erledigung des Gesuchs die Klage erhoben oder der Antrag, für den die Gerichtsstandsbestimmung zu erfolgen hat, gestellt wird, und</w:t>
      </w:r>
    </w:p>
    <w:p>
      <w:pPr>
        <w:tabs>
          <w:tab w:pos="567" w:val="left"/>
        </w:tabs>
        <w:ind w:left="567" w:hanging="567"/>
      </w:pPr>
      <w:r>
        <w:t>14.</w:t>
      </w:r>
      <w:r>
        <w:tab/>
      </w:r>
      <w:r>
        <w:t>die Veranlassung der Bekanntgabe des erstmaligen Antrags auf Gewährung von Prozesskostenhilfe oder Verfahrenskostenhilfe; wird die Bekanntgabe demnächst nach der Einreichung des Antrags veranlasst, so tritt die Hemmung der Verjährung bereits mit der Einreichung ein.</w:t>
      </w:r>
    </w:p>
    <w:p>
      <w:r>
        <w:t xml:space="preserve">(2) </w:t>
      </w:r>
      <w:r>
        <w:rPr>
          <w:rStyle w:val="Satznummer"/>
        </w:rPr>
        <w:t>1</w:t>
      </w:r>
      <w:r>
        <w:t xml:space="preserve">Die Hemmung nach Absatz 1 endet sechs Monate nach der rechtskräftigen Entscheidung oder anderweitigen Beendigung des eingeleiteten Verfahrens. </w:t>
      </w:r>
      <w:r>
        <w:rPr>
          <w:rStyle w:val="Satznummer"/>
        </w:rPr>
        <w:t>2</w:t>
      </w:r>
      <w:r>
        <w:t xml:space="preserve">Gerät das Verfahren dadurch in Stillstand, dass die Parteien es nicht betreiben, so tritt an die Stelle der Beendigung des Verfahrens die letzte Verfahrenshandlung der Parteien, des Gerichts oder der sonst mit dem Verfahren befassten Stelle. </w:t>
      </w:r>
      <w:r>
        <w:rPr>
          <w:rStyle w:val="Satznummer"/>
        </w:rPr>
        <w:t>3</w:t>
      </w:r>
      <w:r>
        <w:t>Die Hemmung beginnt erneut, wenn eine der Parteien das Verfahren weiter betreibt.</w:t>
      </w:r>
    </w:p>
    <w:p>
      <w:r>
        <w:t xml:space="preserve">(3) Auf die Frist nach Absatz 1 Nr. 6a, 9, 12 und 13 finden die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und </w:t>
      </w:r>
      <w:hyperlink w:anchor="b251" w:history="1">
        <w:r>
          <w:rPr>
            <w:color w:val="0A3A8C"/>
            <w:u w:val="single"/>
          </w:rPr>
          <w:t xml:space="preserve">211</w:t>
        </w:r>
      </w:hyperlink>
      <w:r>
        <w:t xml:space="preserve"> entsprechende Anwendung.</w:t>
      </w:r>
    </w:p>
    <w:p>
      <w:pPr>
        <w:pStyle w:val="Heading4"/>
      </w:pPr>
      <w:bookmarkStart w:id="246" w:name="b244"/>
      <w:r>
        <w:t>§ 204a Hemmung der Verjährung von Ansprüchen von Verbrauchern durch Klagen von qualifizierten Verbraucherverbänden oder qualifizierten Einrichtungen</w:t>
      </w:r>
      <w:r>
        <w:t xml:space="preserve"> </w:t>
      </w:r>
      <w:r>
        <w:rPr>
          <w:rStyle w:val="Suchmarke"/>
        </w:rPr>
        <w:t>#204a#</w:t>
      </w:r>
      <w:bookmarkEnd w:id="246"/>
    </w:p>
    <w:p>
      <w:r>
        <w:t xml:space="preserve">(1) </w:t>
      </w:r>
      <w:r>
        <w:rPr>
          <w:rStyle w:val="Satznummer"/>
        </w:rPr>
        <w:t>1</w:t>
      </w:r>
      <w:r>
        <w:t>Die Verjährung von Ansprüchen von Verbrauchern gegen Unternehmer wird auch gehemmt durch:</w:t>
      </w:r>
    </w:p>
    <w:p>
      <w:pPr>
        <w:tabs>
          <w:tab w:pos="567" w:val="left"/>
        </w:tabs>
        <w:ind w:left="567" w:hanging="567"/>
      </w:pPr>
      <w:r>
        <w:t>1.</w:t>
      </w:r>
      <w:r>
        <w:tab/>
      </w:r>
      <w:r>
        <w:t>die Zustellung des Antrags auf Erlass einer einstweiligen Verfügung in Bezug auf einen Unterlassungsanspruch gegen den Unternehmer nach den §§ 1, 2 oder 2a des Unterlassungsklagengesetzes oder nach § 8 Absatz 1 des Gesetzes gegen den unlauteren Wettbewerb an den Antragsgegner, wenn</w:t>
      </w:r>
    </w:p>
    <w:p>
      <w:pPr>
        <w:tabs>
          <w:tab w:pos="1134" w:val="left"/>
        </w:tabs>
        <w:ind w:left="1134" w:hanging="567"/>
      </w:pPr>
      <w:r>
        <w:t>a)</w:t>
      </w:r>
      <w:r>
        <w:tab/>
      </w:r>
      <w:r>
        <w:t>der Antrag durch eine Stelle nach § 3 Absatz 1 Satz 1 des Unterlassungsklagengesetzes gestellt wurde und</w:t>
      </w:r>
    </w:p>
    <w:p>
      <w:pPr>
        <w:tabs>
          <w:tab w:pos="1134" w:val="left"/>
        </w:tabs>
        <w:ind w:left="1134" w:hanging="567"/>
      </w:pPr>
      <w:r>
        <w:t>b)</w:t>
      </w:r>
      <w:r>
        <w:tab/>
      </w:r>
      <w:r>
        <w:t>die Ansprüche der Verbraucher gegen den Unternehmer aufgrund der Zuwiderhandlung entstanden sind, gegen die sich der Unterlassungsanspruch richtet,</w:t>
      </w:r>
    </w:p>
    <w:p>
      <w:pPr>
        <w:tabs>
          <w:tab w:pos="567" w:val="left"/>
        </w:tabs>
        <w:ind w:left="567" w:hanging="567"/>
      </w:pPr>
      <w:r>
        <w:t>2.</w:t>
      </w:r>
      <w:r>
        <w:tab/>
      </w:r>
      <w:r>
        <w:t>die Erhebung einer Klage zur Durchsetzung von Unterlassungsansprüchen nach Nummer 1 gegen den Unternehmer, wenn</w:t>
      </w:r>
    </w:p>
    <w:p>
      <w:pPr>
        <w:tabs>
          <w:tab w:pos="1134" w:val="left"/>
        </w:tabs>
        <w:ind w:left="1134" w:hanging="567"/>
      </w:pPr>
      <w:r>
        <w:t>a)</w:t>
      </w:r>
      <w:r>
        <w:tab/>
      </w:r>
      <w:r>
        <w:t>die Klage durch eine Stelle nach § 3 Absatz 1 Satz 1 des Unterlassungsklagengesetzes erhoben wurde und</w:t>
      </w:r>
    </w:p>
    <w:p>
      <w:pPr>
        <w:tabs>
          <w:tab w:pos="1134" w:val="left"/>
        </w:tabs>
        <w:ind w:left="1134" w:hanging="567"/>
      </w:pPr>
      <w:r>
        <w:t>b)</w:t>
      </w:r>
      <w:r>
        <w:tab/>
      </w:r>
      <w:r>
        <w:t>die Ansprüche der Verbraucher gegen den Unternehmer aufgrund der Zuwiderhandlung entstanden sind, gegen die sich der Unterlassungsanspruch richtet,</w:t>
      </w:r>
    </w:p>
    <w:p>
      <w:pPr>
        <w:tabs>
          <w:tab w:pos="567" w:val="left"/>
        </w:tabs>
        <w:ind w:left="567" w:hanging="567"/>
      </w:pPr>
      <w:r>
        <w:t>3.</w:t>
      </w:r>
      <w:r>
        <w:tab/>
      </w:r>
      <w:r>
        <w:t>die Erhebung einer Musterfeststellungsklage nach dem Verbraucherrechtedurchsetzungsgesetz für die Ansprüche von Verbrauchern, denen derselbe Lebenssachverhalt zugrunde liegt wie den Feststellungszielen der Musterfeststellungsklage, wenn die Verbraucher ihren Anspruch zum Verbandsklageregister anmelden,</w:t>
      </w:r>
    </w:p>
    <w:p>
      <w:pPr>
        <w:tabs>
          <w:tab w:pos="567" w:val="left"/>
        </w:tabs>
        <w:ind w:left="567" w:hanging="567"/>
      </w:pPr>
      <w:r>
        <w:t>4.</w:t>
      </w:r>
      <w:r>
        <w:tab/>
      </w:r>
      <w:r>
        <w:t>die Erhebung einer Abhilfeklage nach dem Verbraucherrechtedurchsetzungsgesetz für Ansprüche, die Gegenstand der Abhilfeklage sind, wenn die Verbraucher ihren Anspruch zum Verbandsklageregister anmelden.</w:t>
      </w:r>
    </w:p>
    <w:p>
      <w:r>
        <w:rPr>
          <w:rStyle w:val="Satznummer"/>
        </w:rPr>
        <w:t>2</w:t>
      </w:r>
      <w:r>
        <w:t>Wurde dem Antragsgegner der Antrag auf Erlass einer einstweiligen Verfügung nicht zugestellt, so tritt in Satz 1 Nummer 1 an die Stelle der Zustellung des Antrags die Einreichung des Antrags beim Gericht, sofern dem Antragsgegner die einstweilige Verfügung innerhalb eines Monats nach ihrer Verkündung oder nach ihrer Zustellung an den Antragsteller zugestellt wurde.</w:t>
      </w:r>
    </w:p>
    <w:p>
      <w:r>
        <w:t>(2) Die Verjährung von Ansprüchen von Verbrauchern gegen Unternehmer wird auch gehemmt durch eine anhängige Verbandsklage im Sinne der Richtlinie (EU) 2020/1828 des Europäischen Parlaments und des Rates vom 25. November 2020 über Verbandsklagen zum Schutz der Kollektivinteressen der Verbraucher und zur Aufhebung der Richtlinie 2009/22/EG (ABl. L 409 vom 4.12.2020, S. 1) bei einem Gericht oder einer Behörde in einem anderen Mitgliedstaat der Europäischen Union, die</w:t>
      </w:r>
    </w:p>
    <w:p>
      <w:pPr>
        <w:tabs>
          <w:tab w:pos="567" w:val="left"/>
        </w:tabs>
        <w:ind w:left="567" w:hanging="567"/>
      </w:pPr>
      <w:r>
        <w:t>1.</w:t>
      </w:r>
      <w:r>
        <w:tab/>
      </w:r>
      <w:r>
        <w:t>auf eine Unterlassungsentscheidung gerichtet ist, wenn</w:t>
      </w:r>
    </w:p>
    <w:p>
      <w:pPr>
        <w:tabs>
          <w:tab w:pos="1134" w:val="left"/>
        </w:tabs>
        <w:ind w:left="1134" w:hanging="567"/>
      </w:pPr>
      <w:r>
        <w:t>a)</w:t>
      </w:r>
      <w:r>
        <w:tab/>
      </w:r>
      <w:r>
        <w:t>die Klage von einer qualifizierten Einrichtung eingereicht wurde,</w:t>
      </w:r>
    </w:p>
    <w:p>
      <w:pPr>
        <w:tabs>
          <w:tab w:pos="1134" w:val="left"/>
        </w:tabs>
        <w:ind w:left="1134" w:hanging="567"/>
      </w:pPr>
      <w:r>
        <w:t>b)</w:t>
      </w:r>
      <w:r>
        <w:tab/>
      </w:r>
      <w:r>
        <w:t>Gegenstand der Klage eine Zuwiderhandlung des Unternehmers gegen solche Verbraucherschutzgesetze ist, die in den Anwendungsbereich der Richtlinie (EU) 2020/1828 fallen, und</w:t>
      </w:r>
    </w:p>
    <w:p>
      <w:pPr>
        <w:tabs>
          <w:tab w:pos="1134" w:val="left"/>
        </w:tabs>
        <w:ind w:left="1134" w:hanging="567"/>
      </w:pPr>
      <w:r>
        <w:t>c)</w:t>
      </w:r>
      <w:r>
        <w:tab/>
      </w:r>
      <w:r>
        <w:t>die Ansprüche der Verbraucher aufgrund derjenigen Zuwiderhandlung des Unternehmers entstanden sind, gegen die sich die Klage richtet,</w:t>
      </w:r>
    </w:p>
    <w:p>
      <w:pPr>
        <w:tabs>
          <w:tab w:pos="567" w:val="left"/>
        </w:tabs>
        <w:ind w:left="567" w:hanging="567"/>
      </w:pPr>
      <w:r>
        <w:t>2.</w:t>
      </w:r>
      <w:r>
        <w:tab/>
      </w:r>
      <w:r>
        <w:t>auf eine Abhilfeentscheidung gerichtet ist, wenn</w:t>
      </w:r>
    </w:p>
    <w:p>
      <w:pPr>
        <w:tabs>
          <w:tab w:pos="1134" w:val="left"/>
        </w:tabs>
        <w:ind w:left="1134" w:hanging="567"/>
      </w:pPr>
      <w:r>
        <w:t>a)</w:t>
      </w:r>
      <w:r>
        <w:tab/>
      </w:r>
      <w:r>
        <w:t>die Klage von einer qualifizierten Einrichtung eingereicht wurde,</w:t>
      </w:r>
    </w:p>
    <w:p>
      <w:pPr>
        <w:tabs>
          <w:tab w:pos="1134" w:val="left"/>
        </w:tabs>
        <w:ind w:left="1134" w:hanging="567"/>
      </w:pPr>
      <w:r>
        <w:t>b)</w:t>
      </w:r>
      <w:r>
        <w:tab/>
      </w:r>
      <w:r>
        <w:t>die Ansprüche der Verbraucher Gegenstand der Klage sind und diese Ansprüche aufgrund einer Zuwiderhandlung des Unternehmers gegen solche Verbraucherschutzgesetze entstanden sind, die in den Anwendungsbereich der Richtlinie (EU) 2020/1828 fallen, und</w:t>
      </w:r>
    </w:p>
    <w:p>
      <w:pPr>
        <w:tabs>
          <w:tab w:pos="1134" w:val="left"/>
        </w:tabs>
        <w:ind w:left="1134" w:hanging="567"/>
      </w:pPr>
      <w:r>
        <w:t>c)</w:t>
      </w:r>
      <w:r>
        <w:tab/>
      </w:r>
      <w:r>
        <w:t>die Verbraucher an der Klage teilnehmen.</w:t>
      </w:r>
    </w:p>
    <w:p>
      <w:r>
        <w:t xml:space="preserve">(3) </w:t>
      </w:r>
      <w:r>
        <w:rPr>
          <w:rStyle w:val="Satznummer"/>
        </w:rPr>
        <w:t>1</w:t>
      </w:r>
      <w:hyperlink w:anchor="b243" w:history="1">
        <w:r>
          <w:rPr>
            <w:color w:val="0A3A8C"/>
            <w:u w:val="single"/>
          </w:rPr>
          <w:t xml:space="preserve">§ 204</w:t>
        </w:r>
      </w:hyperlink>
      <w:r>
        <w:t xml:space="preserve"> Absatz 2 Satz 1 ist entsprechend anzuwenden. </w:t>
      </w:r>
      <w:r>
        <w:rPr>
          <w:rStyle w:val="Satznummer"/>
        </w:rPr>
        <w:t>2</w:t>
      </w:r>
      <w:r>
        <w:t>Die Hemmung der Verjährung eines Anspruchs eines Verbrauchers nach Absatz 1 Satz 1 Nummer 3 und 4 sowie nach Absatz 2 Nummer 2 endet auch sechs Monate nach dem Zeitpunkt, zu dem der Verbraucher nicht mehr an der Klage teilnimmt, insbesondere durch die Rücknahme der Anmeldung zum Verbandsklageregister.</w:t>
      </w:r>
    </w:p>
    <w:p>
      <w:r>
        <w:t>(4) Absatz 1 Satz 1 Nummer 3 und 4 sowie Absatz 3 sind auch auf solche Unternehmer anzuwenden, die nach § 1 Absatz 2 des Verbraucherrechtedurchsetzungsgesetzes Verbrauchern gleichgestellt werden.</w:t>
      </w:r>
    </w:p>
    <w:p>
      <w:pPr>
        <w:pStyle w:val="Heading4"/>
      </w:pPr>
      <w:bookmarkStart w:id="247" w:name="b245"/>
      <w:r>
        <w:t>§ 205 Hemmung der Verjährung bei Leistungsverweigerungsrecht</w:t>
      </w:r>
      <w:r>
        <w:t xml:space="preserve"> </w:t>
      </w:r>
      <w:r>
        <w:rPr>
          <w:rStyle w:val="Suchmarke"/>
        </w:rPr>
        <w:t>#205#</w:t>
      </w:r>
      <w:bookmarkEnd w:id="247"/>
    </w:p>
    <w:p>
      <w:r>
        <w:t>Die Verjährung ist gehemmt, solange der Schuldner auf Grund einer Vereinbarung mit dem Gläubiger vorübergehend zur Verweigerung der Leistung berechtigt ist.</w:t>
      </w:r>
    </w:p>
    <w:p>
      <w:pPr>
        <w:pStyle w:val="Heading4"/>
      </w:pPr>
      <w:bookmarkStart w:id="248" w:name="b246"/>
      <w:r>
        <w:t>§ 206 Hemmung der Verjährung bei höherer Gewalt</w:t>
      </w:r>
      <w:r>
        <w:t xml:space="preserve"> </w:t>
      </w:r>
      <w:r>
        <w:rPr>
          <w:rStyle w:val="Suchmarke"/>
        </w:rPr>
        <w:t>#206#</w:t>
      </w:r>
      <w:bookmarkEnd w:id="248"/>
    </w:p>
    <w:p>
      <w:r>
        <w:t>Die Verjährung ist gehemmt, solange der Gläubiger innerhalb der letzten sechs Monate der Verjährungsfrist durch höhere Gewalt an der Rechtsverfolgung gehindert ist.</w:t>
      </w:r>
    </w:p>
    <w:p>
      <w:pPr>
        <w:pStyle w:val="Heading4"/>
      </w:pPr>
      <w:bookmarkStart w:id="249" w:name="b247"/>
      <w:r>
        <w:t>§ 207 Hemmung der Verjährung aus familiären und ähnlichen Gründen</w:t>
      </w:r>
      <w:r>
        <w:t xml:space="preserve"> </w:t>
      </w:r>
      <w:r>
        <w:rPr>
          <w:rStyle w:val="Suchmarke"/>
        </w:rPr>
        <w:t>#207#</w:t>
      </w:r>
      <w:bookmarkEnd w:id="249"/>
    </w:p>
    <w:p>
      <w:r>
        <w:t xml:space="preserve">(1) </w:t>
      </w:r>
      <w:r>
        <w:rPr>
          <w:rStyle w:val="Satznummer"/>
        </w:rPr>
        <w:t>1</w:t>
      </w:r>
      <w:r>
        <w:t xml:space="preserve">Die Verjährung von Ansprüchen zwischen Ehegatten ist gehemmt, solange die Ehe besteht. </w:t>
      </w:r>
      <w:r>
        <w:rPr>
          <w:rStyle w:val="Satznummer"/>
        </w:rPr>
        <w:t>2</w:t>
      </w:r>
      <w:r>
        <w:t>Das Gleiche gilt für Ansprüche zwischen</w:t>
      </w:r>
    </w:p>
    <w:p>
      <w:pPr>
        <w:tabs>
          <w:tab w:pos="567" w:val="left"/>
        </w:tabs>
        <w:ind w:left="567" w:hanging="567"/>
      </w:pPr>
      <w:r>
        <w:t>1.</w:t>
      </w:r>
      <w:r>
        <w:tab/>
      </w:r>
      <w:r>
        <w:t>Lebenspartnern, solange die Lebenspartnerschaft besteht,</w:t>
      </w:r>
    </w:p>
    <w:p>
      <w:pPr>
        <w:tabs>
          <w:tab w:pos="567" w:val="left"/>
        </w:tabs>
        <w:ind w:left="567" w:hanging="567"/>
      </w:pPr>
      <w:r>
        <w:t>2.</w:t>
      </w:r>
      <w:r>
        <w:tab/>
      </w:r>
      <w:r>
        <w:t>dem Kind und</w:t>
      </w:r>
    </w:p>
    <w:p>
      <w:pPr>
        <w:tabs>
          <w:tab w:pos="1134" w:val="left"/>
        </w:tabs>
        <w:ind w:left="1134" w:hanging="567"/>
      </w:pPr>
      <w:r>
        <w:t>a)</w:t>
      </w:r>
      <w:r>
        <w:tab/>
      </w:r>
      <w:r>
        <w:t>seinen Eltern oder</w:t>
      </w:r>
    </w:p>
    <w:p>
      <w:pPr>
        <w:tabs>
          <w:tab w:pos="1134" w:val="left"/>
        </w:tabs>
        <w:ind w:left="1134" w:hanging="567"/>
      </w:pPr>
      <w:r>
        <w:t>b)</w:t>
      </w:r>
      <w:r>
        <w:tab/>
      </w:r>
      <w:r>
        <w:t>dem Ehegatten oder Lebenspartner eines Elternteils</w:t>
      </w:r>
    </w:p>
    <w:p>
      <w:pPr>
        <w:ind w:left="567"/>
      </w:pPr>
      <w:r>
        <w:t>bis zur Vollendung des 21. Lebensjahres des Kindes,</w:t>
      </w:r>
    </w:p>
    <w:p>
      <w:pPr>
        <w:tabs>
          <w:tab w:pos="567" w:val="left"/>
        </w:tabs>
        <w:ind w:left="567" w:hanging="567"/>
      </w:pPr>
      <w:r>
        <w:t>3.</w:t>
      </w:r>
      <w:r>
        <w:tab/>
      </w:r>
      <w:r>
        <w:t>dem Vormund und dem Mündel während der Dauer des Vormundschaftsverhältnisses,</w:t>
      </w:r>
    </w:p>
    <w:p>
      <w:pPr>
        <w:tabs>
          <w:tab w:pos="567" w:val="left"/>
        </w:tabs>
        <w:ind w:left="567" w:hanging="567"/>
      </w:pPr>
      <w:r>
        <w:t>4.</w:t>
      </w:r>
      <w:r>
        <w:tab/>
      </w:r>
      <w:r>
        <w:t>dem Betreuten und dem Betreuer während der Dauer des Betreuungsverhältnisses und</w:t>
      </w:r>
    </w:p>
    <w:p>
      <w:pPr>
        <w:tabs>
          <w:tab w:pos="567" w:val="left"/>
        </w:tabs>
        <w:ind w:left="567" w:hanging="567"/>
      </w:pPr>
      <w:r>
        <w:t>5.</w:t>
      </w:r>
      <w:r>
        <w:tab/>
      </w:r>
      <w:r>
        <w:t>dem Pflegling und dem Pfleger während der Dauer der Pflegschaft.</w:t>
      </w:r>
    </w:p>
    <w:p>
      <w:r>
        <w:rPr>
          <w:rStyle w:val="Satznummer"/>
        </w:rPr>
        <w:t>3</w:t>
      </w:r>
      <w:r>
        <w:t>Die Verjährung von Ansprüchen des Kindes gegen den Beistand ist während der Dauer der Beistandschaft gehemmt.</w:t>
      </w:r>
    </w:p>
    <w:p>
      <w:r>
        <w:t xml:space="preserve">(2) </w:t>
      </w:r>
      <w:hyperlink w:anchor="b248" w:history="1">
        <w:r>
          <w:rPr>
            <w:color w:val="0A3A8C"/>
            <w:u w:val="single"/>
          </w:rPr>
          <w:t xml:space="preserve">§ 208</w:t>
        </w:r>
      </w:hyperlink>
      <w:r>
        <w:t xml:space="preserve"> bleibt unberührt.</w:t>
      </w:r>
    </w:p>
    <w:p>
      <w:pPr>
        <w:pStyle w:val="Heading4"/>
      </w:pPr>
      <w:bookmarkStart w:id="250" w:name="b248"/>
      <w:r>
        <w:t>§ 208 Hemmung der Verjährung bei Ansprüchen wegen Verletzung der sexuellen Selbstbestimmung</w:t>
      </w:r>
      <w:r>
        <w:t xml:space="preserve"> </w:t>
      </w:r>
      <w:r>
        <w:rPr>
          <w:rStyle w:val="Suchmarke"/>
        </w:rPr>
        <w:t>#208#</w:t>
      </w:r>
      <w:bookmarkEnd w:id="250"/>
    </w:p>
    <w:p>
      <w:r>
        <w:rPr>
          <w:rStyle w:val="Satznummer"/>
        </w:rPr>
        <w:t>1</w:t>
      </w:r>
      <w:r>
        <w:t xml:space="preserve">Die Verjährung von Ansprüchen wegen Verletzung der sexuellen Selbstbestimmung ist bis zur Vollendung des 21. Lebensjahrs des Gläubigers gehemmt. </w:t>
      </w:r>
      <w:r>
        <w:rPr>
          <w:rStyle w:val="Satznummer"/>
        </w:rPr>
        <w:t>2</w:t>
      </w:r>
      <w:r>
        <w:t>Lebt der Gläubiger von Ansprüchen wegen Verletzung der sexuellen Selbstbestimmung bei Beginn der Verjährung mit dem Schuldner in häuslicher Gemeinschaft, so ist die Verjährung auch bis zur Beendigung der häuslichen Gemeinschaft gehemmt.</w:t>
      </w:r>
    </w:p>
    <w:p>
      <w:pPr>
        <w:pStyle w:val="Heading4"/>
      </w:pPr>
      <w:bookmarkStart w:id="251" w:name="b249"/>
      <w:r>
        <w:t>§ 209 Wirkung der Hemmung</w:t>
      </w:r>
      <w:r>
        <w:t xml:space="preserve"> </w:t>
      </w:r>
      <w:r>
        <w:rPr>
          <w:rStyle w:val="Suchmarke"/>
        </w:rPr>
        <w:t>#209#</w:t>
      </w:r>
      <w:bookmarkEnd w:id="251"/>
    </w:p>
    <w:p>
      <w:r>
        <w:t>Der Zeitraum, während dessen die Verjährung gehemmt ist, wird in die Verjährungsfrist nicht eingerechnet.</w:t>
      </w:r>
    </w:p>
    <w:p>
      <w:pPr>
        <w:pStyle w:val="Heading4"/>
      </w:pPr>
      <w:bookmarkStart w:id="252" w:name="b250"/>
      <w:r>
        <w:t>§ 210 Ablaufhemmung bei nicht voll Geschäftsfähigen</w:t>
      </w:r>
      <w:r>
        <w:t xml:space="preserve"> </w:t>
      </w:r>
      <w:r>
        <w:rPr>
          <w:rStyle w:val="Suchmarke"/>
        </w:rPr>
        <w:t>#210#</w:t>
      </w:r>
      <w:bookmarkEnd w:id="252"/>
    </w:p>
    <w:p>
      <w:r>
        <w:t xml:space="preserve">(1) </w:t>
      </w:r>
      <w:r>
        <w:rPr>
          <w:rStyle w:val="Satznummer"/>
        </w:rPr>
        <w:t>1</w:t>
      </w:r>
      <w:r>
        <w:t xml:space="preserve">Ist eine geschäftsunfähige oder in der Geschäftsfähigkeit beschränkte Person ohne gesetzlichen Vertreter, so tritt eine für oder gegen sie laufende Verjährung nicht vor dem Ablauf von sechs Monaten nach dem Zeitpunkt ein, in dem die Person unbeschränkt geschäftsfähig oder der Mangel der Vertretung behoben wird. </w:t>
      </w:r>
      <w:r>
        <w:rPr>
          <w:rStyle w:val="Satznummer"/>
        </w:rPr>
        <w:t>2</w:t>
      </w:r>
      <w:r>
        <w:t>Ist die Verjährungsfrist kürzer als sechs Monate, so tritt der für die Verjährung bestimmte Zeitraum an die Stelle der sechs Monate.</w:t>
      </w:r>
    </w:p>
    <w:p>
      <w:r>
        <w:t>(2) Absatz 1 findet keine Anwendung, soweit eine in der Geschäftsfähigkeit beschränkte Person prozessfähig ist.</w:t>
      </w:r>
    </w:p>
    <w:p>
      <w:pPr>
        <w:pStyle w:val="Heading4"/>
      </w:pPr>
      <w:bookmarkStart w:id="253" w:name="b251"/>
      <w:r>
        <w:t>§ 211 Ablaufhemmung in Nachlassfällen</w:t>
      </w:r>
      <w:r>
        <w:t xml:space="preserve"> </w:t>
      </w:r>
      <w:r>
        <w:rPr>
          <w:rStyle w:val="Suchmarke"/>
        </w:rPr>
        <w:t>#211#</w:t>
      </w:r>
      <w:bookmarkEnd w:id="253"/>
    </w:p>
    <w:p>
      <w:r>
        <w:rPr>
          <w:rStyle w:val="Satznummer"/>
        </w:rPr>
        <w:t>1</w:t>
      </w:r>
      <w:r>
        <w:t xml:space="preserve">Die Verjährung eines Anspruchs, der zu einem Nachlass gehört oder sich gegen einen Nachlass richtet, tritt nicht vor dem Ablauf von sechs Monaten nach dem Zeitpunkt ein, in dem die Erbschaft von dem Erben angenommen oder das Insolvenzverfahren über den Nachlass eröffnet wird oder von dem an der Anspruch von einem oder gegen einen Vertreter geltend gemacht werden kann. </w:t>
      </w:r>
      <w:r>
        <w:rPr>
          <w:rStyle w:val="Satznummer"/>
        </w:rPr>
        <w:t>2</w:t>
      </w:r>
      <w:r>
        <w:t>Ist die Verjährungsfrist kürzer als sechs Monate, so tritt der für die Verjährung bestimmte Zeitraum an die Stelle der sechs Monate.</w:t>
      </w:r>
    </w:p>
    <w:p>
      <w:pPr>
        <w:pStyle w:val="Heading4"/>
      </w:pPr>
      <w:bookmarkStart w:id="254" w:name="b252"/>
      <w:r>
        <w:t>§ 212 Neubeginn der Verjährung</w:t>
      </w:r>
      <w:r>
        <w:t xml:space="preserve"> </w:t>
      </w:r>
      <w:r>
        <w:rPr>
          <w:rStyle w:val="Suchmarke"/>
        </w:rPr>
        <w:t>#212#</w:t>
      </w:r>
      <w:bookmarkEnd w:id="254"/>
    </w:p>
    <w:p>
      <w:r>
        <w:t>(1) Die Verjährung beginnt erneut, wenn</w:t>
      </w:r>
    </w:p>
    <w:p>
      <w:pPr>
        <w:tabs>
          <w:tab w:pos="567" w:val="left"/>
        </w:tabs>
        <w:ind w:left="567" w:hanging="567"/>
      </w:pPr>
      <w:r>
        <w:t>1.</w:t>
      </w:r>
      <w:r>
        <w:tab/>
      </w:r>
      <w:r>
        <w:t>der Schuldner dem Gläubiger gegenüber den Anspruch durch Abschlagszahlung, Zinszahlung, Sicherheitsleistung oder in anderer Weise anerkennt oder</w:t>
      </w:r>
    </w:p>
    <w:p>
      <w:pPr>
        <w:tabs>
          <w:tab w:pos="567" w:val="left"/>
        </w:tabs>
        <w:ind w:left="567" w:hanging="567"/>
      </w:pPr>
      <w:r>
        <w:t>2.</w:t>
      </w:r>
      <w:r>
        <w:tab/>
      </w:r>
      <w:r>
        <w:t>eine gerichtliche oder behördliche Vollstreckungshandlung vorgenommen oder beantragt wird.</w:t>
      </w:r>
    </w:p>
    <w:p>
      <w:r>
        <w:t>(2) Der erneute Beginn der Verjährung infolge einer Vollstreckungshandlung gilt als nicht eingetreten, wenn die Vollstreckungshandlung auf Antrag des Gläubigers oder wegen Mangels der gesetzlichen Voraussetzungen aufgehoben wird.</w:t>
      </w:r>
    </w:p>
    <w:p>
      <w:r>
        <w:t>(3) Der erneute Beginn der Verjährung durch den Antrag auf Vornahme einer Vollstreckungshandlung gilt als nicht eingetreten, wenn dem Antrag nicht stattgegeben oder der Antrag vor der Vollstreckungshandlung zurückgenommen oder die erwirkte Vollstreckungshandlung nach Absatz 2 aufgehoben wird.</w:t>
      </w:r>
    </w:p>
    <w:p>
      <w:pPr>
        <w:pStyle w:val="Heading4"/>
      </w:pPr>
      <w:bookmarkStart w:id="255" w:name="b253"/>
      <w:r>
        <w:t>§ 213 Hemmung, Ablaufhemmung und erneuter Beginn der Verjährung bei anderen Ansprüchen</w:t>
      </w:r>
      <w:r>
        <w:t xml:space="preserve"> </w:t>
      </w:r>
      <w:r>
        <w:rPr>
          <w:rStyle w:val="Suchmarke"/>
        </w:rPr>
        <w:t>#213#</w:t>
      </w:r>
      <w:bookmarkEnd w:id="255"/>
    </w:p>
    <w:p>
      <w:r>
        <w:t>Die Hemmung, die Ablaufhemmung und der erneute Beginn der Verjährung gelten auch für Ansprüche, die aus demselben Grunde wahlweise neben dem Anspruch oder an seiner Stelle gegeben sind.</w:t>
      </w:r>
    </w:p>
    <w:p>
      <w:pPr>
        <w:pStyle w:val="Heading3"/>
      </w:pPr>
      <w:bookmarkStart w:id="256" w:name="b254"/>
      <w:r>
        <w:t>Titel 3 Rechtsfolgen der Verjährung</w:t>
      </w:r>
      <w:bookmarkEnd w:id="256"/>
    </w:p>
    <w:p>
      <w:pPr>
        <w:pStyle w:val="Heading4"/>
      </w:pPr>
      <w:bookmarkStart w:id="257" w:name="b255"/>
      <w:r>
        <w:t>§ 214 Wirkung der Verjährung</w:t>
      </w:r>
      <w:r>
        <w:t xml:space="preserve"> </w:t>
      </w:r>
      <w:r>
        <w:rPr>
          <w:rStyle w:val="Suchmarke"/>
        </w:rPr>
        <w:t>#214#</w:t>
      </w:r>
      <w:bookmarkEnd w:id="257"/>
    </w:p>
    <w:p>
      <w:r>
        <w:t>(1) Nach Eintritt der Verjährung ist der Schuldner berechtigt, die Leistung zu verweigern.</w:t>
      </w:r>
    </w:p>
    <w:p>
      <w:r>
        <w:t xml:space="preserve">(2) </w:t>
      </w:r>
      <w:r>
        <w:rPr>
          <w:rStyle w:val="Satznummer"/>
        </w:rPr>
        <w:t>1</w:t>
      </w:r>
      <w:r>
        <w:t xml:space="preserve">Das zur Befriedigung eines verjährten Anspruchs Geleistete kann nicht zurückgefordert werden, auch wenn in Unkenntnis der Verjährung geleistet worden ist. </w:t>
      </w:r>
      <w:r>
        <w:rPr>
          <w:rStyle w:val="Satznummer"/>
        </w:rPr>
        <w:t>2</w:t>
      </w:r>
      <w:r>
        <w:t>Das Gleiche gilt von einem vertragsmäßigen Anerkenntnis sowie einer Sicherheitsleistung des Schuldners.</w:t>
      </w:r>
    </w:p>
    <w:p>
      <w:pPr>
        <w:pStyle w:val="Heading4"/>
      </w:pPr>
      <w:bookmarkStart w:id="258" w:name="b256"/>
      <w:r>
        <w:t>§ 215 Aufrechnung und Zurückbehaltungsrecht nach Eintritt der Verjährung</w:t>
      </w:r>
      <w:r>
        <w:t xml:space="preserve"> </w:t>
      </w:r>
      <w:r>
        <w:rPr>
          <w:rStyle w:val="Suchmarke"/>
        </w:rPr>
        <w:t>#215#</w:t>
      </w:r>
      <w:bookmarkEnd w:id="258"/>
    </w:p>
    <w:p>
      <w:r>
        <w:t>Die Verjährung schließt die Aufrechnung und die Geltendmachung eines Zurückbehaltungsrechts nicht aus, wenn der Anspruch in dem Zeitpunkt noch nicht verjährt war, in dem erstmals aufgerechnet oder die Leistung verweigert werden konnte.</w:t>
      </w:r>
    </w:p>
    <w:p>
      <w:pPr>
        <w:pStyle w:val="Heading4"/>
      </w:pPr>
      <w:bookmarkStart w:id="259" w:name="b257"/>
      <w:r>
        <w:t>§ 216 Wirkung der Verjährung bei gesicherten Ansprüchen</w:t>
      </w:r>
      <w:r>
        <w:t xml:space="preserve"> </w:t>
      </w:r>
      <w:r>
        <w:rPr>
          <w:rStyle w:val="Suchmarke"/>
        </w:rPr>
        <w:t>#216#</w:t>
      </w:r>
      <w:bookmarkEnd w:id="259"/>
    </w:p>
    <w:p>
      <w:r>
        <w:t>(1) Die Verjährung eines Anspruchs, für den eine Hypothek, eine Schiffshypothek oder ein Pfandrecht besteht, hindert den Gläubiger nicht, seine Befriedigung aus dem belasteten Gegenstand zu suchen.</w:t>
      </w:r>
    </w:p>
    <w:p>
      <w:r>
        <w:t xml:space="preserve">(2) </w:t>
      </w:r>
      <w:r>
        <w:rPr>
          <w:rStyle w:val="Satznummer"/>
        </w:rPr>
        <w:t>1</w:t>
      </w:r>
      <w:r>
        <w:t xml:space="preserve">Ist zur Sicherung eines Anspruchs ein Recht verschafft worden, so kann die Rückübertragung nicht auf Grund der Verjährung des Anspruchs gefordert werden. </w:t>
      </w:r>
      <w:r>
        <w:rPr>
          <w:rStyle w:val="Satznummer"/>
        </w:rPr>
        <w:t>2</w:t>
      </w:r>
      <w:r>
        <w:t>Ist das Eigentum vorbehalten, so kann der Rücktritt vom Vertrag auch erfolgen, wenn der gesicherte Anspruch verjährt ist.</w:t>
      </w:r>
    </w:p>
    <w:p>
      <w:r>
        <w:t>(3) Die Absätze 1 und 2 finden keine Anwendung auf die Verjährung von Ansprüchen auf Zinsen und andere wiederkehrende Leistungen.</w:t>
      </w:r>
    </w:p>
    <w:p>
      <w:pPr>
        <w:pStyle w:val="Heading4"/>
      </w:pPr>
      <w:bookmarkStart w:id="260" w:name="b258"/>
      <w:r>
        <w:t>§ 217 Verjährung von Nebenleistungen</w:t>
      </w:r>
      <w:r>
        <w:t xml:space="preserve"> </w:t>
      </w:r>
      <w:r>
        <w:rPr>
          <w:rStyle w:val="Suchmarke"/>
        </w:rPr>
        <w:t>#217#</w:t>
      </w:r>
      <w:bookmarkEnd w:id="260"/>
    </w:p>
    <w:p>
      <w:r>
        <w:t>Mit dem Hauptanspruch verjährt der Anspruch auf die von ihm abhängenden Nebenleistungen, auch wenn die für diesen Anspruch geltende besondere Verjährung noch nicht eingetreten ist.</w:t>
      </w:r>
    </w:p>
    <w:p>
      <w:pPr>
        <w:pStyle w:val="Heading4"/>
      </w:pPr>
      <w:bookmarkStart w:id="261" w:name="b259"/>
      <w:r>
        <w:t>§ 218 Unwirksamkeit des Rücktritts</w:t>
      </w:r>
      <w:r>
        <w:t xml:space="preserve"> </w:t>
      </w:r>
      <w:r>
        <w:rPr>
          <w:rStyle w:val="Suchmarke"/>
        </w:rPr>
        <w:t>#218#</w:t>
      </w:r>
      <w:bookmarkEnd w:id="261"/>
    </w:p>
    <w:p>
      <w:r>
        <w:t xml:space="preserve">(1) </w:t>
      </w:r>
      <w:r>
        <w:rPr>
          <w:rStyle w:val="Satznummer"/>
        </w:rPr>
        <w:t>1</w:t>
      </w:r>
      <w:r>
        <w:t xml:space="preserve">Der Rücktritt wegen nicht oder nicht vertragsgemäß erbrachter Leistung ist unwirksam, wenn der Anspruch auf die Leistung oder der Nacherfüllungsanspruch verjährt ist und der Schuldner sich hierauf beruft. </w:t>
      </w:r>
      <w:r>
        <w:rPr>
          <w:rStyle w:val="Satznummer"/>
        </w:rPr>
        <w:t>2</w:t>
      </w:r>
      <w:r>
        <w:t xml:space="preserve">Dies gilt auch, wenn der Schuldner nach </w:t>
      </w:r>
      <w:hyperlink w:anchor="b319" w:history="1">
        <w:r>
          <w:rPr>
            <w:color w:val="0A3A8C"/>
            <w:u w:val="single"/>
          </w:rPr>
          <w:t xml:space="preserve">§ 275</w:t>
        </w:r>
      </w:hyperlink>
      <w:r>
        <w:t xml:space="preserve"> Absatz 1 bis 3, </w:t>
      </w:r>
      <w:hyperlink w:anchor="b567" w:history="1">
        <w:r>
          <w:rPr>
            <w:color w:val="0A3A8C"/>
            <w:u w:val="single"/>
          </w:rPr>
          <w:t xml:space="preserve">§ 439</w:t>
        </w:r>
      </w:hyperlink>
      <w:r>
        <w:t xml:space="preserve"> Absatz 4 oder </w:t>
      </w:r>
      <w:hyperlink w:anchor="b934" w:history="1">
        <w:r>
          <w:rPr>
            <w:color w:val="0A3A8C"/>
            <w:u w:val="single"/>
          </w:rPr>
          <w:t xml:space="preserve">§ 635</w:t>
        </w:r>
      </w:hyperlink>
      <w:r>
        <w:t xml:space="preserve"> Absatz 3 nicht zu leisten braucht und der Anspruch auf die Leistung oder der Nacherfüllungsanspruch verjährt wäre. </w:t>
      </w:r>
      <w:r>
        <w:rPr>
          <w:rStyle w:val="Satznummer"/>
        </w:rPr>
        <w:t>3</w:t>
      </w:r>
      <w:hyperlink w:anchor="b257" w:history="1">
        <w:r>
          <w:rPr>
            <w:color w:val="0A3A8C"/>
            <w:u w:val="single"/>
          </w:rPr>
          <w:t xml:space="preserve">§ 216</w:t>
        </w:r>
      </w:hyperlink>
      <w:r>
        <w:t xml:space="preserve"> Abs. 2 Satz 2 bleibt unberührt.</w:t>
      </w:r>
    </w:p>
    <w:p>
      <w:r>
        <w:t xml:space="preserve">(2) </w:t>
      </w:r>
      <w:hyperlink w:anchor="b255" w:history="1">
        <w:r>
          <w:rPr>
            <w:color w:val="0A3A8C"/>
            <w:u w:val="single"/>
          </w:rPr>
          <w:t xml:space="preserve">§ 214</w:t>
        </w:r>
      </w:hyperlink>
      <w:r>
        <w:t xml:space="preserve"> Abs. 2 findet entsprechende Anwendung.</w:t>
      </w:r>
    </w:p>
    <w:p>
      <w:pPr>
        <w:pStyle w:val="Heading4"/>
      </w:pPr>
      <w:bookmarkStart w:id="262" w:name="b260"/>
      <w:r>
        <w:t>§§ 219 bis 225 (weggefallen)</w:t>
      </w:r>
      <w:bookmarkEnd w:id="262"/>
    </w:p>
    <w:p>
      <w:pPr>
        <w:pStyle w:val="Heading2"/>
      </w:pPr>
      <w:bookmarkStart w:id="263" w:name="b261"/>
      <w:r>
        <w:t>Abschnitt 6 Ausübung der Rechte, Selbstverteidigung, Selbsthilfe</w:t>
      </w:r>
      <w:bookmarkEnd w:id="263"/>
    </w:p>
    <w:p>
      <w:pPr>
        <w:pStyle w:val="Heading3"/>
      </w:pPr>
      <w:bookmarkStart w:id="264" w:name="b262"/>
      <w:r>
        <w:t>§ 226 Schikaneverbot</w:t>
      </w:r>
      <w:r>
        <w:t xml:space="preserve"> </w:t>
      </w:r>
      <w:r>
        <w:rPr>
          <w:rStyle w:val="Suchmarke"/>
        </w:rPr>
        <w:t>#226#</w:t>
      </w:r>
      <w:bookmarkEnd w:id="264"/>
    </w:p>
    <w:p>
      <w:r>
        <w:t>Die Ausübung eines Rechts ist unzulässig, wenn sie nur den Zweck haben kann, einem anderen Schaden zuzufügen.</w:t>
      </w:r>
    </w:p>
    <w:p>
      <w:pPr>
        <w:pStyle w:val="Heading3"/>
      </w:pPr>
      <w:bookmarkStart w:id="265" w:name="b263"/>
      <w:r>
        <w:t>§ 227 Notwehr</w:t>
      </w:r>
      <w:r>
        <w:t xml:space="preserve"> </w:t>
      </w:r>
      <w:r>
        <w:rPr>
          <w:rStyle w:val="Suchmarke"/>
        </w:rPr>
        <w:t>#227#</w:t>
      </w:r>
      <w:bookmarkEnd w:id="265"/>
    </w:p>
    <w:p>
      <w:r>
        <w:t>(1) Eine durch Notwehr gebotene Handlung ist nicht widerrechtlich.</w:t>
      </w:r>
    </w:p>
    <w:p>
      <w:r>
        <w:t>(2) Notwehr ist diejenige Verteidigung, welche erforderlich ist, um einen gegenwärtigen rechtswidrigen Angriff von sich oder einem anderen abzuwenden.</w:t>
      </w:r>
    </w:p>
    <w:p>
      <w:pPr>
        <w:pStyle w:val="Heading3"/>
      </w:pPr>
      <w:bookmarkStart w:id="266" w:name="b264"/>
      <w:r>
        <w:t>§ 228 Notstand</w:t>
      </w:r>
      <w:r>
        <w:t xml:space="preserve"> </w:t>
      </w:r>
      <w:r>
        <w:rPr>
          <w:rStyle w:val="Suchmarke"/>
        </w:rPr>
        <w:t>#228#</w:t>
      </w:r>
      <w:bookmarkEnd w:id="266"/>
    </w:p>
    <w:p>
      <w:r>
        <w:rPr>
          <w:rStyle w:val="Satznummer"/>
        </w:rPr>
        <w:t>1</w:t>
      </w:r>
      <w:r>
        <w:t xml:space="preserve">Wer eine fremde Sache beschädigt oder zerstört, um eine durch sie drohende Gefahr von sich oder einem anderen abzuwenden, handelt nicht widerrechtlich, wenn die Beschädigung oder die Zerstörung zur Abwendung der Gefahr erforderlich ist und der Schaden nicht außer Verhältnis zu der Gefahr steht. </w:t>
      </w:r>
      <w:r>
        <w:rPr>
          <w:rStyle w:val="Satznummer"/>
        </w:rPr>
        <w:t>2</w:t>
      </w:r>
      <w:r>
        <w:t>Hat der Handelnde die Gefahr verschuldet, so ist er zum Schadensersatz verpflichtet.</w:t>
      </w:r>
    </w:p>
    <w:p>
      <w:pPr>
        <w:pStyle w:val="Heading3"/>
      </w:pPr>
      <w:bookmarkStart w:id="267" w:name="b265"/>
      <w:r>
        <w:t>§ 229 Selbsthilfe</w:t>
      </w:r>
      <w:r>
        <w:t xml:space="preserve"> </w:t>
      </w:r>
      <w:r>
        <w:rPr>
          <w:rStyle w:val="Suchmarke"/>
        </w:rPr>
        <w:t>#229#</w:t>
      </w:r>
      <w:bookmarkEnd w:id="267"/>
    </w:p>
    <w:p>
      <w:r>
        <w:t>Wer zum Zwecke der Selbsthilfe eine Sache wegnimmt, zerstört oder beschädigt oder wer zum Zwecke der Selbsthilfe einen Verpflichteten, welcher der Flucht verdächtig ist, festnimmt oder den Widerstand des Verpflichteten gegen eine Handlung, die dieser zu dulden verpflichtet ist, beseitigt, handelt nicht widerrechtlich, wenn obrigkeitliche Hilfe nicht rechtzeitig zu erlangen ist und ohne sofortiges Eingreifen die Gefahr besteht, dass die Verwirklichung des Anspruchs vereitelt oder wesentlich erschwert werde.</w:t>
      </w:r>
    </w:p>
    <w:p>
      <w:pPr>
        <w:pStyle w:val="Heading3"/>
      </w:pPr>
      <w:bookmarkStart w:id="268" w:name="b266"/>
      <w:r>
        <w:t>§ 230 Grenzen der Selbsthilfe</w:t>
      </w:r>
      <w:r>
        <w:t xml:space="preserve"> </w:t>
      </w:r>
      <w:r>
        <w:rPr>
          <w:rStyle w:val="Suchmarke"/>
        </w:rPr>
        <w:t>#230#</w:t>
      </w:r>
      <w:bookmarkEnd w:id="268"/>
    </w:p>
    <w:p>
      <w:r>
        <w:t>(1) Die Selbsthilfe darf nicht weiter gehen, als zur Abwendung der Gefahr erforderlich ist.</w:t>
      </w:r>
    </w:p>
    <w:p>
      <w:r>
        <w:t>(2) Im Falle der Wegnahme von Sachen ist, sofern nicht Zwangsvollstreckung erwirkt wird, der dingliche Arrest zu beantragen.</w:t>
      </w:r>
    </w:p>
    <w:p>
      <w:r>
        <w:t>(3) Im Falle der Festnahme des Verpflichteten ist, sofern er nicht wieder in Freiheit gesetzt wird, der persönliche Sicherheitsarrest bei dem Amtsgericht zu beantragen, in dessen Bezirk die Festnahme erfolgt ist; der Verpflichtete ist unverzüglich dem Gericht vorzuführen.</w:t>
      </w:r>
    </w:p>
    <w:p>
      <w:r>
        <w:t>(4) Wird der Arrestantrag verzögert oder abgelehnt, so hat die Rückgabe der weggenommenen Sachen und die Freilassung des Festgenommenen unverzüglich zu erfolgen.</w:t>
      </w:r>
    </w:p>
    <w:p>
      <w:pPr>
        <w:pStyle w:val="Heading3"/>
      </w:pPr>
      <w:bookmarkStart w:id="269" w:name="b267"/>
      <w:r>
        <w:t>§ 231 Irrtümliche Selbsthilfe</w:t>
      </w:r>
      <w:r>
        <w:t xml:space="preserve"> </w:t>
      </w:r>
      <w:r>
        <w:rPr>
          <w:rStyle w:val="Suchmarke"/>
        </w:rPr>
        <w:t>#231#</w:t>
      </w:r>
      <w:bookmarkEnd w:id="269"/>
    </w:p>
    <w:p>
      <w:r>
        <w:t xml:space="preserve">Wer eine der in </w:t>
      </w:r>
      <w:hyperlink w:anchor="b265" w:history="1">
        <w:r>
          <w:rPr>
            <w:color w:val="0A3A8C"/>
            <w:u w:val="single"/>
          </w:rPr>
          <w:t xml:space="preserve">§ 229</w:t>
        </w:r>
      </w:hyperlink>
      <w:r>
        <w:t xml:space="preserve"> bezeichneten Handlungen in der irrigen Annahme vornimmt, dass die für den Ausschluss der Widerrechtlichkeit erforderlichen Voraussetzungen vorhanden seien, ist dem anderen Teil zum Schadensersatz verpflichtet, auch wenn der Irrtum nicht auf Fahrlässigkeit beruht.</w:t>
      </w:r>
    </w:p>
    <w:p>
      <w:pPr>
        <w:pStyle w:val="Heading2"/>
      </w:pPr>
      <w:bookmarkStart w:id="270" w:name="b268"/>
      <w:r>
        <w:t>Abschnitt 7 Sicherheitsleistung</w:t>
      </w:r>
      <w:bookmarkEnd w:id="270"/>
    </w:p>
    <w:p>
      <w:pPr>
        <w:pStyle w:val="Heading3"/>
      </w:pPr>
      <w:bookmarkStart w:id="271" w:name="b269"/>
      <w:r>
        <w:t>§ 232 Arten</w:t>
      </w:r>
      <w:r>
        <w:t xml:space="preserve"> </w:t>
      </w:r>
      <w:r>
        <w:rPr>
          <w:rStyle w:val="Suchmarke"/>
        </w:rPr>
        <w:t>#232#</w:t>
      </w:r>
      <w:bookmarkEnd w:id="271"/>
    </w:p>
    <w:p>
      <w:r>
        <w:t>(1) Wer Sicherheit zu leisten hat, kann dies bewirken</w:t>
      </w:r>
      <w:r>
        <w:br/>
      </w:r>
      <w:r>
        <w:t>durch Hinterlegung von Geld oder Wertpapieren,</w:t>
      </w:r>
      <w:r>
        <w:br/>
      </w:r>
      <w:r>
        <w:t>durch Verpfändung von Forderungen, die in das Bundesschuldbuch oder in das Landesschuldbuch eines Landes eingetragen sind,</w:t>
      </w:r>
      <w:r>
        <w:br/>
      </w:r>
      <w:r>
        <w:t>durch Verpfändung beweglicher Sachen,</w:t>
      </w:r>
      <w:r>
        <w:br/>
      </w:r>
      <w:r>
        <w:t>durch Bestellung von Schiffshypotheken an Schiffen oder Schiffsbauwerken, die in einem deutschen Schiffsregister oder Schiffsbauregister eingetragen sind,</w:t>
      </w:r>
      <w:r>
        <w:br/>
      </w:r>
      <w:r>
        <w:t>durch Bestellung von Hypotheken an inländischen Grundstücken,</w:t>
      </w:r>
      <w:r>
        <w:br/>
      </w:r>
      <w:r>
        <w:t>durch Verpfändung von Forderungen, für die eine Hypothek an einem inländischen Grundstück besteht, oder durch Verpfändung von Grundschulden oder Rentenschulden an inländischen Grundstücken.</w:t>
      </w:r>
    </w:p>
    <w:p>
      <w:r>
        <w:t>(2) Kann die Sicherheit nicht in dieser Weise geleistet werden, so ist die Stellung eines tauglichen Bürgen zulässig.</w:t>
      </w:r>
    </w:p>
    <w:p>
      <w:pPr>
        <w:pStyle w:val="Heading3"/>
      </w:pPr>
      <w:bookmarkStart w:id="272" w:name="b270"/>
      <w:r>
        <w:t>§ 233 Wirkung der Hinterlegung</w:t>
      </w:r>
      <w:r>
        <w:t xml:space="preserve"> </w:t>
      </w:r>
      <w:r>
        <w:rPr>
          <w:rStyle w:val="Suchmarke"/>
        </w:rPr>
        <w:t>#233#</w:t>
      </w:r>
      <w:bookmarkEnd w:id="272"/>
    </w:p>
    <w:p>
      <w:r>
        <w:t>Mit der Hinterlegung erwirbt der Berechtigte ein Pfandrecht an dem hinterlegten Geld oder an den hinterlegten Wertpapieren und, wenn das Geld oder die Wertpapiere in das Eigentum des Fiskus oder der als Hinterlegungsstelle bestimmten Anstalt übergehen, ein Pfandrecht an der Forderung auf Rückerstattung.</w:t>
      </w:r>
    </w:p>
    <w:p>
      <w:pPr>
        <w:pStyle w:val="Heading3"/>
      </w:pPr>
      <w:bookmarkStart w:id="273" w:name="b271"/>
      <w:r>
        <w:t>§ 234 Geeignete Wertpapiere</w:t>
      </w:r>
      <w:r>
        <w:t xml:space="preserve"> </w:t>
      </w:r>
      <w:r>
        <w:rPr>
          <w:rStyle w:val="Suchmarke"/>
        </w:rPr>
        <w:t>#234#</w:t>
      </w:r>
      <w:bookmarkEnd w:id="273"/>
    </w:p>
    <w:p>
      <w:r>
        <w:t xml:space="preserve">(1) Zur Sicherheitsleistung geeignete Wertpapiere sind Inhaberpapiere und Orderpapiere, die mit Blankoindossament versehen sind, wenn sie einen Kurswert haben und zu einer in der Rechtsverordnung nach </w:t>
      </w:r>
      <w:hyperlink w:anchor="b278" w:history="1">
        <w:r>
          <w:rPr>
            <w:color w:val="0A3A8C"/>
            <w:u w:val="single"/>
          </w:rPr>
          <w:t xml:space="preserve">§ 240a</w:t>
        </w:r>
      </w:hyperlink>
      <w:r>
        <w:t xml:space="preserve"> aufgeführten Gattung gehören.</w:t>
      </w:r>
    </w:p>
    <w:p>
      <w:r>
        <w:t>(2) Mit den Wertpapieren sind die Zins-, Renten-, Gewinnanteil- und Erneuerungsscheine zu hinterlegen.</w:t>
      </w:r>
    </w:p>
    <w:p>
      <w:r>
        <w:t>(3) Mit Wertpapieren kann Sicherheit nur in Höhe von drei Vierteln des Kurswerts geleistet werden.</w:t>
      </w:r>
    </w:p>
    <w:p>
      <w:pPr>
        <w:pStyle w:val="Heading3"/>
      </w:pPr>
      <w:bookmarkStart w:id="274" w:name="b272"/>
      <w:r>
        <w:t>§ 235 Umtauschrecht</w:t>
      </w:r>
      <w:r>
        <w:t xml:space="preserve"> </w:t>
      </w:r>
      <w:r>
        <w:rPr>
          <w:rStyle w:val="Suchmarke"/>
        </w:rPr>
        <w:t>#235#</w:t>
      </w:r>
      <w:bookmarkEnd w:id="274"/>
    </w:p>
    <w:p>
      <w:r>
        <w:t>Wer durch Hinterlegung von Geld oder von Wertpapieren Sicherheit geleistet hat, ist berechtigt, das hinterlegte Geld gegen geeignete Wertpapiere, die hinterlegten Wertpapiere gegen andere geeignete Wertpapiere oder gegen Geld umzutauschen.</w:t>
      </w:r>
    </w:p>
    <w:p>
      <w:pPr>
        <w:pStyle w:val="Heading3"/>
      </w:pPr>
      <w:bookmarkStart w:id="275" w:name="b273"/>
      <w:r>
        <w:t>§ 236 Buchforderungen</w:t>
      </w:r>
      <w:r>
        <w:t xml:space="preserve"> </w:t>
      </w:r>
      <w:r>
        <w:rPr>
          <w:rStyle w:val="Suchmarke"/>
        </w:rPr>
        <w:t>#236#</w:t>
      </w:r>
      <w:bookmarkEnd w:id="275"/>
    </w:p>
    <w:p>
      <w:r>
        <w:t>Mit einer Schuldbuchforderung gegen den Bund oder gegen ein Land kann Sicherheit nur in Höhe von drei Vierteln des Kurswerts der Wertpapiere geleistet werden, deren Aushändigung der Gläubiger gegen Löschung seiner Forderung verlangen kann.</w:t>
      </w:r>
    </w:p>
    <w:p>
      <w:pPr>
        <w:pStyle w:val="Heading3"/>
      </w:pPr>
      <w:bookmarkStart w:id="276" w:name="b274"/>
      <w:r>
        <w:t>§ 237 Bewegliche Sachen</w:t>
      </w:r>
      <w:r>
        <w:t xml:space="preserve"> </w:t>
      </w:r>
      <w:r>
        <w:rPr>
          <w:rStyle w:val="Suchmarke"/>
        </w:rPr>
        <w:t>#237#</w:t>
      </w:r>
      <w:bookmarkEnd w:id="276"/>
    </w:p>
    <w:p>
      <w:r>
        <w:rPr>
          <w:rStyle w:val="Satznummer"/>
        </w:rPr>
        <w:t>1</w:t>
      </w:r>
      <w:r>
        <w:t xml:space="preserve">Mit einer beweglichen Sache kann Sicherheit nur in Höhe von zwei Dritteln des Schätzungswerts geleistet werden. </w:t>
      </w:r>
      <w:r>
        <w:rPr>
          <w:rStyle w:val="Satznummer"/>
        </w:rPr>
        <w:t>2</w:t>
      </w:r>
      <w:r>
        <w:t>Sachen, deren Verderb zu besorgen oder deren Aufbewahrung mit besonderen Schwierigkeiten verbunden ist, können zurückgewiesen werden.</w:t>
      </w:r>
    </w:p>
    <w:p>
      <w:pPr>
        <w:pStyle w:val="Heading3"/>
      </w:pPr>
      <w:bookmarkStart w:id="277" w:name="b275"/>
      <w:r>
        <w:t>§ 238 Hypotheken, Grund- und Rentenschulden</w:t>
      </w:r>
      <w:r>
        <w:t xml:space="preserve"> </w:t>
      </w:r>
      <w:r>
        <w:rPr>
          <w:rStyle w:val="Suchmarke"/>
        </w:rPr>
        <w:t>#238#</w:t>
      </w:r>
      <w:bookmarkEnd w:id="277"/>
    </w:p>
    <w:p>
      <w:r>
        <w:t xml:space="preserve">(1) Eine Hypothekenforderung, eine Grundschuld oder eine Rentenschuld ist zur Sicherheitsleistung nur geeignet, wenn sie den in der Rechtsverordnung nach </w:t>
      </w:r>
      <w:hyperlink w:anchor="b278" w:history="1">
        <w:r>
          <w:rPr>
            <w:color w:val="0A3A8C"/>
            <w:u w:val="single"/>
          </w:rPr>
          <w:t xml:space="preserve">§ 240a</w:t>
        </w:r>
      </w:hyperlink>
      <w:r>
        <w:t xml:space="preserve"> festgelegten Voraussetzungen entspricht.</w:t>
      </w:r>
    </w:p>
    <w:p>
      <w:r>
        <w:t>(2) Eine Forderung, für die eine Sicherungshypothek besteht, ist zur Sicherheitsleistung nicht geeignet.</w:t>
      </w:r>
    </w:p>
    <w:p>
      <w:pPr>
        <w:pStyle w:val="Heading3"/>
      </w:pPr>
      <w:bookmarkStart w:id="278" w:name="b276"/>
      <w:r>
        <w:t>§ 239 Bürge</w:t>
      </w:r>
      <w:r>
        <w:t xml:space="preserve"> </w:t>
      </w:r>
      <w:r>
        <w:rPr>
          <w:rStyle w:val="Suchmarke"/>
        </w:rPr>
        <w:t>#239#</w:t>
      </w:r>
      <w:bookmarkEnd w:id="278"/>
    </w:p>
    <w:p>
      <w:r>
        <w:t>(1) Ein Bürge ist tauglich, wenn er ein der Höhe der zu leistenden Sicherheit angemessenes Vermögen besitzt und seinen allgemeinen Gerichtsstand im Inland hat.</w:t>
      </w:r>
    </w:p>
    <w:p>
      <w:r>
        <w:t>(2) Die Bürgschaftserklärung muss den Verzicht auf die Einrede der Vorausklage enthalten.</w:t>
      </w:r>
    </w:p>
    <w:p>
      <w:pPr>
        <w:pStyle w:val="Heading3"/>
      </w:pPr>
      <w:bookmarkStart w:id="279" w:name="b277"/>
      <w:r>
        <w:t>§ 240 Ergänzungspflicht</w:t>
      </w:r>
      <w:r>
        <w:t xml:space="preserve"> </w:t>
      </w:r>
      <w:r>
        <w:rPr>
          <w:rStyle w:val="Suchmarke"/>
        </w:rPr>
        <w:t>#240#</w:t>
      </w:r>
      <w:bookmarkEnd w:id="279"/>
    </w:p>
    <w:p>
      <w:r>
        <w:t>Wird die geleistete Sicherheit ohne Verschulden des Berechtigten unzureichend, so ist sie zu ergänzen oder anderweitige Sicherheit zu leisten.</w:t>
      </w:r>
    </w:p>
    <w:p>
      <w:pPr>
        <w:pStyle w:val="Heading3"/>
      </w:pPr>
      <w:bookmarkStart w:id="280" w:name="b278"/>
      <w:r>
        <w:t>§ 240a Verordnungsermächtigung</w:t>
      </w:r>
      <w:r>
        <w:t xml:space="preserve"> </w:t>
      </w:r>
      <w:r>
        <w:rPr>
          <w:rStyle w:val="Suchmarke"/>
        </w:rPr>
        <w:t>#240a#</w:t>
      </w:r>
      <w:bookmarkEnd w:id="280"/>
    </w:p>
    <w:p>
      <w:r>
        <w:t>(1) Das Bundesministerium der Justiz wird ermächtigt, durch Rechtsverordnung, die nicht der Zustimmung des Bundesrates bedarf, Folgendes festzulegen:</w:t>
      </w:r>
    </w:p>
    <w:p>
      <w:pPr>
        <w:tabs>
          <w:tab w:pos="567" w:val="left"/>
        </w:tabs>
        <w:ind w:left="567" w:hanging="567"/>
      </w:pPr>
      <w:r>
        <w:t>1.</w:t>
      </w:r>
      <w:r>
        <w:tab/>
      </w:r>
      <w:r>
        <w:t xml:space="preserve">Gattungen von Inhaberpapieren und Orderpapieren nach </w:t>
      </w:r>
      <w:hyperlink w:anchor="b271" w:history="1">
        <w:r>
          <w:rPr>
            <w:color w:val="0A3A8C"/>
            <w:u w:val="single"/>
          </w:rPr>
          <w:t xml:space="preserve">§ 234</w:t>
        </w:r>
      </w:hyperlink>
      <w:r>
        <w:t xml:space="preserve"> Absatz 1, die zur Sicherheitsleistung geeignet sind und die Voraussetzungen, unter denen Hypothekenforderungen, Grundschulden und Rentenschulden zur Sicherheitsleistung geeignet sind, sowie</w:t>
      </w:r>
    </w:p>
    <w:p>
      <w:pPr>
        <w:tabs>
          <w:tab w:pos="567" w:val="left"/>
        </w:tabs>
        <w:ind w:left="567" w:hanging="567"/>
      </w:pPr>
      <w:r>
        <w:t>2.</w:t>
      </w:r>
      <w:r>
        <w:tab/>
      </w:r>
      <w:r>
        <w:t xml:space="preserve">die Voraussetzungen für Anlagen nach den </w:t>
      </w:r>
      <w:hyperlink w:anchor="b1557" w:history="1">
        <w:r>
          <w:rPr>
            <w:color w:val="0A3A8C"/>
            <w:u w:val="single"/>
          </w:rPr>
          <w:t xml:space="preserve">§§ 1079</w:t>
        </w:r>
      </w:hyperlink>
      <w:r>
        <w:t xml:space="preserve">, </w:t>
      </w:r>
      <w:hyperlink w:anchor="b1768" w:history="1">
        <w:r>
          <w:rPr>
            <w:color w:val="0A3A8C"/>
            <w:u w:val="single"/>
          </w:rPr>
          <w:t xml:space="preserve">1288</w:t>
        </w:r>
      </w:hyperlink>
      <w:r>
        <w:t xml:space="preserve"> Absatz 1 und </w:t>
      </w:r>
      <w:hyperlink w:anchor="b2575" w:history="1">
        <w:r>
          <w:rPr>
            <w:color w:val="0A3A8C"/>
            <w:u w:val="single"/>
          </w:rPr>
          <w:t xml:space="preserve">§ 2119</w:t>
        </w:r>
      </w:hyperlink>
      <w:r>
        <w:t>.</w:t>
      </w:r>
    </w:p>
    <w:p>
      <w:r>
        <w:t>(2) Die Festlegungen nach Absatz 1 Nummer 1 müssen gewährleisten, dass der Gläubiger bei Unvermögen des Schuldners oder wenn der Schuldner aus anderen Gründen nicht zur Leistung bereit ist, die Schuld durch Verwertung der hinterlegten Wertpapiere, der Hypothekenforderung oder der Grund- und Rentenschulden begleichen kann.</w:t>
      </w:r>
    </w:p>
    <w:p>
      <w:pPr>
        <w:pStyle w:val="Heading1"/>
      </w:pPr>
      <w:bookmarkStart w:id="281" w:name="b279"/>
      <w:r>
        <w:t>Buch 2 Recht der Schuldverhältnisse</w:t>
      </w:r>
      <w:bookmarkEnd w:id="281"/>
    </w:p>
    <w:p>
      <w:pPr>
        <w:pStyle w:val="Heading2"/>
      </w:pPr>
      <w:bookmarkStart w:id="282" w:name="b280"/>
      <w:r>
        <w:t>Abschnitt 1 Inhalt der Schuldverhältnisse</w:t>
      </w:r>
      <w:bookmarkEnd w:id="282"/>
    </w:p>
    <w:p>
      <w:pPr>
        <w:pStyle w:val="Heading3"/>
      </w:pPr>
      <w:bookmarkStart w:id="283" w:name="b281"/>
      <w:r>
        <w:t>Titel 1 Verpflichtung zur Leistung</w:t>
      </w:r>
      <w:bookmarkEnd w:id="283"/>
    </w:p>
    <w:p>
      <w:pPr>
        <w:pStyle w:val="Heading4"/>
      </w:pPr>
      <w:bookmarkStart w:id="284" w:name="b282"/>
      <w:r>
        <w:t>§ 241 Pflichten aus dem Schuldverhältnis</w:t>
      </w:r>
      <w:r>
        <w:t xml:space="preserve"> </w:t>
      </w:r>
      <w:r>
        <w:rPr>
          <w:rStyle w:val="Suchmarke"/>
        </w:rPr>
        <w:t>#241#</w:t>
      </w:r>
      <w:bookmarkEnd w:id="284"/>
    </w:p>
    <w:p>
      <w:r>
        <w:t xml:space="preserve">(1) </w:t>
      </w:r>
      <w:r>
        <w:rPr>
          <w:rStyle w:val="Satznummer"/>
        </w:rPr>
        <w:t>1</w:t>
      </w:r>
      <w:r>
        <w:t xml:space="preserve">Kraft des Schuldverhältnisses ist der Gläubiger berechtigt, von dem Schuldner eine Leistung zu fordern. </w:t>
      </w:r>
      <w:r>
        <w:rPr>
          <w:rStyle w:val="Satznummer"/>
        </w:rPr>
        <w:t>2</w:t>
      </w:r>
      <w:r>
        <w:t>Die Leistung kann auch in einem Unterlassen bestehen.</w:t>
      </w:r>
    </w:p>
    <w:p>
      <w:r>
        <w:t>(2) Das Schuldverhältnis kann nach seinem Inhalt jeden Teil zur Rücksicht auf die Rechte, Rechtsgüter und Interessen des anderen Teils verpflichten.</w:t>
      </w:r>
    </w:p>
    <w:p>
      <w:pPr>
        <w:pStyle w:val="Heading4"/>
      </w:pPr>
      <w:bookmarkStart w:id="285" w:name="b283"/>
      <w:r>
        <w:t>§ 241a Unbestellte Leistungen</w:t>
      </w:r>
      <w:r>
        <w:t xml:space="preserve"> </w:t>
      </w:r>
      <w:r>
        <w:rPr>
          <w:rStyle w:val="Suchmarke"/>
        </w:rPr>
        <w:t>#241a#</w:t>
      </w:r>
      <w:bookmarkEnd w:id="285"/>
    </w:p>
    <w:p>
      <w:hyperlink w:anchor="f283_1" w:history="1">
        <w:r>
          <w:rPr>
            <w:rStyle w:val="Fussnotenmarke"/>
            <w:u w:val="single"/>
            <w:color w:val="0A3A8C"/>
          </w:rPr>
          <w:t>1</w:t>
        </w:r>
      </w:hyperlink>
    </w:p>
    <w:p>
      <w:r>
        <w:t>(1) Durch die Lieferung beweglicher Sachen, die nicht auf Grund von Zwangsvollstreckungsmaßnahmen oder anderen gerichtlichen Maßnahmen verkauft werden (Waren), oder durch die Erbringung sonstiger Leistungen durch einen Unternehmer an den Verbraucher wird ein Anspruch gegen den Verbraucher nicht begründet, wenn der Verbraucher die Waren oder sonstigen Leistungen nicht bestellt hat.</w:t>
      </w:r>
    </w:p>
    <w:p>
      <w:r>
        <w:t>(2) Gesetzliche Ansprüche sind nicht ausgeschlossen, wenn die Leistung nicht für den Empfänger bestimmt war oder in der irrigen Vorstellung einer Bestellung erfolgte und der Empfänger dies erkannt hat oder bei Anwendung der im Verkehr erforderlichen Sorgfalt hätte erkennen können.</w:t>
      </w:r>
    </w:p>
    <w:p>
      <w:r>
        <w:t xml:space="preserve">(3) </w:t>
      </w:r>
      <w:r>
        <w:rPr>
          <w:rStyle w:val="Satznummer"/>
        </w:rPr>
        <w:t>1</w:t>
      </w:r>
      <w:r>
        <w:t xml:space="preserve">Von den Regelungen dieser Vorschrift darf nicht zum Nachteil des Verbrauchers abgewichen werden. </w:t>
      </w:r>
      <w:r>
        <w:rPr>
          <w:rStyle w:val="Satznummer"/>
        </w:rPr>
        <w:t>2</w:t>
      </w:r>
      <w:r>
        <w:t>Die Regelungen finden auch Anwendung, wenn sie durch anderweitige Gestaltungen umgangen werden.</w:t>
      </w:r>
    </w:p>
    <w:p>
      <w:pPr>
        <w:pStyle w:val="Fußnote"/>
      </w:pPr>
      <w:bookmarkStart w:id="286" w:name="f283_1"/>
      <w:r>
        <w:rPr>
          <w:rStyle w:val="Zusatz"/>
          <w:b/>
        </w:rPr>
        <w:t xml:space="preserve">Fußnote 1: </w:t>
      </w:r>
      <w:r>
        <w:rPr>
          <w:b/>
        </w:rPr>
        <w:t>Amtlicher Hinweis:</w:t>
      </w:r>
      <w:r>
        <w:br/>
      </w:r>
      <w:r>
        <w:t>Diese Vorschrift dient der Umsetzung von Artikel 9 der Richtlinie 97/7/EG des Europäischen Parlaments und des Rates vom 20. Mai 1997 über den Verbraucherschutz bei Vertragsabschlüssen im Fernabsatz (ABl. EG Nr. L 144 S. 19).</w:t>
      </w:r>
      <w:bookmarkEnd w:id="286"/>
    </w:p>
    <w:p>
      <w:pPr>
        <w:pStyle w:val="Heading4"/>
      </w:pPr>
      <w:bookmarkStart w:id="287" w:name="b284"/>
      <w:r>
        <w:t>§ 242 Leistung nach Treu und Glauben</w:t>
      </w:r>
      <w:r>
        <w:t xml:space="preserve"> </w:t>
      </w:r>
      <w:r>
        <w:rPr>
          <w:rStyle w:val="Suchmarke"/>
        </w:rPr>
        <w:t>#242#</w:t>
      </w:r>
      <w:bookmarkEnd w:id="287"/>
    </w:p>
    <w:p>
      <w:r>
        <w:t>Der Schuldner ist verpflichtet, die Leistung so zu bewirken, wie Treu und Glauben mit Rücksicht auf die Verkehrssitte es erfordern.</w:t>
      </w:r>
    </w:p>
    <w:p>
      <w:pPr>
        <w:pStyle w:val="Heading4"/>
      </w:pPr>
      <w:bookmarkStart w:id="288" w:name="b285"/>
      <w:r>
        <w:t>§ 243 Gattungsschuld</w:t>
      </w:r>
      <w:r>
        <w:t xml:space="preserve"> </w:t>
      </w:r>
      <w:r>
        <w:rPr>
          <w:rStyle w:val="Suchmarke"/>
        </w:rPr>
        <w:t>#243#</w:t>
      </w:r>
      <w:bookmarkEnd w:id="288"/>
    </w:p>
    <w:p>
      <w:r>
        <w:t>(1) Wer eine nur der Gattung nach bestimmte Sache schuldet, hat eine Sache von mittlerer Art und Güte zu leisten.</w:t>
      </w:r>
    </w:p>
    <w:p>
      <w:r>
        <w:t>(2) Hat der Schuldner das zur Leistung einer solchen Sache seinerseits Erforderliche getan, so beschränkt sich das Schuldverhältnis auf diese Sache.</w:t>
      </w:r>
    </w:p>
    <w:p>
      <w:pPr>
        <w:pStyle w:val="Heading4"/>
      </w:pPr>
      <w:bookmarkStart w:id="289" w:name="b286"/>
      <w:r>
        <w:t>§ 244 Fremdwährungsschuld</w:t>
      </w:r>
      <w:r>
        <w:t xml:space="preserve"> </w:t>
      </w:r>
      <w:r>
        <w:rPr>
          <w:rStyle w:val="Suchmarke"/>
        </w:rPr>
        <w:t>#244#</w:t>
      </w:r>
      <w:bookmarkEnd w:id="289"/>
    </w:p>
    <w:p>
      <w:r>
        <w:t>(1) Ist eine in einer anderen Währung als Euro ausgedrückte Geldschuld im Inland zu zahlen, so kann die Zahlung in Euro erfolgen, es sei denn, dass Zahlung in der anderen Währung ausdrücklich vereinbart ist.</w:t>
      </w:r>
    </w:p>
    <w:p>
      <w:r>
        <w:t>(2) Die Umrechnung erfolgt nach dem Kurswert, der zur Zeit der Zahlung für den Zahlungsort maßgebend ist.</w:t>
      </w:r>
    </w:p>
    <w:p>
      <w:pPr>
        <w:pStyle w:val="Heading4"/>
      </w:pPr>
      <w:bookmarkStart w:id="290" w:name="b287"/>
      <w:r>
        <w:t>§ 245 Geldsortenschuld</w:t>
      </w:r>
      <w:r>
        <w:t xml:space="preserve"> </w:t>
      </w:r>
      <w:r>
        <w:rPr>
          <w:rStyle w:val="Suchmarke"/>
        </w:rPr>
        <w:t>#245#</w:t>
      </w:r>
      <w:bookmarkEnd w:id="290"/>
    </w:p>
    <w:p>
      <w:r>
        <w:t>Ist eine Geldschuld in einer bestimmten Münzsorte zu zahlen, die sich zur Zeit der Zahlung nicht mehr im Umlauf befindet, so ist die Zahlung so zu leisten, wie wenn die Münzsorte nicht bestimmt wäre.</w:t>
      </w:r>
    </w:p>
    <w:p>
      <w:pPr>
        <w:pStyle w:val="Heading4"/>
      </w:pPr>
      <w:bookmarkStart w:id="291" w:name="b288"/>
      <w:r>
        <w:t>§ 246 Gesetzlicher Zinssatz</w:t>
      </w:r>
      <w:r>
        <w:t xml:space="preserve"> </w:t>
      </w:r>
      <w:r>
        <w:rPr>
          <w:rStyle w:val="Suchmarke"/>
        </w:rPr>
        <w:t>#246#</w:t>
      </w:r>
      <w:bookmarkEnd w:id="291"/>
    </w:p>
    <w:p>
      <w:r>
        <w:t>Ist eine Schuld nach Gesetz oder Rechtsgeschäft zu verzinsen, so sind vier vom Hundert für das Jahr zu entrichten, sofern nicht ein anderes bestimmt ist.</w:t>
      </w:r>
    </w:p>
    <w:p>
      <w:pPr>
        <w:pStyle w:val="Heading4"/>
      </w:pPr>
      <w:bookmarkStart w:id="292" w:name="b289"/>
      <w:r>
        <w:t>§ 247 Basiszinssatz</w:t>
      </w:r>
      <w:r>
        <w:t xml:space="preserve"> </w:t>
      </w:r>
      <w:r>
        <w:rPr>
          <w:rStyle w:val="Suchmarke"/>
        </w:rPr>
        <w:t>#247#</w:t>
      </w:r>
      <w:bookmarkEnd w:id="292"/>
    </w:p>
    <w:p>
      <w:hyperlink w:anchor="f289_1" w:history="1">
        <w:r>
          <w:rPr>
            <w:rStyle w:val="Fussnotenmarke"/>
            <w:u w:val="single"/>
            <w:color w:val="0A3A8C"/>
          </w:rPr>
          <w:t>1</w:t>
        </w:r>
      </w:hyperlink>
    </w:p>
    <w:p>
      <w:r>
        <w:t xml:space="preserve">(1) </w:t>
      </w:r>
      <w:r>
        <w:rPr>
          <w:rStyle w:val="Satznummer"/>
        </w:rPr>
        <w:t>1</w:t>
      </w:r>
      <w:r>
        <w:t xml:space="preserve">Der Basiszinssatz beträgt </w:t>
      </w:r>
      <w:r>
        <w:rPr>
          <w:i/>
        </w:rPr>
        <w:t>3,62 Prozent</w:t>
      </w:r>
      <w:r>
        <w:t xml:space="preserve">. </w:t>
      </w:r>
      <w:r>
        <w:rPr>
          <w:rStyle w:val="Satznummer"/>
        </w:rPr>
        <w:t>2</w:t>
      </w:r>
      <w:r>
        <w:t xml:space="preserve">Er verändert sich zum 1. Januar und 1. Juli eines jeden Jahres um die Prozentpunkte, um welche die Bezugsgröße seit der letzten Veränderung des Basiszinssatzes gestiegen oder gefallen ist. </w:t>
      </w:r>
      <w:r>
        <w:rPr>
          <w:rStyle w:val="Satznummer"/>
        </w:rPr>
        <w:t>3</w:t>
      </w:r>
      <w:r>
        <w:t>Bezugsgröße ist der Zinssatz für die jüngste Hauptrefinanzierungsoperation der Europäischen Zentralbank vor dem ersten Kalendertag des betreffenden Halbjahrs.</w:t>
      </w:r>
    </w:p>
    <w:p>
      <w:r>
        <w:t>(2) Die Deutsche Bundesbank gibt den geltenden Basiszinssatz unverzüglich nach den in Absatz 1 Satz 2 genannten Zeitpunkten im Bundesanzeiger bekannt.</w:t>
      </w:r>
    </w:p>
    <w:p>
      <w:pPr>
        <w:pStyle w:val="Fußnote"/>
      </w:pPr>
      <w:bookmarkStart w:id="293" w:name="f289_1"/>
      <w:r>
        <w:rPr>
          <w:rStyle w:val="Zusatz"/>
          <w:b/>
        </w:rPr>
        <w:t xml:space="preserve">Fußnote 1: </w:t>
      </w:r>
      <w:r>
        <w:rPr>
          <w:b/>
        </w:rPr>
        <w:t>Amtlicher Hinweis:</w:t>
      </w:r>
      <w:r>
        <w:br/>
      </w:r>
      <w:r>
        <w:t>Diese Vorschrift dient der Umsetzung von Artikel 3 der Richtlinie 2000/35/EG des Europäischen Parlaments und des Rates vom 29. Juni 2000 zur Bekämpfung von Zahlungsverzug im Geschäftsverkehr (ABl. EG Nr. L 200 S. 35).</w:t>
      </w:r>
      <w:bookmarkEnd w:id="293"/>
    </w:p>
    <w:p>
      <w:pPr>
        <w:pStyle w:val="Heading4"/>
      </w:pPr>
      <w:bookmarkStart w:id="294" w:name="b290"/>
      <w:r>
        <w:t>§ 248 Zinseszinsen</w:t>
      </w:r>
      <w:r>
        <w:t xml:space="preserve"> </w:t>
      </w:r>
      <w:r>
        <w:rPr>
          <w:rStyle w:val="Suchmarke"/>
        </w:rPr>
        <w:t>#248#</w:t>
      </w:r>
      <w:bookmarkEnd w:id="294"/>
    </w:p>
    <w:p>
      <w:r>
        <w:t>(1) Eine im Voraus getroffene Vereinbarung, dass fällige Zinsen wieder Zinsen tragen sollen, ist nichtig.</w:t>
      </w:r>
    </w:p>
    <w:p>
      <w:r>
        <w:t xml:space="preserve">(2) </w:t>
      </w:r>
      <w:r>
        <w:rPr>
          <w:rStyle w:val="Satznummer"/>
        </w:rPr>
        <w:t>1</w:t>
      </w:r>
      <w:r>
        <w:t xml:space="preserve">Sparkassen, Kreditanstalten und Inhaber von Bankgeschäften können im Voraus vereinbaren, dass nicht erhobene Zinsen von Einlagen als neue verzinsliche Einlagen gelten sollen. </w:t>
      </w:r>
      <w:r>
        <w:rPr>
          <w:rStyle w:val="Satznummer"/>
        </w:rPr>
        <w:t>2</w:t>
      </w:r>
      <w:r>
        <w:t>Kreditanstalten, die berechtigt sind, für den Betrag der von ihnen gewährten Darlehen verzinsliche Schuldverschreibungen auf den Inhaber auszugeben, können sich bei solchen Darlehen die Verzinsung rückständiger Zinsen im Voraus versprechen lassen.</w:t>
      </w:r>
    </w:p>
    <w:p>
      <w:pPr>
        <w:pStyle w:val="Heading4"/>
      </w:pPr>
      <w:bookmarkStart w:id="295" w:name="b291"/>
      <w:r>
        <w:t>§ 249 Art und Umfang des Schadensersatzes</w:t>
      </w:r>
      <w:r>
        <w:t xml:space="preserve"> </w:t>
      </w:r>
      <w:r>
        <w:rPr>
          <w:rStyle w:val="Suchmarke"/>
        </w:rPr>
        <w:t>#249#</w:t>
      </w:r>
      <w:bookmarkEnd w:id="295"/>
    </w:p>
    <w:p>
      <w:r>
        <w:t>(1) Wer zum Schadensersatz verpflichtet ist, hat den Zustand herzustellen, der bestehen würde, wenn der zum Ersatz verpflichtende Umstand nicht eingetreten wäre.</w:t>
      </w:r>
    </w:p>
    <w:p>
      <w:r>
        <w:t xml:space="preserve">(2) </w:t>
      </w:r>
      <w:r>
        <w:rPr>
          <w:rStyle w:val="Satznummer"/>
        </w:rPr>
        <w:t>1</w:t>
      </w:r>
      <w:r>
        <w:t xml:space="preserve">Ist wegen Verletzung einer Person oder wegen Beschädigung einer Sache Schadensersatz zu leisten, so kann der Gläubiger statt der Herstellung den dazu erforderlichen Geldbetrag verlangen. </w:t>
      </w:r>
      <w:r>
        <w:rPr>
          <w:rStyle w:val="Satznummer"/>
        </w:rPr>
        <w:t>2</w:t>
      </w:r>
      <w:r>
        <w:t>Bei der Beschädigung einer Sache schließt der nach Satz 1 erforderliche Geldbetrag die Umsatzsteuer nur mit ein, wenn und soweit sie tatsächlich angefallen ist.</w:t>
      </w:r>
    </w:p>
    <w:p>
      <w:pPr>
        <w:pStyle w:val="Heading4"/>
      </w:pPr>
      <w:bookmarkStart w:id="296" w:name="b292"/>
      <w:r>
        <w:t>§ 250 Schadensersatz in Geld nach Fristsetzung</w:t>
      </w:r>
      <w:r>
        <w:t xml:space="preserve"> </w:t>
      </w:r>
      <w:r>
        <w:rPr>
          <w:rStyle w:val="Suchmarke"/>
        </w:rPr>
        <w:t>#250#</w:t>
      </w:r>
      <w:bookmarkEnd w:id="296"/>
    </w:p>
    <w:p>
      <w:r>
        <w:rPr>
          <w:rStyle w:val="Satznummer"/>
        </w:rPr>
        <w:t>1</w:t>
      </w:r>
      <w:r>
        <w:t xml:space="preserve">Der Gläubiger kann dem Ersatzpflichtigen zur Herstellung eine angemessene Frist mit der Erklärung bestimmen, dass er die Herstellung nach dem Ablauf der Frist ablehne. </w:t>
      </w:r>
      <w:r>
        <w:rPr>
          <w:rStyle w:val="Satznummer"/>
        </w:rPr>
        <w:t>2</w:t>
      </w:r>
      <w:r>
        <w:t>Nach dem Ablauf der Frist kann der Gläubiger den Ersatz in Geld verlangen, wenn nicht die Herstellung rechtzeitig erfolgt; der Anspruch auf die Herstellung ist ausgeschlossen.</w:t>
      </w:r>
    </w:p>
    <w:p>
      <w:pPr>
        <w:pStyle w:val="Heading4"/>
      </w:pPr>
      <w:bookmarkStart w:id="297" w:name="b293"/>
      <w:r>
        <w:t>§ 251 Schadensersatz in Geld ohne Fristsetzung</w:t>
      </w:r>
      <w:r>
        <w:t xml:space="preserve"> </w:t>
      </w:r>
      <w:r>
        <w:rPr>
          <w:rStyle w:val="Suchmarke"/>
        </w:rPr>
        <w:t>#251#</w:t>
      </w:r>
      <w:bookmarkEnd w:id="297"/>
    </w:p>
    <w:p>
      <w:r>
        <w:t>(1) Soweit die Herstellung nicht möglich oder zur Entschädigung des Gläubigers nicht genügend ist, hat der Ersatzpflichtige den Gläubiger in Geld zu entschädigen.</w:t>
      </w:r>
    </w:p>
    <w:p>
      <w:r>
        <w:t xml:space="preserve">(2) </w:t>
      </w:r>
      <w:r>
        <w:rPr>
          <w:rStyle w:val="Satznummer"/>
        </w:rPr>
        <w:t>1</w:t>
      </w:r>
      <w:r>
        <w:t xml:space="preserve">Der Ersatzpflichtige kann den Gläubiger in Geld entschädigen, wenn die Herstellung nur mit unverhältnismäßigen Aufwendungen möglich ist. </w:t>
      </w:r>
      <w:r>
        <w:rPr>
          <w:rStyle w:val="Satznummer"/>
        </w:rPr>
        <w:t>2</w:t>
      </w:r>
      <w:r>
        <w:t>Die aus der Heilbehandlung eines verletzten Tieres entstandenen Aufwendungen sind nicht bereits dann unverhältnismäßig, wenn sie dessen Wert erheblich übersteigen.</w:t>
      </w:r>
    </w:p>
    <w:p>
      <w:pPr>
        <w:pStyle w:val="Heading4"/>
      </w:pPr>
      <w:bookmarkStart w:id="298" w:name="b294"/>
      <w:r>
        <w:t>§ 252 Entgangener Gewinn</w:t>
      </w:r>
      <w:r>
        <w:t xml:space="preserve"> </w:t>
      </w:r>
      <w:r>
        <w:rPr>
          <w:rStyle w:val="Suchmarke"/>
        </w:rPr>
        <w:t>#252#</w:t>
      </w:r>
      <w:bookmarkEnd w:id="298"/>
    </w:p>
    <w:p>
      <w:r>
        <w:rPr>
          <w:rStyle w:val="Satznummer"/>
        </w:rPr>
        <w:t>1</w:t>
      </w:r>
      <w:r>
        <w:t xml:space="preserve">Der zu ersetzende Schaden umfasst auch den entgangenen Gewinn. </w:t>
      </w:r>
      <w:r>
        <w:rPr>
          <w:rStyle w:val="Satznummer"/>
        </w:rPr>
        <w:t>2</w:t>
      </w:r>
      <w:r>
        <w:t>Als entgangen gilt der Gewinn, welcher nach dem gewöhnlichen Lauf der Dinge oder nach den besonderen Umständen, insbesondere nach den getroffenen Anstalten und Vorkehrungen, mit Wahrscheinlichkeit erwartet werden konnte.</w:t>
      </w:r>
    </w:p>
    <w:p>
      <w:pPr>
        <w:pStyle w:val="Heading4"/>
      </w:pPr>
      <w:bookmarkStart w:id="299" w:name="b295"/>
      <w:r>
        <w:t>§ 253 Immaterieller Schaden</w:t>
      </w:r>
      <w:r>
        <w:t xml:space="preserve"> </w:t>
      </w:r>
      <w:r>
        <w:rPr>
          <w:rStyle w:val="Suchmarke"/>
        </w:rPr>
        <w:t>#253#</w:t>
      </w:r>
      <w:bookmarkEnd w:id="299"/>
    </w:p>
    <w:p>
      <w:r>
        <w:t>(1) Wegen eines Schadens, der nicht Vermögensschaden ist, kann Entschädigung in Geld nur in den durch das Gesetz bestimmten Fällen gefordert werden.</w:t>
      </w:r>
    </w:p>
    <w:p>
      <w:r>
        <w:t>(2) Ist wegen einer Verletzung des Körpers, der Gesundheit, der Freiheit oder der sexuellen Selbstbestimmung Schadensersatz zu leisten, kann auch wegen des Schadens, der nicht Vermögensschaden ist, eine billige Entschädigung in Geld gefordert werden.</w:t>
      </w:r>
    </w:p>
    <w:p>
      <w:pPr>
        <w:pStyle w:val="Heading4"/>
      </w:pPr>
      <w:bookmarkStart w:id="300" w:name="b296"/>
      <w:r>
        <w:t>§ 254 Mitverschulden</w:t>
      </w:r>
      <w:r>
        <w:t xml:space="preserve"> </w:t>
      </w:r>
      <w:r>
        <w:rPr>
          <w:rStyle w:val="Suchmarke"/>
        </w:rPr>
        <w:t>#254#</w:t>
      </w:r>
      <w:bookmarkEnd w:id="300"/>
    </w:p>
    <w:p>
      <w:r>
        <w:t>(1) Hat bei der Entstehung des Schadens ein Verschulden des Beschädigten mitgewirkt, so hängt die Verpflichtung zum Ersatz sowie der Umfang des zu leistenden Ersatzes von den Umständen, insbesondere davon ab, inwieweit der Schaden vorwiegend von dem einen oder dem anderen Teil verursacht worden ist.</w:t>
      </w:r>
    </w:p>
    <w:p>
      <w:r>
        <w:t xml:space="preserve">(2) </w:t>
      </w:r>
      <w:r>
        <w:rPr>
          <w:rStyle w:val="Satznummer"/>
        </w:rPr>
        <w:t>1</w:t>
      </w:r>
      <w:r>
        <w:t xml:space="preserve">Dies gilt auch dann, wenn sich das Verschulden des Beschädigten darauf beschränkt, dass er unterlassen hat, den Schuldner auf die Gefahr eines ungewöhnlich hohen Schadens aufmerksam zu machen, die der Schuldner weder kannte noch kennen musste, oder dass er unterlassen hat, den Schaden abzuwenden oder zu mindern. </w:t>
      </w:r>
      <w:r>
        <w:rPr>
          <w:rStyle w:val="Satznummer"/>
        </w:rPr>
        <w:t>2</w:t>
      </w:r>
      <w:r>
        <w:t xml:space="preserve">Die Vorschrift des </w:t>
      </w:r>
      <w:hyperlink w:anchor="b322" w:history="1">
        <w:r>
          <w:rPr>
            <w:color w:val="0A3A8C"/>
            <w:u w:val="single"/>
          </w:rPr>
          <w:t xml:space="preserve">§ 278</w:t>
        </w:r>
      </w:hyperlink>
      <w:r>
        <w:t xml:space="preserve"> findet entsprechende Anwendung.</w:t>
      </w:r>
    </w:p>
    <w:p>
      <w:pPr>
        <w:pStyle w:val="Heading4"/>
      </w:pPr>
      <w:bookmarkStart w:id="301" w:name="b297"/>
      <w:r>
        <w:t>§ 255 Abtretung der Ersatzansprüche</w:t>
      </w:r>
      <w:r>
        <w:t xml:space="preserve"> </w:t>
      </w:r>
      <w:r>
        <w:rPr>
          <w:rStyle w:val="Suchmarke"/>
        </w:rPr>
        <w:t>#255#</w:t>
      </w:r>
      <w:bookmarkEnd w:id="301"/>
    </w:p>
    <w:p>
      <w:r>
        <w:t>Wer für den Verlust einer Sache oder eines Rechts Schadensersatz zu leisten hat, ist zum Ersatz nur gegen Abtretung der Ansprüche verpflichtet, die dem Ersatzberechtigten auf Grund des Eigentums an der Sache oder auf Grund des Rechts gegen Dritte zustehen.</w:t>
      </w:r>
    </w:p>
    <w:p>
      <w:pPr>
        <w:pStyle w:val="Heading4"/>
      </w:pPr>
      <w:bookmarkStart w:id="302" w:name="b298"/>
      <w:r>
        <w:t>§ 256 Verzinsung von Aufwendungen</w:t>
      </w:r>
      <w:r>
        <w:t xml:space="preserve"> </w:t>
      </w:r>
      <w:r>
        <w:rPr>
          <w:rStyle w:val="Suchmarke"/>
        </w:rPr>
        <w:t>#256#</w:t>
      </w:r>
      <w:bookmarkEnd w:id="302"/>
    </w:p>
    <w:p>
      <w:r>
        <w:rPr>
          <w:rStyle w:val="Satznummer"/>
        </w:rPr>
        <w:t>1</w:t>
      </w:r>
      <w:r>
        <w:t xml:space="preserve">Wer zum Ersatz von Aufwendungen verpflichtet ist, hat den aufgewendeten Betrag oder, wenn andere Gegenstände als Geld aufgewendet worden sind, den als Ersatz ihres Wertes zu zahlenden Betrag von der Zeit der Aufwendung an zu verzinsen. </w:t>
      </w:r>
      <w:r>
        <w:rPr>
          <w:rStyle w:val="Satznummer"/>
        </w:rPr>
        <w:t>2</w:t>
      </w:r>
      <w:r>
        <w:t>Sind Aufwendungen auf einen Gegenstand gemacht worden, der dem Ersatzpflichtigen herauszugeben ist, so sind Zinsen für die Zeit, für welche dem Ersatzberechtigten die Nutzungen oder die Früchte des Gegenstands ohne Vergütung verbleiben, nicht zu entrichten.</w:t>
      </w:r>
    </w:p>
    <w:p>
      <w:pPr>
        <w:pStyle w:val="Heading4"/>
      </w:pPr>
      <w:bookmarkStart w:id="303" w:name="b299"/>
      <w:r>
        <w:t>§ 257 Befreiungsanspruch</w:t>
      </w:r>
      <w:r>
        <w:t xml:space="preserve"> </w:t>
      </w:r>
      <w:r>
        <w:rPr>
          <w:rStyle w:val="Suchmarke"/>
        </w:rPr>
        <w:t>#257#</w:t>
      </w:r>
      <w:bookmarkEnd w:id="303"/>
    </w:p>
    <w:p>
      <w:r>
        <w:rPr>
          <w:rStyle w:val="Satznummer"/>
        </w:rPr>
        <w:t>1</w:t>
      </w:r>
      <w:r>
        <w:t xml:space="preserve">Wer berechtigt ist, Ersatz für Aufwendungen zu verlangen, die er für einen bestimmten Zweck macht, kann, wenn er für diesen Zweck eine Verbindlichkeit eingeht, Befreiung von der Verbindlichkeit verlangen. </w:t>
      </w:r>
      <w:r>
        <w:rPr>
          <w:rStyle w:val="Satznummer"/>
        </w:rPr>
        <w:t>2</w:t>
      </w:r>
      <w:r>
        <w:t>Ist die Verbindlichkeit noch nicht fällig, so kann ihm der Ersatzpflichtige, statt ihn zu befreien, Sicherheit leisten.</w:t>
      </w:r>
    </w:p>
    <w:p>
      <w:pPr>
        <w:pStyle w:val="Heading4"/>
      </w:pPr>
      <w:bookmarkStart w:id="304" w:name="b300"/>
      <w:r>
        <w:t>§ 258 Wegnahmerecht</w:t>
      </w:r>
      <w:r>
        <w:t xml:space="preserve"> </w:t>
      </w:r>
      <w:r>
        <w:rPr>
          <w:rStyle w:val="Suchmarke"/>
        </w:rPr>
        <w:t>#258#</w:t>
      </w:r>
      <w:bookmarkEnd w:id="304"/>
    </w:p>
    <w:p>
      <w:r>
        <w:rPr>
          <w:rStyle w:val="Satznummer"/>
        </w:rPr>
        <w:t>1</w:t>
      </w:r>
      <w:r>
        <w:t xml:space="preserve">Wer berechtigt ist, von einer Sache, die er einem anderen herauszugeben hat, eine Einrichtung wegzunehmen, hat im Falle der Wegnahme die Sache auf seine Kosten in den vorigen Stand zu setzen. </w:t>
      </w:r>
      <w:r>
        <w:rPr>
          <w:rStyle w:val="Satznummer"/>
        </w:rPr>
        <w:t>2</w:t>
      </w:r>
      <w:r>
        <w:t>Erlangt der andere den Besitz der Sache, so ist er verpflichtet, die Wegnahme der Einrichtung zu gestatten; er kann die Gestattung verweigern, bis ihm für den mit der Wegnahme verbundenen Schaden Sicherheit geleistet wird.</w:t>
      </w:r>
    </w:p>
    <w:p>
      <w:pPr>
        <w:pStyle w:val="Heading4"/>
      </w:pPr>
      <w:bookmarkStart w:id="305" w:name="b301"/>
      <w:r>
        <w:t>§ 259 Umfang der Rechenschaftspflicht</w:t>
      </w:r>
      <w:r>
        <w:t xml:space="preserve"> </w:t>
      </w:r>
      <w:r>
        <w:rPr>
          <w:rStyle w:val="Suchmarke"/>
        </w:rPr>
        <w:t>#259#</w:t>
      </w:r>
      <w:bookmarkEnd w:id="305"/>
    </w:p>
    <w:p>
      <w:r>
        <w:t>(1) Wer verpflichtet ist, über eine mit Einnahmen oder Ausgaben verbundene Verwaltung Rechenschaft abzulegen, hat dem Berechtigten eine die geordnete Zusammenstellung der Einnahmen oder der Ausgaben enthaltende Rechnung mitzuteilen und, soweit Belege erteilt zu werden pflegen, Belege vorzulegen.</w:t>
      </w:r>
    </w:p>
    <w:p>
      <w:r>
        <w:t>(2) Besteht Grund zu der Annahme, dass die in der Rechnung enthaltenen Angaben über die Einnahmen nicht mit der erforderlichen Sorgfalt gemacht worden sind, so hat der Verpflichtete auf Verlangen zu Protokoll an Eides statt zu versichern, dass er nach bestem Wissen die Einnahmen so vollständig angegeben habe, als er dazu imstande sei.</w:t>
      </w:r>
    </w:p>
    <w:p>
      <w:r>
        <w:t>(3) In Angelegenheiten von geringer Bedeutung besteht eine Verpflichtung zur Abgabe der eidesstattlichen Versicherung nicht.</w:t>
      </w:r>
    </w:p>
    <w:p>
      <w:pPr>
        <w:pStyle w:val="Heading4"/>
      </w:pPr>
      <w:bookmarkStart w:id="306" w:name="b302"/>
      <w:r>
        <w:t>§ 260 Pflichten bei Herausgabe oder Auskunft über Inbegriff von Gegenständen</w:t>
      </w:r>
      <w:r>
        <w:t xml:space="preserve"> </w:t>
      </w:r>
      <w:r>
        <w:rPr>
          <w:rStyle w:val="Suchmarke"/>
        </w:rPr>
        <w:t>#260#</w:t>
      </w:r>
      <w:bookmarkEnd w:id="306"/>
    </w:p>
    <w:p>
      <w:r>
        <w:t>(1) Wer verpflichtet ist, einen Inbegriff von Gegenständen herauszugeben oder über den Bestand eines solchen Inbegriffs Auskunft zu erteilen, hat dem Berechtigten ein Verzeichnis des Bestands vorzulegen.</w:t>
      </w:r>
    </w:p>
    <w:p>
      <w:r>
        <w:t>(2) Besteht Grund zu der Annahme, dass das Verzeichnis nicht mit der erforderlichen Sorgfalt aufgestellt worden ist, so hat der Verpflichtete auf Verlangen zu Protokoll an Eides statt zu versichern, dass er nach bestem Wissen den Bestand so vollständig angegeben habe, als er dazu imstande sei.</w:t>
      </w:r>
    </w:p>
    <w:p>
      <w:r>
        <w:t xml:space="preserve">(3) Die Vorschrift des </w:t>
      </w:r>
      <w:hyperlink w:anchor="b301" w:history="1">
        <w:r>
          <w:rPr>
            <w:color w:val="0A3A8C"/>
            <w:u w:val="single"/>
          </w:rPr>
          <w:t xml:space="preserve">§ 259</w:t>
        </w:r>
      </w:hyperlink>
      <w:r>
        <w:t xml:space="preserve"> Abs. 3 findet Anwendung.</w:t>
      </w:r>
    </w:p>
    <w:p>
      <w:pPr>
        <w:pStyle w:val="Heading4"/>
      </w:pPr>
      <w:bookmarkStart w:id="307" w:name="b303"/>
      <w:r>
        <w:t>§ 261 Änderung der eidesstattlichen Versicherung; Kosten</w:t>
      </w:r>
      <w:r>
        <w:t xml:space="preserve"> </w:t>
      </w:r>
      <w:r>
        <w:rPr>
          <w:rStyle w:val="Suchmarke"/>
        </w:rPr>
        <w:t>#261#</w:t>
      </w:r>
      <w:bookmarkEnd w:id="307"/>
    </w:p>
    <w:p>
      <w:r>
        <w:t>(1) Das Gericht kann eine den Umständen entsprechende Änderung der eidesstattlichen Versicherung beschließen.</w:t>
      </w:r>
    </w:p>
    <w:p>
      <w:r>
        <w:t>(2) Die Kosten der Abnahme der eidesstattlichen Versicherung hat derjenige zu tragen, welcher die Abgabe der Versicherung verlangt.</w:t>
      </w:r>
    </w:p>
    <w:p>
      <w:pPr>
        <w:pStyle w:val="Heading4"/>
      </w:pPr>
      <w:bookmarkStart w:id="308" w:name="b304"/>
      <w:r>
        <w:t>§ 262 Wahlschuld; Wahlrecht</w:t>
      </w:r>
      <w:r>
        <w:t xml:space="preserve"> </w:t>
      </w:r>
      <w:r>
        <w:rPr>
          <w:rStyle w:val="Suchmarke"/>
        </w:rPr>
        <w:t>#262#</w:t>
      </w:r>
      <w:bookmarkEnd w:id="308"/>
    </w:p>
    <w:p>
      <w:r>
        <w:t>Werden mehrere Leistungen in der Weise geschuldet, dass nur die eine oder die andere zu bewirken ist, so steht das Wahlrecht im Zweifel dem Schuldner zu.</w:t>
      </w:r>
    </w:p>
    <w:p>
      <w:pPr>
        <w:pStyle w:val="Heading4"/>
      </w:pPr>
      <w:bookmarkStart w:id="309" w:name="b305"/>
      <w:r>
        <w:t>§ 263 Ausübung des Wahlrechts; Wirkung</w:t>
      </w:r>
      <w:r>
        <w:t xml:space="preserve"> </w:t>
      </w:r>
      <w:r>
        <w:rPr>
          <w:rStyle w:val="Suchmarke"/>
        </w:rPr>
        <w:t>#263#</w:t>
      </w:r>
      <w:bookmarkEnd w:id="309"/>
    </w:p>
    <w:p>
      <w:r>
        <w:t>(1) Die Wahl erfolgt durch Erklärung gegenüber dem anderen Teil.</w:t>
      </w:r>
    </w:p>
    <w:p>
      <w:r>
        <w:t>(2) Die gewählte Leistung gilt als die von Anfang an allein geschuldete.</w:t>
      </w:r>
    </w:p>
    <w:p>
      <w:pPr>
        <w:pStyle w:val="Heading4"/>
      </w:pPr>
      <w:bookmarkStart w:id="310" w:name="b306"/>
      <w:r>
        <w:t>§ 264 Verzug des Wahlberechtigten</w:t>
      </w:r>
      <w:r>
        <w:t xml:space="preserve"> </w:t>
      </w:r>
      <w:r>
        <w:rPr>
          <w:rStyle w:val="Suchmarke"/>
        </w:rPr>
        <w:t>#264#</w:t>
      </w:r>
      <w:bookmarkEnd w:id="310"/>
    </w:p>
    <w:p>
      <w:r>
        <w:t>(1) Nimmt der wahlberechtigte Schuldner die Wahl nicht vor dem Beginn der Zwangsvollstreckung vor, so kann der Gläubiger die Zwangsvollstreckung nach seiner Wahl auf die eine oder auf die andere Leistung richten; der Schuldner kann sich jedoch, solange nicht der Gläubiger die gewählte Leistung ganz oder zum Teil empfangen hat, durch eine der übrigen Leistungen von seiner Verbindlichkeit befreien.</w:t>
      </w:r>
    </w:p>
    <w:p>
      <w:r>
        <w:t xml:space="preserve">(2) </w:t>
      </w:r>
      <w:r>
        <w:rPr>
          <w:rStyle w:val="Satznummer"/>
        </w:rPr>
        <w:t>1</w:t>
      </w:r>
      <w:r>
        <w:t xml:space="preserve">Ist der wahlberechtigte Gläubiger im Verzug, so kann der Schuldner ihn unter Bestimmung einer angemessenen Frist zur Vornahme der Wahl auffordern. </w:t>
      </w:r>
      <w:r>
        <w:rPr>
          <w:rStyle w:val="Satznummer"/>
        </w:rPr>
        <w:t>2</w:t>
      </w:r>
      <w:r>
        <w:t>Mit dem Ablauf der Frist geht das Wahlrecht auf den Schuldner über, wenn nicht der Gläubiger rechtzeitig die Wahl vornimmt.</w:t>
      </w:r>
    </w:p>
    <w:p>
      <w:pPr>
        <w:pStyle w:val="Heading4"/>
      </w:pPr>
      <w:bookmarkStart w:id="311" w:name="b307"/>
      <w:r>
        <w:t>§ 265 Unmöglichkeit bei Wahlschuld</w:t>
      </w:r>
      <w:r>
        <w:t xml:space="preserve"> </w:t>
      </w:r>
      <w:r>
        <w:rPr>
          <w:rStyle w:val="Suchmarke"/>
        </w:rPr>
        <w:t>#265#</w:t>
      </w:r>
      <w:bookmarkEnd w:id="311"/>
    </w:p>
    <w:p>
      <w:r>
        <w:rPr>
          <w:rStyle w:val="Satznummer"/>
        </w:rPr>
        <w:t>1</w:t>
      </w:r>
      <w:r>
        <w:t xml:space="preserve">Ist eine der Leistungen von Anfang an unmöglich oder wird sie später unmöglich, so beschränkt sich das Schuldverhältnis auf die übrigen Leistungen. </w:t>
      </w:r>
      <w:r>
        <w:rPr>
          <w:rStyle w:val="Satznummer"/>
        </w:rPr>
        <w:t>2</w:t>
      </w:r>
      <w:r>
        <w:t>Die Beschränkung tritt nicht ein, wenn die Leistung infolge eines Umstands unmöglich wird, den der nicht wahlberechtigte Teil zu vertreten hat.</w:t>
      </w:r>
    </w:p>
    <w:p>
      <w:pPr>
        <w:pStyle w:val="Heading4"/>
      </w:pPr>
      <w:bookmarkStart w:id="312" w:name="b308"/>
      <w:r>
        <w:t>§ 266 Teilleistungen</w:t>
      </w:r>
      <w:r>
        <w:t xml:space="preserve"> </w:t>
      </w:r>
      <w:r>
        <w:rPr>
          <w:rStyle w:val="Suchmarke"/>
        </w:rPr>
        <w:t>#266#</w:t>
      </w:r>
      <w:bookmarkEnd w:id="312"/>
    </w:p>
    <w:p>
      <w:r>
        <w:t>Der Schuldner ist zu Teilleistungen nicht berechtigt.</w:t>
      </w:r>
    </w:p>
    <w:p>
      <w:pPr>
        <w:pStyle w:val="Heading4"/>
      </w:pPr>
      <w:bookmarkStart w:id="313" w:name="b309"/>
      <w:r>
        <w:t>§ 267 Leistung durch Dritte</w:t>
      </w:r>
      <w:r>
        <w:t xml:space="preserve"> </w:t>
      </w:r>
      <w:r>
        <w:rPr>
          <w:rStyle w:val="Suchmarke"/>
        </w:rPr>
        <w:t>#267#</w:t>
      </w:r>
      <w:bookmarkEnd w:id="313"/>
    </w:p>
    <w:p>
      <w:r>
        <w:t xml:space="preserve">(1) </w:t>
      </w:r>
      <w:r>
        <w:rPr>
          <w:rStyle w:val="Satznummer"/>
        </w:rPr>
        <w:t>1</w:t>
      </w:r>
      <w:r>
        <w:t xml:space="preserve">Hat der Schuldner nicht in Person zu leisten, so kann auch ein Dritter die Leistung bewirken. </w:t>
      </w:r>
      <w:r>
        <w:rPr>
          <w:rStyle w:val="Satznummer"/>
        </w:rPr>
        <w:t>2</w:t>
      </w:r>
      <w:r>
        <w:t>Die Einwilligung des Schuldners ist nicht erforderlich.</w:t>
      </w:r>
    </w:p>
    <w:p>
      <w:r>
        <w:t>(2) Der Gläubiger kann die Leistung ablehnen, wenn der Schuldner widerspricht.</w:t>
      </w:r>
    </w:p>
    <w:p>
      <w:pPr>
        <w:pStyle w:val="Heading4"/>
      </w:pPr>
      <w:bookmarkStart w:id="314" w:name="b310"/>
      <w:r>
        <w:t>§ 268 Ablösungsrecht des Dritten</w:t>
      </w:r>
      <w:r>
        <w:t xml:space="preserve"> </w:t>
      </w:r>
      <w:r>
        <w:rPr>
          <w:rStyle w:val="Suchmarke"/>
        </w:rPr>
        <w:t>#268#</w:t>
      </w:r>
      <w:bookmarkEnd w:id="314"/>
    </w:p>
    <w:p>
      <w:r>
        <w:t xml:space="preserve">(1) </w:t>
      </w:r>
      <w:r>
        <w:rPr>
          <w:rStyle w:val="Satznummer"/>
        </w:rPr>
        <w:t>1</w:t>
      </w:r>
      <w:r>
        <w:t xml:space="preserve">Betreibt der Gläubiger die Zwangsvollstreckung in einen dem Schuldner gehörenden Gegenstand, so ist jeder, der Gefahr läuft, durch die Zwangsvollstreckung ein Recht an dem Gegenstand zu verlieren, berechtigt, den Gläubiger zu befriedigen. </w:t>
      </w:r>
      <w:r>
        <w:rPr>
          <w:rStyle w:val="Satznummer"/>
        </w:rPr>
        <w:t>2</w:t>
      </w:r>
      <w:r>
        <w:t>Das gleiche Recht steht dem Besitzer einer Sache zu, wenn er Gefahr läuft, durch die Zwangsvollstreckung den Besitz zu verlieren.</w:t>
      </w:r>
    </w:p>
    <w:p>
      <w:r>
        <w:t>(2) Die Befriedigung kann auch durch Hinterlegung oder durch Aufrechnung erfolgen.</w:t>
      </w:r>
    </w:p>
    <w:p>
      <w:r>
        <w:t xml:space="preserve">(3) </w:t>
      </w:r>
      <w:r>
        <w:rPr>
          <w:rStyle w:val="Satznummer"/>
        </w:rPr>
        <w:t>1</w:t>
      </w:r>
      <w:r>
        <w:t xml:space="preserve">Soweit der Dritte den Gläubiger befriedigt, geht die Forderung auf ihn über. </w:t>
      </w:r>
      <w:r>
        <w:rPr>
          <w:rStyle w:val="Satznummer"/>
        </w:rPr>
        <w:t>2</w:t>
      </w:r>
      <w:r>
        <w:t>Der Übergang kann nicht zum Nachteil des Gläubigers geltend gemacht werden.</w:t>
      </w:r>
    </w:p>
    <w:p>
      <w:pPr>
        <w:pStyle w:val="Heading4"/>
      </w:pPr>
      <w:bookmarkStart w:id="315" w:name="b311"/>
      <w:r>
        <w:t>§ 269 Leistungsort</w:t>
      </w:r>
      <w:r>
        <w:t xml:space="preserve"> </w:t>
      </w:r>
      <w:r>
        <w:rPr>
          <w:rStyle w:val="Suchmarke"/>
        </w:rPr>
        <w:t>#269#</w:t>
      </w:r>
      <w:bookmarkEnd w:id="315"/>
    </w:p>
    <w:p>
      <w:r>
        <w:t>(1) Ist ein Ort für die Leistung weder bestimmt noch aus den Umständen, insbesondere aus der Natur des Schuldverhältnisses, zu entnehmen, so hat die Leistung an dem Orte zu erfolgen, an welchem der Schuldner zur Zeit der Entstehung des Schuldverhältnisses seinen Wohnsitz hatte.</w:t>
      </w:r>
    </w:p>
    <w:p>
      <w:r>
        <w:t>(2) Ist die Verbindlichkeit im Gewerbebetrieb des Schuldners entstanden, so tritt, wenn der Schuldner seine gewerbliche Niederlassung an einem anderen Orte hatte, der Ort der Niederlassung an die Stelle des Wohnsitzes.</w:t>
      </w:r>
    </w:p>
    <w:p>
      <w:r>
        <w:t>(3) Aus dem Umstand allein, dass der Schuldner die Kosten der Versendung übernommen hat, ist nicht zu entnehmen, dass der Ort, nach welchem die Versendung zu erfolgen hat, der Leistungsort sein soll.</w:t>
      </w:r>
    </w:p>
    <w:p>
      <w:pPr>
        <w:pStyle w:val="Heading4"/>
      </w:pPr>
      <w:bookmarkStart w:id="316" w:name="b312"/>
      <w:r>
        <w:t>§ 270 Zahlungsort</w:t>
      </w:r>
      <w:r>
        <w:t xml:space="preserve"> </w:t>
      </w:r>
      <w:r>
        <w:rPr>
          <w:rStyle w:val="Suchmarke"/>
        </w:rPr>
        <w:t>#270#</w:t>
      </w:r>
      <w:bookmarkEnd w:id="316"/>
    </w:p>
    <w:p>
      <w:r>
        <w:t>(1) Geld hat der Schuldner im Zweifel auf seine Gefahr und seine Kosten dem Gläubiger an dessen Wohnsitz zu übermitteln.</w:t>
      </w:r>
    </w:p>
    <w:p>
      <w:r>
        <w:t>(2) Ist die Forderung im Gewerbebetrieb des Gläubigers entstanden, so tritt, wenn der Gläubiger seine gewerbliche Niederlassung an einem anderen Orte hat, der Ort der Niederlassung an die Stelle des Wohnsitzes.</w:t>
      </w:r>
    </w:p>
    <w:p>
      <w:r>
        <w:t>(3) Erhöhen sich infolge einer nach der Entstehung des Schuldverhältnisses eintretenden Änderung des Wohnsitzes oder der gewerblichen Niederlassung des Gläubigers die Kosten oder die Gefahr der Übermittlung, so hat der Gläubiger im ersteren Falle die Mehrkosten, im letzteren Falle die Gefahr zu tragen.</w:t>
      </w:r>
    </w:p>
    <w:p>
      <w:r>
        <w:t>(4) Die Vorschriften über den Leistungsort bleiben unberührt.</w:t>
      </w:r>
    </w:p>
    <w:p>
      <w:pPr>
        <w:pStyle w:val="Heading4"/>
      </w:pPr>
      <w:bookmarkStart w:id="317" w:name="b313"/>
      <w:r>
        <w:t>§ 270a Vereinbarungen über Entgelte für die Nutzung bargeldloser Zahlungsmittel</w:t>
      </w:r>
      <w:r>
        <w:t xml:space="preserve"> </w:t>
      </w:r>
      <w:r>
        <w:rPr>
          <w:rStyle w:val="Suchmarke"/>
        </w:rPr>
        <w:t>#270a#</w:t>
      </w:r>
      <w:bookmarkEnd w:id="317"/>
    </w:p>
    <w:p>
      <w:r>
        <w:rPr>
          <w:rStyle w:val="Satznummer"/>
        </w:rPr>
        <w:t>1</w:t>
      </w:r>
      <w:r>
        <w:t xml:space="preserve">Eine Vereinbarung, durch die der Schuldner verpflichtet wird, ein Entgelt für die Nutzung einer SEPA-Basislastschrift, einer SEPA-Firmenlastschrift, einer SEPA-Überweisung oder einer Zahlungskarte zu entrichten, ist unwirksam. </w:t>
      </w:r>
      <w:r>
        <w:rPr>
          <w:rStyle w:val="Satznummer"/>
        </w:rPr>
        <w:t>2</w:t>
      </w:r>
      <w:r>
        <w:t>Satz 1 gilt für die Nutzung von Zahlungskarten nur bei Zahlungsvorgängen mit Verbrauchern, wenn auf diese Kapitel II der Verordnung (EU) 2015/751 des Europäischen Parlaments und des Rates vom 29. April 2015 über Interbankenentgelte für kartengebundene Zahlungsvorgänge (ABl. L 123 vom 19.5.2015, S. 1) anwendbar ist.</w:t>
      </w:r>
    </w:p>
    <w:p>
      <w:pPr>
        <w:pStyle w:val="Heading4"/>
      </w:pPr>
      <w:bookmarkStart w:id="318" w:name="b314"/>
      <w:r>
        <w:t>§ 271 Leistungszeit</w:t>
      </w:r>
      <w:r>
        <w:t xml:space="preserve"> </w:t>
      </w:r>
      <w:r>
        <w:rPr>
          <w:rStyle w:val="Suchmarke"/>
        </w:rPr>
        <w:t>#271#</w:t>
      </w:r>
      <w:bookmarkEnd w:id="318"/>
    </w:p>
    <w:p>
      <w:r>
        <w:t>(1) Ist eine Zeit für die Leistung weder bestimmt noch aus den Umständen zu entnehmen, so kann der Gläubiger die Leistung sofort verlangen, der Schuldner sie sofort bewirken.</w:t>
      </w:r>
    </w:p>
    <w:p>
      <w:r>
        <w:t>(2) Ist eine Zeit bestimmt, so ist im Zweifel anzunehmen, dass der Gläubiger die Leistung nicht vor dieser Zeit verlangen, der Schuldner aber sie vorher bewirken kann.</w:t>
      </w:r>
    </w:p>
    <w:p>
      <w:pPr>
        <w:pStyle w:val="Heading4"/>
      </w:pPr>
      <w:bookmarkStart w:id="319" w:name="b315"/>
      <w:r>
        <w:t>§ 271a Vereinbarungen über Zahlungs-, Überprüfungs- oder Abnahmefristen</w:t>
      </w:r>
      <w:r>
        <w:t xml:space="preserve"> </w:t>
      </w:r>
      <w:r>
        <w:rPr>
          <w:rStyle w:val="Suchmarke"/>
        </w:rPr>
        <w:t>#271a#</w:t>
      </w:r>
      <w:bookmarkEnd w:id="319"/>
    </w:p>
    <w:p>
      <w:r>
        <w:t xml:space="preserve">(1) </w:t>
      </w:r>
      <w:r>
        <w:rPr>
          <w:rStyle w:val="Satznummer"/>
        </w:rPr>
        <w:t>1</w:t>
      </w:r>
      <w:r>
        <w:t xml:space="preserve">Eine Vereinbarung, nach der der Gläubiger die Erfüllung einer Entgeltforderung erst nach mehr als 60 Tagen nach Empfang der Gegenleistung verlangen kann, ist nur wirksam, wenn sie ausdrücklich getroffen und im Hinblick auf die Belange des Gläubigers nicht grob unbillig ist. </w:t>
      </w:r>
      <w:r>
        <w:rPr>
          <w:rStyle w:val="Satznummer"/>
        </w:rPr>
        <w:t>2</w:t>
      </w:r>
      <w:r>
        <w:t xml:space="preserve">Geht dem Schuldner nach Empfang der Gegenleistung eine Rechnung oder gleichwertige Zahlungsaufstellung zu, tritt der Zeitpunkt des Zugangs dieser Rechnung oder Zahlungsaufstellung an die Stelle des in Satz 1 genannten Zeitpunkts des Empfangs der Gegenleistung. </w:t>
      </w:r>
      <w:r>
        <w:rPr>
          <w:rStyle w:val="Satznummer"/>
        </w:rPr>
        <w:t>3</w:t>
      </w:r>
      <w:r>
        <w:t>Es wird bis zum Beweis eines anderen Zeitpunkts vermutet, dass der Zeitpunkt des Zugangs der Rechnung oder Zahlungsaufstellung auf den Zeitpunkt des Empfangs der Gegenleistung fällt; hat der Gläubiger einen späteren Zeitpunkt benannt, so tritt dieser an die Stelle des Zeitpunkts des Empfangs der Gegenleistung.</w:t>
      </w:r>
    </w:p>
    <w:p>
      <w:r>
        <w:t xml:space="preserve">(2) </w:t>
      </w:r>
      <w:r>
        <w:rPr>
          <w:rStyle w:val="Satznummer"/>
        </w:rPr>
        <w:t>1</w:t>
      </w:r>
      <w:r>
        <w:t>Ist der Schuldner ein öffentlicher Auftraggeber im Sinne von § 99 Nummer 1 bis 3 des Gesetzes gegen Wettbewerbsbeschränkungen, so ist abweichend von Absatz 1</w:t>
      </w:r>
    </w:p>
    <w:p>
      <w:pPr>
        <w:tabs>
          <w:tab w:pos="567" w:val="left"/>
        </w:tabs>
        <w:ind w:left="567" w:hanging="567"/>
      </w:pPr>
      <w:r>
        <w:t>1.</w:t>
      </w:r>
      <w:r>
        <w:tab/>
      </w:r>
      <w:r>
        <w:t>eine Vereinbarung, nach der der Gläubiger die Erfüllung einer Entgeltforderung erst nach mehr als 30 Tagen nach Empfang der Gegenleistung verlangen kann, nur wirksam, wenn die Vereinbarung ausdrücklich getroffen und aufgrund der besonderen Natur oder der Merkmale des Schuldverhältnisses sachlich gerechtfertigt ist;</w:t>
      </w:r>
    </w:p>
    <w:p>
      <w:pPr>
        <w:tabs>
          <w:tab w:pos="567" w:val="left"/>
        </w:tabs>
        <w:ind w:left="567" w:hanging="567"/>
      </w:pPr>
      <w:r>
        <w:t>2.</w:t>
      </w:r>
      <w:r>
        <w:tab/>
      </w:r>
      <w:r>
        <w:t>eine Vereinbarung, nach der der Gläubiger die Erfüllung einer Entgeltforderung erst nach mehr als 60 Tagen nach Empfang der Gegenleistung verlangen kann, unwirksam.</w:t>
      </w:r>
    </w:p>
    <w:p>
      <w:r>
        <w:rPr>
          <w:rStyle w:val="Satznummer"/>
        </w:rPr>
        <w:t>2</w:t>
      </w:r>
      <w:r>
        <w:t>Absatz 1 Satz 2 und 3 ist entsprechend anzuwenden.</w:t>
      </w:r>
    </w:p>
    <w:p>
      <w:r>
        <w:t>(3) Ist eine Entgeltforderung erst nach Überprüfung oder Abnahme der Gegenleistung zu erfüllen, so ist eine Vereinbarung, nach der die Zeit für die Überprüfung oder Abnahme der Gegenleistung mehr als 30 Tage nach Empfang der Gegenleistung beträgt, nur wirksam, wenn sie ausdrücklich getroffen und im Hinblick auf die Belange des Gläubigers nicht grob unbillig ist.</w:t>
      </w:r>
    </w:p>
    <w:p>
      <w:r>
        <w:t>(4) Ist eine Vereinbarung nach den Absätzen 1 bis 3 unwirksam, bleibt der Vertrag im Übrigen wirksam.</w:t>
      </w:r>
    </w:p>
    <w:p>
      <w:r>
        <w:t>(5) Die Absätze 1 bis 3 sind nicht anzuwenden auf</w:t>
      </w:r>
    </w:p>
    <w:p>
      <w:pPr>
        <w:tabs>
          <w:tab w:pos="567" w:val="left"/>
        </w:tabs>
        <w:ind w:left="567" w:hanging="567"/>
      </w:pPr>
      <w:r>
        <w:t>1.</w:t>
      </w:r>
      <w:r>
        <w:tab/>
      </w:r>
      <w:r>
        <w:t>die Vereinbarung von Abschlagszahlungen und sonstigen Ratenzahlungen sowie</w:t>
      </w:r>
    </w:p>
    <w:p>
      <w:pPr>
        <w:tabs>
          <w:tab w:pos="567" w:val="left"/>
        </w:tabs>
        <w:ind w:left="567" w:hanging="567"/>
      </w:pPr>
      <w:r>
        <w:t>2.</w:t>
      </w:r>
      <w:r>
        <w:tab/>
      </w:r>
      <w:r>
        <w:t>ein Schuldverhältnis, aus dem ein Verbraucher die Erfüllung der Entgeltforderung schuldet.</w:t>
      </w:r>
    </w:p>
    <w:p>
      <w:r>
        <w:t>(6) Die Absätze 1 bis 3 lassen sonstige Vorschriften, aus denen sich Beschränkungen für Vereinbarungen über Zahlungs-, Überprüfungs- oder Abnahmefristen ergeben, unberührt.</w:t>
      </w:r>
    </w:p>
    <w:p>
      <w:pPr>
        <w:pStyle w:val="Heading4"/>
      </w:pPr>
      <w:bookmarkStart w:id="320" w:name="b316"/>
      <w:r>
        <w:t>§ 272 Zwischenzinsen</w:t>
      </w:r>
      <w:r>
        <w:t xml:space="preserve"> </w:t>
      </w:r>
      <w:r>
        <w:rPr>
          <w:rStyle w:val="Suchmarke"/>
        </w:rPr>
        <w:t>#272#</w:t>
      </w:r>
      <w:bookmarkEnd w:id="320"/>
    </w:p>
    <w:p>
      <w:r>
        <w:t>Bezahlt der Schuldner eine unverzinsliche Schuld vor der Fälligkeit, so ist er zu einem Abzug wegen der Zwischenzinsen nicht berechtigt.</w:t>
      </w:r>
    </w:p>
    <w:p>
      <w:pPr>
        <w:pStyle w:val="Heading4"/>
      </w:pPr>
      <w:bookmarkStart w:id="321" w:name="b317"/>
      <w:r>
        <w:t>§ 273 Zurückbehaltungsrecht</w:t>
      </w:r>
      <w:r>
        <w:t xml:space="preserve"> </w:t>
      </w:r>
      <w:r>
        <w:rPr>
          <w:rStyle w:val="Suchmarke"/>
        </w:rPr>
        <w:t>#273#</w:t>
      </w:r>
      <w:bookmarkEnd w:id="321"/>
    </w:p>
    <w:p>
      <w:r>
        <w:t>(1) Hat der Schuldner aus demselben rechtlichen Verhältnis, auf dem seine Verpflichtung beruht, einen fälligen Anspruch gegen den Gläubiger, so kann er, sofern nicht aus dem Schuldverhältnis sich ein anderes ergibt, die geschuldete Leistung verweigern, bis die ihm gebührende Leistung bewirkt wird (Zurückbehaltungsrecht).</w:t>
      </w:r>
    </w:p>
    <w:p>
      <w:r>
        <w:t>(2) Wer zur Herausgabe eines Gegenstands verpflichtet ist, hat das gleiche Recht, wenn ihm ein fälliger Anspruch wegen Verwendungen auf den Gegenstand oder wegen eines ihm durch diesen verursachten Schadens zusteht, es sei denn, dass er den Gegenstand durch eine vorsätzlich begangene unerlaubte Handlung erlangt hat.</w:t>
      </w:r>
    </w:p>
    <w:p>
      <w:r>
        <w:t xml:space="preserve">(3) </w:t>
      </w:r>
      <w:r>
        <w:rPr>
          <w:rStyle w:val="Satznummer"/>
        </w:rPr>
        <w:t>1</w:t>
      </w:r>
      <w:r>
        <w:t xml:space="preserve">Der Gläubiger kann die Ausübung des Zurückbehaltungsrechts durch Sicherheitsleistung abwenden. </w:t>
      </w:r>
      <w:r>
        <w:rPr>
          <w:rStyle w:val="Satznummer"/>
        </w:rPr>
        <w:t>2</w:t>
      </w:r>
      <w:r>
        <w:t>Die Sicherheitsleistung durch Bürgen ist ausgeschlossen.</w:t>
      </w:r>
    </w:p>
    <w:p>
      <w:pPr>
        <w:pStyle w:val="Heading4"/>
      </w:pPr>
      <w:bookmarkStart w:id="322" w:name="b318"/>
      <w:r>
        <w:t>§ 274 Wirkungen des Zurückbehaltungsrechts</w:t>
      </w:r>
      <w:r>
        <w:t xml:space="preserve"> </w:t>
      </w:r>
      <w:r>
        <w:rPr>
          <w:rStyle w:val="Suchmarke"/>
        </w:rPr>
        <w:t>#274#</w:t>
      </w:r>
      <w:bookmarkEnd w:id="322"/>
    </w:p>
    <w:p>
      <w:r>
        <w:t>(1) Gegenüber der Klage des Gläubigers hat die Geltendmachung des Zurückbehaltungsrechts nur die Wirkung, dass der Schuldner zur Leistung gegen Empfang der ihm gebührenden Leistung (Erfüllung Zug um Zug) zu verurteilen ist.</w:t>
      </w:r>
    </w:p>
    <w:p>
      <w:r>
        <w:t>(2) Auf Grund einer solchen Verurteilung kann der Gläubiger seinen Anspruch ohne Bewirkung der ihm obliegenden Leistung im Wege der Zwangsvollstreckung verfolgen, wenn der Schuldner im Verzug der Annahme ist.</w:t>
      </w:r>
    </w:p>
    <w:p>
      <w:pPr>
        <w:pStyle w:val="Heading4"/>
      </w:pPr>
      <w:bookmarkStart w:id="323" w:name="b319"/>
      <w:r>
        <w:t>§ 275 Ausschluss der Leistungspflicht</w:t>
      </w:r>
      <w:r>
        <w:t xml:space="preserve"> </w:t>
      </w:r>
      <w:r>
        <w:rPr>
          <w:rStyle w:val="Suchmarke"/>
        </w:rPr>
        <w:t>#275#</w:t>
      </w:r>
      <w:bookmarkEnd w:id="323"/>
    </w:p>
    <w:p>
      <w:hyperlink w:anchor="f319_1" w:history="1">
        <w:r>
          <w:rPr>
            <w:rStyle w:val="Fussnotenmarke"/>
            <w:u w:val="single"/>
            <w:color w:val="0A3A8C"/>
          </w:rPr>
          <w:t>1</w:t>
        </w:r>
      </w:hyperlink>
    </w:p>
    <w:p>
      <w:r>
        <w:t>(1) Der Anspruch auf Leistung ist ausgeschlossen, soweit diese für den Schuldner oder für jedermann unmöglich ist.</w:t>
      </w:r>
    </w:p>
    <w:p>
      <w:r>
        <w:t xml:space="preserve">(2) </w:t>
      </w:r>
      <w:r>
        <w:rPr>
          <w:rStyle w:val="Satznummer"/>
        </w:rPr>
        <w:t>1</w:t>
      </w:r>
      <w:r>
        <w:t xml:space="preserve">Der Schuldner kann die Leistung verweigern, soweit diese einen Aufwand erfordert, der unter Beachtung des Inhalts des Schuldverhältnisses und der Gebote von Treu und Glauben in einem groben Missverhältnis zu dem Leistungsinteresse des Gläubigers steht. </w:t>
      </w:r>
      <w:r>
        <w:rPr>
          <w:rStyle w:val="Satznummer"/>
        </w:rPr>
        <w:t>2</w:t>
      </w:r>
      <w:r>
        <w:t>Bei der Bestimmung der dem Schuldner zuzumutenden Anstrengungen ist auch zu berücksichtigen, ob der Schuldner das Leistungshindernis zu vertreten hat.</w:t>
      </w:r>
    </w:p>
    <w:p>
      <w:r>
        <w:t>(3) Der Schuldner kann die Leistung ferner verweigern, wenn er die Leistung persönlich zu erbringen hat und sie ihm unter Abwägung des seiner Leistung entgegenstehenden Hindernisses mit dem Leistungsinteresse des Gläubigers nicht zugemutet werden kann.</w:t>
      </w:r>
    </w:p>
    <w:p>
      <w:r>
        <w:t xml:space="preserve">(4) Die Rechte des Gläubigers bestimmen sich nach den </w:t>
      </w:r>
      <w:hyperlink w:anchor="b324" w:history="1">
        <w:r>
          <w:rPr>
            <w:color w:val="0A3A8C"/>
            <w:u w:val="single"/>
          </w:rPr>
          <w:t xml:space="preserve">§§ 280</w:t>
        </w:r>
      </w:hyperlink>
      <w:r>
        <w:t xml:space="preserve">, </w:t>
      </w:r>
      <w:hyperlink w:anchor="b327" w:history="1">
        <w:r>
          <w:rPr>
            <w:color w:val="0A3A8C"/>
            <w:u w:val="single"/>
          </w:rPr>
          <w:t xml:space="preserve">283</w:t>
        </w:r>
      </w:hyperlink>
      <w:r>
        <w:t xml:space="preserve"> bis </w:t>
      </w:r>
      <w:hyperlink w:anchor="b329" w:history="1">
        <w:r>
          <w:rPr>
            <w:color w:val="0A3A8C"/>
            <w:u w:val="single"/>
          </w:rPr>
          <w:t xml:space="preserve">285</w:t>
        </w:r>
      </w:hyperlink>
      <w:r>
        <w:t xml:space="preserve">, </w:t>
      </w:r>
      <w:hyperlink w:anchor="b365" w:history="1">
        <w:r>
          <w:rPr>
            <w:color w:val="0A3A8C"/>
            <w:u w:val="single"/>
          </w:rPr>
          <w:t xml:space="preserve">311a</w:t>
        </w:r>
      </w:hyperlink>
      <w:r>
        <w:t xml:space="preserve"> und </w:t>
      </w:r>
      <w:hyperlink w:anchor="b403" w:history="1">
        <w:r>
          <w:rPr>
            <w:color w:val="0A3A8C"/>
            <w:u w:val="single"/>
          </w:rPr>
          <w:t xml:space="preserve">326</w:t>
        </w:r>
      </w:hyperlink>
      <w:r>
        <w:t>.</w:t>
      </w:r>
    </w:p>
    <w:p>
      <w:pPr>
        <w:pStyle w:val="Fußnote"/>
      </w:pPr>
      <w:bookmarkStart w:id="324" w:name="f319_1"/>
      <w:r>
        <w:rPr>
          <w:rStyle w:val="Zusatz"/>
          <w:b/>
        </w:rPr>
        <w:t xml:space="preserve">Fußnote 1: </w:t>
      </w:r>
      <w:r>
        <w:rPr>
          <w:b/>
        </w:rPr>
        <w:t>Amtlicher Hinweis:</w:t>
      </w:r>
      <w:r>
        <w:br/>
      </w:r>
      <w:r>
        <w:t>Diese Vorschrift dient auch der Umsetzung der Richtlinie 1999/44/EG des Europäischen Parlaments und des Rates vom 25. Mai 1999 zu bestimmten Aspekten des Verbrauchsgüterkaufs und der Garantien für Verbrauchsgüter (ABl. EG Nr. L 171 S. 12).</w:t>
      </w:r>
      <w:bookmarkEnd w:id="324"/>
    </w:p>
    <w:p>
      <w:pPr>
        <w:pStyle w:val="Heading4"/>
      </w:pPr>
      <w:bookmarkStart w:id="325" w:name="b320"/>
      <w:r>
        <w:t>§ 276 Verantwortlichkeit des Schuldners</w:t>
      </w:r>
      <w:r>
        <w:t xml:space="preserve"> </w:t>
      </w:r>
      <w:r>
        <w:rPr>
          <w:rStyle w:val="Suchmarke"/>
        </w:rPr>
        <w:t>#276#</w:t>
      </w:r>
      <w:bookmarkEnd w:id="325"/>
    </w:p>
    <w:p>
      <w:r>
        <w:t xml:space="preserve">(1) </w:t>
      </w:r>
      <w:r>
        <w:rPr>
          <w:rStyle w:val="Satznummer"/>
        </w:rPr>
        <w:t>1</w:t>
      </w:r>
      <w:r>
        <w:t xml:space="preserve">Der Schuldner hat Vorsatz und Fahrlässigkeit zu vertreten, wenn eine strengere oder mildere Haftung weder bestimmt noch aus dem sonstigen Inhalt des Schuldverhältnisses, insbesondere aus der Übernahme einer Garantie oder eines Beschaffungsrisikos, zu entnehmen ist. </w:t>
      </w:r>
      <w:r>
        <w:rPr>
          <w:rStyle w:val="Satznummer"/>
        </w:rPr>
        <w:t>2</w:t>
      </w:r>
      <w:r>
        <w:t xml:space="preserve">Die Vorschriften der </w:t>
      </w:r>
      <w:hyperlink w:anchor="b1281" w:history="1">
        <w:r>
          <w:rPr>
            <w:color w:val="0A3A8C"/>
            <w:u w:val="single"/>
          </w:rPr>
          <w:t xml:space="preserve">§§ 827</w:t>
        </w:r>
      </w:hyperlink>
      <w:r>
        <w:t xml:space="preserve"> und </w:t>
      </w:r>
      <w:hyperlink w:anchor="b1282" w:history="1">
        <w:r>
          <w:rPr>
            <w:color w:val="0A3A8C"/>
            <w:u w:val="single"/>
          </w:rPr>
          <w:t xml:space="preserve">828</w:t>
        </w:r>
      </w:hyperlink>
      <w:r>
        <w:t xml:space="preserve"> finden entsprechende Anwendung.</w:t>
      </w:r>
    </w:p>
    <w:p>
      <w:r>
        <w:t>(2) Fahrlässig handelt, wer die im Verkehr erforderliche Sorgfalt außer Acht lässt.</w:t>
      </w:r>
    </w:p>
    <w:p>
      <w:r>
        <w:t>(3) Die Haftung wegen Vorsatzes kann dem Schuldner nicht im Voraus erlassen werden.</w:t>
      </w:r>
    </w:p>
    <w:p>
      <w:pPr>
        <w:pStyle w:val="Heading4"/>
      </w:pPr>
      <w:bookmarkStart w:id="326" w:name="b321"/>
      <w:r>
        <w:t>§ 277 Sorgfalt in eigenen Angelegenheiten</w:t>
      </w:r>
      <w:r>
        <w:t xml:space="preserve"> </w:t>
      </w:r>
      <w:r>
        <w:rPr>
          <w:rStyle w:val="Suchmarke"/>
        </w:rPr>
        <w:t>#277#</w:t>
      </w:r>
      <w:bookmarkEnd w:id="326"/>
    </w:p>
    <w:p>
      <w:r>
        <w:t>Wer nur für diejenige Sorgfalt einzustehen hat, welche er in eigenen Angelegenheiten anzuwenden pflegt, ist von der Haftung wegen grober Fahrlässigkeit nicht befreit.</w:t>
      </w:r>
    </w:p>
    <w:p>
      <w:pPr>
        <w:pStyle w:val="Heading4"/>
      </w:pPr>
      <w:bookmarkStart w:id="327" w:name="b322"/>
      <w:r>
        <w:t>§ 278 Verantwortlichkeit des Schuldners für Dritte</w:t>
      </w:r>
      <w:r>
        <w:t xml:space="preserve"> </w:t>
      </w:r>
      <w:r>
        <w:rPr>
          <w:rStyle w:val="Suchmarke"/>
        </w:rPr>
        <w:t>#278#</w:t>
      </w:r>
      <w:bookmarkEnd w:id="327"/>
    </w:p>
    <w:p>
      <w:r>
        <w:rPr>
          <w:rStyle w:val="Satznummer"/>
        </w:rPr>
        <w:t>1</w:t>
      </w:r>
      <w:r>
        <w:t xml:space="preserve">Der Schuldner hat ein Verschulden seines gesetzlichen Vertreters und der Personen, deren er sich zur Erfüllung seiner Verbindlichkeit bedient, in gleichem Umfang zu vertreten wie eigenes Verschulden. </w:t>
      </w:r>
      <w:r>
        <w:rPr>
          <w:rStyle w:val="Satznummer"/>
        </w:rPr>
        <w:t>2</w:t>
      </w:r>
      <w:r>
        <w:t xml:space="preserve">Die Vorschrift des </w:t>
      </w:r>
      <w:hyperlink w:anchor="b320" w:history="1">
        <w:r>
          <w:rPr>
            <w:color w:val="0A3A8C"/>
            <w:u w:val="single"/>
          </w:rPr>
          <w:t xml:space="preserve">§ 276</w:t>
        </w:r>
      </w:hyperlink>
      <w:r>
        <w:t xml:space="preserve"> Abs. 3 findet keine Anwendung.</w:t>
      </w:r>
    </w:p>
    <w:p>
      <w:pPr>
        <w:pStyle w:val="Heading4"/>
      </w:pPr>
      <w:bookmarkStart w:id="328" w:name="b323"/>
      <w:r>
        <w:t>§ 279</w:t>
      </w:r>
      <w:r>
        <w:t xml:space="preserve"> </w:t>
      </w:r>
      <w:r>
        <w:rPr>
          <w:rStyle w:val="Suchmarke"/>
        </w:rPr>
        <w:t>#279#</w:t>
      </w:r>
      <w:bookmarkEnd w:id="328"/>
    </w:p>
    <w:p>
      <w:r>
        <w:t>(weggefallen)</w:t>
      </w:r>
    </w:p>
    <w:p>
      <w:pPr>
        <w:pStyle w:val="Heading4"/>
      </w:pPr>
      <w:bookmarkStart w:id="329" w:name="b324"/>
      <w:r>
        <w:t>§ 280 Schadensersatz wegen Pflichtverletzung</w:t>
      </w:r>
      <w:r>
        <w:t xml:space="preserve"> </w:t>
      </w:r>
      <w:r>
        <w:rPr>
          <w:rStyle w:val="Suchmarke"/>
        </w:rPr>
        <w:t>#280#</w:t>
      </w:r>
      <w:bookmarkEnd w:id="329"/>
    </w:p>
    <w:p>
      <w:r>
        <w:t xml:space="preserve">(1) </w:t>
      </w:r>
      <w:r>
        <w:rPr>
          <w:rStyle w:val="Satznummer"/>
        </w:rPr>
        <w:t>1</w:t>
      </w:r>
      <w:r>
        <w:t xml:space="preserve">Verletzt der Schuldner eine Pflicht aus dem Schuldverhältnis, so kann der Gläubiger Ersatz des hierdurch entstehenden Schadens verlangen. </w:t>
      </w:r>
      <w:r>
        <w:rPr>
          <w:rStyle w:val="Satznummer"/>
        </w:rPr>
        <w:t>2</w:t>
      </w:r>
      <w:r>
        <w:t>Dies gilt nicht, wenn der Schuldner die Pflichtverletzung nicht zu vertreten hat.</w:t>
      </w:r>
    </w:p>
    <w:p>
      <w:r>
        <w:t xml:space="preserve">(2) Schadensersatz wegen Verzögerung der Leistung kann der Gläubiger nur unter der zusätzlichen Voraussetzung des </w:t>
      </w:r>
      <w:hyperlink w:anchor="b330" w:history="1">
        <w:r>
          <w:rPr>
            <w:color w:val="0A3A8C"/>
            <w:u w:val="single"/>
          </w:rPr>
          <w:t xml:space="preserve">§ 286</w:t>
        </w:r>
      </w:hyperlink>
      <w:r>
        <w:t xml:space="preserve"> verlangen.</w:t>
      </w:r>
    </w:p>
    <w:p>
      <w:r>
        <w:t xml:space="preserve">(3) Schadensersatz statt der Leistung kann der Gläubiger nur unter den zusätzlichen Voraussetzungen des </w:t>
      </w:r>
      <w:hyperlink w:anchor="b325" w:history="1">
        <w:r>
          <w:rPr>
            <w:color w:val="0A3A8C"/>
            <w:u w:val="single"/>
          </w:rPr>
          <w:t xml:space="preserve">§ 281</w:t>
        </w:r>
      </w:hyperlink>
      <w:r>
        <w:t xml:space="preserve">, des </w:t>
      </w:r>
      <w:hyperlink w:anchor="b326" w:history="1">
        <w:r>
          <w:rPr>
            <w:color w:val="0A3A8C"/>
            <w:u w:val="single"/>
          </w:rPr>
          <w:t xml:space="preserve">§ 282</w:t>
        </w:r>
      </w:hyperlink>
      <w:r>
        <w:t xml:space="preserve"> oder des </w:t>
      </w:r>
      <w:hyperlink w:anchor="b327" w:history="1">
        <w:r>
          <w:rPr>
            <w:color w:val="0A3A8C"/>
            <w:u w:val="single"/>
          </w:rPr>
          <w:t xml:space="preserve">§ 283</w:t>
        </w:r>
      </w:hyperlink>
      <w:r>
        <w:t xml:space="preserve"> verlangen.</w:t>
      </w:r>
    </w:p>
    <w:p>
      <w:pPr>
        <w:pStyle w:val="Heading4"/>
      </w:pPr>
      <w:bookmarkStart w:id="330" w:name="b325"/>
      <w:r>
        <w:t>§ 281 Schadensersatz statt der Leistung wegen nicht oder nicht wie geschuldet erbrachter Leistung</w:t>
      </w:r>
      <w:r>
        <w:t xml:space="preserve"> </w:t>
      </w:r>
      <w:r>
        <w:rPr>
          <w:rStyle w:val="Suchmarke"/>
        </w:rPr>
        <w:t>#281#</w:t>
      </w:r>
      <w:bookmarkEnd w:id="330"/>
    </w:p>
    <w:p>
      <w:r>
        <w:t xml:space="preserve">(1) </w:t>
      </w:r>
      <w:r>
        <w:rPr>
          <w:rStyle w:val="Satznummer"/>
        </w:rPr>
        <w:t>1</w:t>
      </w:r>
      <w:r>
        <w:t xml:space="preserve">Soweit der Schuldner die fällige Leistung nicht oder nicht wie geschuldet erbringt, kann der Gläubiger unter den Voraussetzungen des § 280 Abs. 1 Schadensersatz statt der Leistung verlangen, wenn er dem Schuldner erfolglos eine angemessene Frist zur Leistung oder Nacherfüllung bestimmt hat. </w:t>
      </w:r>
      <w:r>
        <w:rPr>
          <w:rStyle w:val="Satznummer"/>
        </w:rPr>
        <w:t>2</w:t>
      </w:r>
      <w:r>
        <w:t xml:space="preserve">Hat der Schuldner eine Teilleistung bewirkt, so kann der Gläubiger Schadensersatz statt der ganzen Leistung nur verlangen, wenn er an der Teilleistung kein Interesse hat. </w:t>
      </w:r>
      <w:r>
        <w:rPr>
          <w:rStyle w:val="Satznummer"/>
        </w:rPr>
        <w:t>3</w:t>
      </w:r>
      <w:r>
        <w:t>Hat der Schuldner die Leistung nicht wie geschuldet bewirkt, so kann der Gläubiger Schadensersatz statt der ganzen Leistung nicht verlangen, wenn die Pflichtverletzung unerheblich ist.</w:t>
      </w:r>
    </w:p>
    <w:p>
      <w:r>
        <w:t>(2) Die Fristsetzung ist entbehrlich, wenn der Schuldner die Leistung ernsthaft und endgültig verweigert oder wenn besondere Umstände vorliegen, die unter Abwägung der beiderseitigen Interessen die sofortige Geltendmachung des Schadensersatzanspruchs rechtfertigen.</w:t>
      </w:r>
    </w:p>
    <w:p>
      <w:r>
        <w:t>(3) Kommt nach der Art der Pflichtverletzung eine Fristsetzung nicht in Betracht, so tritt an deren Stelle eine Abmahnung.</w:t>
      </w:r>
    </w:p>
    <w:p>
      <w:r>
        <w:t>(4) Der Anspruch auf die Leistung ist ausgeschlossen, sobald der Gläubiger statt der Leistung Schadensersatz verlangt hat.</w:t>
      </w:r>
    </w:p>
    <w:p>
      <w:r>
        <w:t xml:space="preserve">(5) Verlangt der Gläubiger Schadensersatz statt der ganzen Leistung, so ist der Schuldner zur Rückforderung des Geleisteten nach den </w:t>
      </w:r>
      <w:hyperlink w:anchor="b451" w:history="1">
        <w:r>
          <w:rPr>
            <w:color w:val="0A3A8C"/>
            <w:u w:val="single"/>
          </w:rPr>
          <w:t xml:space="preserve">§§ 346</w:t>
        </w:r>
      </w:hyperlink>
      <w:r>
        <w:t xml:space="preserve"> bis </w:t>
      </w:r>
      <w:hyperlink w:anchor="b453" w:history="1">
        <w:r>
          <w:rPr>
            <w:color w:val="0A3A8C"/>
            <w:u w:val="single"/>
          </w:rPr>
          <w:t xml:space="preserve">348</w:t>
        </w:r>
      </w:hyperlink>
      <w:r>
        <w:t xml:space="preserve"> berechtigt.</w:t>
      </w:r>
    </w:p>
    <w:p>
      <w:pPr>
        <w:pStyle w:val="Heading4"/>
      </w:pPr>
      <w:bookmarkStart w:id="331" w:name="b326"/>
      <w:r>
        <w:t>§ 282 Schadensersatz statt der Leistung wegen Verletzung einer Pflicht nach § 241 Abs. 2</w:t>
      </w:r>
      <w:r>
        <w:t xml:space="preserve"> </w:t>
      </w:r>
      <w:r>
        <w:rPr>
          <w:rStyle w:val="Suchmarke"/>
        </w:rPr>
        <w:t>#282#</w:t>
      </w:r>
      <w:bookmarkEnd w:id="331"/>
    </w:p>
    <w:p>
      <w:r>
        <w:t xml:space="preserve">Verletzt der Schuldner eine Pflicht nach </w:t>
      </w:r>
      <w:hyperlink w:anchor="b282" w:history="1">
        <w:r>
          <w:rPr>
            <w:color w:val="0A3A8C"/>
            <w:u w:val="single"/>
          </w:rPr>
          <w:t xml:space="preserve">§ 241</w:t>
        </w:r>
      </w:hyperlink>
      <w:r>
        <w:t xml:space="preserve"> Abs. 2, kann der Gläubiger unter den Voraussetzungen des § 280 Abs. 1 Schadensersatz statt der Leistung verlangen, wenn ihm die Leistung durch den Schuldner nicht mehr zuzumuten ist.</w:t>
      </w:r>
    </w:p>
    <w:p>
      <w:pPr>
        <w:pStyle w:val="Heading4"/>
      </w:pPr>
      <w:bookmarkStart w:id="332" w:name="b327"/>
      <w:r>
        <w:t>§ 283 Schadensersatz statt der Leistung bei Ausschluss der Leistungspflicht</w:t>
      </w:r>
      <w:r>
        <w:t xml:space="preserve"> </w:t>
      </w:r>
      <w:r>
        <w:rPr>
          <w:rStyle w:val="Suchmarke"/>
        </w:rPr>
        <w:t>#283#</w:t>
      </w:r>
      <w:bookmarkEnd w:id="332"/>
    </w:p>
    <w:p>
      <w:r>
        <w:rPr>
          <w:rStyle w:val="Satznummer"/>
        </w:rPr>
        <w:t>1</w:t>
      </w:r>
      <w:r>
        <w:t xml:space="preserve">Braucht der Schuldner nach </w:t>
      </w:r>
      <w:hyperlink w:anchor="b319" w:history="1">
        <w:r>
          <w:rPr>
            <w:color w:val="0A3A8C"/>
            <w:u w:val="single"/>
          </w:rPr>
          <w:t xml:space="preserve">§ 275</w:t>
        </w:r>
      </w:hyperlink>
      <w:r>
        <w:t xml:space="preserve"> Abs. 1 bis 3 nicht zu leisten, kann der Gläubiger unter den Voraussetzungen des § 280 Abs. 1 Schadensersatz statt der Leistung verlangen. </w:t>
      </w:r>
      <w:r>
        <w:rPr>
          <w:rStyle w:val="Satznummer"/>
        </w:rPr>
        <w:t>2</w:t>
      </w:r>
      <w:hyperlink w:anchor="b325" w:history="1">
        <w:r>
          <w:rPr>
            <w:color w:val="0A3A8C"/>
            <w:u w:val="single"/>
          </w:rPr>
          <w:t xml:space="preserve">§ 281</w:t>
        </w:r>
      </w:hyperlink>
      <w:r>
        <w:t xml:space="preserve"> Abs. 1 Satz 2 und 3 und Abs. 5 findet entsprechende Anwendung.</w:t>
      </w:r>
    </w:p>
    <w:p>
      <w:pPr>
        <w:pStyle w:val="Heading4"/>
      </w:pPr>
      <w:bookmarkStart w:id="333" w:name="b328"/>
      <w:r>
        <w:t>§ 284 Ersatz vergeblicher Aufwendungen</w:t>
      </w:r>
      <w:r>
        <w:t xml:space="preserve"> </w:t>
      </w:r>
      <w:r>
        <w:rPr>
          <w:rStyle w:val="Suchmarke"/>
        </w:rPr>
        <w:t>#284#</w:t>
      </w:r>
      <w:bookmarkEnd w:id="333"/>
    </w:p>
    <w:p>
      <w:r>
        <w:t>Anstelle des Schadensersatzes statt der Leistung kann der Gläubiger Ersatz der Aufwendungen verlangen, die er im Vertrauen auf den Erhalt der Leistung gemacht hat und billigerweise machen durfte, es sei denn, deren Zweck wäre auch ohne die Pflichtverletzung des Schuldners nicht erreicht worden.</w:t>
      </w:r>
    </w:p>
    <w:p>
      <w:pPr>
        <w:pStyle w:val="Heading4"/>
      </w:pPr>
      <w:bookmarkStart w:id="334" w:name="b329"/>
      <w:r>
        <w:t>§ 285 Herausgabe des Ersatzes</w:t>
      </w:r>
      <w:r>
        <w:t xml:space="preserve"> </w:t>
      </w:r>
      <w:r>
        <w:rPr>
          <w:rStyle w:val="Suchmarke"/>
        </w:rPr>
        <w:t>#285#</w:t>
      </w:r>
      <w:bookmarkEnd w:id="334"/>
    </w:p>
    <w:p>
      <w:r>
        <w:t xml:space="preserve">(1) Erlangt der Schuldner infolge des Umstands, auf Grund dessen er die Leistung nach </w:t>
      </w:r>
      <w:hyperlink w:anchor="b319" w:history="1">
        <w:r>
          <w:rPr>
            <w:color w:val="0A3A8C"/>
            <w:u w:val="single"/>
          </w:rPr>
          <w:t xml:space="preserve">§ 275</w:t>
        </w:r>
      </w:hyperlink>
      <w:r>
        <w:t xml:space="preserve"> Abs. 1 bis 3 nicht zu erbringen braucht, für den geschuldeten Gegenstand einen Ersatz oder einen Ersatzanspruch, so kann der Gläubiger Herausgabe des als Ersatz Empfangenen oder Abtretung des Ersatzanspruchs verlangen.</w:t>
      </w:r>
    </w:p>
    <w:p>
      <w:r>
        <w:t>(2) Kann der Gläubiger statt der Leistung Schadensersatz verlangen, so mindert sich dieser, wenn er von dem in Absatz 1 bestimmten Recht Gebrauch macht, um den Wert des erlangten Ersatzes oder Ersatzanspruchs.</w:t>
      </w:r>
    </w:p>
    <w:p>
      <w:pPr>
        <w:pStyle w:val="Heading4"/>
      </w:pPr>
      <w:bookmarkStart w:id="335" w:name="b330"/>
      <w:r>
        <w:t>§ 286 Verzug des Schuldners</w:t>
      </w:r>
      <w:r>
        <w:t xml:space="preserve"> </w:t>
      </w:r>
      <w:r>
        <w:rPr>
          <w:rStyle w:val="Suchmarke"/>
        </w:rPr>
        <w:t>#286#</w:t>
      </w:r>
      <w:bookmarkEnd w:id="335"/>
    </w:p>
    <w:p>
      <w:hyperlink w:anchor="f330_1" w:history="1">
        <w:r>
          <w:rPr>
            <w:rStyle w:val="Fussnotenmarke"/>
            <w:u w:val="single"/>
            <w:color w:val="0A3A8C"/>
          </w:rPr>
          <w:t>1</w:t>
        </w:r>
      </w:hyperlink>
    </w:p>
    <w:p>
      <w:r>
        <w:t xml:space="preserve">(1) </w:t>
      </w:r>
      <w:r>
        <w:rPr>
          <w:rStyle w:val="Satznummer"/>
        </w:rPr>
        <w:t>1</w:t>
      </w:r>
      <w:r>
        <w:t xml:space="preserve">Leistet der Schuldner auf eine Mahnung des Gläubigers nicht, die nach dem Eintritt der Fälligkeit erfolgt, so kommt er durch die Mahnung in Verzug. </w:t>
      </w:r>
      <w:r>
        <w:rPr>
          <w:rStyle w:val="Satznummer"/>
        </w:rPr>
        <w:t>2</w:t>
      </w:r>
      <w:r>
        <w:t>Der Mahnung stehen die Erhebung der Klage auf die Leistung sowie die Zustellung eines Mahnbescheids im Mahnverfahren gleich.</w:t>
      </w:r>
    </w:p>
    <w:p>
      <w:r>
        <w:t>(2) Der Mahnung bedarf es nicht, wenn</w:t>
      </w:r>
    </w:p>
    <w:p>
      <w:pPr>
        <w:tabs>
          <w:tab w:pos="567" w:val="left"/>
        </w:tabs>
        <w:ind w:left="567" w:hanging="567"/>
      </w:pPr>
      <w:r>
        <w:t>1.</w:t>
      </w:r>
      <w:r>
        <w:tab/>
      </w:r>
      <w:r>
        <w:t>für die Leistung eine Zeit nach dem Kalender bestimmt ist,</w:t>
      </w:r>
    </w:p>
    <w:p>
      <w:pPr>
        <w:tabs>
          <w:tab w:pos="567" w:val="left"/>
        </w:tabs>
        <w:ind w:left="567" w:hanging="567"/>
      </w:pPr>
      <w:r>
        <w:t>2.</w:t>
      </w:r>
      <w:r>
        <w:tab/>
      </w:r>
      <w:r>
        <w:t>der Leistung ein Ereignis vorauszugehen hat und eine angemessene Zeit für die Leistung in der Weise bestimmt ist, dass sie sich von dem Ereignis an nach dem Kalender berechnen lässt,</w:t>
      </w:r>
    </w:p>
    <w:p>
      <w:pPr>
        <w:tabs>
          <w:tab w:pos="567" w:val="left"/>
        </w:tabs>
        <w:ind w:left="567" w:hanging="567"/>
      </w:pPr>
      <w:r>
        <w:t>3.</w:t>
      </w:r>
      <w:r>
        <w:tab/>
      </w:r>
      <w:r>
        <w:t>der Schuldner die Leistung ernsthaft und endgültig verweigert,</w:t>
      </w:r>
    </w:p>
    <w:p>
      <w:pPr>
        <w:tabs>
          <w:tab w:pos="567" w:val="left"/>
        </w:tabs>
        <w:ind w:left="567" w:hanging="567"/>
      </w:pPr>
      <w:r>
        <w:t>4.</w:t>
      </w:r>
      <w:r>
        <w:tab/>
      </w:r>
      <w:r>
        <w:t>aus besonderen Gründen unter Abwägung der beiderseitigen Interessen der sofortige Eintritt des Verzugs gerechtfertigt ist.</w:t>
      </w:r>
    </w:p>
    <w:p>
      <w:r>
        <w:t xml:space="preserve">(3) </w:t>
      </w:r>
      <w:r>
        <w:rPr>
          <w:rStyle w:val="Satznummer"/>
        </w:rPr>
        <w:t>1</w:t>
      </w:r>
      <w:r>
        <w:t xml:space="preserve">Der Schuldner einer Entgeltforderung kommt spätestens in Verzug, wenn er nicht innerhalb von 30 Tagen nach Fälligkeit und Zugang einer Rechnung oder gleichwertigen Zahlungsaufstellung leistet; dies gilt gegenüber einem Schuldner, der Verbraucher ist, nur, wenn auf diese Folgen in der Rechnung oder Zahlungsaufstellung besonders hingewiesen worden ist. </w:t>
      </w:r>
      <w:r>
        <w:rPr>
          <w:rStyle w:val="Satznummer"/>
        </w:rPr>
        <w:t>2</w:t>
      </w:r>
      <w:r>
        <w:t>Wenn der Zeitpunkt des Zugangs der Rechnung oder Zahlungsaufstellung unsicher ist, kommt der Schuldner, der nicht Verbraucher ist, spätestens 30 Tage nach Fälligkeit und Empfang der Gegenleistung in Verzug.</w:t>
      </w:r>
    </w:p>
    <w:p>
      <w:r>
        <w:t>(4) Der Schuldner kommt nicht in Verzug, solange die Leistung infolge eines Umstands unterbleibt, den er nicht zu vertreten hat.</w:t>
      </w:r>
    </w:p>
    <w:p>
      <w:r>
        <w:t xml:space="preserve">(5) Für eine von den Absätzen 1 bis 3 abweichende Vereinbarung über den Eintritt des Verzugs gilt </w:t>
      </w:r>
      <w:hyperlink w:anchor="b315" w:history="1">
        <w:r>
          <w:rPr>
            <w:color w:val="0A3A8C"/>
            <w:u w:val="single"/>
          </w:rPr>
          <w:t xml:space="preserve">§ 271a</w:t>
        </w:r>
      </w:hyperlink>
      <w:r>
        <w:t xml:space="preserve"> Absatz 1 bis 5 entsprechend.</w:t>
      </w:r>
    </w:p>
    <w:p>
      <w:pPr>
        <w:pStyle w:val="Fußnote"/>
      </w:pPr>
      <w:bookmarkStart w:id="336" w:name="f330_1"/>
      <w:r>
        <w:rPr>
          <w:rStyle w:val="Zusatz"/>
          <w:b/>
        </w:rPr>
        <w:t xml:space="preserve">Fußnote 1: </w:t>
      </w:r>
      <w:r>
        <w:rPr>
          <w:b/>
        </w:rPr>
        <w:t>Amtlicher Hinweis:</w:t>
      </w:r>
      <w:r>
        <w:br/>
      </w:r>
      <w:r>
        <w:t>Diese Vorschrift dient zum Teil auch der Umsetzung der Richtlinie 2000/35/EG des Europäischen Parlaments und des Rates vom 29. Juni 2000 zur Bekämpfung von Zahlungsverzug im Geschäftsverkehr (ABl. EG Nr. L 200 S. 35).</w:t>
      </w:r>
      <w:bookmarkEnd w:id="336"/>
    </w:p>
    <w:p>
      <w:pPr>
        <w:pStyle w:val="Heading4"/>
      </w:pPr>
      <w:bookmarkStart w:id="337" w:name="b331"/>
      <w:r>
        <w:t>§ 287 Verantwortlichkeit während des Verzugs</w:t>
      </w:r>
      <w:r>
        <w:t xml:space="preserve"> </w:t>
      </w:r>
      <w:r>
        <w:rPr>
          <w:rStyle w:val="Suchmarke"/>
        </w:rPr>
        <w:t>#287#</w:t>
      </w:r>
      <w:bookmarkEnd w:id="337"/>
    </w:p>
    <w:p>
      <w:r>
        <w:rPr>
          <w:rStyle w:val="Satznummer"/>
        </w:rPr>
        <w:t>1</w:t>
      </w:r>
      <w:r>
        <w:t xml:space="preserve">Der Schuldner hat während des Verzugs jede Fahrlässigkeit zu vertreten. </w:t>
      </w:r>
      <w:r>
        <w:rPr>
          <w:rStyle w:val="Satznummer"/>
        </w:rPr>
        <w:t>2</w:t>
      </w:r>
      <w:r>
        <w:t>Er haftet wegen der Leistung auch für Zufall, es sei denn, dass der Schaden auch bei rechtzeitiger Leistung eingetreten sein würde.</w:t>
      </w:r>
    </w:p>
    <w:p>
      <w:pPr>
        <w:pStyle w:val="Heading4"/>
      </w:pPr>
      <w:bookmarkStart w:id="338" w:name="b332"/>
      <w:r>
        <w:t>§ 288 Verzugszinsen und sonstiger Verzugsschaden</w:t>
      </w:r>
      <w:r>
        <w:t xml:space="preserve"> </w:t>
      </w:r>
      <w:r>
        <w:rPr>
          <w:rStyle w:val="Suchmarke"/>
        </w:rPr>
        <w:t>#288#</w:t>
      </w:r>
      <w:bookmarkEnd w:id="338"/>
    </w:p>
    <w:p>
      <w:hyperlink w:anchor="f332_1" w:history="1">
        <w:r>
          <w:rPr>
            <w:rStyle w:val="Fussnotenmarke"/>
            <w:u w:val="single"/>
            <w:color w:val="0A3A8C"/>
          </w:rPr>
          <w:t>1</w:t>
        </w:r>
      </w:hyperlink>
    </w:p>
    <w:p>
      <w:r>
        <w:t xml:space="preserve">(1) </w:t>
      </w:r>
      <w:r>
        <w:rPr>
          <w:rStyle w:val="Satznummer"/>
        </w:rPr>
        <w:t>1</w:t>
      </w:r>
      <w:r>
        <w:t xml:space="preserve">Eine Geldschuld ist während des Verzugs zu verzinsen. </w:t>
      </w:r>
      <w:r>
        <w:rPr>
          <w:rStyle w:val="Satznummer"/>
        </w:rPr>
        <w:t>2</w:t>
      </w:r>
      <w:r>
        <w:t>Der Verzugszinssatz beträgt für das Jahr fünf Prozentpunkte über dem Basiszinssatz.</w:t>
      </w:r>
    </w:p>
    <w:p>
      <w:r>
        <w:t>(2) Bei Rechtsgeschäften, an denen ein Verbraucher nicht beteiligt ist, beträgt der Zinssatz für Entgeltforderungen neun Prozentpunkte über dem Basiszinssatz.</w:t>
      </w:r>
    </w:p>
    <w:p>
      <w:r>
        <w:t>(3) Der Gläubiger kann aus einem anderen Rechtsgrund höhere Zinsen verlangen.</w:t>
      </w:r>
    </w:p>
    <w:p>
      <w:r>
        <w:t>(4) Die Geltendmachung eines weiteren Schadens ist nicht ausgeschlossen.</w:t>
      </w:r>
    </w:p>
    <w:p>
      <w:r>
        <w:t xml:space="preserve">(5) </w:t>
      </w:r>
      <w:r>
        <w:rPr>
          <w:rStyle w:val="Satznummer"/>
        </w:rPr>
        <w:t>1</w:t>
      </w:r>
      <w:r>
        <w:t xml:space="preserve">Der Gläubiger einer Entgeltforderung hat bei Verzug des Schuldners, wenn dieser kein Verbraucher ist, außerdem einen Anspruch auf Zahlung einer Pauschale in Höhe von 40 Euro. </w:t>
      </w:r>
      <w:r>
        <w:rPr>
          <w:rStyle w:val="Satznummer"/>
        </w:rPr>
        <w:t>2</w:t>
      </w:r>
      <w:r>
        <w:t xml:space="preserve">Dies gilt auch, wenn es sich bei der Entgeltforderung um eine Abschlagszahlung oder sonstige Ratenzahlung handelt. </w:t>
      </w:r>
      <w:r>
        <w:rPr>
          <w:rStyle w:val="Satznummer"/>
        </w:rPr>
        <w:t>3</w:t>
      </w:r>
      <w:r>
        <w:t>Die Pauschale nach Satz 1 ist auf einen geschuldeten Schadensersatz anzurechnen, soweit der Schaden in Kosten der Rechtsverfolgung begründet ist.</w:t>
      </w:r>
    </w:p>
    <w:p>
      <w:r>
        <w:t xml:space="preserve">(6) </w:t>
      </w:r>
      <w:r>
        <w:rPr>
          <w:rStyle w:val="Satznummer"/>
        </w:rPr>
        <w:t>1</w:t>
      </w:r>
      <w:r>
        <w:t xml:space="preserve">Eine im Voraus getroffene Vereinbarung, die den Anspruch des Gläubigers einer Entgeltforderung auf Verzugszinsen ausschließt, ist unwirksam. </w:t>
      </w:r>
      <w:r>
        <w:rPr>
          <w:rStyle w:val="Satznummer"/>
        </w:rPr>
        <w:t>2</w:t>
      </w:r>
      <w:r>
        <w:t xml:space="preserve">Gleiches gilt für eine Vereinbarung, die diesen Anspruch beschränkt oder den Anspruch des Gläubigers einer Entgeltforderung auf die Pauschale nach Absatz 5 oder auf Ersatz des Schadens, der in Kosten der Rechtsverfolgung begründet ist, ausschließt oder beschränkt, wenn sie im Hinblick auf die Belange des Gläubigers grob unbillig ist. </w:t>
      </w:r>
      <w:r>
        <w:rPr>
          <w:rStyle w:val="Satznummer"/>
        </w:rPr>
        <w:t>3</w:t>
      </w:r>
      <w:r>
        <w:t xml:space="preserve">Eine Vereinbarung über den Ausschluss der Pauschale nach Absatz 5 oder des Ersatzes des Schadens, der in Kosten der Rechtsverfolgung begründet ist, ist im Zweifel als grob unbillig anzusehen. </w:t>
      </w:r>
      <w:r>
        <w:rPr>
          <w:rStyle w:val="Satznummer"/>
        </w:rPr>
        <w:t>4</w:t>
      </w:r>
      <w:r>
        <w:t>Die Sätze 1 bis 3 sind nicht anzuwenden, wenn sich der Anspruch gegen einen Verbraucher richtet.</w:t>
      </w:r>
    </w:p>
    <w:p>
      <w:pPr>
        <w:pStyle w:val="Fußnote"/>
      </w:pPr>
      <w:bookmarkStart w:id="339" w:name="f332_1"/>
      <w:r>
        <w:rPr>
          <w:rStyle w:val="Zusatz"/>
          <w:b/>
        </w:rPr>
        <w:t xml:space="preserve">Fußnote 1: </w:t>
      </w:r>
      <w:r>
        <w:rPr>
          <w:b/>
        </w:rPr>
        <w:t>Amtlicher Hinweis:</w:t>
      </w:r>
      <w:r>
        <w:br/>
      </w:r>
      <w:r>
        <w:t>Diese Vorschrift dient zum Teil auch der Umsetzung der Richtlinie 2000/35/EG des Europäischen Parlaments und des Rates vom 29. Juni 2000 zur Bekämpfung von Zahlungsverzug im Geschäftsverkehr (ABl. EG Nr. L 200 S. 35).</w:t>
      </w:r>
      <w:bookmarkEnd w:id="339"/>
    </w:p>
    <w:p>
      <w:pPr>
        <w:pStyle w:val="Heading4"/>
      </w:pPr>
      <w:bookmarkStart w:id="340" w:name="b333"/>
      <w:r>
        <w:t>§ 289 Zinseszinsverbot</w:t>
      </w:r>
      <w:r>
        <w:t xml:space="preserve"> </w:t>
      </w:r>
      <w:r>
        <w:rPr>
          <w:rStyle w:val="Suchmarke"/>
        </w:rPr>
        <w:t>#289#</w:t>
      </w:r>
      <w:bookmarkEnd w:id="340"/>
    </w:p>
    <w:p>
      <w:r>
        <w:rPr>
          <w:rStyle w:val="Satznummer"/>
        </w:rPr>
        <w:t>1</w:t>
      </w:r>
      <w:r>
        <w:t xml:space="preserve">Von Zinsen sind Verzugszinsen nicht zu entrichten. </w:t>
      </w:r>
      <w:r>
        <w:rPr>
          <w:rStyle w:val="Satznummer"/>
        </w:rPr>
        <w:t>2</w:t>
      </w:r>
      <w:r>
        <w:t>Das Recht des Gläubigers auf Ersatz des durch den Verzug entstehenden Schadens bleibt unberührt.</w:t>
      </w:r>
    </w:p>
    <w:p>
      <w:pPr>
        <w:pStyle w:val="Heading4"/>
      </w:pPr>
      <w:bookmarkStart w:id="341" w:name="b334"/>
      <w:r>
        <w:t>§ 290 Verzinsung des Wertersatzes</w:t>
      </w:r>
      <w:r>
        <w:t xml:space="preserve"> </w:t>
      </w:r>
      <w:r>
        <w:rPr>
          <w:rStyle w:val="Suchmarke"/>
        </w:rPr>
        <w:t>#290#</w:t>
      </w:r>
      <w:bookmarkEnd w:id="341"/>
    </w:p>
    <w:p>
      <w:r>
        <w:rPr>
          <w:rStyle w:val="Satznummer"/>
        </w:rPr>
        <w:t>1</w:t>
      </w:r>
      <w:r>
        <w:t xml:space="preserve">Ist der Schuldner zum Ersatz des Wertes eines Gegenstands verpflichtet, der während des Verzugs untergegangen ist oder aus einem während des Verzugs eingetretenen Grund nicht herausgegeben werden kann, so kann der Gläubiger Zinsen des zu ersetzenden Betrags von dem Zeitpunkt an verlangen, welcher der Bestimmung des Wertes zugrunde gelegt wird. </w:t>
      </w:r>
      <w:r>
        <w:rPr>
          <w:rStyle w:val="Satznummer"/>
        </w:rPr>
        <w:t>2</w:t>
      </w:r>
      <w:r>
        <w:t>Das Gleiche gilt, wenn der Schuldner zum Ersatz der Minderung des Wertes eines während des Verzugs verschlechterten Gegenstands verpflichtet ist.</w:t>
      </w:r>
    </w:p>
    <w:p>
      <w:pPr>
        <w:pStyle w:val="Heading4"/>
      </w:pPr>
      <w:bookmarkStart w:id="342" w:name="b335"/>
      <w:r>
        <w:t>§ 291 Prozesszinsen</w:t>
      </w:r>
      <w:r>
        <w:t xml:space="preserve"> </w:t>
      </w:r>
      <w:r>
        <w:rPr>
          <w:rStyle w:val="Suchmarke"/>
        </w:rPr>
        <w:t>#291#</w:t>
      </w:r>
      <w:bookmarkEnd w:id="342"/>
    </w:p>
    <w:p>
      <w:r>
        <w:rPr>
          <w:rStyle w:val="Satznummer"/>
        </w:rPr>
        <w:t>1</w:t>
      </w:r>
      <w:r>
        <w:t xml:space="preserve">Eine Geldschuld hat der Schuldner von dem Eintritt der Rechtshängigkeit an zu verzinsen, auch wenn er nicht im Verzug ist; wird die Schuld erst später fällig, so ist sie von der Fälligkeit an zu verzinsen. </w:t>
      </w:r>
      <w:r>
        <w:rPr>
          <w:rStyle w:val="Satznummer"/>
        </w:rPr>
        <w:t>2</w:t>
      </w:r>
      <w:r>
        <w:t xml:space="preserve">Die Vorschriften des </w:t>
      </w:r>
      <w:hyperlink w:anchor="b332" w:history="1">
        <w:r>
          <w:rPr>
            <w:color w:val="0A3A8C"/>
            <w:u w:val="single"/>
          </w:rPr>
          <w:t xml:space="preserve">§ 288</w:t>
        </w:r>
      </w:hyperlink>
      <w:r>
        <w:t xml:space="preserve"> Abs. 1 Satz 2, Abs. 2, Abs. 3 und des </w:t>
      </w:r>
      <w:hyperlink w:anchor="b333" w:history="1">
        <w:r>
          <w:rPr>
            <w:color w:val="0A3A8C"/>
            <w:u w:val="single"/>
          </w:rPr>
          <w:t xml:space="preserve">§ 289</w:t>
        </w:r>
      </w:hyperlink>
      <w:r>
        <w:t xml:space="preserve"> Satz 1 finden entsprechende Anwendung.</w:t>
      </w:r>
    </w:p>
    <w:p>
      <w:pPr>
        <w:pStyle w:val="Heading4"/>
      </w:pPr>
      <w:bookmarkStart w:id="343" w:name="b336"/>
      <w:r>
        <w:t>§ 292 Haftung bei Herausgabepflicht</w:t>
      </w:r>
      <w:r>
        <w:t xml:space="preserve"> </w:t>
      </w:r>
      <w:r>
        <w:rPr>
          <w:rStyle w:val="Suchmarke"/>
        </w:rPr>
        <w:t>#292#</w:t>
      </w:r>
      <w:bookmarkEnd w:id="343"/>
    </w:p>
    <w:p>
      <w:r>
        <w:t>(1) Hat der Schuldner einen bestimmten Gegenstand herauszugeben, so bestimmt sich von dem Eintritt der Rechtshängigkeit an der Anspruch des Gläubigers auf Schadensersatz wegen Verschlechterung, Untergangs oder einer aus einem anderen Grunde eintretenden Unmöglichkeit der Herausgabe nach den Vorschriften, welche für das Verhältnis zwischen dem Eigentümer und dem Besitzer von dem Eintritt der Rechtshängigkeit des Eigentumsanspruchs an gelten, soweit nicht aus dem Schuldverhältnis oder dem Verzug des Schuldners sich zugunsten des Gläubigers ein anderes ergibt.</w:t>
      </w:r>
    </w:p>
    <w:p>
      <w:r>
        <w:t>(2) Das Gleiche gilt von dem Anspruch des Gläubigers auf Herausgabe oder Vergütung von Nutzungen und von dem Anspruch des Schuldners auf Ersatz von Verwendungen.</w:t>
      </w:r>
    </w:p>
    <w:p>
      <w:pPr>
        <w:pStyle w:val="Heading3"/>
      </w:pPr>
      <w:bookmarkStart w:id="344" w:name="b337"/>
      <w:r>
        <w:t>Titel 2 Verzug des Gläubigers</w:t>
      </w:r>
      <w:bookmarkEnd w:id="344"/>
    </w:p>
    <w:p>
      <w:pPr>
        <w:pStyle w:val="Heading4"/>
      </w:pPr>
      <w:bookmarkStart w:id="345" w:name="b338"/>
      <w:r>
        <w:t>§ 293 Annahmeverzug</w:t>
      </w:r>
      <w:r>
        <w:t xml:space="preserve"> </w:t>
      </w:r>
      <w:r>
        <w:rPr>
          <w:rStyle w:val="Suchmarke"/>
        </w:rPr>
        <w:t>#293#</w:t>
      </w:r>
      <w:bookmarkEnd w:id="345"/>
    </w:p>
    <w:p>
      <w:r>
        <w:t>Der Gläubiger kommt in Verzug, wenn er die ihm angebotene Leistung nicht annimmt.</w:t>
      </w:r>
    </w:p>
    <w:p>
      <w:pPr>
        <w:pStyle w:val="Heading4"/>
      </w:pPr>
      <w:bookmarkStart w:id="346" w:name="b339"/>
      <w:r>
        <w:t>§ 294 Tatsächliches Angebot</w:t>
      </w:r>
      <w:r>
        <w:t xml:space="preserve"> </w:t>
      </w:r>
      <w:r>
        <w:rPr>
          <w:rStyle w:val="Suchmarke"/>
        </w:rPr>
        <w:t>#294#</w:t>
      </w:r>
      <w:bookmarkEnd w:id="346"/>
    </w:p>
    <w:p>
      <w:r>
        <w:t>Die Leistung muss dem Gläubiger so, wie sie zu bewirken ist, tatsächlich angeboten werden.</w:t>
      </w:r>
    </w:p>
    <w:p>
      <w:pPr>
        <w:pStyle w:val="Heading4"/>
      </w:pPr>
      <w:bookmarkStart w:id="347" w:name="b340"/>
      <w:r>
        <w:t>§ 295 Wörtliches Angebot</w:t>
      </w:r>
      <w:r>
        <w:t xml:space="preserve"> </w:t>
      </w:r>
      <w:r>
        <w:rPr>
          <w:rStyle w:val="Suchmarke"/>
        </w:rPr>
        <w:t>#295#</w:t>
      </w:r>
      <w:bookmarkEnd w:id="347"/>
    </w:p>
    <w:p>
      <w:r>
        <w:rPr>
          <w:rStyle w:val="Satznummer"/>
        </w:rPr>
        <w:t>1</w:t>
      </w:r>
      <w:r>
        <w:t xml:space="preserve">Ein wörtliches Angebot des Schuldners genügt, wenn der Gläubiger ihm erklärt hat, dass er die Leistung nicht annehmen werde, oder wenn zur Bewirkung der Leistung eine Handlung des Gläubigers erforderlich ist, insbesondere wenn der Gläubiger die geschuldete Sache abzuholen hat. </w:t>
      </w:r>
      <w:r>
        <w:rPr>
          <w:rStyle w:val="Satznummer"/>
        </w:rPr>
        <w:t>2</w:t>
      </w:r>
      <w:r>
        <w:t>Dem Angebot der Leistung steht die Aufforderung an den Gläubiger gleich, die erforderliche Handlung vorzunehmen.</w:t>
      </w:r>
    </w:p>
    <w:p>
      <w:pPr>
        <w:pStyle w:val="Heading4"/>
      </w:pPr>
      <w:bookmarkStart w:id="348" w:name="b341"/>
      <w:r>
        <w:t>§ 296 Entbehrlichkeit des Angebots</w:t>
      </w:r>
      <w:r>
        <w:t xml:space="preserve"> </w:t>
      </w:r>
      <w:r>
        <w:rPr>
          <w:rStyle w:val="Suchmarke"/>
        </w:rPr>
        <w:t>#296#</w:t>
      </w:r>
      <w:bookmarkEnd w:id="348"/>
    </w:p>
    <w:p>
      <w:r>
        <w:rPr>
          <w:rStyle w:val="Satznummer"/>
        </w:rPr>
        <w:t>1</w:t>
      </w:r>
      <w:r>
        <w:t xml:space="preserve">Ist für die von dem Gläubiger vorzunehmende Handlung eine Zeit nach dem Kalender bestimmt, so bedarf es des Angebots nur, wenn der Gläubiger die Handlung rechtzeitig vornimmt. </w:t>
      </w:r>
      <w:r>
        <w:rPr>
          <w:rStyle w:val="Satznummer"/>
        </w:rPr>
        <w:t>2</w:t>
      </w:r>
      <w:r>
        <w:t>Das Gleiche gilt, wenn der Handlung ein Ereignis vorauszugehen hat und eine angemessene Zeit für die Handlung in der Weise bestimmt ist, dass sie sich von dem Ereignis an nach dem Kalender berechnen lässt.</w:t>
      </w:r>
    </w:p>
    <w:p>
      <w:pPr>
        <w:pStyle w:val="Heading4"/>
      </w:pPr>
      <w:bookmarkStart w:id="349" w:name="b342"/>
      <w:r>
        <w:t>§ 297 Unvermögen des Schuldners</w:t>
      </w:r>
      <w:r>
        <w:t xml:space="preserve"> </w:t>
      </w:r>
      <w:r>
        <w:rPr>
          <w:rStyle w:val="Suchmarke"/>
        </w:rPr>
        <w:t>#297#</w:t>
      </w:r>
      <w:bookmarkEnd w:id="349"/>
    </w:p>
    <w:p>
      <w:r>
        <w:t xml:space="preserve">Der Gläubiger kommt nicht in Verzug, wenn der Schuldner zur Zeit des Angebots oder im Falle des </w:t>
      </w:r>
      <w:hyperlink w:anchor="b341" w:history="1">
        <w:r>
          <w:rPr>
            <w:color w:val="0A3A8C"/>
            <w:u w:val="single"/>
          </w:rPr>
          <w:t xml:space="preserve">§ 296</w:t>
        </w:r>
      </w:hyperlink>
      <w:r>
        <w:t xml:space="preserve"> zu der für die Handlung des Gläubigers bestimmten Zeit außerstande ist, die Leistung zu bewirken.</w:t>
      </w:r>
    </w:p>
    <w:p>
      <w:pPr>
        <w:pStyle w:val="Heading4"/>
      </w:pPr>
      <w:bookmarkStart w:id="350" w:name="b343"/>
      <w:r>
        <w:t>§ 298 Zug-um-Zug-Leistungen</w:t>
      </w:r>
      <w:r>
        <w:t xml:space="preserve"> </w:t>
      </w:r>
      <w:r>
        <w:rPr>
          <w:rStyle w:val="Suchmarke"/>
        </w:rPr>
        <w:t>#298#</w:t>
      </w:r>
      <w:bookmarkEnd w:id="350"/>
    </w:p>
    <w:p>
      <w:r>
        <w:t>Ist der Schuldner nur gegen eine Leistung des Gläubigers zu leisten verpflichtet, so kommt der Gläubiger in Verzug, wenn er zwar die angebotene Leistung anzunehmen bereit ist, die verlangte Gegenleistung aber nicht anbietet.</w:t>
      </w:r>
    </w:p>
    <w:p>
      <w:pPr>
        <w:pStyle w:val="Heading4"/>
      </w:pPr>
      <w:bookmarkStart w:id="351" w:name="b344"/>
      <w:r>
        <w:t>§ 299 Vorübergehende Annahmeverhinderung</w:t>
      </w:r>
      <w:r>
        <w:t xml:space="preserve"> </w:t>
      </w:r>
      <w:r>
        <w:rPr>
          <w:rStyle w:val="Suchmarke"/>
        </w:rPr>
        <w:t>#299#</w:t>
      </w:r>
      <w:bookmarkEnd w:id="351"/>
    </w:p>
    <w:p>
      <w:r>
        <w:t>Ist die Leistungszeit nicht bestimmt oder ist der Schuldner berechtigt, vor der bestimmten Zeit zu leisten, so kommt der Gläubiger nicht dadurch in Verzug, dass er vorübergehend an der Annahme der angebotenen Leistung verhindert ist, es sei denn, dass der Schuldner ihm die Leistung eine angemessene Zeit vorher angekündigt hat.</w:t>
      </w:r>
    </w:p>
    <w:p>
      <w:pPr>
        <w:pStyle w:val="Heading4"/>
      </w:pPr>
      <w:bookmarkStart w:id="352" w:name="b345"/>
      <w:r>
        <w:t>§ 300 Wirkungen des Gläubigerverzugs</w:t>
      </w:r>
      <w:r>
        <w:t xml:space="preserve"> </w:t>
      </w:r>
      <w:r>
        <w:rPr>
          <w:rStyle w:val="Suchmarke"/>
        </w:rPr>
        <w:t>#300#</w:t>
      </w:r>
      <w:bookmarkEnd w:id="352"/>
    </w:p>
    <w:p>
      <w:r>
        <w:t>(1) Der Schuldner hat während des Verzugs des Gläubigers nur Vorsatz und grobe Fahrlässigkeit zu vertreten.</w:t>
      </w:r>
    </w:p>
    <w:p>
      <w:r>
        <w:t>(2) Wird eine nur der Gattung nach bestimmte Sache geschuldet, so geht die Gefahr mit dem Zeitpunkt auf den Gläubiger über, in welchem er dadurch in Verzug kommt, dass er die angebotene Sache nicht annimmt.</w:t>
      </w:r>
    </w:p>
    <w:p>
      <w:pPr>
        <w:pStyle w:val="Heading4"/>
      </w:pPr>
      <w:bookmarkStart w:id="353" w:name="b346"/>
      <w:r>
        <w:t>§ 301 Wegfall der Verzinsung</w:t>
      </w:r>
      <w:r>
        <w:t xml:space="preserve"> </w:t>
      </w:r>
      <w:r>
        <w:rPr>
          <w:rStyle w:val="Suchmarke"/>
        </w:rPr>
        <w:t>#301#</w:t>
      </w:r>
      <w:bookmarkEnd w:id="353"/>
    </w:p>
    <w:p>
      <w:r>
        <w:t>Von einer verzinslichen Geldschuld hat der Schuldner während des Verzugs des Gläubigers Zinsen nicht zu entrichten.</w:t>
      </w:r>
    </w:p>
    <w:p>
      <w:pPr>
        <w:pStyle w:val="Heading4"/>
      </w:pPr>
      <w:bookmarkStart w:id="354" w:name="b347"/>
      <w:r>
        <w:t>§ 302 Nutzungen</w:t>
      </w:r>
      <w:r>
        <w:t xml:space="preserve"> </w:t>
      </w:r>
      <w:r>
        <w:rPr>
          <w:rStyle w:val="Suchmarke"/>
        </w:rPr>
        <w:t>#302#</w:t>
      </w:r>
      <w:bookmarkEnd w:id="354"/>
    </w:p>
    <w:p>
      <w:r>
        <w:t>Hat der Schuldner die Nutzungen eines Gegenstands herauszugeben oder zu ersetzen, so beschränkt sich seine Verpflichtung während des Verzugs des Gläubigers auf die Nutzungen, welche er zieht.</w:t>
      </w:r>
    </w:p>
    <w:p>
      <w:pPr>
        <w:pStyle w:val="Heading4"/>
      </w:pPr>
      <w:bookmarkStart w:id="355" w:name="b348"/>
      <w:r>
        <w:t>§ 303 Recht zur Besitzaufgabe</w:t>
      </w:r>
      <w:r>
        <w:t xml:space="preserve"> </w:t>
      </w:r>
      <w:r>
        <w:rPr>
          <w:rStyle w:val="Suchmarke"/>
        </w:rPr>
        <w:t>#303#</w:t>
      </w:r>
      <w:bookmarkEnd w:id="355"/>
    </w:p>
    <w:p>
      <w:r>
        <w:rPr>
          <w:rStyle w:val="Satznummer"/>
        </w:rPr>
        <w:t>1</w:t>
      </w:r>
      <w:r>
        <w:t xml:space="preserve">Ist der Schuldner zur Herausgabe eines Grundstücks oder eines eingetragenen Schiffs oder Schiffsbauwerks verpflichtet, so kann er nach dem Eintritt des Verzugs des Gläubigers den Besitz aufgeben. </w:t>
      </w:r>
      <w:r>
        <w:rPr>
          <w:rStyle w:val="Satznummer"/>
        </w:rPr>
        <w:t>2</w:t>
      </w:r>
      <w:r>
        <w:t>Das Aufgeben muss dem Gläubiger vorher angedroht werden, es sei denn, dass die Androhung untunlich ist.</w:t>
      </w:r>
    </w:p>
    <w:p>
      <w:pPr>
        <w:pStyle w:val="Heading4"/>
      </w:pPr>
      <w:bookmarkStart w:id="356" w:name="b349"/>
      <w:r>
        <w:t>§ 304 Ersatz von Mehraufwendungen</w:t>
      </w:r>
      <w:r>
        <w:t xml:space="preserve"> </w:t>
      </w:r>
      <w:r>
        <w:rPr>
          <w:rStyle w:val="Suchmarke"/>
        </w:rPr>
        <w:t>#304#</w:t>
      </w:r>
      <w:bookmarkEnd w:id="356"/>
    </w:p>
    <w:p>
      <w:r>
        <w:t>Der Schuldner kann im Falle des Verzugs des Gläubigers Ersatz der Mehraufwendungen verlangen, die er für das erfolglose Angebot sowie für die Aufbewahrung und Erhaltung des geschuldeten Gegenstands machen musste.</w:t>
      </w:r>
    </w:p>
    <w:p>
      <w:pPr>
        <w:pStyle w:val="Heading2"/>
      </w:pPr>
      <w:bookmarkStart w:id="357" w:name="b350"/>
      <w:r>
        <w:t>Abschnitt 2 Gestaltung rechtsgeschäftlicher Schuldverhältnisse durch Allgemeine Geschäftsbedingungen</w:t>
      </w:r>
      <w:bookmarkEnd w:id="357"/>
    </w:p>
    <w:p>
      <w:pPr>
        <w:pStyle w:val="Fußnote"/>
      </w:pPr>
      <w:bookmarkStart w:id="358" w:name="f350_1"/>
      <w:r>
        <w:rPr>
          <w:rStyle w:val="Zusatz"/>
          <w:b/>
        </w:rPr>
        <w:t xml:space="preserve">Fußnote 1: </w:t>
      </w:r>
      <w:r>
        <w:rPr>
          <w:b/>
        </w:rPr>
        <w:t>Amtlicher Hinweis:</w:t>
      </w:r>
      <w:r>
        <w:br/>
      </w:r>
      <w:r>
        <w:t>Dieser Abschnitt dient auch der Umsetzung der Richtlinie 93/13/EWG des Rates vom 5. April 1993 über missbräuchliche Klauseln in Verbraucherverträgen (ABl. EG Nr. L 95 S. 29).</w:t>
      </w:r>
      <w:bookmarkEnd w:id="358"/>
    </w:p>
    <w:p>
      <w:pPr>
        <w:pStyle w:val="Heading3"/>
      </w:pPr>
      <w:bookmarkStart w:id="359" w:name="b351"/>
      <w:r>
        <w:t>§ 305 Einbeziehung Allgemeiner Geschäftsbedingungen in den Vertrag</w:t>
      </w:r>
      <w:r>
        <w:t xml:space="preserve"> </w:t>
      </w:r>
      <w:r>
        <w:rPr>
          <w:rStyle w:val="Suchmarke"/>
        </w:rPr>
        <w:t>#305#</w:t>
      </w:r>
      <w:bookmarkEnd w:id="359"/>
    </w:p>
    <w:p>
      <w:r>
        <w:t xml:space="preserve">(1) </w:t>
      </w:r>
      <w:r>
        <w:rPr>
          <w:rStyle w:val="Satznummer"/>
        </w:rPr>
        <w:t>1</w:t>
      </w:r>
      <w:r>
        <w:t xml:space="preserve">Allgemeine Geschäftsbedingungen sind alle für eine Vielzahl von Verträgen vorformulierten Vertragsbedingungen, die eine Vertragspartei (Verwender) der anderen Vertragspartei bei Abschluss eines Vertrags stellt. </w:t>
      </w:r>
      <w:r>
        <w:rPr>
          <w:rStyle w:val="Satznummer"/>
        </w:rPr>
        <w:t>2</w:t>
      </w:r>
      <w:r>
        <w:t xml:space="preserve">Gleichgültig ist, ob die Bestimmungen einen äußerlich gesonderten Bestandteil des Vertrags bilden oder in die Vertragsurkunde selbst aufgenommen werden, welchen Umfang sie haben, in welcher Schriftart sie verfasst sind und welche Form der Vertrag hat. </w:t>
      </w:r>
      <w:r>
        <w:rPr>
          <w:rStyle w:val="Satznummer"/>
        </w:rPr>
        <w:t>3</w:t>
      </w:r>
      <w:r>
        <w:t>Allgemeine Geschäftsbedingungen liegen nicht vor, soweit die Vertragsbedingungen zwischen den Vertragsparteien im Einzelnen ausgehandelt sind.</w:t>
      </w:r>
    </w:p>
    <w:p>
      <w:r>
        <w:t>(2) Allgemeine Geschäftsbedingungen werden nur dann Bestandteil eines Vertrags, wenn der Verwender bei Vertragsschluss</w:t>
      </w:r>
    </w:p>
    <w:p>
      <w:pPr>
        <w:tabs>
          <w:tab w:pos="567" w:val="left"/>
        </w:tabs>
        <w:ind w:left="567" w:hanging="567"/>
      </w:pPr>
      <w:r>
        <w:t>1.</w:t>
      </w:r>
      <w:r>
        <w:tab/>
      </w:r>
      <w:r>
        <w:t>die andere Vertragspartei ausdrücklich oder, wenn ein ausdrücklicher Hinweis wegen der Art des Vertragsschlusses nur unter unverhältnismäßigen Schwierigkeiten möglich ist, durch deutlich sichtbaren Aushang am Orte des Vertragsschlusses auf sie hinweist und</w:t>
      </w:r>
    </w:p>
    <w:p>
      <w:pPr>
        <w:tabs>
          <w:tab w:pos="567" w:val="left"/>
        </w:tabs>
        <w:ind w:left="567" w:hanging="567"/>
      </w:pPr>
      <w:r>
        <w:t>2.</w:t>
      </w:r>
      <w:r>
        <w:tab/>
      </w:r>
      <w:r>
        <w:t>der anderen Vertragspartei die Möglichkeit verschafft, in zumutbarer Weise, die auch eine für den Verwender erkennbare körperliche Behinderung der anderen Vertragspartei angemessen berücksichtigt, von ihrem Inhalt Kenntnis zu nehmen,</w:t>
      </w:r>
    </w:p>
    <w:p>
      <w:r>
        <w:t>und wenn die andere Vertragspartei mit ihrer Geltung einverstanden ist.</w:t>
      </w:r>
    </w:p>
    <w:p>
      <w:r>
        <w:t>(3) Die Vertragsparteien können für eine bestimmte Art von Rechtsgeschäften die Geltung bestimmter Allgemeiner Geschäftsbedingungen unter Beachtung der in Absatz 2 bezeichneten Erfordernisse im Voraus vereinbaren.</w:t>
      </w:r>
    </w:p>
    <w:p>
      <w:pPr>
        <w:pStyle w:val="Heading3"/>
      </w:pPr>
      <w:bookmarkStart w:id="360" w:name="b352"/>
      <w:r>
        <w:t>§ 305a Einbeziehung in besonderen Fällen</w:t>
      </w:r>
      <w:r>
        <w:t xml:space="preserve"> </w:t>
      </w:r>
      <w:r>
        <w:rPr>
          <w:rStyle w:val="Suchmarke"/>
        </w:rPr>
        <w:t>#305a#</w:t>
      </w:r>
      <w:bookmarkEnd w:id="360"/>
    </w:p>
    <w:p>
      <w:r>
        <w:t xml:space="preserve">Auch ohne Einhaltung der in </w:t>
      </w:r>
      <w:hyperlink w:anchor="b351" w:history="1">
        <w:r>
          <w:rPr>
            <w:color w:val="0A3A8C"/>
            <w:u w:val="single"/>
          </w:rPr>
          <w:t xml:space="preserve">§ 305</w:t>
        </w:r>
      </w:hyperlink>
      <w:r>
        <w:t xml:space="preserve"> Abs. 2 Nr. 1 und 2 bezeichneten Erfordernisse werden einbezogen, wenn die andere Vertragspartei mit ihrer Geltung einverstanden ist,</w:t>
      </w:r>
    </w:p>
    <w:p>
      <w:pPr>
        <w:tabs>
          <w:tab w:pos="567" w:val="left"/>
        </w:tabs>
        <w:ind w:left="567" w:hanging="567"/>
      </w:pPr>
      <w:r>
        <w:t>1.</w:t>
      </w:r>
      <w:r>
        <w:tab/>
      </w:r>
      <w:r>
        <w:t>die mit Genehmigung der zuständigen Verkehrsbehörde oder auf Grund von internationalen Übereinkommen erlassenen Tarife und Ausführungsbestimmungen der Eisenbahnen und die nach Maßgabe des Personenbeförderungsgesetzes genehmigten Beförderungsbedingungen der Straßenbahnen, Obusse und Kraftfahrzeuge im Linienverkehr in den Beförderungsvertrag,</w:t>
      </w:r>
    </w:p>
    <w:p>
      <w:pPr>
        <w:tabs>
          <w:tab w:pos="567" w:val="left"/>
        </w:tabs>
        <w:ind w:left="567" w:hanging="567"/>
      </w:pPr>
      <w:r>
        <w:t>2.</w:t>
      </w:r>
      <w:r>
        <w:tab/>
      </w:r>
      <w:r>
        <w:t>die im Amtsblatt der Bundesnetzagentur für Elektrizität, Gas, Telekommunikation, Post und Eisenbahnen veröffentlichten und in den Geschäftsstellen des Verwenders bereitgehaltenen Allgemeinen Geschäftsbedingungen</w:t>
      </w:r>
    </w:p>
    <w:p>
      <w:pPr>
        <w:tabs>
          <w:tab w:pos="1134" w:val="left"/>
        </w:tabs>
        <w:ind w:left="1134" w:hanging="567"/>
      </w:pPr>
      <w:r>
        <w:t>a)</w:t>
      </w:r>
      <w:r>
        <w:tab/>
      </w:r>
      <w:r>
        <w:t>in Beförderungsverträge, die außerhalb von Geschäftsräumen durch den Einwurf von Postsendungen in Briefkästen abgeschlossen werden,</w:t>
      </w:r>
    </w:p>
    <w:p>
      <w:pPr>
        <w:tabs>
          <w:tab w:pos="1134" w:val="left"/>
        </w:tabs>
        <w:ind w:left="1134" w:hanging="567"/>
      </w:pPr>
      <w:r>
        <w:t>b)</w:t>
      </w:r>
      <w:r>
        <w:tab/>
      </w:r>
      <w:r>
        <w:t>in Verträge über Telekommunikations-, Informations- und andere Dienstleistungen, die unmittelbar durch Einsatz von Fernkommunikationsmitteln und während der Erbringung einer Telekommunikationsdienstleistung in einem Mal erbracht werden, wenn die Allgemeinen Geschäftsbedingungen der anderen Vertragspartei nur unter unverhältnismäßigen Schwierigkeiten vor dem Vertragsschluss zugänglich gemacht werden können,</w:t>
      </w:r>
    </w:p>
    <w:p>
      <w:pPr>
        <w:tabs>
          <w:tab w:pos="567" w:val="left"/>
        </w:tabs>
        <w:ind w:left="567" w:hanging="567"/>
      </w:pPr>
      <w:r>
        <w:t>3.</w:t>
      </w:r>
      <w:r>
        <w:tab/>
      </w:r>
      <w:r>
        <w:t>die genehmigten Anlagebedingungen von Kapitalverwaltungsgesellschaften.</w:t>
      </w:r>
    </w:p>
    <w:p>
      <w:pPr>
        <w:pStyle w:val="Heading3"/>
      </w:pPr>
      <w:bookmarkStart w:id="361" w:name="b353"/>
      <w:r>
        <w:t>§ 305b Vorrang der Individualabrede</w:t>
      </w:r>
      <w:r>
        <w:t xml:space="preserve"> </w:t>
      </w:r>
      <w:r>
        <w:rPr>
          <w:rStyle w:val="Suchmarke"/>
        </w:rPr>
        <w:t>#305b#</w:t>
      </w:r>
      <w:bookmarkEnd w:id="361"/>
    </w:p>
    <w:p>
      <w:r>
        <w:t>Individuelle Vertragsabreden haben Vorrang vor Allgemeinen Geschäftsbedingungen.</w:t>
      </w:r>
    </w:p>
    <w:p>
      <w:pPr>
        <w:pStyle w:val="Heading3"/>
      </w:pPr>
      <w:bookmarkStart w:id="362" w:name="b354"/>
      <w:r>
        <w:t>§ 305c Überraschende und mehrdeutige Klauseln</w:t>
      </w:r>
      <w:r>
        <w:t xml:space="preserve"> </w:t>
      </w:r>
      <w:r>
        <w:rPr>
          <w:rStyle w:val="Suchmarke"/>
        </w:rPr>
        <w:t>#305c#</w:t>
      </w:r>
      <w:bookmarkEnd w:id="362"/>
    </w:p>
    <w:p>
      <w:r>
        <w:t>(1) Bestimmungen in Allgemeinen Geschäftsbedingungen, die nach den Umständen, insbesondere nach dem äußeren Erscheinungsbild des Vertrags, so ungewöhnlich sind, dass der Vertragspartner des Verwenders mit ihnen nicht zu rechnen braucht, werden nicht Vertragsbestandteil.</w:t>
      </w:r>
    </w:p>
    <w:p>
      <w:r>
        <w:t>(2) Zweifel bei der Auslegung Allgemeiner Geschäftsbedingungen gehen zu Lasten des Verwenders.</w:t>
      </w:r>
    </w:p>
    <w:p>
      <w:pPr>
        <w:pStyle w:val="Heading3"/>
      </w:pPr>
      <w:bookmarkStart w:id="363" w:name="b355"/>
      <w:r>
        <w:t>§ 306 Rechtsfolgen bei Nichteinbeziehung und Unwirksamkeit</w:t>
      </w:r>
      <w:r>
        <w:t xml:space="preserve"> </w:t>
      </w:r>
      <w:r>
        <w:rPr>
          <w:rStyle w:val="Suchmarke"/>
        </w:rPr>
        <w:t>#306#</w:t>
      </w:r>
      <w:bookmarkEnd w:id="363"/>
    </w:p>
    <w:p>
      <w:r>
        <w:t>(1) Sind Allgemeine Geschäftsbedingungen ganz oder teilweise nicht Vertragsbestandteil geworden oder unwirksam, so bleibt der Vertrag im Übrigen wirksam.</w:t>
      </w:r>
    </w:p>
    <w:p>
      <w:r>
        <w:t>(2) Soweit die Bestimmungen nicht Vertragsbestandteil geworden oder unwirksam sind, richtet sich der Inhalt des Vertrags nach den gesetzlichen Vorschriften.</w:t>
      </w:r>
    </w:p>
    <w:p>
      <w:r>
        <w:t>(3) Der Vertrag ist unwirksam, wenn das Festhalten an ihm auch unter Berücksichtigung der nach Absatz 2 vorgesehenen Änderung eine unzumutbare Härte für eine Vertragspartei darstellen würde.</w:t>
      </w:r>
    </w:p>
    <w:p>
      <w:pPr>
        <w:pStyle w:val="Heading3"/>
      </w:pPr>
      <w:bookmarkStart w:id="364" w:name="b356"/>
      <w:r>
        <w:t>§ 306a Umgehungsverbot</w:t>
      </w:r>
      <w:r>
        <w:t xml:space="preserve"> </w:t>
      </w:r>
      <w:r>
        <w:rPr>
          <w:rStyle w:val="Suchmarke"/>
        </w:rPr>
        <w:t>#306a#</w:t>
      </w:r>
      <w:bookmarkEnd w:id="364"/>
    </w:p>
    <w:p>
      <w:r>
        <w:t>Die Vorschriften dieses Abschnitts finden auch Anwendung, wenn sie durch anderweitige Gestaltungen umgangen werden.</w:t>
      </w:r>
    </w:p>
    <w:p>
      <w:pPr>
        <w:pStyle w:val="Heading3"/>
      </w:pPr>
      <w:bookmarkStart w:id="365" w:name="b357"/>
      <w:r>
        <w:t>§ 307 Inhaltskontrolle</w:t>
      </w:r>
      <w:r>
        <w:t xml:space="preserve"> </w:t>
      </w:r>
      <w:r>
        <w:rPr>
          <w:rStyle w:val="Suchmarke"/>
        </w:rPr>
        <w:t>#307#</w:t>
      </w:r>
      <w:bookmarkEnd w:id="365"/>
    </w:p>
    <w:p>
      <w:r>
        <w:t xml:space="preserve">(1) </w:t>
      </w:r>
      <w:r>
        <w:rPr>
          <w:rStyle w:val="Satznummer"/>
        </w:rPr>
        <w:t>1</w:t>
      </w:r>
      <w:r>
        <w:t xml:space="preserve">Bestimmungen in Allgemeinen Geschäftsbedingungen sind unwirksam, wenn sie den Vertragspartner des Verwenders entgegen den Geboten von Treu und Glauben unangemessen benachteiligen. </w:t>
      </w:r>
      <w:r>
        <w:rPr>
          <w:rStyle w:val="Satznummer"/>
        </w:rPr>
        <w:t>2</w:t>
      </w:r>
      <w:r>
        <w:t>Eine unangemessene Benachteiligung kann sich auch daraus ergeben, dass die Bestimmung nicht klar und verständlich ist.</w:t>
      </w:r>
    </w:p>
    <w:p>
      <w:r>
        <w:t>(2) Eine unangemessene Benachteiligung ist im Zweifel anzunehmen, wenn eine Bestimmung</w:t>
      </w:r>
    </w:p>
    <w:p>
      <w:pPr>
        <w:tabs>
          <w:tab w:pos="567" w:val="left"/>
        </w:tabs>
        <w:ind w:left="567" w:hanging="567"/>
      </w:pPr>
      <w:r>
        <w:t>1.</w:t>
      </w:r>
      <w:r>
        <w:tab/>
      </w:r>
      <w:r>
        <w:t>mit wesentlichen Grundgedanken der gesetzlichen Regelung, von der abgewichen wird, nicht zu vereinbaren ist oder</w:t>
      </w:r>
    </w:p>
    <w:p>
      <w:pPr>
        <w:tabs>
          <w:tab w:pos="567" w:val="left"/>
        </w:tabs>
        <w:ind w:left="567" w:hanging="567"/>
      </w:pPr>
      <w:r>
        <w:t>2.</w:t>
      </w:r>
      <w:r>
        <w:tab/>
      </w:r>
      <w:r>
        <w:t>wesentliche Rechte oder Pflichten, die sich aus der Natur des Vertrags ergeben, so einschränkt, dass die Erreichung des Vertragszwecks gefährdet ist.</w:t>
      </w:r>
    </w:p>
    <w:p>
      <w:r>
        <w:t xml:space="preserve">(3) </w:t>
      </w:r>
      <w:r>
        <w:rPr>
          <w:rStyle w:val="Satznummer"/>
        </w:rPr>
        <w:t>1</w:t>
      </w:r>
      <w:r>
        <w:t xml:space="preserve">Die Absätze 1 und 2 sowie die </w:t>
      </w:r>
      <w:hyperlink w:anchor="b358" w:history="1">
        <w:r>
          <w:rPr>
            <w:color w:val="0A3A8C"/>
            <w:u w:val="single"/>
          </w:rPr>
          <w:t xml:space="preserve">§§ 308</w:t>
        </w:r>
      </w:hyperlink>
      <w:r>
        <w:t xml:space="preserve"> und </w:t>
      </w:r>
      <w:hyperlink w:anchor="b359" w:history="1">
        <w:r>
          <w:rPr>
            <w:color w:val="0A3A8C"/>
            <w:u w:val="single"/>
          </w:rPr>
          <w:t xml:space="preserve">309</w:t>
        </w:r>
      </w:hyperlink>
      <w:r>
        <w:t xml:space="preserve"> gelten nur für Bestimmungen in Allgemeinen Geschäftsbedingungen, durch die von Rechtsvorschriften abweichende oder diese ergänzende Regelungen vereinbart werden. </w:t>
      </w:r>
      <w:r>
        <w:rPr>
          <w:rStyle w:val="Satznummer"/>
        </w:rPr>
        <w:t>2</w:t>
      </w:r>
      <w:r>
        <w:t>Andere Bestimmungen können nach Absatz 1 Satz 2 in Verbindung mit Absatz 1 Satz 1 unwirksam sein.</w:t>
      </w:r>
    </w:p>
    <w:p>
      <w:pPr>
        <w:pStyle w:val="Heading3"/>
      </w:pPr>
      <w:bookmarkStart w:id="366" w:name="b358"/>
      <w:r>
        <w:t>§ 308 Klauselverbote mit Wertungsmöglichkeit</w:t>
      </w:r>
      <w:r>
        <w:t xml:space="preserve"> </w:t>
      </w:r>
      <w:r>
        <w:rPr>
          <w:rStyle w:val="Suchmarke"/>
        </w:rPr>
        <w:t>#308#</w:t>
      </w:r>
      <w:bookmarkEnd w:id="366"/>
    </w:p>
    <w:p>
      <w:r>
        <w:t>In Allgemeinen Geschäftsbedingungen ist insbesondere unwirksam</w:t>
      </w:r>
    </w:p>
    <w:p>
      <w:pPr>
        <w:tabs>
          <w:tab w:pos="567" w:val="left"/>
        </w:tabs>
        <w:ind w:left="567" w:hanging="567"/>
      </w:pPr>
      <w:r>
        <w:t>1.</w:t>
      </w:r>
      <w:r>
        <w:tab/>
      </w:r>
      <w:r>
        <w:t>(Annahme- und Leistungsfrist)</w:t>
      </w:r>
    </w:p>
    <w:p>
      <w:pPr>
        <w:ind w:left="567"/>
      </w:pPr>
      <w:r>
        <w:t xml:space="preserve">eine Bestimmung, durch die sich der Verwender unangemessen lange oder nicht hinreichend bestimmte Fristen für die Annahme oder Ablehnung eines Angebots oder die Erbringung einer Leistung vorbehält; ausgenommen hiervon ist der Vorbehalt, erst nach Ablauf der Widerrufsfrist nach </w:t>
      </w:r>
      <w:hyperlink w:anchor="b461" w:history="1">
        <w:r>
          <w:rPr>
            <w:color w:val="0A3A8C"/>
            <w:u w:val="single"/>
          </w:rPr>
          <w:t xml:space="preserve">§ 355</w:t>
        </w:r>
      </w:hyperlink>
      <w:r>
        <w:t xml:space="preserve"> Absatz 1 und 2 zu leisten;</w:t>
      </w:r>
    </w:p>
    <w:p>
      <w:pPr>
        <w:tabs>
          <w:tab w:pos="567" w:val="left"/>
        </w:tabs>
        <w:ind w:left="567" w:hanging="567"/>
      </w:pPr>
      <w:r>
        <w:t>1a.</w:t>
      </w:r>
      <w:r>
        <w:tab/>
      </w:r>
      <w:r>
        <w:t>(Zahlungsfrist)</w:t>
      </w:r>
    </w:p>
    <w:p>
      <w:pPr>
        <w:ind w:left="567"/>
      </w:pPr>
      <w:r>
        <w:t>eine Bestimmung, durch die sich der Verwender eine unangemessen lange Zeit für die Erfüllung einer Entgeltforderung des Vertragspartners vorbehält; ist der Verwender kein Verbraucher, ist im Zweifel anzunehmen, dass eine Zeit von mehr als 30 Tagen nach Empfang der Gegenleistung oder, wenn dem Schuldner nach Empfang der Gegenleistung eine Rechnung oder gleichwertige Zahlungsaufstellung zugeht, von mehr als 30 Tagen nach Zugang dieser Rechnung oder Zahlungsaufstellung unangemessen lang ist;</w:t>
      </w:r>
    </w:p>
    <w:p>
      <w:pPr>
        <w:tabs>
          <w:tab w:pos="567" w:val="left"/>
        </w:tabs>
        <w:ind w:left="567" w:hanging="567"/>
      </w:pPr>
      <w:r>
        <w:t>1b.</w:t>
      </w:r>
      <w:r>
        <w:tab/>
      </w:r>
      <w:r>
        <w:t>(Überprüfungs- und Abnahmefrist)</w:t>
      </w:r>
    </w:p>
    <w:p>
      <w:pPr>
        <w:ind w:left="567"/>
      </w:pPr>
      <w:r>
        <w:t>eine Bestimmung, durch die sich der Verwender vorbehält, eine Entgeltforderung des Vertragspartners erst nach unangemessen langer Zeit für die Überprüfung oder Abnahme der Gegenleistung zu erfüllen; ist der Verwender kein Verbraucher, ist im Zweifel anzunehmen, dass eine Zeit von mehr als 15 Tagen nach Empfang der Gegenleistung unangemessen lang ist;</w:t>
      </w:r>
    </w:p>
    <w:p>
      <w:pPr>
        <w:tabs>
          <w:tab w:pos="567" w:val="left"/>
        </w:tabs>
        <w:ind w:left="567" w:hanging="567"/>
      </w:pPr>
      <w:r>
        <w:t>2.</w:t>
      </w:r>
      <w:r>
        <w:tab/>
      </w:r>
      <w:r>
        <w:t>(Nachfrist)</w:t>
      </w:r>
    </w:p>
    <w:p>
      <w:pPr>
        <w:ind w:left="567"/>
      </w:pPr>
      <w:r>
        <w:t>eine Bestimmung, durch die sich der Verwender für die von ihm zu bewirkende Leistung abweichend von Rechtsvorschriften eine unangemessen lange oder nicht hinreichend bestimmte Nachfrist vorbehält;</w:t>
      </w:r>
    </w:p>
    <w:p>
      <w:pPr>
        <w:tabs>
          <w:tab w:pos="567" w:val="left"/>
        </w:tabs>
        <w:ind w:left="567" w:hanging="567"/>
      </w:pPr>
      <w:r>
        <w:t>3.</w:t>
      </w:r>
      <w:r>
        <w:tab/>
      </w:r>
      <w:r>
        <w:t>(Rücktrittsvorbehalt)</w:t>
      </w:r>
    </w:p>
    <w:p>
      <w:pPr>
        <w:ind w:left="567"/>
      </w:pPr>
      <w:r>
        <w:t>die Vereinbarung eines Rechts des Verwenders, sich ohne sachlich gerechtfertigten und im Vertrag angegebenen Grund von seiner Leistungspflicht zu lösen; dies gilt nicht für Dauerschuldverhältnisse;</w:t>
      </w:r>
    </w:p>
    <w:p>
      <w:pPr>
        <w:tabs>
          <w:tab w:pos="567" w:val="left"/>
        </w:tabs>
        <w:ind w:left="567" w:hanging="567"/>
      </w:pPr>
      <w:r>
        <w:t>4.</w:t>
      </w:r>
      <w:r>
        <w:tab/>
      </w:r>
      <w:r>
        <w:t>(Änderungsvorbehalt)</w:t>
      </w:r>
    </w:p>
    <w:p>
      <w:pPr>
        <w:ind w:left="567"/>
      </w:pPr>
      <w:r>
        <w:t>die Vereinbarung eines Rechts des Verwenders, die versprochene Leistung zu ändern oder von ihr abzuweichen, wenn nicht die Vereinbarung der Änderung oder Abweichung unter Berücksichtigung der Interessen des Verwenders für den anderen Vertragsteil zumutbar ist;</w:t>
      </w:r>
    </w:p>
    <w:p>
      <w:pPr>
        <w:tabs>
          <w:tab w:pos="567" w:val="left"/>
        </w:tabs>
        <w:ind w:left="567" w:hanging="567"/>
      </w:pPr>
      <w:r>
        <w:t>5.</w:t>
      </w:r>
      <w:r>
        <w:tab/>
      </w:r>
      <w:r>
        <w:t>(Fingierte Erklärungen)</w:t>
      </w:r>
    </w:p>
    <w:p>
      <w:pPr>
        <w:ind w:left="567"/>
      </w:pPr>
      <w:r>
        <w:t>eine Bestimmung, wonach eine Erklärung des Vertragspartners des Verwenders bei Vornahme oder Unterlassung einer bestimmten Handlung als von ihm abgegeben oder nicht abgegeben gilt, es sei denn, dass</w:t>
      </w:r>
    </w:p>
    <w:p>
      <w:pPr>
        <w:tabs>
          <w:tab w:pos="1134" w:val="left"/>
        </w:tabs>
        <w:ind w:left="1134" w:hanging="567"/>
      </w:pPr>
      <w:r>
        <w:t>a)</w:t>
      </w:r>
      <w:r>
        <w:tab/>
      </w:r>
      <w:r>
        <w:t>dem Vertragspartner eine angemessene Frist zur Abgabe einer ausdrücklichen Erklärung eingeräumt ist und</w:t>
      </w:r>
    </w:p>
    <w:p>
      <w:pPr>
        <w:tabs>
          <w:tab w:pos="1134" w:val="left"/>
        </w:tabs>
        <w:ind w:left="1134" w:hanging="567"/>
      </w:pPr>
      <w:r>
        <w:t>b)</w:t>
      </w:r>
      <w:r>
        <w:tab/>
      </w:r>
      <w:r>
        <w:t>der Verwender sich verpflichtet, den Vertragspartner bei Beginn der Frist auf die vorgesehene Bedeutung seines Verhaltens besonders hinzuweisen;</w:t>
      </w:r>
    </w:p>
    <w:p>
      <w:pPr>
        <w:tabs>
          <w:tab w:pos="567" w:val="left"/>
        </w:tabs>
        <w:ind w:left="567" w:hanging="567"/>
      </w:pPr>
      <w:r>
        <w:t>6.</w:t>
      </w:r>
      <w:r>
        <w:tab/>
      </w:r>
      <w:r>
        <w:t>(Fiktion des Zugangs)</w:t>
      </w:r>
    </w:p>
    <w:p>
      <w:pPr>
        <w:ind w:left="567"/>
      </w:pPr>
      <w:r>
        <w:t>eine Bestimmung, die vorsieht, dass eine Erklärung des Verwenders von besonderer Bedeutung dem anderen Vertragsteil als zugegangen gilt;</w:t>
      </w:r>
    </w:p>
    <w:p>
      <w:pPr>
        <w:tabs>
          <w:tab w:pos="567" w:val="left"/>
        </w:tabs>
        <w:ind w:left="567" w:hanging="567"/>
      </w:pPr>
      <w:r>
        <w:t>7.</w:t>
      </w:r>
      <w:r>
        <w:tab/>
      </w:r>
      <w:r>
        <w:t>(Abwicklung von Verträgen)</w:t>
      </w:r>
    </w:p>
    <w:p>
      <w:pPr>
        <w:ind w:left="567"/>
      </w:pPr>
      <w:r>
        <w:t>eine Bestimmung, nach der der Verwender für den Fall, dass eine Vertragspartei vom Vertrag zurücktritt oder den Vertrag kündigt,</w:t>
      </w:r>
    </w:p>
    <w:p>
      <w:pPr>
        <w:tabs>
          <w:tab w:pos="1134" w:val="left"/>
        </w:tabs>
        <w:ind w:left="1134" w:hanging="567"/>
      </w:pPr>
      <w:r>
        <w:t>a)</w:t>
      </w:r>
      <w:r>
        <w:tab/>
      </w:r>
      <w:r>
        <w:t>eine unangemessen hohe Vergütung für die Nutzung oder den Gebrauch einer Sache oder eines Rechts oder für erbrachte Leistungen oder</w:t>
      </w:r>
    </w:p>
    <w:p>
      <w:pPr>
        <w:tabs>
          <w:tab w:pos="1134" w:val="left"/>
        </w:tabs>
        <w:ind w:left="1134" w:hanging="567"/>
      </w:pPr>
      <w:r>
        <w:t>b)</w:t>
      </w:r>
      <w:r>
        <w:tab/>
      </w:r>
      <w:r>
        <w:t>einen unangemessen hohen Ersatz von Aufwendungen verlangen kann;</w:t>
      </w:r>
    </w:p>
    <w:p>
      <w:pPr>
        <w:tabs>
          <w:tab w:pos="567" w:val="left"/>
        </w:tabs>
        <w:ind w:left="567" w:hanging="567"/>
      </w:pPr>
      <w:r>
        <w:t>8.</w:t>
      </w:r>
      <w:r>
        <w:tab/>
      </w:r>
      <w:r>
        <w:t>(Nichtverfügbarkeit der Leistung)</w:t>
      </w:r>
    </w:p>
    <w:p>
      <w:pPr>
        <w:ind w:left="567"/>
      </w:pPr>
      <w:r>
        <w:t>die nach Nummer 3 zulässige Vereinbarung eines Vorbehalts des Verwenders, sich von der Verpflichtung zur Erfüllung des Vertrags bei Nichtverfügbarkeit der Leistung zu lösen, wenn sich der Verwender nicht verpflichtet,</w:t>
      </w:r>
    </w:p>
    <w:p>
      <w:pPr>
        <w:tabs>
          <w:tab w:pos="1134" w:val="left"/>
        </w:tabs>
        <w:ind w:left="1134" w:hanging="567"/>
      </w:pPr>
      <w:r>
        <w:t>a)</w:t>
      </w:r>
      <w:r>
        <w:tab/>
      </w:r>
      <w:r>
        <w:t>den Vertragspartner unverzüglich über die Nichtverfügbarkeit zu informieren und</w:t>
      </w:r>
    </w:p>
    <w:p>
      <w:pPr>
        <w:tabs>
          <w:tab w:pos="1134" w:val="left"/>
        </w:tabs>
        <w:ind w:left="1134" w:hanging="567"/>
      </w:pPr>
      <w:r>
        <w:t>b)</w:t>
      </w:r>
      <w:r>
        <w:tab/>
      </w:r>
      <w:r>
        <w:t>Gegenleistungen des Vertragspartners unverzüglich zu erstatten;</w:t>
      </w:r>
    </w:p>
    <w:p>
      <w:pPr>
        <w:tabs>
          <w:tab w:pos="567" w:val="left"/>
        </w:tabs>
        <w:ind w:left="567" w:hanging="567"/>
      </w:pPr>
      <w:r>
        <w:t>9.</w:t>
      </w:r>
      <w:r>
        <w:tab/>
      </w:r>
      <w:r>
        <w:t>(Abtretungsausschluss)</w:t>
      </w:r>
    </w:p>
    <w:p>
      <w:pPr>
        <w:ind w:left="567"/>
      </w:pPr>
      <w:r>
        <w:t>eine Bestimmung, durch die die Abtretbarkeit ausgeschlossen wird</w:t>
      </w:r>
    </w:p>
    <w:p>
      <w:pPr>
        <w:tabs>
          <w:tab w:pos="1134" w:val="left"/>
        </w:tabs>
        <w:ind w:left="1134" w:hanging="567"/>
      </w:pPr>
      <w:r>
        <w:t>a)</w:t>
      </w:r>
      <w:r>
        <w:tab/>
      </w:r>
      <w:r>
        <w:t>für einen auf Geld gerichteten Anspruch des Vertragspartners gegen den Verwender oder</w:t>
      </w:r>
    </w:p>
    <w:p>
      <w:pPr>
        <w:tabs>
          <w:tab w:pos="1134" w:val="left"/>
        </w:tabs>
        <w:ind w:left="1134" w:hanging="567"/>
      </w:pPr>
      <w:r>
        <w:t>b)</w:t>
      </w:r>
      <w:r>
        <w:tab/>
      </w:r>
      <w:r>
        <w:t>für ein anderes Recht, das der Vertragspartner gegen den Verwender hat, wenn</w:t>
      </w:r>
    </w:p>
    <w:p>
      <w:pPr>
        <w:tabs>
          <w:tab w:pos="1701" w:val="left"/>
        </w:tabs>
        <w:ind w:left="1701" w:hanging="567"/>
      </w:pPr>
      <w:r>
        <w:t>aa)</w:t>
      </w:r>
      <w:r>
        <w:tab/>
      </w:r>
      <w:r>
        <w:t>beim Verwender ein schützenswertes Interesse an dem Abtretungsausschluss nicht besteht oder</w:t>
      </w:r>
    </w:p>
    <w:p>
      <w:pPr>
        <w:tabs>
          <w:tab w:pos="1701" w:val="left"/>
        </w:tabs>
        <w:ind w:left="1701" w:hanging="567"/>
      </w:pPr>
      <w:r>
        <w:t>bb)</w:t>
      </w:r>
      <w:r>
        <w:tab/>
      </w:r>
      <w:r>
        <w:t>berechtigte Belange des Vertragspartners an der Abtretbarkeit des Rechts das schützenswerte Interesse des Verwenders an dem Abtretungsausschluss überwiegen;</w:t>
      </w:r>
    </w:p>
    <w:p>
      <w:pPr>
        <w:ind w:left="567"/>
      </w:pPr>
      <w:r>
        <w:t>Buchstabe a gilt nicht für Ansprüche aus Zahlungsdiensterahmenverträgen und die Buchstaben a und b gelten nicht für Ansprüche auf Versorgungsleistungen im Sinne des Betriebsrentengesetzes.</w:t>
      </w:r>
    </w:p>
    <w:p>
      <w:pPr>
        <w:pStyle w:val="Heading3"/>
      </w:pPr>
      <w:bookmarkStart w:id="367" w:name="b359"/>
      <w:r>
        <w:t>§ 309 Klauselverbote ohne Wertungsmöglichkeit</w:t>
      </w:r>
      <w:r>
        <w:t xml:space="preserve"> </w:t>
      </w:r>
      <w:r>
        <w:rPr>
          <w:rStyle w:val="Suchmarke"/>
        </w:rPr>
        <w:t>#309#</w:t>
      </w:r>
      <w:bookmarkEnd w:id="367"/>
    </w:p>
    <w:p>
      <w:r>
        <w:t>Auch soweit eine Abweichung von den gesetzlichen Vorschriften zulässig ist, ist in Allgemeinen Geschäftsbedingungen unwirksam</w:t>
      </w:r>
    </w:p>
    <w:p>
      <w:pPr>
        <w:tabs>
          <w:tab w:pos="567" w:val="left"/>
        </w:tabs>
        <w:ind w:left="567" w:hanging="567"/>
      </w:pPr>
      <w:r>
        <w:t>1.</w:t>
      </w:r>
      <w:r>
        <w:tab/>
      </w:r>
      <w:r>
        <w:t>(Kurzfristige Preiserhöhungen)</w:t>
      </w:r>
    </w:p>
    <w:p>
      <w:pPr>
        <w:ind w:left="567"/>
      </w:pPr>
      <w:r>
        <w:t>eine Bestimmung, welche die Erhöhung des Entgelts für Waren oder Leistungen vorsieht, die innerhalb von vier Monaten nach Vertragsschluss geliefert oder erbracht werden sollen; dies gilt nicht bei Waren oder Leistungen, die im Rahmen von Dauerschuldverhältnissen geliefert oder erbracht werden;</w:t>
      </w:r>
    </w:p>
    <w:p>
      <w:pPr>
        <w:tabs>
          <w:tab w:pos="567" w:val="left"/>
        </w:tabs>
        <w:ind w:left="567" w:hanging="567"/>
      </w:pPr>
      <w:r>
        <w:t>2.</w:t>
      </w:r>
      <w:r>
        <w:tab/>
      </w:r>
      <w:r>
        <w:t>(Leistungsverweigerungsrechte)</w:t>
      </w:r>
    </w:p>
    <w:p>
      <w:pPr>
        <w:ind w:left="567"/>
      </w:pPr>
      <w:r>
        <w:t>eine Bestimmung, durch die</w:t>
      </w:r>
    </w:p>
    <w:p>
      <w:pPr>
        <w:tabs>
          <w:tab w:pos="1134" w:val="left"/>
        </w:tabs>
        <w:ind w:left="1134" w:hanging="567"/>
      </w:pPr>
      <w:r>
        <w:t>a)</w:t>
      </w:r>
      <w:r>
        <w:tab/>
      </w:r>
      <w:r>
        <w:t xml:space="preserve">das Leistungsverweigerungsrecht, das dem Vertragspartner des Verwenders nach </w:t>
      </w:r>
      <w:hyperlink w:anchor="b397" w:history="1">
        <w:r>
          <w:rPr>
            <w:color w:val="0A3A8C"/>
            <w:u w:val="single"/>
          </w:rPr>
          <w:t xml:space="preserve">§ 320</w:t>
        </w:r>
      </w:hyperlink>
      <w:r>
        <w:t xml:space="preserve"> zusteht, ausgeschlossen oder eingeschränkt wird oder</w:t>
      </w:r>
    </w:p>
    <w:p>
      <w:pPr>
        <w:tabs>
          <w:tab w:pos="1134" w:val="left"/>
        </w:tabs>
        <w:ind w:left="1134" w:hanging="567"/>
      </w:pPr>
      <w:r>
        <w:t>b)</w:t>
      </w:r>
      <w:r>
        <w:tab/>
      </w:r>
      <w:r>
        <w:t>ein dem Vertragspartner des Verwenders zustehendes Zurückbehaltungsrecht, soweit es auf demselben Vertragsverhältnis beruht, ausgeschlossen oder eingeschränkt, insbesondere von der Anerkennung von Mängeln durch den Verwender abhängig gemacht wird;</w:t>
      </w:r>
    </w:p>
    <w:p>
      <w:pPr>
        <w:tabs>
          <w:tab w:pos="567" w:val="left"/>
        </w:tabs>
        <w:ind w:left="567" w:hanging="567"/>
      </w:pPr>
      <w:r>
        <w:t>3.</w:t>
      </w:r>
      <w:r>
        <w:tab/>
      </w:r>
      <w:r>
        <w:t>(Aufrechnungsverbot)</w:t>
      </w:r>
    </w:p>
    <w:p>
      <w:pPr>
        <w:ind w:left="567"/>
      </w:pPr>
      <w:r>
        <w:t>eine Bestimmung, durch die dem Vertragspartner des Verwenders die Befugnis genommen wird, mit einer unbestrittenen oder rechtskräftig festgestellten Forderung aufzurechnen;</w:t>
      </w:r>
    </w:p>
    <w:p>
      <w:pPr>
        <w:tabs>
          <w:tab w:pos="567" w:val="left"/>
        </w:tabs>
        <w:ind w:left="567" w:hanging="567"/>
      </w:pPr>
      <w:r>
        <w:t>4.</w:t>
      </w:r>
      <w:r>
        <w:tab/>
      </w:r>
      <w:r>
        <w:t>(Mahnung, Fristsetzung)</w:t>
      </w:r>
    </w:p>
    <w:p>
      <w:pPr>
        <w:ind w:left="567"/>
      </w:pPr>
      <w:r>
        <w:t>eine Bestimmung, durch die der Verwender von der gesetzlichen Obliegenheit freigestellt wird, den anderen Vertragsteil zu mahnen oder ihm eine Frist für die Leistung oder Nacherfüllung zu setzen;</w:t>
      </w:r>
    </w:p>
    <w:p>
      <w:pPr>
        <w:tabs>
          <w:tab w:pos="567" w:val="left"/>
        </w:tabs>
        <w:ind w:left="567" w:hanging="567"/>
      </w:pPr>
      <w:r>
        <w:t>5.</w:t>
      </w:r>
      <w:r>
        <w:tab/>
      </w:r>
      <w:r>
        <w:t>(Pauschalierung von Schadensersatzansprüchen)</w:t>
      </w:r>
    </w:p>
    <w:p>
      <w:pPr>
        <w:ind w:left="567"/>
      </w:pPr>
      <w:r>
        <w:t>die Vereinbarung eines pauschalierten Anspruchs des Verwenders auf Schadensersatz oder Ersatz einer Wertminderung, wenn</w:t>
      </w:r>
    </w:p>
    <w:p>
      <w:pPr>
        <w:tabs>
          <w:tab w:pos="1134" w:val="left"/>
        </w:tabs>
        <w:ind w:left="1134" w:hanging="567"/>
      </w:pPr>
      <w:r>
        <w:t>a)</w:t>
      </w:r>
      <w:r>
        <w:tab/>
      </w:r>
      <w:r>
        <w:t>die Pauschale den in den geregelten Fällen nach dem gewöhnlichen Lauf der Dinge zu erwartenden Schaden oder die gewöhnlich eintretende Wertminderung übersteigt oder</w:t>
      </w:r>
    </w:p>
    <w:p>
      <w:pPr>
        <w:tabs>
          <w:tab w:pos="1134" w:val="left"/>
        </w:tabs>
        <w:ind w:left="1134" w:hanging="567"/>
      </w:pPr>
      <w:r>
        <w:t>b)</w:t>
      </w:r>
      <w:r>
        <w:tab/>
      </w:r>
      <w:r>
        <w:t>dem anderen Vertragsteil nicht ausdrücklich der Nachweis gestattet wird, ein Schaden oder eine Wertminderung sei überhaupt nicht entstanden oder wesentlich niedriger als die Pauschale;</w:t>
      </w:r>
    </w:p>
    <w:p>
      <w:pPr>
        <w:tabs>
          <w:tab w:pos="567" w:val="left"/>
        </w:tabs>
        <w:ind w:left="567" w:hanging="567"/>
      </w:pPr>
      <w:r>
        <w:t>6.</w:t>
      </w:r>
      <w:r>
        <w:tab/>
      </w:r>
      <w:r>
        <w:t>(Vertragsstrafe)</w:t>
      </w:r>
    </w:p>
    <w:p>
      <w:pPr>
        <w:ind w:left="567"/>
      </w:pPr>
      <w:r>
        <w:t>eine Bestimmung, durch die dem Verwender für den Fall der Nichtabnahme oder verspäteten Abnahme der Leistung, des Zahlungsverzugs oder für den Fall, dass der andere Vertragsteil sich vom Vertrag löst, Zahlung einer Vertragsstrafe versprochen wird;</w:t>
      </w:r>
    </w:p>
    <w:p>
      <w:pPr>
        <w:tabs>
          <w:tab w:pos="567" w:val="left"/>
        </w:tabs>
        <w:ind w:left="567" w:hanging="567"/>
      </w:pPr>
      <w:r>
        <w:t>7.</w:t>
      </w:r>
      <w:r>
        <w:tab/>
      </w:r>
      <w:r>
        <w:t>(Haftungsausschluss bei Verletzung von Leben, Körper, Gesundheit und bei grobem Verschulden)</w:t>
      </w:r>
    </w:p>
    <w:p>
      <w:pPr>
        <w:tabs>
          <w:tab w:pos="1134" w:val="left"/>
        </w:tabs>
        <w:ind w:left="1134" w:hanging="567"/>
      </w:pPr>
      <w:r>
        <w:t>a)</w:t>
      </w:r>
      <w:r>
        <w:tab/>
      </w:r>
      <w:r>
        <w:t>(Verletzung von Leben, Körper, Gesundheit)</w:t>
      </w:r>
    </w:p>
    <w:p>
      <w:pPr>
        <w:ind w:left="1134"/>
      </w:pPr>
      <w:r>
        <w:t>ein Ausschluss oder eine Begrenzung der Haftung für Schäden aus der Verletzung des Lebens, des Körpers oder der Gesundheit, die auf einer fahrlässigen Pflichtverletzung des Verwenders oder einer vorsätzlichen oder fahrlässigen Pflichtverletzung eines gesetzlichen Vertreters oder Erfüllungsgehilfen des Verwenders beruhen;</w:t>
      </w:r>
    </w:p>
    <w:p>
      <w:pPr>
        <w:tabs>
          <w:tab w:pos="1134" w:val="left"/>
        </w:tabs>
        <w:ind w:left="1134" w:hanging="567"/>
      </w:pPr>
      <w:r>
        <w:t>b)</w:t>
      </w:r>
      <w:r>
        <w:tab/>
      </w:r>
      <w:r>
        <w:t>(Grobes Verschulden)</w:t>
      </w:r>
    </w:p>
    <w:p>
      <w:pPr>
        <w:ind w:left="1134"/>
      </w:pPr>
      <w:r>
        <w:t>ein Ausschluss oder eine Begrenzung der Haftung für sonstige Schäden, die auf einer grob fahrlässigen Pflichtverletzung des Verwenders oder auf einer vorsätzlichen oder grob fahrlässigen Pflichtverletzung eines gesetzlichen Vertreters oder Erfüllungsgehilfen des Verwenders beruhen;</w:t>
      </w:r>
    </w:p>
    <w:p>
      <w:pPr>
        <w:ind w:left="567"/>
      </w:pPr>
      <w:r>
        <w:t>die Buchstaben a und b gelten nicht für Haftungsbeschränkungen in den nach Maßgabe des Personenbeförderungsgesetzes genehmigten Beförderungsbedingungen und Tarifvorschriften der Straßenbahnen, Obusse und Kraftfahrzeuge im Linienverkehr, soweit sie nicht zum Nachteil des Fahrgasts von der Verordnung über die Allgemeinen Beförderungsbedingungen für den Straßenbahn- und Obusverkehr sowie den Linienverkehr mit Kraftfahrzeugen vom 27. Februar 1970 abweichen; Buchstabe b gilt nicht für Haftungsbeschränkungen für staatlich genehmigte Lotterie- oder Ausspielverträge;</w:t>
      </w:r>
    </w:p>
    <w:p>
      <w:pPr>
        <w:tabs>
          <w:tab w:pos="567" w:val="left"/>
        </w:tabs>
        <w:ind w:left="567" w:hanging="567"/>
      </w:pPr>
      <w:r>
        <w:t>8.</w:t>
      </w:r>
      <w:r>
        <w:tab/>
      </w:r>
      <w:r>
        <w:t>(Sonstige Haftungsausschlüsse bei Pflichtverletzung)</w:t>
      </w:r>
    </w:p>
    <w:p>
      <w:pPr>
        <w:tabs>
          <w:tab w:pos="1134" w:val="left"/>
        </w:tabs>
        <w:ind w:left="1134" w:hanging="567"/>
      </w:pPr>
      <w:r>
        <w:t>a)</w:t>
      </w:r>
      <w:r>
        <w:tab/>
      </w:r>
      <w:r>
        <w:t>(Ausschluss des Rechts, sich vom Vertrag zu lösen)</w:t>
      </w:r>
    </w:p>
    <w:p>
      <w:pPr>
        <w:ind w:left="1134"/>
      </w:pPr>
      <w:r>
        <w:t>eine Bestimmung, die bei einer vom Verwender zu vertretenden, nicht in einem Mangel der Kaufsache oder des Werkes bestehenden Pflichtverletzung das Recht des anderen Vertragsteils, sich vom Vertrag zu lösen, ausschließt oder einschränkt; dies gilt nicht für die in der Nummer 7 bezeichneten Beförderungsbedingungen und Tarifvorschriften unter den dort genannten Voraussetzungen;</w:t>
      </w:r>
    </w:p>
    <w:p>
      <w:pPr>
        <w:tabs>
          <w:tab w:pos="1134" w:val="left"/>
        </w:tabs>
        <w:ind w:left="1134" w:hanging="567"/>
      </w:pPr>
      <w:r>
        <w:t>b)</w:t>
      </w:r>
      <w:r>
        <w:tab/>
      </w:r>
      <w:r>
        <w:t>(Mängel)</w:t>
      </w:r>
    </w:p>
    <w:p>
      <w:pPr>
        <w:ind w:left="1134"/>
      </w:pPr>
      <w:r>
        <w:t>eine Bestimmung, durch die bei Verträgen über Lieferungen neu hergestellter Sachen und über Werkleistungen</w:t>
      </w:r>
    </w:p>
    <w:p>
      <w:pPr>
        <w:tabs>
          <w:tab w:pos="1701" w:val="left"/>
        </w:tabs>
        <w:ind w:left="1701" w:hanging="567"/>
      </w:pPr>
      <w:r>
        <w:t>aa)</w:t>
      </w:r>
      <w:r>
        <w:tab/>
      </w:r>
      <w:r>
        <w:t>(Ausschluss und Verweisung auf Dritte)</w:t>
      </w:r>
    </w:p>
    <w:p>
      <w:pPr>
        <w:ind w:left="1701"/>
      </w:pPr>
      <w:r>
        <w:t>die Ansprüche gegen den Verwender wegen eines Mangels insgesamt oder bezüglich einzelner Teile ausgeschlossen, auf die Einräumung von Ansprüchen gegen Dritte beschränkt oder von der vorherigen gerichtlichen Inanspruchnahme Dritter abhängig gemacht werden;</w:t>
      </w:r>
    </w:p>
    <w:p>
      <w:pPr>
        <w:tabs>
          <w:tab w:pos="1701" w:val="left"/>
        </w:tabs>
        <w:ind w:left="1701" w:hanging="567"/>
      </w:pPr>
      <w:r>
        <w:t>bb)</w:t>
      </w:r>
      <w:r>
        <w:tab/>
      </w:r>
      <w:r>
        <w:t>(Beschränkung auf Nacherfüllung)</w:t>
      </w:r>
    </w:p>
    <w:p>
      <w:pPr>
        <w:ind w:left="1701"/>
      </w:pPr>
      <w:r>
        <w:t>die Ansprüche gegen den Verwender insgesamt oder bezüglich einzelner Teile auf ein Recht auf Nacherfüllung beschränkt werden, sofern dem anderen Vertragsteil nicht ausdrücklich das Recht vorbehalten wird, bei Fehlschlagen der Nacherfüllung zu mindern oder, wenn nicht eine Bauleistung Gegenstand der Mängelhaftung ist, nach seiner Wahl vom Vertrag zurückzutreten;</w:t>
      </w:r>
    </w:p>
    <w:p>
      <w:pPr>
        <w:tabs>
          <w:tab w:pos="1701" w:val="left"/>
        </w:tabs>
        <w:ind w:left="1701" w:hanging="567"/>
      </w:pPr>
      <w:r>
        <w:t>cc)</w:t>
      </w:r>
      <w:r>
        <w:tab/>
      </w:r>
      <w:r>
        <w:t>(Aufwendungen bei Nacherfüllung)</w:t>
      </w:r>
    </w:p>
    <w:p>
      <w:pPr>
        <w:ind w:left="1701"/>
      </w:pPr>
      <w:r>
        <w:t xml:space="preserve">die Verpflichtung des Verwenders ausgeschlossen oder beschränkt wird, die zum Zweck der Nacherfüllung erforderlichen Aufwendungen nach </w:t>
      </w:r>
      <w:hyperlink w:anchor="b567" w:history="1">
        <w:r>
          <w:rPr>
            <w:color w:val="0A3A8C"/>
            <w:u w:val="single"/>
          </w:rPr>
          <w:t xml:space="preserve">§ 439</w:t>
        </w:r>
      </w:hyperlink>
      <w:r>
        <w:t xml:space="preserve"> Absatz 2 und 3 oder </w:t>
      </w:r>
      <w:hyperlink w:anchor="b934" w:history="1">
        <w:r>
          <w:rPr>
            <w:color w:val="0A3A8C"/>
            <w:u w:val="single"/>
          </w:rPr>
          <w:t xml:space="preserve">§ 635</w:t>
        </w:r>
      </w:hyperlink>
      <w:r>
        <w:t xml:space="preserve"> Absatz 2 zu tragen oder zu ersetzen;</w:t>
      </w:r>
    </w:p>
    <w:p>
      <w:pPr>
        <w:tabs>
          <w:tab w:pos="1701" w:val="left"/>
        </w:tabs>
        <w:ind w:left="1701" w:hanging="567"/>
      </w:pPr>
      <w:r>
        <w:t>dd)</w:t>
      </w:r>
      <w:r>
        <w:tab/>
      </w:r>
      <w:r>
        <w:t>(Vorenthalten der Nacherfüllung)</w:t>
      </w:r>
    </w:p>
    <w:p>
      <w:pPr>
        <w:ind w:left="1701"/>
      </w:pPr>
      <w:r>
        <w:t>der Verwender die Nacherfüllung von der vorherigen Zahlung des vollständigen Entgelts oder eines unter Berücksichtigung des Mangels unverhältnismäßig hohen Teils des Entgelts abhängig macht;</w:t>
      </w:r>
    </w:p>
    <w:p>
      <w:pPr>
        <w:tabs>
          <w:tab w:pos="1701" w:val="left"/>
        </w:tabs>
        <w:ind w:left="1701" w:hanging="567"/>
      </w:pPr>
      <w:r>
        <w:t>ee)</w:t>
      </w:r>
      <w:r>
        <w:tab/>
      </w:r>
      <w:r>
        <w:t>(Ausschlussfrist für Mängelanzeige)</w:t>
      </w:r>
    </w:p>
    <w:p>
      <w:pPr>
        <w:ind w:left="1701"/>
      </w:pPr>
      <w:r>
        <w:t>der Verwender dem anderen Vertragsteil für die Anzeige nicht offensichtlicher Mängel eine Ausschlussfrist setzt, die kürzer ist als die nach dem Doppelbuchstaben ff zulässige Frist;</w:t>
      </w:r>
    </w:p>
    <w:p>
      <w:pPr>
        <w:tabs>
          <w:tab w:pos="1701" w:val="left"/>
        </w:tabs>
        <w:ind w:left="1701" w:hanging="567"/>
      </w:pPr>
      <w:r>
        <w:t>ff)</w:t>
      </w:r>
      <w:r>
        <w:tab/>
      </w:r>
      <w:r>
        <w:t>(Erleichterung der Verjährung)</w:t>
      </w:r>
    </w:p>
    <w:p>
      <w:pPr>
        <w:ind w:left="1701"/>
      </w:pPr>
      <w:r>
        <w:t xml:space="preserve">die Verjährung von Ansprüchen gegen den Verwender wegen eines Mangels in den Fällen des </w:t>
      </w:r>
      <w:hyperlink w:anchor="b566" w:history="1">
        <w:r>
          <w:rPr>
            <w:color w:val="0A3A8C"/>
            <w:u w:val="single"/>
          </w:rPr>
          <w:t xml:space="preserve">§ 438</w:t>
        </w:r>
      </w:hyperlink>
      <w:r>
        <w:t xml:space="preserve"> Abs. 1 Nr. 2 und des </w:t>
      </w:r>
      <w:hyperlink w:anchor="b933" w:history="1">
        <w:r>
          <w:rPr>
            <w:color w:val="0A3A8C"/>
            <w:u w:val="single"/>
          </w:rPr>
          <w:t xml:space="preserve">§ 634a</w:t>
        </w:r>
      </w:hyperlink>
      <w:r>
        <w:t xml:space="preserve"> Abs. 1 Nr. 2 erleichtert oder in den sonstigen Fällen eine weniger als ein Jahr betragende Verjährungsfrist ab dem gesetzlichen Verjährungsbeginn erreicht wird;</w:t>
      </w:r>
    </w:p>
    <w:p>
      <w:pPr>
        <w:tabs>
          <w:tab w:pos="567" w:val="left"/>
        </w:tabs>
        <w:ind w:left="567" w:hanging="567"/>
      </w:pPr>
      <w:r>
        <w:t>9.</w:t>
      </w:r>
      <w:r>
        <w:tab/>
      </w:r>
      <w:r>
        <w:t>bei einem Vertragsverhältnis, das die regelmäßige Lieferung von Waren oder die regelmäßige Erbringung von Dienst- oder Werkleistungen durch den Verwender zum Gegenstand hat,</w:t>
      </w:r>
    </w:p>
    <w:p>
      <w:pPr>
        <w:tabs>
          <w:tab w:pos="1134" w:val="left"/>
        </w:tabs>
        <w:ind w:left="1134" w:hanging="567"/>
      </w:pPr>
      <w:r>
        <w:t>a)</w:t>
      </w:r>
      <w:r>
        <w:tab/>
      </w:r>
      <w:r>
        <w:t>eine den anderen Vertragsteil länger als zwei Jahre bindende Laufzeit des Vertrags,</w:t>
      </w:r>
    </w:p>
    <w:p>
      <w:pPr>
        <w:tabs>
          <w:tab w:pos="1134" w:val="left"/>
        </w:tabs>
        <w:ind w:left="1134" w:hanging="567"/>
      </w:pPr>
      <w:r>
        <w:t>b)</w:t>
      </w:r>
      <w:r>
        <w:tab/>
      </w:r>
      <w:r>
        <w:t>eine den anderen Vertragsteil bindende stillschweigende Verlängerung des Vertragsverhältnisses, es sei denn das Vertragsverhältnis wird nur auf unbestimmte Zeit verlängert und dem anderen Vertragsteil wird das Recht eingeräumt, das verlängerte Vertragsverhältnis jederzeit mit einer Frist von höchstens einem Monat zu kündigen, oder</w:t>
      </w:r>
    </w:p>
    <w:p>
      <w:pPr>
        <w:tabs>
          <w:tab w:pos="1134" w:val="left"/>
        </w:tabs>
        <w:ind w:left="1134" w:hanging="567"/>
      </w:pPr>
      <w:r>
        <w:t>c)</w:t>
      </w:r>
      <w:r>
        <w:tab/>
      </w:r>
      <w:r>
        <w:t>eine zu Lasten des anderen Vertragsteils längere Kündigungsfrist als einen Monat vor Ablauf der zunächst vorgesehenen Vertragsdauer;</w:t>
      </w:r>
    </w:p>
    <w:p>
      <w:pPr>
        <w:ind w:left="567"/>
      </w:pPr>
      <w:r>
        <w:t>dies gilt nicht für Verträge über die Lieferung zusammengehörig verkaufter Sachen sowie für Versicherungsverträge;</w:t>
      </w:r>
    </w:p>
    <w:p>
      <w:pPr>
        <w:tabs>
          <w:tab w:pos="567" w:val="left"/>
        </w:tabs>
        <w:ind w:left="567" w:hanging="567"/>
      </w:pPr>
      <w:r>
        <w:t>10.</w:t>
      </w:r>
      <w:r>
        <w:tab/>
      </w:r>
      <w:r>
        <w:t>(Wechsel des Vertragspartners)</w:t>
      </w:r>
    </w:p>
    <w:p>
      <w:pPr>
        <w:ind w:left="567"/>
      </w:pPr>
      <w:r>
        <w:t>eine Bestimmung, wonach bei Kauf-, Darlehens-, Dienst- oder Werkverträgen ein Dritter anstelle des Verwenders in die sich aus dem Vertrag ergebenden Rechte und Pflichten eintritt oder eintreten kann, es sei denn, in der Bestimmung wird</w:t>
      </w:r>
    </w:p>
    <w:p>
      <w:pPr>
        <w:tabs>
          <w:tab w:pos="1134" w:val="left"/>
        </w:tabs>
        <w:ind w:left="1134" w:hanging="567"/>
      </w:pPr>
      <w:r>
        <w:t>a)</w:t>
      </w:r>
      <w:r>
        <w:tab/>
      </w:r>
      <w:r>
        <w:t>der Dritte namentlich bezeichnet oder</w:t>
      </w:r>
    </w:p>
    <w:p>
      <w:pPr>
        <w:tabs>
          <w:tab w:pos="1134" w:val="left"/>
        </w:tabs>
        <w:ind w:left="1134" w:hanging="567"/>
      </w:pPr>
      <w:r>
        <w:t>b)</w:t>
      </w:r>
      <w:r>
        <w:tab/>
      </w:r>
      <w:r>
        <w:t>dem anderen Vertragsteil das Recht eingeräumt, sich vom Vertrag zu lösen;</w:t>
      </w:r>
    </w:p>
    <w:p>
      <w:pPr>
        <w:tabs>
          <w:tab w:pos="567" w:val="left"/>
        </w:tabs>
        <w:ind w:left="567" w:hanging="567"/>
      </w:pPr>
      <w:r>
        <w:t>11.</w:t>
      </w:r>
      <w:r>
        <w:tab/>
      </w:r>
      <w:r>
        <w:t>(Haftung des Abschlussvertreters)</w:t>
      </w:r>
    </w:p>
    <w:p>
      <w:pPr>
        <w:ind w:left="567"/>
      </w:pPr>
      <w:r>
        <w:t>eine Bestimmung, durch die der Verwender einem Vertreter, der den Vertrag für den anderen Vertragsteil abschließt,</w:t>
      </w:r>
    </w:p>
    <w:p>
      <w:pPr>
        <w:tabs>
          <w:tab w:pos="1134" w:val="left"/>
        </w:tabs>
        <w:ind w:left="1134" w:hanging="567"/>
      </w:pPr>
      <w:r>
        <w:t>a)</w:t>
      </w:r>
      <w:r>
        <w:tab/>
      </w:r>
      <w:r>
        <w:t>ohne hierauf gerichtete ausdrückliche und gesonderte Erklärung eine eigene Haftung oder Einstandspflicht oder</w:t>
      </w:r>
    </w:p>
    <w:p>
      <w:pPr>
        <w:tabs>
          <w:tab w:pos="1134" w:val="left"/>
        </w:tabs>
        <w:ind w:left="1134" w:hanging="567"/>
      </w:pPr>
      <w:r>
        <w:t>b)</w:t>
      </w:r>
      <w:r>
        <w:tab/>
      </w:r>
      <w:r>
        <w:t xml:space="preserve">im Falle vollmachtsloser Vertretung eine über </w:t>
      </w:r>
      <w:hyperlink w:anchor="b213" w:history="1">
        <w:r>
          <w:rPr>
            <w:color w:val="0A3A8C"/>
            <w:u w:val="single"/>
          </w:rPr>
          <w:t xml:space="preserve">§ 179</w:t>
        </w:r>
      </w:hyperlink>
      <w:r>
        <w:t xml:space="preserve"> hinausgehende Haftung</w:t>
      </w:r>
    </w:p>
    <w:p>
      <w:pPr>
        <w:ind w:left="567"/>
      </w:pPr>
      <w:r>
        <w:t>auferlegt;</w:t>
      </w:r>
    </w:p>
    <w:p>
      <w:pPr>
        <w:tabs>
          <w:tab w:pos="567" w:val="left"/>
        </w:tabs>
        <w:ind w:left="567" w:hanging="567"/>
      </w:pPr>
      <w:r>
        <w:t>12.</w:t>
      </w:r>
      <w:r>
        <w:tab/>
      </w:r>
      <w:r>
        <w:t>(Beweislast)</w:t>
      </w:r>
    </w:p>
    <w:p>
      <w:pPr>
        <w:ind w:left="567"/>
      </w:pPr>
      <w:r>
        <w:t>eine Bestimmung, durch die der Verwender die Beweislast zum Nachteil des anderen Vertragsteils ändert, insbesondere indem er</w:t>
      </w:r>
    </w:p>
    <w:p>
      <w:pPr>
        <w:tabs>
          <w:tab w:pos="1134" w:val="left"/>
        </w:tabs>
        <w:ind w:left="1134" w:hanging="567"/>
      </w:pPr>
      <w:r>
        <w:t>a)</w:t>
      </w:r>
      <w:r>
        <w:tab/>
      </w:r>
      <w:r>
        <w:t>diesem die Beweislast für Umstände auferlegt, die im Verantwortungsbereich des Verwenders liegen, oder</w:t>
      </w:r>
    </w:p>
    <w:p>
      <w:pPr>
        <w:tabs>
          <w:tab w:pos="1134" w:val="left"/>
        </w:tabs>
        <w:ind w:left="1134" w:hanging="567"/>
      </w:pPr>
      <w:r>
        <w:t>b)</w:t>
      </w:r>
      <w:r>
        <w:tab/>
      </w:r>
      <w:r>
        <w:t>den anderen Vertragsteil bestimmte Tatsachen bestätigen lässt;</w:t>
      </w:r>
    </w:p>
    <w:p>
      <w:pPr>
        <w:ind w:left="567"/>
      </w:pPr>
      <w:r>
        <w:t>Buchstabe b gilt nicht für Empfangsbekenntnisse, die gesondert unterschrieben oder mit einer gesonderten qualifizierten elektronischen Signatur versehen sind;</w:t>
      </w:r>
    </w:p>
    <w:p>
      <w:pPr>
        <w:tabs>
          <w:tab w:pos="567" w:val="left"/>
        </w:tabs>
        <w:ind w:left="567" w:hanging="567"/>
      </w:pPr>
      <w:r>
        <w:t>13.</w:t>
      </w:r>
      <w:r>
        <w:tab/>
      </w:r>
      <w:r>
        <w:t>(Form von Anzeigen und Erklärungen)</w:t>
      </w:r>
    </w:p>
    <w:p>
      <w:pPr>
        <w:ind w:left="567"/>
      </w:pPr>
      <w:r>
        <w:t>eine Bestimmung, durch die Anzeigen oder Erklärungen, die dem Verwender oder einem Dritten gegenüber abzugeben sind, gebunden werden</w:t>
      </w:r>
    </w:p>
    <w:p>
      <w:pPr>
        <w:tabs>
          <w:tab w:pos="1134" w:val="left"/>
        </w:tabs>
        <w:ind w:left="1134" w:hanging="567"/>
      </w:pPr>
      <w:r>
        <w:t>a)</w:t>
      </w:r>
      <w:r>
        <w:tab/>
      </w:r>
      <w:r>
        <w:t>an eine strengere Form als die schriftliche Form in einem Vertrag, für den durch Gesetz notarielle Beurkundung vorgeschrieben ist oder</w:t>
      </w:r>
    </w:p>
    <w:p>
      <w:pPr>
        <w:tabs>
          <w:tab w:pos="1134" w:val="left"/>
        </w:tabs>
        <w:ind w:left="1134" w:hanging="567"/>
      </w:pPr>
      <w:r>
        <w:t>b)</w:t>
      </w:r>
      <w:r>
        <w:tab/>
      </w:r>
      <w:r>
        <w:t>an eine strengere Form als die Textform in anderen als den in Buchstabe a genannten Verträgen oder</w:t>
      </w:r>
    </w:p>
    <w:p>
      <w:pPr>
        <w:tabs>
          <w:tab w:pos="1134" w:val="left"/>
        </w:tabs>
        <w:ind w:left="1134" w:hanging="567"/>
      </w:pPr>
      <w:r>
        <w:t>c)</w:t>
      </w:r>
      <w:r>
        <w:tab/>
      </w:r>
      <w:r>
        <w:t>an besondere Zugangserfordernisse;</w:t>
      </w:r>
    </w:p>
    <w:p>
      <w:pPr>
        <w:tabs>
          <w:tab w:pos="567" w:val="left"/>
        </w:tabs>
        <w:ind w:left="567" w:hanging="567"/>
      </w:pPr>
      <w:r>
        <w:t>14.</w:t>
      </w:r>
      <w:r>
        <w:tab/>
      </w:r>
      <w:r>
        <w:t>(Klageverzicht)</w:t>
      </w:r>
    </w:p>
    <w:p>
      <w:pPr>
        <w:ind w:left="567"/>
      </w:pPr>
      <w:r>
        <w:t>eine Bestimmung, wonach der andere Vertragsteil seine Ansprüche gegen den Verwender gerichtlich nur geltend machen darf, nachdem er eine gütliche Einigung in einem Verfahren zur außergerichtlichen Streitbeilegung versucht hat;</w:t>
      </w:r>
    </w:p>
    <w:p>
      <w:pPr>
        <w:tabs>
          <w:tab w:pos="567" w:val="left"/>
        </w:tabs>
        <w:ind w:left="567" w:hanging="567"/>
      </w:pPr>
      <w:r>
        <w:t>15.</w:t>
      </w:r>
      <w:r>
        <w:tab/>
      </w:r>
      <w:r>
        <w:t>(Abschlagszahlungen und Sicherheitsleistung)</w:t>
      </w:r>
    </w:p>
    <w:p>
      <w:pPr>
        <w:ind w:left="567"/>
      </w:pPr>
      <w:r>
        <w:t>eine Bestimmung, nach der der Verwender bei einem Werkvertrag</w:t>
      </w:r>
    </w:p>
    <w:p>
      <w:pPr>
        <w:tabs>
          <w:tab w:pos="1134" w:val="left"/>
        </w:tabs>
        <w:ind w:left="1134" w:hanging="567"/>
      </w:pPr>
      <w:r>
        <w:t>a)</w:t>
      </w:r>
      <w:r>
        <w:tab/>
      </w:r>
      <w:r>
        <w:t xml:space="preserve">für Teilleistungen Abschlagszahlungen vom anderen Vertragsteil verlangen kann, die wesentlich höher sind als die nach </w:t>
      </w:r>
      <w:hyperlink w:anchor="b930" w:history="1">
        <w:r>
          <w:rPr>
            <w:color w:val="0A3A8C"/>
            <w:u w:val="single"/>
          </w:rPr>
          <w:t xml:space="preserve">§ 632a</w:t>
        </w:r>
      </w:hyperlink>
      <w:r>
        <w:t xml:space="preserve"> Absatz 1 und </w:t>
      </w:r>
      <w:hyperlink w:anchor="b967" w:history="1">
        <w:r>
          <w:rPr>
            <w:color w:val="0A3A8C"/>
            <w:u w:val="single"/>
          </w:rPr>
          <w:t xml:space="preserve">§ 650m</w:t>
        </w:r>
      </w:hyperlink>
      <w:r>
        <w:t xml:space="preserve"> Absatz 1 zu leistenden Abschlagszahlungen, oder</w:t>
      </w:r>
    </w:p>
    <w:p>
      <w:pPr>
        <w:tabs>
          <w:tab w:pos="1134" w:val="left"/>
        </w:tabs>
        <w:ind w:left="1134" w:hanging="567"/>
      </w:pPr>
      <w:r>
        <w:t>b)</w:t>
      </w:r>
      <w:r>
        <w:tab/>
      </w:r>
      <w:r>
        <w:t xml:space="preserve">die Sicherheitsleistung nach </w:t>
      </w:r>
      <w:hyperlink w:anchor="b967" w:history="1">
        <w:r>
          <w:rPr>
            <w:color w:val="0A3A8C"/>
            <w:u w:val="single"/>
          </w:rPr>
          <w:t xml:space="preserve">§ 650m</w:t>
        </w:r>
      </w:hyperlink>
      <w:r>
        <w:t xml:space="preserve"> Absatz 2 nicht oder nur in geringerer Höhe leisten muss.</w:t>
      </w:r>
    </w:p>
    <w:p>
      <w:pPr>
        <w:pStyle w:val="Heading3"/>
      </w:pPr>
      <w:bookmarkStart w:id="368" w:name="b360"/>
      <w:r>
        <w:t>§ 310 Anwendungsbereich</w:t>
      </w:r>
      <w:r>
        <w:t xml:space="preserve"> </w:t>
      </w:r>
      <w:r>
        <w:rPr>
          <w:rStyle w:val="Suchmarke"/>
        </w:rPr>
        <w:t>#310#</w:t>
      </w:r>
      <w:bookmarkEnd w:id="368"/>
    </w:p>
    <w:p>
      <w:r>
        <w:t xml:space="preserve">(1) </w:t>
      </w:r>
      <w:r>
        <w:rPr>
          <w:rStyle w:val="Satznummer"/>
        </w:rPr>
        <w:t>1</w:t>
      </w:r>
      <w:hyperlink w:anchor="b351" w:history="1">
        <w:r>
          <w:rPr>
            <w:color w:val="0A3A8C"/>
            <w:u w:val="single"/>
          </w:rPr>
          <w:t xml:space="preserve">§ 305</w:t>
        </w:r>
      </w:hyperlink>
      <w:r>
        <w:t xml:space="preserve"> Absatz 2 und 3, </w:t>
      </w:r>
      <w:hyperlink w:anchor="b358" w:history="1">
        <w:r>
          <w:rPr>
            <w:color w:val="0A3A8C"/>
            <w:u w:val="single"/>
          </w:rPr>
          <w:t xml:space="preserve">§ 308</w:t>
        </w:r>
      </w:hyperlink>
      <w:r>
        <w:t xml:space="preserve"> Nummer 1, 2 bis 9 und </w:t>
      </w:r>
      <w:hyperlink w:anchor="b359" w:history="1">
        <w:r>
          <w:rPr>
            <w:color w:val="0A3A8C"/>
            <w:u w:val="single"/>
          </w:rPr>
          <w:t xml:space="preserve">§ 309</w:t>
        </w:r>
      </w:hyperlink>
      <w:r>
        <w:t xml:space="preserve"> finden keine Anwendung auf Allgemeine Geschäftsbedingungen, die gegenüber einem Unternehmer, einer juristischen Person des öffentlichen Rechts oder einem öffentlich-rechtlichen Sondervermögen verwendet werden. </w:t>
      </w:r>
      <w:r>
        <w:rPr>
          <w:rStyle w:val="Satznummer"/>
        </w:rPr>
        <w:t>2</w:t>
      </w:r>
      <w:hyperlink w:anchor="b357" w:history="1">
        <w:r>
          <w:rPr>
            <w:color w:val="0A3A8C"/>
            <w:u w:val="single"/>
          </w:rPr>
          <w:t xml:space="preserve">§ 307</w:t>
        </w:r>
      </w:hyperlink>
      <w:r>
        <w:t xml:space="preserve"> Abs. 1 und 2 findet in den Fällen des Satzes 1 auch insoweit Anwendung, als dies zur Unwirksamkeit von in </w:t>
      </w:r>
      <w:hyperlink w:anchor="b358" w:history="1">
        <w:r>
          <w:rPr>
            <w:color w:val="0A3A8C"/>
            <w:u w:val="single"/>
          </w:rPr>
          <w:t xml:space="preserve">§ 308</w:t>
        </w:r>
      </w:hyperlink>
      <w:r>
        <w:t xml:space="preserve"> Nummer 1, 2 bis 9 und </w:t>
      </w:r>
      <w:hyperlink w:anchor="b359" w:history="1">
        <w:r>
          <w:rPr>
            <w:color w:val="0A3A8C"/>
            <w:u w:val="single"/>
          </w:rPr>
          <w:t xml:space="preserve">§ 309</w:t>
        </w:r>
      </w:hyperlink>
      <w:r>
        <w:t xml:space="preserve"> genannten Vertragsbestimmungen führt; auf die im Handelsverkehr geltenden Gewohnheiten und Gebräuche ist angemessen Rücksicht zu nehmen. </w:t>
      </w:r>
      <w:r>
        <w:rPr>
          <w:rStyle w:val="Satznummer"/>
        </w:rPr>
        <w:t>3</w:t>
      </w:r>
      <w:r>
        <w:t xml:space="preserve">In den Fällen des Satzes 1 finden </w:t>
      </w:r>
      <w:hyperlink w:anchor="b357" w:history="1">
        <w:r>
          <w:rPr>
            <w:color w:val="0A3A8C"/>
            <w:u w:val="single"/>
          </w:rPr>
          <w:t xml:space="preserve">§ 307</w:t>
        </w:r>
      </w:hyperlink>
      <w:r>
        <w:t xml:space="preserve"> Absatz 1 und 2 sowie </w:t>
      </w:r>
      <w:hyperlink w:anchor="b358" w:history="1">
        <w:r>
          <w:rPr>
            <w:color w:val="0A3A8C"/>
            <w:u w:val="single"/>
          </w:rPr>
          <w:t xml:space="preserve">§ 308</w:t>
        </w:r>
      </w:hyperlink>
      <w:r>
        <w:t xml:space="preserve"> Nummer 1a und 1b auf Verträge, in die die Vergabe- und Vertragsordnung für Bauleistungen Teil B (VOB/B) in der jeweils zum Zeitpunkt des Vertragsschlusses geltenden Fassung ohne inhaltliche Abweichungen insgesamt einbezogen ist, in Bezug auf eine Inhaltskontrolle einzelner Bestimmungen keine Anwendung.</w:t>
      </w:r>
    </w:p>
    <w:p>
      <w:r>
        <w:t xml:space="preserve">(1a) </w:t>
      </w:r>
      <w:r>
        <w:rPr>
          <w:rStyle w:val="Satznummer"/>
        </w:rPr>
        <w:t>1</w:t>
      </w:r>
      <w:r>
        <w:t xml:space="preserve">Die </w:t>
      </w:r>
      <w:hyperlink w:anchor="b357" w:history="1">
        <w:r>
          <w:rPr>
            <w:color w:val="0A3A8C"/>
            <w:u w:val="single"/>
          </w:rPr>
          <w:t xml:space="preserve">§§ 307</w:t>
        </w:r>
      </w:hyperlink>
      <w:r>
        <w:t xml:space="preserve"> und </w:t>
      </w:r>
      <w:hyperlink w:anchor="b358" w:history="1">
        <w:r>
          <w:rPr>
            <w:color w:val="0A3A8C"/>
            <w:u w:val="single"/>
          </w:rPr>
          <w:t xml:space="preserve">308</w:t>
        </w:r>
      </w:hyperlink>
      <w:r>
        <w:t xml:space="preserve"> Nummer 1a und 1b sind nicht anzuwenden auf Verträge über Geschäfte nach Satz 2, wenn ein Unternehmer das Geschäft, das Gegenstand des Vertrages ist, rechtmäßig gewerbsmäßig tätigt und den Vertrag geschlossen hat mit</w:t>
      </w:r>
    </w:p>
    <w:p>
      <w:pPr>
        <w:tabs>
          <w:tab w:pos="567" w:val="left"/>
        </w:tabs>
        <w:ind w:left="567" w:hanging="567"/>
      </w:pPr>
      <w:r>
        <w:t>1.</w:t>
      </w:r>
      <w:r>
        <w:tab/>
      </w:r>
      <w:r>
        <w:t>einem Unternehmer, der solche Geschäfte am Ort seines Sitzes oder einer Niederlassung auch als Erbringer der vertragstypischen Leistung rechtmäßig gewerbsmäßig tätigen kann,</w:t>
      </w:r>
    </w:p>
    <w:p>
      <w:pPr>
        <w:tabs>
          <w:tab w:pos="567" w:val="left"/>
        </w:tabs>
        <w:ind w:left="567" w:hanging="567"/>
      </w:pPr>
      <w:r>
        <w:t>2.</w:t>
      </w:r>
      <w:r>
        <w:tab/>
      </w:r>
      <w:r>
        <w:t>einem großen Unternehmer im Sinne des Satzes 3, der Geschäfte nach Satz 2 am Ort seines Sitzes oder einer Niederlassung auch als Erbringer der vertragstypischen Leistung rechtmäßig gewerbsmäßig tätigen kann.</w:t>
      </w:r>
    </w:p>
    <w:p>
      <w:r>
        <w:rPr>
          <w:rStyle w:val="Satznummer"/>
        </w:rPr>
        <w:t>2</w:t>
      </w:r>
      <w:r>
        <w:t>Geschäfte nach Satz 1 sind</w:t>
      </w:r>
    </w:p>
    <w:p>
      <w:pPr>
        <w:tabs>
          <w:tab w:pos="567" w:val="left"/>
        </w:tabs>
        <w:ind w:left="567" w:hanging="567"/>
      </w:pPr>
      <w:r>
        <w:t>1.</w:t>
      </w:r>
      <w:r>
        <w:tab/>
      </w:r>
      <w:r>
        <w:t>Bankgeschäfte im Sinne des § 1 Absatz 1 Satz 2 des Kreditwesengesetzes,</w:t>
      </w:r>
    </w:p>
    <w:p>
      <w:pPr>
        <w:tabs>
          <w:tab w:pos="567" w:val="left"/>
        </w:tabs>
        <w:ind w:left="567" w:hanging="567"/>
      </w:pPr>
      <w:r>
        <w:t>2.</w:t>
      </w:r>
      <w:r>
        <w:tab/>
      </w:r>
      <w:r>
        <w:t>Finanzdienstleistungen im Sinne des § 1 Absatz 1a Satz 2 des Kreditwesengesetzes,</w:t>
      </w:r>
    </w:p>
    <w:p>
      <w:pPr>
        <w:tabs>
          <w:tab w:pos="567" w:val="left"/>
        </w:tabs>
        <w:ind w:left="567" w:hanging="567"/>
      </w:pPr>
      <w:r>
        <w:t>3.</w:t>
      </w:r>
      <w:r>
        <w:tab/>
      </w:r>
      <w:r>
        <w:t>Wertpapierdienstleistungen im Sinne des § 2 Absatz 2 des Wertpapierinstitutsgesetzes und Wertpapiernebendienstleistungen im Sinne des § 2 Absatz 3 des Wertpapierinstitutsgesetzes,</w:t>
      </w:r>
    </w:p>
    <w:p>
      <w:pPr>
        <w:tabs>
          <w:tab w:pos="567" w:val="left"/>
        </w:tabs>
        <w:ind w:left="567" w:hanging="567"/>
      </w:pPr>
      <w:r>
        <w:t>4.</w:t>
      </w:r>
      <w:r>
        <w:tab/>
      </w:r>
      <w:r>
        <w:t>Zahlungsdienste im Sinne des § 1 Absatz 1 Satz 2 des Zahlungsdiensteaufsichtsgesetzes,</w:t>
      </w:r>
    </w:p>
    <w:p>
      <w:pPr>
        <w:tabs>
          <w:tab w:pos="567" w:val="left"/>
        </w:tabs>
        <w:ind w:left="567" w:hanging="567"/>
      </w:pPr>
      <w:r>
        <w:t>5.</w:t>
      </w:r>
      <w:r>
        <w:tab/>
      </w:r>
      <w:r>
        <w:t>Geschäfte von Kapitalverwaltungsgesellschaften nach § 20 Absatz 2 und 3 des Kapitalanlagegesetzbuchs und</w:t>
      </w:r>
    </w:p>
    <w:p>
      <w:pPr>
        <w:tabs>
          <w:tab w:pos="567" w:val="left"/>
        </w:tabs>
        <w:ind w:left="567" w:hanging="567"/>
      </w:pPr>
      <w:r>
        <w:t>6.</w:t>
      </w:r>
      <w:r>
        <w:tab/>
      </w:r>
      <w:r>
        <w:t>Geschäfte von Börsen und ihren Trägern nach § 2 Absatz 1 des Börsengesetzes.</w:t>
      </w:r>
    </w:p>
    <w:p>
      <w:r>
        <w:rPr>
          <w:rStyle w:val="Satznummer"/>
        </w:rPr>
        <w:t>3</w:t>
      </w:r>
      <w:r>
        <w:t>Ein Unternehmer ist als großer Unternehmer nach Satz 1 Nummer 2 anzusehen, wenn er in jedem der beiden Kalenderjahre vor dem Vertragsschluss zwei der drei folgenden Merkmale erfüllt hat:</w:t>
      </w:r>
    </w:p>
    <w:p>
      <w:pPr>
        <w:tabs>
          <w:tab w:pos="567" w:val="left"/>
        </w:tabs>
        <w:ind w:left="567" w:hanging="567"/>
      </w:pPr>
      <w:r>
        <w:t>1.</w:t>
      </w:r>
      <w:r>
        <w:tab/>
      </w:r>
      <w:r>
        <w:t>er hat im Jahresdurchschnitt nach § 267 Absatz 5 des Handelsgesetzbuchs jeweils mindestens 250 Arbeitnehmer beschäftigt,</w:t>
      </w:r>
    </w:p>
    <w:p>
      <w:pPr>
        <w:tabs>
          <w:tab w:pos="567" w:val="left"/>
        </w:tabs>
        <w:ind w:left="567" w:hanging="567"/>
      </w:pPr>
      <w:r>
        <w:t>2.</w:t>
      </w:r>
      <w:r>
        <w:tab/>
      </w:r>
      <w:r>
        <w:t>er hat jeweils Umsatzerlöse von mehr als 50 Millionen Euro erzielt oder</w:t>
      </w:r>
    </w:p>
    <w:p>
      <w:pPr>
        <w:tabs>
          <w:tab w:pos="567" w:val="left"/>
        </w:tabs>
        <w:ind w:left="567" w:hanging="567"/>
      </w:pPr>
      <w:r>
        <w:t>3.</w:t>
      </w:r>
      <w:r>
        <w:tab/>
      </w:r>
      <w:r>
        <w:t>seine Bilanzsumme nach § 267 Absatz 4a des Handelsgesetzbuchs hat sich jeweils auf mehr als 43 Millionen Euro belaufen.</w:t>
      </w:r>
    </w:p>
    <w:p>
      <w:r>
        <w:rPr>
          <w:rStyle w:val="Satznummer"/>
        </w:rPr>
        <w:t>4</w:t>
      </w:r>
      <w:r>
        <w:t>Satz 1 ist auch anzuwenden, wenn die folgenden Stellen eine der beiden Vertragsparteien sind:</w:t>
      </w:r>
    </w:p>
    <w:p>
      <w:pPr>
        <w:tabs>
          <w:tab w:pos="567" w:val="left"/>
        </w:tabs>
        <w:ind w:left="567" w:hanging="567"/>
      </w:pPr>
      <w:r>
        <w:t>1.</w:t>
      </w:r>
      <w:r>
        <w:tab/>
      </w:r>
      <w:r>
        <w:t>die Deutsche Bundesbank,</w:t>
      </w:r>
    </w:p>
    <w:p>
      <w:pPr>
        <w:tabs>
          <w:tab w:pos="567" w:val="left"/>
        </w:tabs>
        <w:ind w:left="567" w:hanging="567"/>
      </w:pPr>
      <w:r>
        <w:t>2.</w:t>
      </w:r>
      <w:r>
        <w:tab/>
      </w:r>
      <w:r>
        <w:t>die Kreditanstalt für Wiederaufbau,</w:t>
      </w:r>
    </w:p>
    <w:p>
      <w:pPr>
        <w:tabs>
          <w:tab w:pos="567" w:val="left"/>
        </w:tabs>
        <w:ind w:left="567" w:hanging="567"/>
      </w:pPr>
      <w:r>
        <w:t>3.</w:t>
      </w:r>
      <w:r>
        <w:tab/>
      </w:r>
      <w:r>
        <w:t>eine Stelle der öffentlichen Schuldenverwaltung nach § 2 Absatz 1 Nummer 3a des Kreditwesengesetzes,</w:t>
      </w:r>
    </w:p>
    <w:p>
      <w:pPr>
        <w:tabs>
          <w:tab w:pos="567" w:val="left"/>
        </w:tabs>
        <w:ind w:left="567" w:hanging="567"/>
      </w:pPr>
      <w:r>
        <w:t>4.</w:t>
      </w:r>
      <w:r>
        <w:tab/>
      </w:r>
      <w:r>
        <w:t>eine auf der Grundlage der §§ 8a und 8b des Stabilisierungsfondsgesetzes errichtete Abwicklungsanstalt,</w:t>
      </w:r>
    </w:p>
    <w:p>
      <w:pPr>
        <w:tabs>
          <w:tab w:pos="567" w:val="left"/>
        </w:tabs>
        <w:ind w:left="567" w:hanging="567"/>
      </w:pPr>
      <w:r>
        <w:t>5.</w:t>
      </w:r>
      <w:r>
        <w:tab/>
      </w:r>
      <w:r>
        <w:t>die Weltbank, der Internationale Währungsfonds, die Europäische Zentralbank, die nationalen Zentralbanken der Mitgliedstaaten des Europäischen Wirtschaftsraums und des Vereinigten Königreichs Großbritannien und Nordirland, die Europäische Investitionsbank oder eine vergleichbare internationale Finanzorganisation.</w:t>
      </w:r>
    </w:p>
    <w:p>
      <w:r>
        <w:t xml:space="preserve">(2) </w:t>
      </w:r>
      <w:r>
        <w:rPr>
          <w:rStyle w:val="Satznummer"/>
        </w:rPr>
        <w:t>1</w:t>
      </w:r>
      <w:r>
        <w:t xml:space="preserve">Die </w:t>
      </w:r>
      <w:hyperlink w:anchor="b358" w:history="1">
        <w:r>
          <w:rPr>
            <w:color w:val="0A3A8C"/>
            <w:u w:val="single"/>
          </w:rPr>
          <w:t xml:space="preserve">§§ 308</w:t>
        </w:r>
      </w:hyperlink>
      <w:r>
        <w:t xml:space="preserve"> und </w:t>
      </w:r>
      <w:hyperlink w:anchor="b359" w:history="1">
        <w:r>
          <w:rPr>
            <w:color w:val="0A3A8C"/>
            <w:u w:val="single"/>
          </w:rPr>
          <w:t xml:space="preserve">309</w:t>
        </w:r>
      </w:hyperlink>
      <w:r>
        <w:t xml:space="preserve"> finden keine Anwendung auf Verträge der Elektrizitäts-, Gas-, Fernwärme- und Wasserversorgungsunternehmen über die Versorgung von Sonderabnehmern mit elektrischer Energie, Gas, Fernwärme und Wasser aus dem Versorgungsnetz, soweit die Versorgungsbedingungen nicht zum Nachteil der Abnehmer von Verordnungen über Allgemeine Bedingungen für die Versorgung von Tarifkunden mit elektrischer Energie, Gas, Fernwärme und Wasser abweichen. </w:t>
      </w:r>
      <w:r>
        <w:rPr>
          <w:rStyle w:val="Satznummer"/>
        </w:rPr>
        <w:t>2</w:t>
      </w:r>
      <w:r>
        <w:t>Satz 1 gilt entsprechend für Verträge über die Entsorgung von Abwasser.</w:t>
      </w:r>
    </w:p>
    <w:p>
      <w:r>
        <w:t>(3) Bei Verträgen zwischen einem Unternehmer und einem Verbraucher (Verbraucherverträge) finden die Vorschriften dieses Abschnitts mit folgenden Maßgaben Anwendung:</w:t>
      </w:r>
    </w:p>
    <w:p>
      <w:pPr>
        <w:tabs>
          <w:tab w:pos="567" w:val="left"/>
        </w:tabs>
        <w:ind w:left="567" w:hanging="567"/>
      </w:pPr>
      <w:r>
        <w:t>1.</w:t>
      </w:r>
      <w:r>
        <w:tab/>
      </w:r>
      <w:r>
        <w:t>Allgemeine Geschäftsbedingungen gelten als vom Unternehmer gestellt, es sei denn, dass sie durch den Verbraucher in den Vertrag eingeführt wurden;</w:t>
      </w:r>
    </w:p>
    <w:p>
      <w:pPr>
        <w:tabs>
          <w:tab w:pos="567" w:val="left"/>
        </w:tabs>
        <w:ind w:left="567" w:hanging="567"/>
      </w:pPr>
      <w:r>
        <w:t>2.</w:t>
      </w:r>
      <w:r>
        <w:tab/>
      </w:r>
      <w:hyperlink w:anchor="b354" w:history="1">
        <w:r>
          <w:rPr>
            <w:color w:val="0A3A8C"/>
            <w:u w:val="single"/>
          </w:rPr>
          <w:t xml:space="preserve">§ 305c</w:t>
        </w:r>
      </w:hyperlink>
      <w:r>
        <w:t xml:space="preserve"> Abs. 2 und die </w:t>
      </w:r>
      <w:hyperlink w:anchor="b355" w:history="1">
        <w:r>
          <w:rPr>
            <w:color w:val="0A3A8C"/>
            <w:u w:val="single"/>
          </w:rPr>
          <w:t xml:space="preserve">§§ 306</w:t>
        </w:r>
      </w:hyperlink>
      <w:r>
        <w:t xml:space="preserve"> und </w:t>
      </w:r>
      <w:hyperlink w:anchor="b357" w:history="1">
        <w:r>
          <w:rPr>
            <w:color w:val="0A3A8C"/>
            <w:u w:val="single"/>
          </w:rPr>
          <w:t xml:space="preserve">307</w:t>
        </w:r>
      </w:hyperlink>
      <w:r>
        <w:t xml:space="preserve"> bis </w:t>
      </w:r>
      <w:hyperlink w:anchor="b359" w:history="1">
        <w:r>
          <w:rPr>
            <w:color w:val="0A3A8C"/>
            <w:u w:val="single"/>
          </w:rPr>
          <w:t xml:space="preserve">309</w:t>
        </w:r>
      </w:hyperlink>
      <w:r>
        <w:t xml:space="preserve"> dieses Gesetzes sowie Artikel 46b des Einführungsgesetzes zum Bürgerlichen Gesetzbuche finden auf vorformulierte Vertragsbedingungen auch dann Anwendung, wenn diese nur zur einmaligen Verwendung bestimmt sind und soweit der Verbraucher auf Grund der Vorformulierung auf ihren Inhalt keinen Einfluss nehmen konnte;</w:t>
      </w:r>
    </w:p>
    <w:p>
      <w:pPr>
        <w:tabs>
          <w:tab w:pos="567" w:val="left"/>
        </w:tabs>
        <w:ind w:left="567" w:hanging="567"/>
      </w:pPr>
      <w:r>
        <w:t>3.</w:t>
      </w:r>
      <w:r>
        <w:tab/>
      </w:r>
      <w:r>
        <w:t xml:space="preserve">bei der Beurteilung der unangemessenen Benachteiligung nach </w:t>
      </w:r>
      <w:hyperlink w:anchor="b357" w:history="1">
        <w:r>
          <w:rPr>
            <w:color w:val="0A3A8C"/>
            <w:u w:val="single"/>
          </w:rPr>
          <w:t xml:space="preserve">§ 307</w:t>
        </w:r>
      </w:hyperlink>
      <w:r>
        <w:t xml:space="preserve"> Abs. 1 und 2 sind auch die den Vertragsschluss begleitenden Umstände zu berücksichtigen.</w:t>
      </w:r>
    </w:p>
    <w:p>
      <w:r>
        <w:t xml:space="preserve">(4) </w:t>
      </w:r>
      <w:r>
        <w:rPr>
          <w:rStyle w:val="Satznummer"/>
        </w:rPr>
        <w:t>1</w:t>
      </w:r>
      <w:r>
        <w:t xml:space="preserve">Dieser Abschnitt findet keine Anwendung bei Verträgen auf dem Gebiet des Erb-, Familien- und Gesellschaftsrechts sowie auf Tarifverträge, Betriebs- und Dienstvereinbarungen. </w:t>
      </w:r>
      <w:r>
        <w:rPr>
          <w:rStyle w:val="Satznummer"/>
        </w:rPr>
        <w:t>2</w:t>
      </w:r>
      <w:r>
        <w:t xml:space="preserve">Bei der Anwendung auf Arbeitsverträge sind die im Arbeitsrecht geltenden Besonderheiten angemessen zu berücksichtigen; </w:t>
      </w:r>
      <w:hyperlink w:anchor="b351" w:history="1">
        <w:r>
          <w:rPr>
            <w:color w:val="0A3A8C"/>
            <w:u w:val="single"/>
          </w:rPr>
          <w:t xml:space="preserve">§ 305</w:t>
        </w:r>
      </w:hyperlink>
      <w:r>
        <w:t xml:space="preserve"> Abs. 2 und 3 ist nicht anzuwenden. </w:t>
      </w:r>
      <w:r>
        <w:rPr>
          <w:rStyle w:val="Satznummer"/>
        </w:rPr>
        <w:t>3</w:t>
      </w:r>
      <w:r>
        <w:t xml:space="preserve">Tarifverträge, Betriebs- und Dienstvereinbarungen stehen Rechtsvorschriften im Sinne von </w:t>
      </w:r>
      <w:hyperlink w:anchor="b357" w:history="1">
        <w:r>
          <w:rPr>
            <w:color w:val="0A3A8C"/>
            <w:u w:val="single"/>
          </w:rPr>
          <w:t xml:space="preserve">§ 307</w:t>
        </w:r>
      </w:hyperlink>
      <w:r>
        <w:t xml:space="preserve"> Abs. 3 gleich.</w:t>
      </w:r>
    </w:p>
    <w:p>
      <w:pPr>
        <w:pStyle w:val="Heading2"/>
      </w:pPr>
      <w:bookmarkStart w:id="369" w:name="b361"/>
      <w:r>
        <w:t>Abschnitt 3 Schuldverhältnisse aus Verträgen</w:t>
      </w:r>
      <w:bookmarkEnd w:id="369"/>
    </w:p>
    <w:p>
      <w:pPr>
        <w:pStyle w:val="Heading3"/>
      </w:pPr>
      <w:bookmarkStart w:id="370" w:name="b362"/>
      <w:r>
        <w:t>Titel 1 Begründung, Inhalt und Beendigung</w:t>
      </w:r>
      <w:bookmarkEnd w:id="370"/>
    </w:p>
    <w:p>
      <w:pPr>
        <w:pStyle w:val="Heading4"/>
      </w:pPr>
      <w:bookmarkStart w:id="371" w:name="b363"/>
      <w:r>
        <w:t>Untertitel 1 Begründung</w:t>
      </w:r>
      <w:bookmarkEnd w:id="371"/>
    </w:p>
    <w:p>
      <w:pPr>
        <w:pStyle w:val="Heading5"/>
      </w:pPr>
      <w:bookmarkStart w:id="372" w:name="b364"/>
      <w:r>
        <w:t>§ 311 Rechtsgeschäftliche und rechtsgeschäftsähnliche Schuldverhältnisse</w:t>
      </w:r>
      <w:r>
        <w:t xml:space="preserve"> </w:t>
      </w:r>
      <w:r>
        <w:rPr>
          <w:rStyle w:val="Suchmarke"/>
        </w:rPr>
        <w:t>#311#</w:t>
      </w:r>
      <w:bookmarkEnd w:id="372"/>
    </w:p>
    <w:p>
      <w:r>
        <w:t>(1) Zur Begründung eines Schuldverhältnisses durch Rechtsgeschäft sowie zur Änderung des Inhalts eines Schuldverhältnisses ist ein Vertrag zwischen den Beteiligten erforderlich, soweit nicht das Gesetz ein anderes vorschreibt.</w:t>
      </w:r>
    </w:p>
    <w:p>
      <w:r>
        <w:t xml:space="preserve">(2) Ein Schuldverhältnis mit Pflichten nach </w:t>
      </w:r>
      <w:hyperlink w:anchor="b282" w:history="1">
        <w:r>
          <w:rPr>
            <w:color w:val="0A3A8C"/>
            <w:u w:val="single"/>
          </w:rPr>
          <w:t xml:space="preserve">§ 241</w:t>
        </w:r>
      </w:hyperlink>
      <w:r>
        <w:t xml:space="preserve"> Abs. 2 entsteht auch durch</w:t>
      </w:r>
    </w:p>
    <w:p>
      <w:pPr>
        <w:tabs>
          <w:tab w:pos="567" w:val="left"/>
        </w:tabs>
        <w:ind w:left="567" w:hanging="567"/>
      </w:pPr>
      <w:r>
        <w:t>1.</w:t>
      </w:r>
      <w:r>
        <w:tab/>
      </w:r>
      <w:r>
        <w:t>die Aufnahme von Vertragsverhandlungen,</w:t>
      </w:r>
    </w:p>
    <w:p>
      <w:pPr>
        <w:tabs>
          <w:tab w:pos="567" w:val="left"/>
        </w:tabs>
        <w:ind w:left="567" w:hanging="567"/>
      </w:pPr>
      <w:r>
        <w:t>2.</w:t>
      </w:r>
      <w:r>
        <w:tab/>
      </w:r>
      <w:r>
        <w:t>die Anbahnung eines Vertrags, bei welcher der eine Teil im Hinblick auf eine etwaige rechtsgeschäftliche Beziehung dem anderen Teil die Möglichkeit zur Einwirkung auf seine Rechte, Rechtsgüter und Interessen gewährt oder ihm diese anvertraut, oder</w:t>
      </w:r>
    </w:p>
    <w:p>
      <w:pPr>
        <w:tabs>
          <w:tab w:pos="567" w:val="left"/>
        </w:tabs>
        <w:ind w:left="567" w:hanging="567"/>
      </w:pPr>
      <w:r>
        <w:t>3.</w:t>
      </w:r>
      <w:r>
        <w:tab/>
      </w:r>
      <w:r>
        <w:t>ähnliche geschäftliche Kontakte.</w:t>
      </w:r>
    </w:p>
    <w:p>
      <w:r>
        <w:t xml:space="preserve">(3) </w:t>
      </w:r>
      <w:r>
        <w:rPr>
          <w:rStyle w:val="Satznummer"/>
        </w:rPr>
        <w:t>1</w:t>
      </w:r>
      <w:r>
        <w:t xml:space="preserve">Ein Schuldverhältnis mit Pflichten nach </w:t>
      </w:r>
      <w:hyperlink w:anchor="b282" w:history="1">
        <w:r>
          <w:rPr>
            <w:color w:val="0A3A8C"/>
            <w:u w:val="single"/>
          </w:rPr>
          <w:t xml:space="preserve">§ 241</w:t>
        </w:r>
      </w:hyperlink>
      <w:r>
        <w:t xml:space="preserve"> Abs. 2 kann auch zu Personen entstehen, die nicht selbst Vertragspartei werden sollen. </w:t>
      </w:r>
      <w:r>
        <w:rPr>
          <w:rStyle w:val="Satznummer"/>
        </w:rPr>
        <w:t>2</w:t>
      </w:r>
      <w:r>
        <w:t>Ein solches Schuldverhältnis entsteht insbesondere, wenn der Dritte in besonderem Maße Vertrauen für sich in Anspruch nimmt und dadurch die Vertragsverhandlungen oder den Vertragsschluss erheblich beeinflusst.</w:t>
      </w:r>
    </w:p>
    <w:p>
      <w:pPr>
        <w:pStyle w:val="Heading5"/>
      </w:pPr>
      <w:bookmarkStart w:id="373" w:name="b365"/>
      <w:r>
        <w:t>§ 311a Leistungshindernis bei Vertragsschluss</w:t>
      </w:r>
      <w:r>
        <w:t xml:space="preserve"> </w:t>
      </w:r>
      <w:r>
        <w:rPr>
          <w:rStyle w:val="Suchmarke"/>
        </w:rPr>
        <w:t>#311a#</w:t>
      </w:r>
      <w:bookmarkEnd w:id="373"/>
    </w:p>
    <w:p>
      <w:r>
        <w:t xml:space="preserve">(1) Der Wirksamkeit eines Vertrags steht es nicht entgegen, dass der Schuldner nach </w:t>
      </w:r>
      <w:hyperlink w:anchor="b319" w:history="1">
        <w:r>
          <w:rPr>
            <w:color w:val="0A3A8C"/>
            <w:u w:val="single"/>
          </w:rPr>
          <w:t xml:space="preserve">§ 275</w:t>
        </w:r>
      </w:hyperlink>
      <w:r>
        <w:t xml:space="preserve"> Abs. 1 bis 3 nicht zu leisten braucht und das Leistungshindernis schon bei Vertragsschluss vorliegt.</w:t>
      </w:r>
    </w:p>
    <w:p>
      <w:r>
        <w:t xml:space="preserve">(2) </w:t>
      </w:r>
      <w:r>
        <w:rPr>
          <w:rStyle w:val="Satznummer"/>
        </w:rPr>
        <w:t>1</w:t>
      </w:r>
      <w:r>
        <w:t xml:space="preserve">Der Gläubiger kann nach seiner Wahl Schadensersatz statt der Leistung oder Ersatz seiner Aufwendungen in dem in </w:t>
      </w:r>
      <w:hyperlink w:anchor="b328" w:history="1">
        <w:r>
          <w:rPr>
            <w:color w:val="0A3A8C"/>
            <w:u w:val="single"/>
          </w:rPr>
          <w:t xml:space="preserve">§ 284</w:t>
        </w:r>
      </w:hyperlink>
      <w:r>
        <w:t xml:space="preserve"> bestimmten Umfang verlangen. </w:t>
      </w:r>
      <w:r>
        <w:rPr>
          <w:rStyle w:val="Satznummer"/>
        </w:rPr>
        <w:t>2</w:t>
      </w:r>
      <w:r>
        <w:t xml:space="preserve">Dies gilt nicht, wenn der Schuldner das Leistungshindernis bei Vertragsschluss nicht kannte und seine Unkenntnis auch nicht zu vertreten hat. </w:t>
      </w:r>
      <w:r>
        <w:rPr>
          <w:rStyle w:val="Satznummer"/>
        </w:rPr>
        <w:t>3</w:t>
      </w:r>
      <w:hyperlink w:anchor="b325" w:history="1">
        <w:r>
          <w:rPr>
            <w:color w:val="0A3A8C"/>
            <w:u w:val="single"/>
          </w:rPr>
          <w:t xml:space="preserve">§ 281</w:t>
        </w:r>
      </w:hyperlink>
      <w:r>
        <w:t xml:space="preserve"> Abs. 1 Satz 2 und 3 und Abs. 5 findet entsprechende Anwendung.</w:t>
      </w:r>
    </w:p>
    <w:p>
      <w:pPr>
        <w:pStyle w:val="Heading5"/>
      </w:pPr>
      <w:bookmarkStart w:id="374" w:name="b366"/>
      <w:r>
        <w:t>§ 311b Verträge über Grundstücke, das Vermögen und den Nachlass</w:t>
      </w:r>
      <w:r>
        <w:t xml:space="preserve"> </w:t>
      </w:r>
      <w:r>
        <w:rPr>
          <w:rStyle w:val="Suchmarke"/>
        </w:rPr>
        <w:t>#311b#</w:t>
      </w:r>
      <w:bookmarkEnd w:id="374"/>
    </w:p>
    <w:p>
      <w:r>
        <w:t xml:space="preserve">(1) </w:t>
      </w:r>
      <w:r>
        <w:rPr>
          <w:rStyle w:val="Satznummer"/>
        </w:rPr>
        <w:t>1</w:t>
      </w:r>
      <w:r>
        <w:t xml:space="preserve">Ein Vertrag, durch den sich der eine Teil verpflichtet, das Eigentum an einem Grundstück zu übertragen oder zu erwerben, bedarf der notariellen Beurkundung. </w:t>
      </w:r>
      <w:r>
        <w:rPr>
          <w:rStyle w:val="Satznummer"/>
        </w:rPr>
        <w:t>2</w:t>
      </w:r>
      <w:r>
        <w:t>Ein ohne Beachtung dieser Form geschlossener Vertrag wird seinem ganzen Inhalt nach gültig, wenn die Auflassung und die Eintragung in das Grundbuch erfolgen.</w:t>
      </w:r>
    </w:p>
    <w:p>
      <w:r>
        <w:t>(2) Ein Vertrag, durch den sich der eine Teil verpflichtet, sein künftiges Vermögen oder einen Bruchteil seines künftigen Vermögens zu übertragen oder mit einem Nießbrauch zu belasten, ist nichtig.</w:t>
      </w:r>
    </w:p>
    <w:p>
      <w:r>
        <w:t>(3) Ein Vertrag, durch den sich der eine Teil verpflichtet, sein gegenwärtiges Vermögen oder einen Bruchteil seines gegenwärtigen Vermögens zu übertragen oder mit einem Nießbrauch zu belasten, bedarf der notariellen Beurkundung.</w:t>
      </w:r>
    </w:p>
    <w:p>
      <w:r>
        <w:t xml:space="preserve">(4) </w:t>
      </w:r>
      <w:r>
        <w:rPr>
          <w:rStyle w:val="Satznummer"/>
        </w:rPr>
        <w:t>1</w:t>
      </w:r>
      <w:r>
        <w:t xml:space="preserve">Ein Vertrag über den Nachlass eines noch lebenden Dritten ist nichtig. </w:t>
      </w:r>
      <w:r>
        <w:rPr>
          <w:rStyle w:val="Satznummer"/>
        </w:rPr>
        <w:t>2</w:t>
      </w:r>
      <w:r>
        <w:t>Das Gleiche gilt von einem Vertrag über den Pflichtteil oder ein Vermächtnis aus dem Nachlass eines noch lebenden Dritten.</w:t>
      </w:r>
    </w:p>
    <w:p>
      <w:r>
        <w:t xml:space="preserve">(5) </w:t>
      </w:r>
      <w:r>
        <w:rPr>
          <w:rStyle w:val="Satznummer"/>
        </w:rPr>
        <w:t>1</w:t>
      </w:r>
      <w:r>
        <w:t xml:space="preserve">Absatz 4 gilt nicht für einen Vertrag, der unter künftigen gesetzlichen Erben über den gesetzlichen Erbteil oder den Pflichtteil eines von ihnen geschlossen wird. </w:t>
      </w:r>
      <w:r>
        <w:rPr>
          <w:rStyle w:val="Satznummer"/>
        </w:rPr>
        <w:t>2</w:t>
      </w:r>
      <w:r>
        <w:t>Ein solcher Vertrag bedarf der notariellen Beurkundung.</w:t>
      </w:r>
    </w:p>
    <w:p>
      <w:pPr>
        <w:pStyle w:val="Heading5"/>
      </w:pPr>
      <w:bookmarkStart w:id="375" w:name="b367"/>
      <w:r>
        <w:t>§ 311c Erstreckung auf Zubehör</w:t>
      </w:r>
      <w:r>
        <w:t xml:space="preserve"> </w:t>
      </w:r>
      <w:r>
        <w:rPr>
          <w:rStyle w:val="Suchmarke"/>
        </w:rPr>
        <w:t>#311c#</w:t>
      </w:r>
      <w:bookmarkEnd w:id="375"/>
    </w:p>
    <w:p>
      <w:r>
        <w:t>Verpflichtet sich jemand zur Veräußerung oder Belastung einer Sache, so erstreckt sich diese Verpflichtung im Zweifel auch auf das Zubehör der Sache.</w:t>
      </w:r>
    </w:p>
    <w:p>
      <w:pPr>
        <w:pStyle w:val="Heading4"/>
      </w:pPr>
      <w:bookmarkStart w:id="376" w:name="b368"/>
      <w:r>
        <w:t>Untertitel 2 Grundsätze bei Verbraucherverträgen und besondere Vertriebsformen</w:t>
      </w:r>
      <w:bookmarkEnd w:id="376"/>
    </w:p>
    <w:p>
      <w:pPr>
        <w:pStyle w:val="Heading5"/>
      </w:pPr>
      <w:bookmarkStart w:id="377" w:name="b369"/>
      <w:r>
        <w:t>Kapitel 1 Anwendungsbereich und Grundsätze bei Verbraucherverträgen</w:t>
      </w:r>
      <w:bookmarkEnd w:id="377"/>
    </w:p>
    <w:p>
      <w:pPr>
        <w:pStyle w:val="Heading6"/>
      </w:pPr>
      <w:bookmarkStart w:id="378" w:name="b370"/>
      <w:r>
        <w:t>§ 312 Anwendungsbereich</w:t>
      </w:r>
      <w:r>
        <w:t xml:space="preserve"> </w:t>
      </w:r>
      <w:r>
        <w:rPr>
          <w:rStyle w:val="Suchmarke"/>
        </w:rPr>
        <w:t>#312#</w:t>
      </w:r>
      <w:bookmarkEnd w:id="378"/>
    </w:p>
    <w:p>
      <w:r>
        <w:t>(1) Die Vorschriften der Kapitel 1 und 2 dieses Untertitels sind auf Verbraucherverträge anzuwenden, bei denen sich der Verbraucher zu der Zahlung eines Preises verpflichtet.</w:t>
      </w:r>
    </w:p>
    <w:p>
      <w:r>
        <w:t xml:space="preserve">(1a) </w:t>
      </w:r>
      <w:r>
        <w:rPr>
          <w:rStyle w:val="Satznummer"/>
        </w:rPr>
        <w:t>1</w:t>
      </w:r>
      <w:r>
        <w:t xml:space="preserve">Die Vorschriften der Kapitel 1 und 2 dieses Untertitels sind auch auf Verbraucherverträge anzuwenden, bei denen der Verbraucher dem Unternehmer personenbezogene Daten bereitstellt oder sich hierzu verpflichtet. </w:t>
      </w:r>
      <w:r>
        <w:rPr>
          <w:rStyle w:val="Satznummer"/>
        </w:rPr>
        <w:t>2</w:t>
      </w:r>
      <w:r>
        <w:t>Dies gilt nicht, wenn der Unternehmer die vom Verbraucher bereitgestellten personenbezogenen Daten ausschließlich verarbeitet, um seine Leistungspflicht oder an ihn gestellte rechtliche Anforderungen zu erfüllen, und sie zu keinem anderen Zweck verarbeitet.</w:t>
      </w:r>
    </w:p>
    <w:p>
      <w:r>
        <w:t xml:space="preserve">(2) Von den Vorschriften der Kapitel 1 und 2 dieses Untertitels ist nur </w:t>
      </w:r>
      <w:hyperlink w:anchor="b371" w:history="1">
        <w:r>
          <w:rPr>
            <w:color w:val="0A3A8C"/>
            <w:u w:val="single"/>
          </w:rPr>
          <w:t xml:space="preserve">§ 312a</w:t>
        </w:r>
      </w:hyperlink>
      <w:r>
        <w:t xml:space="preserve"> Absatz 1, 3, 4 und 6 auf folgende Verträge anzuwenden:</w:t>
      </w:r>
    </w:p>
    <w:p>
      <w:pPr>
        <w:tabs>
          <w:tab w:pos="567" w:val="left"/>
        </w:tabs>
        <w:ind w:left="567" w:hanging="567"/>
      </w:pPr>
      <w:r>
        <w:t>1.</w:t>
      </w:r>
      <w:r>
        <w:tab/>
      </w:r>
      <w:r>
        <w:t xml:space="preserve">Notariell beurkundete Verträge mit Ausnahme von Fernabsatzverträgen über Bankdienstleistungen sowie Dienstleistungen im Zusammenhang mit einer Kreditgewährung, Versicherung, Altersversorgung von Einzelpersonen, Geldanlage oder Zahlung (Finanzdienstleistungen); für Verträge, für die das Gesetz die notarielle Beurkundung des Vertrags oder einer Vertragserklärung nicht vorschreibt, gilt dies nur, wenn der Notar darüber belehrt, dass die Informationspflichten nach </w:t>
      </w:r>
      <w:hyperlink w:anchor="b375" w:history="1">
        <w:r>
          <w:rPr>
            <w:color w:val="0A3A8C"/>
            <w:u w:val="single"/>
          </w:rPr>
          <w:t xml:space="preserve">§ 312d</w:t>
        </w:r>
      </w:hyperlink>
      <w:r>
        <w:t xml:space="preserve"> Absatz 1 und das Widerrufsrecht nach </w:t>
      </w:r>
      <w:hyperlink w:anchor="b378" w:history="1">
        <w:r>
          <w:rPr>
            <w:color w:val="0A3A8C"/>
            <w:u w:val="single"/>
          </w:rPr>
          <w:t xml:space="preserve">§ 312g</w:t>
        </w:r>
      </w:hyperlink>
      <w:r>
        <w:t xml:space="preserve"> Absatz 1 entfallen,</w:t>
      </w:r>
    </w:p>
    <w:p>
      <w:pPr>
        <w:tabs>
          <w:tab w:pos="567" w:val="left"/>
        </w:tabs>
        <w:ind w:left="567" w:hanging="567"/>
      </w:pPr>
      <w:r>
        <w:t>2.</w:t>
      </w:r>
      <w:r>
        <w:tab/>
      </w:r>
      <w:r>
        <w:t>Verträge über die Begründung, den Erwerb oder die Übertragung von Eigentum oder anderen Rechten an Grundstücken,</w:t>
      </w:r>
    </w:p>
    <w:p>
      <w:pPr>
        <w:tabs>
          <w:tab w:pos="567" w:val="left"/>
        </w:tabs>
        <w:ind w:left="567" w:hanging="567"/>
      </w:pPr>
      <w:r>
        <w:t>3.</w:t>
      </w:r>
      <w:r>
        <w:tab/>
      </w:r>
      <w:r>
        <w:t xml:space="preserve">Verbraucherbauverträge nach </w:t>
      </w:r>
      <w:hyperlink w:anchor="b963" w:history="1">
        <w:r>
          <w:rPr>
            <w:color w:val="0A3A8C"/>
            <w:u w:val="single"/>
          </w:rPr>
          <w:t xml:space="preserve">§ 650i</w:t>
        </w:r>
      </w:hyperlink>
      <w:r>
        <w:t xml:space="preserve"> Absatz 1,</w:t>
      </w:r>
    </w:p>
    <w:p>
      <w:pPr>
        <w:tabs>
          <w:tab w:pos="567" w:val="left"/>
        </w:tabs>
        <w:ind w:left="567" w:hanging="567"/>
      </w:pPr>
      <w:r>
        <w:t>4.</w:t>
      </w:r>
      <w:r>
        <w:tab/>
      </w:r>
      <w:r>
        <w:t>Verträge über soziale Dienstleistungen wie Kinderbetreuung oder Unterstützung von dauerhaft oder vorübergehend hilfsbedürftigen Familien oder Personen, einschließlich Langzeitpflege,</w:t>
      </w:r>
    </w:p>
    <w:p>
      <w:pPr>
        <w:tabs>
          <w:tab w:pos="567" w:val="left"/>
        </w:tabs>
        <w:ind w:left="567" w:hanging="567"/>
      </w:pPr>
      <w:r>
        <w:t>5.</w:t>
      </w:r>
      <w:r>
        <w:tab/>
      </w:r>
      <w:r>
        <w:t>Verträge über die Vermietung von Wohnraum,</w:t>
      </w:r>
    </w:p>
    <w:p>
      <w:pPr>
        <w:tabs>
          <w:tab w:pos="567" w:val="left"/>
        </w:tabs>
        <w:ind w:left="567" w:hanging="567"/>
      </w:pPr>
      <w:r>
        <w:t>6.</w:t>
      </w:r>
      <w:r>
        <w:tab/>
      </w:r>
      <w:r>
        <w:t xml:space="preserve">Verträge über Teilzeit-Wohnrechte, langfristige Urlaubsprodukte, Vermittlungen und Tauschsysteme nach den </w:t>
      </w:r>
      <w:hyperlink w:anchor="b632" w:history="1">
        <w:r>
          <w:rPr>
            <w:color w:val="0A3A8C"/>
            <w:u w:val="single"/>
          </w:rPr>
          <w:t xml:space="preserve">§§ 481</w:t>
        </w:r>
      </w:hyperlink>
      <w:r>
        <w:t xml:space="preserve"> bis </w:t>
      </w:r>
      <w:hyperlink w:anchor="b634" w:history="1">
        <w:r>
          <w:rPr>
            <w:color w:val="0A3A8C"/>
            <w:u w:val="single"/>
          </w:rPr>
          <w:t xml:space="preserve">481b</w:t>
        </w:r>
      </w:hyperlink>
      <w:r>
        <w:t>,</w:t>
      </w:r>
    </w:p>
    <w:p>
      <w:pPr>
        <w:tabs>
          <w:tab w:pos="567" w:val="left"/>
        </w:tabs>
        <w:ind w:left="567" w:hanging="567"/>
      </w:pPr>
      <w:r>
        <w:t>7.</w:t>
      </w:r>
      <w:r>
        <w:tab/>
      </w:r>
      <w:r>
        <w:t xml:space="preserve">Behandlungsverträge nach </w:t>
      </w:r>
      <w:hyperlink w:anchor="b917" w:history="1">
        <w:r>
          <w:rPr>
            <w:color w:val="0A3A8C"/>
            <w:u w:val="single"/>
          </w:rPr>
          <w:t xml:space="preserve">§ 630a</w:t>
        </w:r>
      </w:hyperlink>
      <w:r>
        <w:t>,</w:t>
      </w:r>
    </w:p>
    <w:p>
      <w:pPr>
        <w:tabs>
          <w:tab w:pos="567" w:val="left"/>
        </w:tabs>
        <w:ind w:left="567" w:hanging="567"/>
      </w:pPr>
      <w:r>
        <w:t>8.</w:t>
      </w:r>
      <w:r>
        <w:tab/>
      </w:r>
      <w:r>
        <w:t>Verträge über die Lieferung von Lebensmitteln, Getränken oder sonstigen Haushaltsgegenständen des täglichen Bedarfs, die am Wohnsitz, am Aufenthaltsort oder am Arbeitsplatz eines Verbrauchers von einem Unternehmer im Rahmen häufiger und regelmäßiger Fahrten geliefert werden,</w:t>
      </w:r>
    </w:p>
    <w:p>
      <w:pPr>
        <w:tabs>
          <w:tab w:pos="567" w:val="left"/>
        </w:tabs>
        <w:ind w:left="567" w:hanging="567"/>
      </w:pPr>
      <w:r>
        <w:t>9.</w:t>
      </w:r>
      <w:r>
        <w:tab/>
      </w:r>
      <w:r>
        <w:t>Verträge, die unter Verwendung von Warenautomaten und automatisierten Geschäftsräumen geschlossen werden,</w:t>
      </w:r>
    </w:p>
    <w:p>
      <w:pPr>
        <w:tabs>
          <w:tab w:pos="567" w:val="left"/>
        </w:tabs>
        <w:ind w:left="567" w:hanging="567"/>
      </w:pPr>
      <w:r>
        <w:t>10.</w:t>
      </w:r>
      <w:r>
        <w:tab/>
      </w:r>
      <w:r>
        <w:t>Verträge, die mit Betreibern von Telekommunikationsmitteln mit Hilfe öffentlicher Münz- und Kartentelefone zu deren Nutzung geschlossen werden,</w:t>
      </w:r>
    </w:p>
    <w:p>
      <w:pPr>
        <w:tabs>
          <w:tab w:pos="567" w:val="left"/>
        </w:tabs>
        <w:ind w:left="567" w:hanging="567"/>
      </w:pPr>
      <w:r>
        <w:t>11.</w:t>
      </w:r>
      <w:r>
        <w:tab/>
      </w:r>
      <w:r>
        <w:t>Verträge zur Nutzung einer einzelnen von einem Verbraucher hergestellten Telefon-, Internet- oder Telefaxverbindung,</w:t>
      </w:r>
    </w:p>
    <w:p>
      <w:pPr>
        <w:tabs>
          <w:tab w:pos="567" w:val="left"/>
        </w:tabs>
        <w:ind w:left="567" w:hanging="567"/>
      </w:pPr>
      <w:r>
        <w:t>12.</w:t>
      </w:r>
      <w:r>
        <w:tab/>
      </w:r>
      <w:r>
        <w:rPr>
          <w:i/>
        </w:rPr>
        <w:t>außerhalb</w:t>
      </w:r>
      <w:r>
        <w:t xml:space="preserve"> von Geschäftsräumen geschlossene Verträge, bei denen die Leistung bei Abschluss der Verhandlungen sofort erbracht und bezahlt wird und das vom Verbraucher zu zahlende Entgelt 40 Euro nicht überschreitet,</w:t>
      </w:r>
    </w:p>
    <w:p>
      <w:pPr>
        <w:tabs>
          <w:tab w:pos="567" w:val="left"/>
        </w:tabs>
        <w:ind w:left="567" w:hanging="567"/>
      </w:pPr>
      <w:r>
        <w:t>13.</w:t>
      </w:r>
      <w:r>
        <w:tab/>
      </w:r>
      <w:r>
        <w:t>Verträge über den Verkauf beweglicher Sachen auf Grund von Zwangsvollstreckungsmaßnahmen oder anderen gerichtlichen Maßnahmen und</w:t>
      </w:r>
    </w:p>
    <w:p>
      <w:pPr>
        <w:tabs>
          <w:tab w:pos="567" w:val="left"/>
        </w:tabs>
        <w:ind w:left="567" w:hanging="567"/>
      </w:pPr>
      <w:r>
        <w:t>14.</w:t>
      </w:r>
      <w:r>
        <w:tab/>
      </w:r>
      <w:r>
        <w:t>Verträge über die Beförderung von Personen; hier findet auch § 312a Absatz 5 Anwendung.</w:t>
      </w:r>
    </w:p>
    <w:p>
      <w:r>
        <w:t xml:space="preserve">(3) </w:t>
      </w:r>
      <w:r>
        <w:rPr>
          <w:rStyle w:val="Satznummer"/>
        </w:rPr>
        <w:t>1</w:t>
      </w:r>
      <w:r>
        <w:t>Auf Verträge über soziale Dienstleistungen (Absatz 2 Nummer 4) und auf Verträge über die Vermietung von Wohnraum (Absatz 2 Nummer 5) sind von den Vorschriften der Kapitel 1 und 2 dieses Untertitels zudem folgende Vorschriften anzuwenden:</w:t>
      </w:r>
    </w:p>
    <w:p>
      <w:pPr>
        <w:tabs>
          <w:tab w:pos="567" w:val="left"/>
        </w:tabs>
        <w:ind w:left="567" w:hanging="567"/>
      </w:pPr>
      <w:r>
        <w:t>1.</w:t>
      </w:r>
      <w:r>
        <w:tab/>
      </w:r>
      <w:r>
        <w:t xml:space="preserve">die </w:t>
      </w:r>
      <w:hyperlink w:anchor="b373" w:history="1">
        <w:r>
          <w:rPr>
            <w:color w:val="0A3A8C"/>
            <w:u w:val="single"/>
          </w:rPr>
          <w:t xml:space="preserve">§§ 312b</w:t>
        </w:r>
      </w:hyperlink>
      <w:r>
        <w:t xml:space="preserve"> und </w:t>
      </w:r>
      <w:hyperlink w:anchor="b374" w:history="1">
        <w:r>
          <w:rPr>
            <w:color w:val="0A3A8C"/>
            <w:u w:val="single"/>
          </w:rPr>
          <w:t xml:space="preserve">312c</w:t>
        </w:r>
      </w:hyperlink>
      <w:r>
        <w:t xml:space="preserve"> hinsichtlich der dort geregelten Begriffsbestimmungen zu außerhalb von Geschäftsräumen geschlossenen Verträgen und Fernabsatzverträgen,</w:t>
      </w:r>
    </w:p>
    <w:p>
      <w:pPr>
        <w:tabs>
          <w:tab w:pos="567" w:val="left"/>
        </w:tabs>
        <w:ind w:left="567" w:hanging="567"/>
      </w:pPr>
      <w:r>
        <w:t>2.</w:t>
      </w:r>
      <w:r>
        <w:tab/>
      </w:r>
      <w:hyperlink w:anchor="b375" w:history="1">
        <w:r>
          <w:rPr>
            <w:color w:val="0A3A8C"/>
            <w:u w:val="single"/>
          </w:rPr>
          <w:t xml:space="preserve">§ 312d</w:t>
        </w:r>
      </w:hyperlink>
      <w:r>
        <w:t xml:space="preserve"> Absatz 1 in Verbindung mit Artikel 246a § 1 Absatz 2 und 3 des Einführungsgesetzes zum Bürgerlichen Gesetzbuche über die Pflicht zur Information über das Widerrufsrecht,</w:t>
      </w:r>
    </w:p>
    <w:p>
      <w:pPr>
        <w:tabs>
          <w:tab w:pos="567" w:val="left"/>
        </w:tabs>
        <w:ind w:left="567" w:hanging="567"/>
      </w:pPr>
      <w:r>
        <w:t>3.</w:t>
      </w:r>
      <w:r>
        <w:tab/>
      </w:r>
      <w:hyperlink w:anchor="b378" w:history="1">
        <w:r>
          <w:rPr>
            <w:color w:val="0A3A8C"/>
            <w:u w:val="single"/>
          </w:rPr>
          <w:t xml:space="preserve">§ 312g</w:t>
        </w:r>
      </w:hyperlink>
      <w:r>
        <w:t xml:space="preserve"> über das Widerrufsrecht.</w:t>
      </w:r>
    </w:p>
    <w:p>
      <w:r>
        <w:rPr>
          <w:rStyle w:val="Satznummer"/>
        </w:rPr>
        <w:t>2</w:t>
      </w:r>
      <w:r>
        <w:t>Die in Satz 1 Nummer 1 bis 3 genannten Bestimmungen sind jedoch nicht auf die Begründung eines Mietverhältnisses über Wohnraum anzuwenden, wenn der Mieter die Wohnung zuvor besichtigt hat.</w:t>
      </w:r>
    </w:p>
    <w:p>
      <w:r>
        <w:t xml:space="preserve">(4) Auf Verträge über Versicherungen sowie auf Verträge über deren Vermittlung ist von den Vorschriften der Kapitel 1 und 2 dieses Untertitels nur </w:t>
      </w:r>
      <w:hyperlink w:anchor="b371" w:history="1">
        <w:r>
          <w:rPr>
            <w:color w:val="0A3A8C"/>
            <w:u w:val="single"/>
          </w:rPr>
          <w:t xml:space="preserve">§ 312a</w:t>
        </w:r>
      </w:hyperlink>
      <w:r>
        <w:t xml:space="preserve"> Absatz 3 bis 6 anzuwenden.</w:t>
      </w:r>
    </w:p>
    <w:p>
      <w:r>
        <w:t xml:space="preserve">(5) </w:t>
      </w:r>
      <w:r>
        <w:rPr>
          <w:rStyle w:val="Satznummer"/>
        </w:rPr>
        <w:t>1</w:t>
      </w:r>
      <w:r>
        <w:t xml:space="preserve">Bei Vertragsverhältnissen über Finanzdienstleistungen, die eine erstmalige Vereinbarung mit daran anschließenden aufeinanderfolgenden Vorgängen oder eine daran anschließende Reihe getrennter, in einem zeitlichen Zusammenhang stehender Vorgänge gleicher Art umfassen, sind die Vorschriften der Kapitel 1 und 2 dieses Untertitels nur auf die erste Vereinbarung anzuwenden. </w:t>
      </w:r>
      <w:r>
        <w:rPr>
          <w:rStyle w:val="Satznummer"/>
        </w:rPr>
        <w:t>2</w:t>
      </w:r>
      <w:hyperlink w:anchor="b371" w:history="1">
        <w:r>
          <w:rPr>
            <w:color w:val="0A3A8C"/>
            <w:u w:val="single"/>
          </w:rPr>
          <w:t xml:space="preserve">§ 312a</w:t>
        </w:r>
      </w:hyperlink>
      <w:r>
        <w:t xml:space="preserve"> Absatz 5 ist daneben auf jeden Vorgang anzuwenden. </w:t>
      </w:r>
      <w:r>
        <w:rPr>
          <w:rStyle w:val="Satznummer"/>
        </w:rPr>
        <w:t>3</w:t>
      </w:r>
      <w:r>
        <w:t xml:space="preserve">Wenn die in Satz 1 genannten Vorgänge ohne eine solche Vereinbarung aufeinanderfolgen, gelten die Vorschriften über Informationspflichten des Unternehmers nur für den ersten Vorgang. </w:t>
      </w:r>
      <w:r>
        <w:rPr>
          <w:rStyle w:val="Satznummer"/>
        </w:rPr>
        <w:t>4</w:t>
      </w:r>
      <w:r>
        <w:t>Findet jedoch länger als ein Jahr kein Vorgang der gleichen Art mehr statt, so gilt der nächste Vorgang als der erste Vorgang einer neuen Reihe im Sinne von Satz 3.</w:t>
      </w:r>
    </w:p>
    <w:p>
      <w:r>
        <w:t xml:space="preserve">(6) </w:t>
      </w:r>
      <w:r>
        <w:rPr>
          <w:rStyle w:val="Satznummer"/>
        </w:rPr>
        <w:t>1</w:t>
      </w:r>
      <w:r>
        <w:t xml:space="preserve">Auf Pauschalreiseverträge nach den </w:t>
      </w:r>
      <w:hyperlink w:anchor="b982" w:history="1">
        <w:r>
          <w:rPr>
            <w:color w:val="0A3A8C"/>
            <w:u w:val="single"/>
          </w:rPr>
          <w:t xml:space="preserve">§§ 651a</w:t>
        </w:r>
      </w:hyperlink>
      <w:r>
        <w:t xml:space="preserve"> und </w:t>
      </w:r>
      <w:hyperlink w:anchor="b984" w:history="1">
        <w:r>
          <w:rPr>
            <w:color w:val="0A3A8C"/>
            <w:u w:val="single"/>
          </w:rPr>
          <w:t xml:space="preserve">651c</w:t>
        </w:r>
      </w:hyperlink>
      <w:r>
        <w:t xml:space="preserve"> sind von den Vorschriften dieses Untertitels nur </w:t>
      </w:r>
      <w:hyperlink w:anchor="b371" w:history="1">
        <w:r>
          <w:rPr>
            <w:color w:val="0A3A8C"/>
            <w:u w:val="single"/>
          </w:rPr>
          <w:t xml:space="preserve">§ 312a</w:t>
        </w:r>
      </w:hyperlink>
      <w:r>
        <w:t xml:space="preserve"> Absatz 3 bis 6, die </w:t>
      </w:r>
      <w:hyperlink w:anchor="b381" w:history="1">
        <w:r>
          <w:rPr>
            <w:color w:val="0A3A8C"/>
            <w:u w:val="single"/>
          </w:rPr>
          <w:t xml:space="preserve">§§ 312i</w:t>
        </w:r>
      </w:hyperlink>
      <w:r>
        <w:t xml:space="preserve">, </w:t>
      </w:r>
      <w:hyperlink w:anchor="b382" w:history="1">
        <w:r>
          <w:rPr>
            <w:color w:val="0A3A8C"/>
            <w:u w:val="single"/>
          </w:rPr>
          <w:t xml:space="preserve">312j</w:t>
        </w:r>
      </w:hyperlink>
      <w:r>
        <w:t xml:space="preserve"> Absatz 2 bis 5 und </w:t>
      </w:r>
      <w:hyperlink w:anchor="b386" w:history="1">
        <w:r>
          <w:rPr>
            <w:color w:val="0A3A8C"/>
            <w:u w:val="single"/>
          </w:rPr>
          <w:t xml:space="preserve">§ 312m</w:t>
        </w:r>
      </w:hyperlink>
      <w:r>
        <w:t xml:space="preserve"> anzuwenden; diese Vorschriften finden auch Anwendung, wenn der Reisende kein Verbraucher ist. </w:t>
      </w:r>
      <w:r>
        <w:rPr>
          <w:rStyle w:val="Satznummer"/>
        </w:rPr>
        <w:t>2</w:t>
      </w:r>
      <w:r>
        <w:t xml:space="preserve">Ist der Reisende ein Verbraucher, ist auf Pauschalreiseverträge nach </w:t>
      </w:r>
      <w:hyperlink w:anchor="b982" w:history="1">
        <w:r>
          <w:rPr>
            <w:color w:val="0A3A8C"/>
            <w:u w:val="single"/>
          </w:rPr>
          <w:t xml:space="preserve">§ 651a</w:t>
        </w:r>
      </w:hyperlink>
      <w:r>
        <w:t xml:space="preserve">, die außerhalb von Geschäftsräumen geschlossen worden sind, auch </w:t>
      </w:r>
      <w:hyperlink w:anchor="b378" w:history="1">
        <w:r>
          <w:rPr>
            <w:color w:val="0A3A8C"/>
            <w:u w:val="single"/>
          </w:rPr>
          <w:t xml:space="preserve">§ 312g</w:t>
        </w:r>
      </w:hyperlink>
      <w:r>
        <w:t xml:space="preserve"> Absatz 1 anzuwenden, es sei denn, die mündlichen Verhandlungen, auf denen der Vertragsschluss beruht, sind auf vorhergehende Bestellung des Verbrauchers geführt worden.</w:t>
      </w:r>
    </w:p>
    <w:p>
      <w:pPr>
        <w:pStyle w:val="Heading6"/>
      </w:pPr>
      <w:bookmarkStart w:id="379" w:name="b371"/>
      <w:r>
        <w:t>§ 312a Allgemeine Pflichten und Grundsätze bei Verbraucherverträgen; Grenzen der Vereinbarung von Entgelten</w:t>
      </w:r>
      <w:r>
        <w:t xml:space="preserve"> </w:t>
      </w:r>
      <w:r>
        <w:rPr>
          <w:rStyle w:val="Suchmarke"/>
        </w:rPr>
        <w:t>#312a#</w:t>
      </w:r>
      <w:bookmarkEnd w:id="379"/>
    </w:p>
    <w:p>
      <w:r>
        <w:t xml:space="preserve">(1) </w:t>
      </w:r>
      <w:r>
        <w:rPr>
          <w:rStyle w:val="Satznummer"/>
        </w:rPr>
        <w:t>1</w:t>
      </w:r>
      <w:r>
        <w:t xml:space="preserve">Ruft der Unternehmer oder eine Person, die in seinem Namen oder Auftrag handelt, den Verbraucher an, um mit diesem einen Vertrag zu schließen, hat der Anrufer zu Beginn des Gesprächs seine Identität und gegebenenfalls die Identität der Person, für die er anruft, sowie den geschäftlichen Zweck des Anrufs offenzulegen. </w:t>
      </w:r>
      <w:r>
        <w:rPr>
          <w:rStyle w:val="Satznummer"/>
        </w:rPr>
        <w:t>2</w:t>
      </w:r>
      <w:r>
        <w:t>Bei Fernabsatzverträgen über Finanzdienstleistungen ist der Verbraucher vom Unternehmer in Kenntnis zu setzen, wenn der Anruf aufgezeichnet wird oder aufgezeichnet werden könnte.</w:t>
      </w:r>
    </w:p>
    <w:p>
      <w:r>
        <w:t xml:space="preserve">(2) </w:t>
      </w:r>
      <w:r>
        <w:rPr>
          <w:rStyle w:val="Satznummer"/>
        </w:rPr>
        <w:t>1</w:t>
      </w:r>
      <w:r>
        <w:t xml:space="preserve">Der Unternehmer ist verpflichtet, den Verbraucher nach Maßgabe des Artikels 246 des Einführungsgesetzes zum Bürgerlichen Gesetzbuche zu informieren. </w:t>
      </w:r>
      <w:r>
        <w:rPr>
          <w:rStyle w:val="Satznummer"/>
        </w:rPr>
        <w:t>2</w:t>
      </w:r>
      <w:r>
        <w:t xml:space="preserve">Der Unternehmer kann von dem Verbraucher Fracht-, Liefer- oder Versandkosten und sonstige Kosten nur verlangen, soweit er den Verbraucher über diese Kosten entsprechend den Anforderungen aus Artikel 246 Absatz 1 Nummer 3 des Einführungsgesetzes zum Bürgerlichen Gesetzbuche informiert hat. </w:t>
      </w:r>
      <w:r>
        <w:rPr>
          <w:rStyle w:val="Satznummer"/>
        </w:rPr>
        <w:t>3</w:t>
      </w:r>
      <w:r>
        <w:t>Die Sätze 1 und 2 sind weder auf außerhalb von Geschäftsräumen geschlossene Verträge noch auf Fernabsatzverträge noch auf Verträge über Finanzdienstleistungen anzuwenden.</w:t>
      </w:r>
    </w:p>
    <w:p>
      <w:r>
        <w:t xml:space="preserve">(3) </w:t>
      </w:r>
      <w:r>
        <w:rPr>
          <w:rStyle w:val="Satznummer"/>
        </w:rPr>
        <w:t>1</w:t>
      </w:r>
      <w:r>
        <w:t xml:space="preserve">Eine Vereinbarung, die auf eine über das vereinbarte Entgelt für die Hauptleistung hinausgehende Zahlung des Verbrauchers gerichtet ist, kann ein Unternehmer mit einem Verbraucher nur ausdrücklich treffen. </w:t>
      </w:r>
      <w:r>
        <w:rPr>
          <w:rStyle w:val="Satznummer"/>
        </w:rPr>
        <w:t>2</w:t>
      </w:r>
      <w:r>
        <w:t>Schließen der Unternehmer und der Verbraucher einen Vertrag im elektronischen Geschäftsverkehr, wird eine solche Vereinbarung nur Vertragsbestandteil, wenn der Unternehmer die Vereinbarung nicht durch eine Voreinstellung herbeiführt.</w:t>
      </w:r>
    </w:p>
    <w:p>
      <w:r>
        <w:t>(4) Eine Vereinbarung, durch die ein Verbraucher verpflichtet wird, ein Entgelt dafür zu zahlen, dass er für die Erfüllung seiner vertraglichen Pflichten ein bestimmtes Zahlungsmittel nutzt, ist unwirksam, wenn</w:t>
      </w:r>
    </w:p>
    <w:p>
      <w:pPr>
        <w:tabs>
          <w:tab w:pos="567" w:val="left"/>
        </w:tabs>
        <w:ind w:left="567" w:hanging="567"/>
      </w:pPr>
      <w:r>
        <w:t>1.</w:t>
      </w:r>
      <w:r>
        <w:tab/>
      </w:r>
      <w:r>
        <w:t>für den Verbraucher keine gängige und zumutbare unentgeltliche Zahlungsmöglichkeit besteht oder</w:t>
      </w:r>
    </w:p>
    <w:p>
      <w:pPr>
        <w:tabs>
          <w:tab w:pos="567" w:val="left"/>
        </w:tabs>
        <w:ind w:left="567" w:hanging="567"/>
      </w:pPr>
      <w:r>
        <w:t>2.</w:t>
      </w:r>
      <w:r>
        <w:tab/>
      </w:r>
      <w:r>
        <w:t>das vereinbarte Entgelt über die Kosten hinausgeht, die dem Unternehmer durch die Nutzung des Zahlungsmittels entstehen.</w:t>
      </w:r>
    </w:p>
    <w:p>
      <w:r>
        <w:t xml:space="preserve">(5) </w:t>
      </w:r>
      <w:r>
        <w:rPr>
          <w:rStyle w:val="Satznummer"/>
        </w:rPr>
        <w:t>1</w:t>
      </w:r>
      <w:r>
        <w:t xml:space="preserve">Eine Vereinbarung, durch die ein Verbraucher verpflichtet wird, ein Entgelt dafür zu zahlen, dass der Verbraucher den Unternehmer wegen Fragen oder Erklärungen zu einem zwischen ihnen geschlossenen Vertrag über eine Rufnummer anruft, die der Unternehmer für solche Zwecke bereithält, ist unwirksam, wenn das vereinbarte Entgelt das Entgelt für die bloße Nutzung des Telekommunikationsdienstes übersteigt. </w:t>
      </w:r>
      <w:r>
        <w:rPr>
          <w:rStyle w:val="Satznummer"/>
        </w:rPr>
        <w:t>2</w:t>
      </w:r>
      <w:r>
        <w:t xml:space="preserve">Ist eine Vereinbarung nach Satz 1 unwirksam, ist der Verbraucher auch gegenüber dem Anbieter des Telekommunikationsdienstes nicht verpflichtet, ein Entgelt für den Anruf zu zahlen. </w:t>
      </w:r>
      <w:r>
        <w:rPr>
          <w:rStyle w:val="Satznummer"/>
        </w:rPr>
        <w:t>3</w:t>
      </w:r>
      <w:r>
        <w:t>Der Anbieter des Telekommunikationsdienstes ist berechtigt, das Entgelt für die bloße Nutzung des Telekommunikationsdienstes von dem Unternehmer zu verlangen, der die unwirksame Vereinbarung mit dem Verbraucher geschlossen hat.</w:t>
      </w:r>
    </w:p>
    <w:p>
      <w:r>
        <w:t>(6) Ist eine Vereinbarung nach den Absätzen 3 bis 5 nicht Vertragsbestandteil geworden oder ist sie unwirksam, bleibt der Vertrag im Übrigen wirksam.</w:t>
      </w:r>
    </w:p>
    <w:p>
      <w:pPr>
        <w:pStyle w:val="Heading5"/>
      </w:pPr>
      <w:bookmarkStart w:id="380" w:name="b372"/>
      <w:r>
        <w:t>Kapitel 2 Außerhalb von Geschäftsräumen geschlossene Verträge und Fernabsatzverträge</w:t>
      </w:r>
      <w:bookmarkEnd w:id="380"/>
    </w:p>
    <w:p>
      <w:pPr>
        <w:pStyle w:val="Heading6"/>
      </w:pPr>
      <w:bookmarkStart w:id="381" w:name="b373"/>
      <w:r>
        <w:t>§ 312b Außerhalb von Geschäftsräumen geschlossene Verträge</w:t>
      </w:r>
      <w:r>
        <w:t xml:space="preserve"> </w:t>
      </w:r>
      <w:r>
        <w:rPr>
          <w:rStyle w:val="Suchmarke"/>
        </w:rPr>
        <w:t>#312b#</w:t>
      </w:r>
      <w:bookmarkEnd w:id="381"/>
    </w:p>
    <w:p>
      <w:r>
        <w:t xml:space="preserve">(1) </w:t>
      </w:r>
      <w:r>
        <w:rPr>
          <w:rStyle w:val="Satznummer"/>
        </w:rPr>
        <w:t>1</w:t>
      </w:r>
      <w:r>
        <w:t>Außerhalb von Geschäftsräumen geschlossene Verträge sind Verträge,</w:t>
      </w:r>
    </w:p>
    <w:p>
      <w:pPr>
        <w:tabs>
          <w:tab w:pos="567" w:val="left"/>
        </w:tabs>
        <w:ind w:left="567" w:hanging="567"/>
      </w:pPr>
      <w:r>
        <w:t>1.</w:t>
      </w:r>
      <w:r>
        <w:tab/>
      </w:r>
      <w:r>
        <w:t>die bei gleichzeitiger körperlicher Anwesenheit des Verbrauchers und des Unternehmers an einem Ort geschlossen werden, der kein Geschäftsraum des Unternehmers ist,</w:t>
      </w:r>
    </w:p>
    <w:p>
      <w:pPr>
        <w:tabs>
          <w:tab w:pos="567" w:val="left"/>
        </w:tabs>
        <w:ind w:left="567" w:hanging="567"/>
      </w:pPr>
      <w:r>
        <w:t>2.</w:t>
      </w:r>
      <w:r>
        <w:tab/>
      </w:r>
      <w:r>
        <w:t>für die der Verbraucher unter den in Nummer 1 genannten Umständen ein Angebot abgegeben hat,</w:t>
      </w:r>
    </w:p>
    <w:p>
      <w:pPr>
        <w:tabs>
          <w:tab w:pos="567" w:val="left"/>
        </w:tabs>
        <w:ind w:left="567" w:hanging="567"/>
      </w:pPr>
      <w:r>
        <w:t>3.</w:t>
      </w:r>
      <w:r>
        <w:tab/>
      </w:r>
      <w:r>
        <w:t>die in den Geschäftsräumen des Unternehmers oder durch Fernkommunikationsmittel geschlossen werden, bei denen der Verbraucher jedoch unmittelbar zuvor außerhalb der Geschäftsräume des Unternehmers bei gleichzeitiger körperlicher Anwesenheit des Verbrauchers und des Unternehmers persönlich und individuell angesprochen wurde, oder</w:t>
      </w:r>
    </w:p>
    <w:p>
      <w:pPr>
        <w:tabs>
          <w:tab w:pos="567" w:val="left"/>
        </w:tabs>
        <w:ind w:left="567" w:hanging="567"/>
      </w:pPr>
      <w:r>
        <w:t>4.</w:t>
      </w:r>
      <w:r>
        <w:tab/>
      </w:r>
      <w:r>
        <w:t>die auf einem Ausflug geschlossen werden, der von dem Unternehmer oder mit seiner Hilfe organisiert wurde, um beim Verbraucher für den Verkauf von Waren oder die Erbringung von Dienstleistungen zu werben und mit ihm entsprechende Verträge abzuschließen.</w:t>
      </w:r>
    </w:p>
    <w:p>
      <w:r>
        <w:rPr>
          <w:rStyle w:val="Satznummer"/>
        </w:rPr>
        <w:t>2</w:t>
      </w:r>
      <w:r>
        <w:t>Dem Unternehmer stehen Personen gleich, die in seinem Namen oder Auftrag handeln.</w:t>
      </w:r>
    </w:p>
    <w:p>
      <w:r>
        <w:t xml:space="preserve">(2) </w:t>
      </w:r>
      <w:r>
        <w:rPr>
          <w:rStyle w:val="Satznummer"/>
        </w:rPr>
        <w:t>1</w:t>
      </w:r>
      <w:r>
        <w:t xml:space="preserve">Geschäftsräume im Sinne des Absatzes 1 sind unbewegliche Gewerberäume, in denen der Unternehmer seine Tätigkeit dauerhaft ausübt, und bewegliche Gewerberäume, in denen der Unternehmer seine Tätigkeit für gewöhnlich ausübt. </w:t>
      </w:r>
      <w:r>
        <w:rPr>
          <w:rStyle w:val="Satznummer"/>
        </w:rPr>
        <w:t>2</w:t>
      </w:r>
      <w:r>
        <w:t>Gewerberäume, in denen die Person, die im Namen oder Auftrag des Unternehmers handelt, ihre Tätigkeit dauerhaft oder für gewöhnlich ausübt, stehen Räumen des Unternehmers gleich.</w:t>
      </w:r>
    </w:p>
    <w:p>
      <w:pPr>
        <w:pStyle w:val="Heading6"/>
      </w:pPr>
      <w:bookmarkStart w:id="382" w:name="b374"/>
      <w:r>
        <w:t>§ 312c Fernabsatzverträge</w:t>
      </w:r>
      <w:r>
        <w:t xml:space="preserve"> </w:t>
      </w:r>
      <w:r>
        <w:rPr>
          <w:rStyle w:val="Suchmarke"/>
        </w:rPr>
        <w:t>#312c#</w:t>
      </w:r>
      <w:bookmarkEnd w:id="382"/>
    </w:p>
    <w:p>
      <w:r>
        <w:t>(1) Fernabsatzverträge sind Verträge, bei denen der Unternehmer oder eine in seinem Namen oder Auftrag handelnde Person und der Verbraucher für die Vertragsverhandlungen und den Vertragsschluss ausschließlich Fernkommunikationsmittel verwenden, es sei denn, dass der Vertragsschluss nicht im Rahmen eines für den Fernabsatz organisierten Vertriebs- oder Dienstleistungssystems erfolgt.</w:t>
      </w:r>
    </w:p>
    <w:p>
      <w:r>
        <w:t>(2) Fernkommunikationsmittel im Sinne dieses Gesetzes sind alle Kommunikationsmittel, die zur Anbahnung oder zum Abschluss eines Vertrags eingesetzt werden können, ohne dass die Vertragsparteien gleichzeitig körperlich anwesend sind, wie Briefe, Kataloge, Telefonanrufe, Telekopien, E-Mails, über den Mobilfunkdienst versendete Nachrichten (SMS) sowie Rundfunk und digitale Dienste nach § 1 Absatz 4 Nummer 1 des Digitale-Dienste-Gesetzes.</w:t>
      </w:r>
    </w:p>
    <w:p>
      <w:pPr>
        <w:pStyle w:val="Heading6"/>
      </w:pPr>
      <w:bookmarkStart w:id="383" w:name="b375"/>
      <w:r>
        <w:t>§ 312d Informationspflichten; Gestaltungspflichten bezüglich Online-Benutzeroberflächen</w:t>
      </w:r>
      <w:r>
        <w:t xml:space="preserve"> </w:t>
      </w:r>
      <w:r>
        <w:rPr>
          <w:rStyle w:val="Suchmarke"/>
        </w:rPr>
        <w:t>#312d#</w:t>
      </w:r>
      <w:bookmarkEnd w:id="383"/>
    </w:p>
    <w:p>
      <w:r>
        <w:t xml:space="preserve">(1) </w:t>
      </w:r>
      <w:r>
        <w:rPr>
          <w:rStyle w:val="Satznummer"/>
        </w:rPr>
        <w:t>1</w:t>
      </w:r>
      <w:r>
        <w:t xml:space="preserve">Bei außerhalb von Geschäftsräumen geschlossenen Verträgen und bei Fernabsatzverträgen ist der Unternehmer verpflichtet, den Verbraucher nach Maßgabe des Artikels 246a des Einführungsgesetzes zum Bürgerlichen Gesetzbuche zu informieren. </w:t>
      </w:r>
      <w:r>
        <w:rPr>
          <w:rStyle w:val="Satznummer"/>
        </w:rPr>
        <w:t>2</w:t>
      </w:r>
      <w:r>
        <w:t>Die in Erfüllung dieser Pflicht gemachten Angaben des Unternehmers werden Inhalt des Vertrags, es sei denn, die Vertragsparteien haben ausdrücklich etwas anderes vereinbart.</w:t>
      </w:r>
    </w:p>
    <w:p>
      <w:r>
        <w:t xml:space="preserve">(2) </w:t>
      </w:r>
      <w:r>
        <w:rPr>
          <w:rStyle w:val="Satznummer"/>
        </w:rPr>
        <w:t>1</w:t>
      </w:r>
      <w:r>
        <w:t xml:space="preserve">Bei außerhalb von Geschäftsräumen geschlossenen Verträgen und bei Fernabsatzverträgen über Finanzdienstleistungen ist der Unternehmer abweichend von Absatz 1 verpflichtet, den Verbraucher nach Maßgabe des Artikels 246b §§ 1 bis 3 des Einführungsgesetzes zum Bürgerlichen Gesetzbuche zu informieren. </w:t>
      </w:r>
      <w:r>
        <w:rPr>
          <w:rStyle w:val="Satznummer"/>
        </w:rPr>
        <w:t>2</w:t>
      </w:r>
      <w:r>
        <w:t>Bei Fernabsatzverträgen über Finanzdienstleistungen ist der Unternehmer zudem verpflichtet, seine Online-Benutzeroberfläche nach Maßgabe des Artikels 246b § 4 des Einführungsgesetzes zum Bürgerlichen Gesetzbuche zu konzipieren, zu organisieren und zu betreiben.</w:t>
      </w:r>
    </w:p>
    <w:p>
      <w:pPr>
        <w:pStyle w:val="Heading6"/>
      </w:pPr>
      <w:bookmarkStart w:id="384" w:name="b376"/>
      <w:r>
        <w:t>§ 312e Verletzung von Informationspflichten über Kosten</w:t>
      </w:r>
      <w:r>
        <w:t xml:space="preserve"> </w:t>
      </w:r>
      <w:r>
        <w:rPr>
          <w:rStyle w:val="Suchmarke"/>
        </w:rPr>
        <w:t>#312e#</w:t>
      </w:r>
      <w:bookmarkEnd w:id="384"/>
    </w:p>
    <w:p>
      <w:r>
        <w:t xml:space="preserve">Der Unternehmer kann von dem Verbraucher Fracht-, Liefer- oder Versandkosten und sonstige Kosten nur verlangen, soweit er den Verbraucher über diese Kosten entsprechend den Anforderungen aus </w:t>
      </w:r>
      <w:hyperlink w:anchor="b375" w:history="1">
        <w:r>
          <w:rPr>
            <w:color w:val="0A3A8C"/>
            <w:u w:val="single"/>
          </w:rPr>
          <w:t xml:space="preserve">§ 312d</w:t>
        </w:r>
      </w:hyperlink>
      <w:r>
        <w:t xml:space="preserve"> Absatz 1 in Verbindung mit Artikel 246a § 1 Absatz 1 Satz 1 Nummer 7 des Einführungsgesetzes zum Bürgerlichen Gesetzbuche informiert hat.</w:t>
      </w:r>
    </w:p>
    <w:p>
      <w:pPr>
        <w:pStyle w:val="Heading6"/>
      </w:pPr>
      <w:bookmarkStart w:id="385" w:name="b377"/>
      <w:r>
        <w:t>§ 312f Abschriften und Bestätigungen</w:t>
      </w:r>
      <w:r>
        <w:t xml:space="preserve"> </w:t>
      </w:r>
      <w:r>
        <w:rPr>
          <w:rStyle w:val="Suchmarke"/>
        </w:rPr>
        <w:t>#312f#</w:t>
      </w:r>
      <w:bookmarkEnd w:id="385"/>
    </w:p>
    <w:p>
      <w:r>
        <w:t xml:space="preserve">(1) </w:t>
      </w:r>
      <w:r>
        <w:rPr>
          <w:rStyle w:val="Satznummer"/>
        </w:rPr>
        <w:t>1</w:t>
      </w:r>
      <w:r>
        <w:t>Bei außerhalb von Geschäftsräumen geschlossenen Verträgen ist der Unternehmer verpflichtet, dem Verbraucher alsbald auf Papier zur Verfügung zu stellen</w:t>
      </w:r>
    </w:p>
    <w:p>
      <w:pPr>
        <w:tabs>
          <w:tab w:pos="567" w:val="left"/>
        </w:tabs>
        <w:ind w:left="567" w:hanging="567"/>
      </w:pPr>
      <w:r>
        <w:t>1.</w:t>
      </w:r>
      <w:r>
        <w:tab/>
      </w:r>
      <w:r>
        <w:t>eine Abschrift eines Vertragsdokuments, das von den Vertragsschließenden so unterzeichnet wurde, dass ihre Identität erkennbar ist, oder</w:t>
      </w:r>
    </w:p>
    <w:p>
      <w:pPr>
        <w:tabs>
          <w:tab w:pos="567" w:val="left"/>
        </w:tabs>
        <w:ind w:left="567" w:hanging="567"/>
      </w:pPr>
      <w:r>
        <w:t>2.</w:t>
      </w:r>
      <w:r>
        <w:tab/>
      </w:r>
      <w:r>
        <w:t>eine Bestätigung des Vertrags, in der der Vertragsinhalt wiedergegeben ist.</w:t>
      </w:r>
    </w:p>
    <w:p>
      <w:r>
        <w:rPr>
          <w:rStyle w:val="Satznummer"/>
        </w:rPr>
        <w:t>2</w:t>
      </w:r>
      <w:r>
        <w:t xml:space="preserve">Wenn der Verbraucher zustimmt, kann für die Abschrift oder die Bestätigung des Vertrags auch ein anderer dauerhafter Datenträger verwendet werden. </w:t>
      </w:r>
      <w:r>
        <w:rPr>
          <w:rStyle w:val="Satznummer"/>
        </w:rPr>
        <w:t>3</w:t>
      </w:r>
      <w:r>
        <w:t xml:space="preserve">Die Bestätigung nach Satz 1 muss die in Artikel 246a des Einführungsgesetzes zum Bürgerlichen Gesetzbuche genannten Angaben nur enthalten, wenn der Unternehmer dem Verbraucher diese Informationen nicht bereits vor Vertragsschluss in Erfüllung seiner Informationspflichten nach </w:t>
      </w:r>
      <w:hyperlink w:anchor="b375" w:history="1">
        <w:r>
          <w:rPr>
            <w:color w:val="0A3A8C"/>
            <w:u w:val="single"/>
          </w:rPr>
          <w:t xml:space="preserve">§ 312d</w:t>
        </w:r>
      </w:hyperlink>
      <w:r>
        <w:t xml:space="preserve"> Absatz 1 auf einem dauerhaften Datenträger zur Verfügung gestellt hat.</w:t>
      </w:r>
    </w:p>
    <w:p>
      <w:r>
        <w:t xml:space="preserve">(2) </w:t>
      </w:r>
      <w:r>
        <w:rPr>
          <w:rStyle w:val="Satznummer"/>
        </w:rPr>
        <w:t>1</w:t>
      </w:r>
      <w:r>
        <w:t xml:space="preserve">Bei Fernabsatzverträgen ist der Unternehmer verpflichtet, dem Verbraucher eine Bestätigung des Vertrags, in der der Vertragsinhalt wiedergegeben ist, innerhalb einer angemessenen Frist nach Vertragsschluss, spätestens jedoch bei der Lieferung der Ware oder bevor mit der Ausführung der Dienstleistung begonnen wird, auf einem dauerhaften Datenträger zur Verfügung zu stellen. </w:t>
      </w:r>
      <w:r>
        <w:rPr>
          <w:rStyle w:val="Satznummer"/>
        </w:rPr>
        <w:t>2</w:t>
      </w:r>
      <w:r>
        <w:t xml:space="preserve">Die Bestätigung nach Satz 1 muss die in Artikel 246a des Einführungsgesetzes zum Bürgerlichen Gesetzbuche genannten Angaben enthalten, es sei denn, der Unternehmer hat dem Verbraucher diese Informationen bereits vor Vertragsschluss in Erfüllung seiner Informationspflichten nach </w:t>
      </w:r>
      <w:hyperlink w:anchor="b375" w:history="1">
        <w:r>
          <w:rPr>
            <w:color w:val="0A3A8C"/>
            <w:u w:val="single"/>
          </w:rPr>
          <w:t xml:space="preserve">§ 312d</w:t>
        </w:r>
      </w:hyperlink>
      <w:r>
        <w:t xml:space="preserve"> Absatz 1 auf einem dauerhaften Datenträger zur Verfügung gestellt.</w:t>
      </w:r>
    </w:p>
    <w:p>
      <w:r>
        <w:t>(3) Bei Verträgen über digitale Inhalte (</w:t>
      </w:r>
      <w:hyperlink w:anchor="b406" w:history="1">
        <w:r>
          <w:rPr>
            <w:color w:val="0A3A8C"/>
            <w:u w:val="single"/>
          </w:rPr>
          <w:t xml:space="preserve">§ 327</w:t>
        </w:r>
      </w:hyperlink>
      <w:r>
        <w:t xml:space="preserve"> Absatz 2 Satz 1), die nicht auf einem körperlichen Datenträger bereitgestellt werden, ist auf der Abschrift oder in der Bestätigung des Vertrags nach den Absätzen 1 und 2 gegebenenfalls auch festzuhalten, dass der Verbraucher vor Ausführung des Vertrags</w:t>
      </w:r>
    </w:p>
    <w:p>
      <w:pPr>
        <w:tabs>
          <w:tab w:pos="567" w:val="left"/>
        </w:tabs>
        <w:ind w:left="567" w:hanging="567"/>
      </w:pPr>
      <w:r>
        <w:t>1.</w:t>
      </w:r>
      <w:r>
        <w:tab/>
      </w:r>
      <w:r>
        <w:t>ausdrücklich zugestimmt hat, dass der Unternehmer mit der Ausführung des Vertrags vor Ablauf der Widerrufsfrist beginnt, und</w:t>
      </w:r>
    </w:p>
    <w:p>
      <w:pPr>
        <w:tabs>
          <w:tab w:pos="567" w:val="left"/>
        </w:tabs>
        <w:ind w:left="567" w:hanging="567"/>
      </w:pPr>
      <w:r>
        <w:t>2.</w:t>
      </w:r>
      <w:r>
        <w:tab/>
      </w:r>
      <w:r>
        <w:t>seine Kenntnis davon bestätigt hat, dass er durch seine Zustimmung mit Beginn der Ausführung des Vertrags sein Widerrufsrecht verliert.</w:t>
      </w:r>
    </w:p>
    <w:p>
      <w:r>
        <w:t>(4) Diese Vorschrift ist nicht anwendbar auf Verträge über Finanzdienstleistungen.</w:t>
      </w:r>
    </w:p>
    <w:p>
      <w:pPr>
        <w:pStyle w:val="Heading6"/>
      </w:pPr>
      <w:bookmarkStart w:id="386" w:name="b378"/>
      <w:r>
        <w:t>§ 312g Widerrufsrecht</w:t>
      </w:r>
      <w:r>
        <w:t xml:space="preserve"> </w:t>
      </w:r>
      <w:r>
        <w:rPr>
          <w:rStyle w:val="Suchmarke"/>
        </w:rPr>
        <w:t>#312g#</w:t>
      </w:r>
      <w:bookmarkEnd w:id="386"/>
    </w:p>
    <w:p>
      <w:r>
        <w:t xml:space="preserve">(1) Dem Verbraucher steht bei außerhalb von Geschäftsräumen geschlossenen Verträgen und bei Fernabsatzverträgen ein Widerrufsrecht gemäß </w:t>
      </w:r>
      <w:hyperlink w:anchor="b461" w:history="1">
        <w:r>
          <w:rPr>
            <w:color w:val="0A3A8C"/>
            <w:u w:val="single"/>
          </w:rPr>
          <w:t xml:space="preserve">§ 355</w:t>
        </w:r>
      </w:hyperlink>
      <w:r>
        <w:t xml:space="preserve"> zu.</w:t>
      </w:r>
    </w:p>
    <w:p>
      <w:r>
        <w:t>(2) Das Widerrufsrecht besteht, soweit die Parteien nichts anderes vereinbart haben, nicht bei folgenden Verträgen:</w:t>
      </w:r>
    </w:p>
    <w:p>
      <w:pPr>
        <w:tabs>
          <w:tab w:pos="567" w:val="left"/>
        </w:tabs>
        <w:ind w:left="567" w:hanging="567"/>
      </w:pPr>
      <w:r>
        <w:t>1.</w:t>
      </w:r>
      <w:r>
        <w:tab/>
      </w:r>
      <w:r>
        <w:t>Verträge zur Lieferung von Waren, die nicht vorgefertigt sind und für deren Herstellung eine individuelle Auswahl oder Bestimmung durch den Verbraucher maßgeblich ist oder die eindeutig auf die persönlichen Bedürfnisse des Verbrauchers zugeschnitten sind,</w:t>
      </w:r>
    </w:p>
    <w:p>
      <w:pPr>
        <w:tabs>
          <w:tab w:pos="567" w:val="left"/>
        </w:tabs>
        <w:ind w:left="567" w:hanging="567"/>
      </w:pPr>
      <w:r>
        <w:t>2.</w:t>
      </w:r>
      <w:r>
        <w:tab/>
      </w:r>
      <w:r>
        <w:t>Verträge zur Lieferung von Waren, die schnell verderben können oder deren Verfallsdatum schnell überschritten würde,</w:t>
      </w:r>
    </w:p>
    <w:p>
      <w:pPr>
        <w:tabs>
          <w:tab w:pos="567" w:val="left"/>
        </w:tabs>
        <w:ind w:left="567" w:hanging="567"/>
      </w:pPr>
      <w:r>
        <w:t>3.</w:t>
      </w:r>
      <w:r>
        <w:tab/>
      </w:r>
      <w:r>
        <w:t>Verträge zur Lieferung versiegelter Waren, die aus Gründen des Gesundheitsschutzes oder der Hygiene nicht zur Rückgabe geeignet sind, wenn ihre Versiegelung nach der Lieferung entfernt wurde,</w:t>
      </w:r>
    </w:p>
    <w:p>
      <w:pPr>
        <w:tabs>
          <w:tab w:pos="567" w:val="left"/>
        </w:tabs>
        <w:ind w:left="567" w:hanging="567"/>
      </w:pPr>
      <w:r>
        <w:t>4.</w:t>
      </w:r>
      <w:r>
        <w:tab/>
      </w:r>
      <w:r>
        <w:t>Verträge zur Lieferung von Waren, wenn diese nach der Lieferung auf Grund ihrer Beschaffenheit untrennbar mit anderen Gütern vermischt wurden,</w:t>
      </w:r>
    </w:p>
    <w:p>
      <w:pPr>
        <w:tabs>
          <w:tab w:pos="567" w:val="left"/>
        </w:tabs>
        <w:ind w:left="567" w:hanging="567"/>
      </w:pPr>
      <w:r>
        <w:t>5.</w:t>
      </w:r>
      <w:r>
        <w:tab/>
      </w:r>
      <w:r>
        <w:t>Verträge zur Lieferung alkoholischer Getränke, deren Preis bei Vertragsschluss vereinbart wurde, die aber frühestens 30 Tage nach Vertragsschluss geliefert werden können und deren aktueller Wert von Schwankungen auf dem Markt abhängt, auf die der Unternehmer keinen Einfluss hat,</w:t>
      </w:r>
    </w:p>
    <w:p>
      <w:pPr>
        <w:tabs>
          <w:tab w:pos="567" w:val="left"/>
        </w:tabs>
        <w:ind w:left="567" w:hanging="567"/>
      </w:pPr>
      <w:r>
        <w:t>6.</w:t>
      </w:r>
      <w:r>
        <w:tab/>
      </w:r>
      <w:r>
        <w:t>Verträge zur Lieferung von Ton- oder Videoaufnahmen oder Computersoftware in einer versiegelten Packung, wenn die Versiegelung nach der Lieferung entfernt wurde,</w:t>
      </w:r>
    </w:p>
    <w:p>
      <w:pPr>
        <w:tabs>
          <w:tab w:pos="567" w:val="left"/>
        </w:tabs>
        <w:ind w:left="567" w:hanging="567"/>
      </w:pPr>
      <w:r>
        <w:t>7.</w:t>
      </w:r>
      <w:r>
        <w:tab/>
      </w:r>
      <w:r>
        <w:t>Verträge zur Lieferung von Zeitungen, Zeitschriften oder Illustrierten mit Ausnahme von Abonnement-Verträgen,</w:t>
      </w:r>
    </w:p>
    <w:p>
      <w:pPr>
        <w:tabs>
          <w:tab w:pos="567" w:val="left"/>
        </w:tabs>
        <w:ind w:left="567" w:hanging="567"/>
      </w:pPr>
      <w:r>
        <w:t>8.</w:t>
      </w:r>
      <w:r>
        <w:tab/>
      </w:r>
      <w:r>
        <w:t>Verträge zur Lieferung von Waren oder zur Erbringung von Dienstleistungen, einschließlich Finanzdienstleistungen, deren Preis von Schwankungen auf dem Finanzmarkt abhängt, auf die der Unternehmer keinen Einfluss hat und die innerhalb der Widerrufsfrist auftreten können, insbesondere Dienstleistungen im Zusammenhang mit Aktien, mit Anteilen an offenen Investmentvermögen im Sinne von § 1 Absatz 4 des Kapitalanlagegesetzbuchs und mit anderen handelbaren Wertpapieren, Devisen, Derivaten oder Geldmarktinstrumenten,</w:t>
      </w:r>
    </w:p>
    <w:p>
      <w:pPr>
        <w:tabs>
          <w:tab w:pos="567" w:val="left"/>
        </w:tabs>
        <w:ind w:left="567" w:hanging="567"/>
      </w:pPr>
      <w:r>
        <w:t>9.</w:t>
      </w:r>
      <w:r>
        <w:tab/>
      </w:r>
      <w:r>
        <w:t>Verträge zur Erbringung von Dienstleistungen in den Bereichen Beherbergung zu anderen Zwecken als zu Wohnzwecken, Beförderung von Waren, Kraftfahrzeugvermietung, Lieferung von Speisen und Getränken sowie zur Erbringung weiterer Dienstleistungen im Zusammenhang mit Freizeitbetätigungen, wenn der Vertrag für die Erbringung einen spezifischen Termin oder Zeitraum vorsieht,</w:t>
      </w:r>
    </w:p>
    <w:p>
      <w:pPr>
        <w:tabs>
          <w:tab w:pos="567" w:val="left"/>
        </w:tabs>
        <w:ind w:left="567" w:hanging="567"/>
      </w:pPr>
      <w:r>
        <w:t>10.</w:t>
      </w:r>
      <w:r>
        <w:tab/>
      </w:r>
      <w:r>
        <w:t>Verträge, die im Rahmen einer Vermarktungsform geschlossen werden, bei der der Unternehmer Verbrauchern, die persönlich anwesend sind oder denen diese Möglichkeit gewährt wird, Waren oder Dienstleistungen anbietet, und zwar in einem vom Versteigerer durchgeführten, auf konkurrierenden Geboten basierenden transparenten Verfahren, bei dem der Bieter, der den Zuschlag erhalten hat, zum Erwerb der Waren oder Dienstleistungen verpflichtet ist (öffentlich zugängliche Versteigerung),</w:t>
      </w:r>
    </w:p>
    <w:p>
      <w:pPr>
        <w:tabs>
          <w:tab w:pos="567" w:val="left"/>
        </w:tabs>
        <w:ind w:left="567" w:hanging="567"/>
      </w:pPr>
      <w:r>
        <w:t>11.</w:t>
      </w:r>
      <w:r>
        <w:tab/>
      </w:r>
      <w:r>
        <w:t>Verträge, bei denen der Verbraucher den Unternehmer ausdrücklich aufgefordert hat, ihn aufzusuchen, um dringende Reparatur- oder Instandhaltungsarbeiten vorzunehmen; dies gilt nicht hinsichtlich weiterer bei dem Besuch erbrachter Dienstleistungen, die der Verbraucher nicht ausdrücklich verlangt hat, oder hinsichtlich solcher bei dem Besuch gelieferter Waren, die bei der Instandhaltung oder Reparatur nicht unbedingt als Ersatzteile benötigt werden,</w:t>
      </w:r>
    </w:p>
    <w:p>
      <w:pPr>
        <w:tabs>
          <w:tab w:pos="567" w:val="left"/>
        </w:tabs>
        <w:ind w:left="567" w:hanging="567"/>
      </w:pPr>
      <w:r>
        <w:t>12.</w:t>
      </w:r>
      <w:r>
        <w:tab/>
      </w:r>
      <w:r>
        <w:t>Verträge zur Erbringung von Wett- und Lotteriedienstleistungen, es sei denn, dass der Verbraucher seine Vertragserklärung telefonisch abgegeben hat oder der Vertrag außerhalb von Geschäftsräumen geschlossen wurde, und</w:t>
      </w:r>
    </w:p>
    <w:p>
      <w:pPr>
        <w:tabs>
          <w:tab w:pos="567" w:val="left"/>
        </w:tabs>
        <w:ind w:left="567" w:hanging="567"/>
      </w:pPr>
      <w:r>
        <w:t>13.</w:t>
      </w:r>
      <w:r>
        <w:tab/>
      </w:r>
      <w:r>
        <w:t xml:space="preserve">notariell beurkundete Verträge; dies gilt für Fernabsatzverträge über Finanzdienstleistungen nur, wenn der Notar bestätigt, dass die Rechte des Verbrauchers aus </w:t>
      </w:r>
      <w:hyperlink w:anchor="b375" w:history="1">
        <w:r>
          <w:rPr>
            <w:color w:val="0A3A8C"/>
            <w:u w:val="single"/>
          </w:rPr>
          <w:t xml:space="preserve">§ 312d</w:t>
        </w:r>
      </w:hyperlink>
      <w:r>
        <w:t xml:space="preserve"> Absatz 2 gewahrt sind.</w:t>
      </w:r>
    </w:p>
    <w:p>
      <w:r>
        <w:t>(3) Das Widerrufsrecht besteht ferner nicht</w:t>
      </w:r>
    </w:p>
    <w:p>
      <w:pPr>
        <w:tabs>
          <w:tab w:pos="567" w:val="left"/>
        </w:tabs>
        <w:ind w:left="567" w:hanging="567"/>
      </w:pPr>
      <w:r>
        <w:t>1.</w:t>
      </w:r>
      <w:r>
        <w:tab/>
      </w:r>
      <w:r>
        <w:t xml:space="preserve">bei Verträgen, bei denen dem Verbraucher bereits aufgrund der </w:t>
      </w:r>
      <w:hyperlink w:anchor="b657" w:history="1">
        <w:r>
          <w:rPr>
            <w:color w:val="0A3A8C"/>
            <w:u w:val="single"/>
          </w:rPr>
          <w:t xml:space="preserve">§§ 495</w:t>
        </w:r>
      </w:hyperlink>
      <w:r>
        <w:t xml:space="preserve">, </w:t>
      </w:r>
      <w:hyperlink w:anchor="b675" w:history="1">
        <w:r>
          <w:rPr>
            <w:color w:val="0A3A8C"/>
            <w:u w:val="single"/>
          </w:rPr>
          <w:t xml:space="preserve">506</w:t>
        </w:r>
      </w:hyperlink>
      <w:r>
        <w:t xml:space="preserve"> bis </w:t>
      </w:r>
      <w:hyperlink w:anchor="b685" w:history="1">
        <w:r>
          <w:rPr>
            <w:color w:val="0A3A8C"/>
            <w:u w:val="single"/>
          </w:rPr>
          <w:t xml:space="preserve">513</w:t>
        </w:r>
      </w:hyperlink>
      <w:r>
        <w:t xml:space="preserve"> ein Widerrufsrecht nach </w:t>
      </w:r>
      <w:hyperlink w:anchor="b461" w:history="1">
        <w:r>
          <w:rPr>
            <w:color w:val="0A3A8C"/>
            <w:u w:val="single"/>
          </w:rPr>
          <w:t xml:space="preserve">§ 355</w:t>
        </w:r>
      </w:hyperlink>
      <w:r>
        <w:t xml:space="preserve"> zusteht,</w:t>
      </w:r>
    </w:p>
    <w:p>
      <w:pPr>
        <w:tabs>
          <w:tab w:pos="567" w:val="left"/>
        </w:tabs>
        <w:ind w:left="567" w:hanging="567"/>
      </w:pPr>
      <w:r>
        <w:t>2.</w:t>
      </w:r>
      <w:r>
        <w:tab/>
      </w:r>
      <w:r>
        <w:t>bei außerhalb von Geschäftsräumen geschlossenen Verträgen, bei denen dem Verbraucher bereits nach § 305 Absatz 1 bis 6 des Kapitalanlagegesetzbuchs oder § 2d Absatz 1 bis 5 des Vermögensanlagengesetzes ein Widerrufsrecht zusteht.</w:t>
      </w:r>
    </w:p>
    <w:p>
      <w:pPr>
        <w:pStyle w:val="Heading6"/>
      </w:pPr>
      <w:bookmarkStart w:id="387" w:name="b379"/>
      <w:r>
        <w:t>§ 312h Kündigung und Vollmacht zur Kündigung</w:t>
      </w:r>
      <w:r>
        <w:t xml:space="preserve"> </w:t>
      </w:r>
      <w:r>
        <w:rPr>
          <w:rStyle w:val="Suchmarke"/>
        </w:rPr>
        <w:t>#312h#</w:t>
      </w:r>
      <w:bookmarkEnd w:id="387"/>
    </w:p>
    <w:p>
      <w:r>
        <w:t>Wird zwischen einem Unternehmer und einem Verbraucher nach diesem Untertitel ein Dauerschuldverhältnis begründet, das ein zwischen dem Verbraucher und einem anderen Unternehmer bestehendes Dauerschuldverhältnis ersetzen soll, und wird anlässlich der Begründung des Dauerschuldverhältnisses von dem Verbraucher</w:t>
      </w:r>
    </w:p>
    <w:p>
      <w:pPr>
        <w:tabs>
          <w:tab w:pos="567" w:val="left"/>
        </w:tabs>
        <w:ind w:left="567" w:hanging="567"/>
      </w:pPr>
      <w:r>
        <w:t>1.</w:t>
      </w:r>
      <w:r>
        <w:tab/>
      </w:r>
      <w:r>
        <w:t>die Kündigung des bestehenden Dauerschuldverhältnisses erklärt und der Unternehmer oder ein von ihm beauftragter Dritter zur Übermittlung der Kündigung an den bisherigen Vertragspartner des Verbrauchers beauftragt oder</w:t>
      </w:r>
    </w:p>
    <w:p>
      <w:pPr>
        <w:tabs>
          <w:tab w:pos="567" w:val="left"/>
        </w:tabs>
        <w:ind w:left="567" w:hanging="567"/>
      </w:pPr>
      <w:r>
        <w:t>2.</w:t>
      </w:r>
      <w:r>
        <w:tab/>
      </w:r>
      <w:r>
        <w:t>der Unternehmer oder ein von ihm beauftragter Dritter zur Erklärung der Kündigung gegenüber dem bisherigen Vertragspartner des Verbrauchers bevollmächtigt,</w:t>
      </w:r>
    </w:p>
    <w:p>
      <w:r>
        <w:t>bedarf die Kündigung des Verbrauchers oder die Vollmacht zur Kündigung der Textform.</w:t>
      </w:r>
    </w:p>
    <w:p>
      <w:pPr>
        <w:pStyle w:val="Heading5"/>
      </w:pPr>
      <w:bookmarkStart w:id="388" w:name="b380"/>
      <w:r>
        <w:t>Kapitel 3 Verträge im elektronischen Geschäftsverkehr; Online-Marktplätze</w:t>
      </w:r>
      <w:bookmarkEnd w:id="388"/>
    </w:p>
    <w:p>
      <w:pPr>
        <w:pStyle w:val="Heading6"/>
      </w:pPr>
      <w:bookmarkStart w:id="389" w:name="b381"/>
      <w:r>
        <w:t>§ 312i Allgemeine Pflichten im elektronischen Geschäftsverkehr</w:t>
      </w:r>
      <w:r>
        <w:t xml:space="preserve"> </w:t>
      </w:r>
      <w:r>
        <w:rPr>
          <w:rStyle w:val="Suchmarke"/>
        </w:rPr>
        <w:t>#312i#</w:t>
      </w:r>
      <w:bookmarkEnd w:id="389"/>
    </w:p>
    <w:p>
      <w:r>
        <w:t xml:space="preserve">(1) </w:t>
      </w:r>
      <w:r>
        <w:rPr>
          <w:rStyle w:val="Satznummer"/>
        </w:rPr>
        <w:t>1</w:t>
      </w:r>
      <w:r>
        <w:t>Bedient sich ein Unternehmer zum Zwecke des Abschlusses eines Vertrags über die Lieferung von Waren oder über die Erbringung von Dienstleistungen digitaler Dienste nach § 1 Absatz 4 Nummer 1 des Digitale-Dienste-Gesetzes (Vertrag im elektronischen Geschäftsverkehr), hat er dem Kunden</w:t>
      </w:r>
    </w:p>
    <w:p>
      <w:pPr>
        <w:tabs>
          <w:tab w:pos="567" w:val="left"/>
        </w:tabs>
        <w:ind w:left="567" w:hanging="567"/>
      </w:pPr>
      <w:r>
        <w:t>1.</w:t>
      </w:r>
      <w:r>
        <w:tab/>
      </w:r>
      <w:r>
        <w:t>angemessene, wirksame und zugängliche technische Mittel zur Verfügung zu stellen, mit deren Hilfe der Kunde Eingabefehler vor Abgabe seiner Bestellung erkennen und berichtigen kann,</w:t>
      </w:r>
    </w:p>
    <w:p>
      <w:pPr>
        <w:tabs>
          <w:tab w:pos="567" w:val="left"/>
        </w:tabs>
        <w:ind w:left="567" w:hanging="567"/>
      </w:pPr>
      <w:r>
        <w:t>2.</w:t>
      </w:r>
      <w:r>
        <w:tab/>
      </w:r>
      <w:r>
        <w:t>die in Artikel 246c des Einführungsgesetzes zum Bürgerlichen Gesetzbuche bestimmten Informationen rechtzeitig vor Abgabe von dessen Bestellung klar und verständlich mitzuteilen,</w:t>
      </w:r>
    </w:p>
    <w:p>
      <w:pPr>
        <w:tabs>
          <w:tab w:pos="567" w:val="left"/>
        </w:tabs>
        <w:ind w:left="567" w:hanging="567"/>
      </w:pPr>
      <w:r>
        <w:t>3.</w:t>
      </w:r>
      <w:r>
        <w:tab/>
      </w:r>
      <w:r>
        <w:t>den Zugang von dessen Bestellung unverzüglich auf elektronischem Wege zu bestätigen und</w:t>
      </w:r>
    </w:p>
    <w:p>
      <w:pPr>
        <w:tabs>
          <w:tab w:pos="567" w:val="left"/>
        </w:tabs>
        <w:ind w:left="567" w:hanging="567"/>
      </w:pPr>
      <w:r>
        <w:t>4.</w:t>
      </w:r>
      <w:r>
        <w:tab/>
      </w:r>
      <w:r>
        <w:t>die Möglichkeit zu verschaffen, die Vertragsbestimmungen einschließlich der Allgemeinen Geschäftsbedingungen bei Vertragsschluss abzurufen und in wiedergabefähiger Form zu speichern.</w:t>
      </w:r>
    </w:p>
    <w:p>
      <w:r>
        <w:rPr>
          <w:rStyle w:val="Satznummer"/>
        </w:rPr>
        <w:t>2</w:t>
      </w:r>
      <w:r>
        <w:t>Bestellung und Empfangsbestätigung im Sinne von Satz 1 Nummer 3 gelten als zugegangen, wenn die Parteien, für die sie bestimmt sind, sie unter gewöhnlichen Umständen abrufen können.</w:t>
      </w:r>
    </w:p>
    <w:p>
      <w:r>
        <w:t xml:space="preserve">(2) </w:t>
      </w:r>
      <w:r>
        <w:rPr>
          <w:rStyle w:val="Satznummer"/>
        </w:rPr>
        <w:t>1</w:t>
      </w:r>
      <w:r>
        <w:t xml:space="preserve">Absatz 1 Satz 1 Nummer 1 bis 3 ist nicht anzuwenden, wenn der Vertrag ausschließlich durch individuelle Kommunikation geschlossen wird. </w:t>
      </w:r>
      <w:r>
        <w:rPr>
          <w:rStyle w:val="Satznummer"/>
        </w:rPr>
        <w:t>2</w:t>
      </w:r>
      <w:r>
        <w:t>Absatz 1 Satz 1 Nummer 1 bis 3 und Satz 2 ist nicht anzuwenden, wenn zwischen Vertragsparteien, die nicht Verbraucher sind, etwas anderes vereinbart wird.</w:t>
      </w:r>
    </w:p>
    <w:p>
      <w:r>
        <w:t>(3) Weitergehende Informationspflichten auf Grund anderer Vorschriften bleiben unberührt.</w:t>
      </w:r>
    </w:p>
    <w:p>
      <w:pPr>
        <w:pStyle w:val="Heading6"/>
      </w:pPr>
      <w:bookmarkStart w:id="390" w:name="b382"/>
      <w:r>
        <w:t>§ 312j Besondere Pflichten im elektronischen Geschäftsverkehr gegenüber Verbrauchern</w:t>
      </w:r>
      <w:r>
        <w:t xml:space="preserve"> </w:t>
      </w:r>
      <w:r>
        <w:rPr>
          <w:rStyle w:val="Suchmarke"/>
        </w:rPr>
        <w:t>#312j#</w:t>
      </w:r>
      <w:bookmarkEnd w:id="390"/>
    </w:p>
    <w:p>
      <w:r>
        <w:t xml:space="preserve">(1) Auf Webseiten für den elektronischen Geschäftsverkehr mit Verbrauchern hat der Unternehmer zusätzlich zu den Angaben nach </w:t>
      </w:r>
      <w:hyperlink w:anchor="b381" w:history="1">
        <w:r>
          <w:rPr>
            <w:color w:val="0A3A8C"/>
            <w:u w:val="single"/>
          </w:rPr>
          <w:t xml:space="preserve">§ 312i</w:t>
        </w:r>
      </w:hyperlink>
      <w:r>
        <w:t xml:space="preserve"> Absatz 1 spätestens bei Beginn des Bestellvorgangs klar und deutlich anzugeben, ob Lieferbeschränkungen bestehen und welche Zahlungsmittel akzeptiert werden.</w:t>
      </w:r>
    </w:p>
    <w:p>
      <w:r>
        <w:t>(2) Bei einem Verbrauchervertrag im elektronischen Geschäftsverkehr, der den Verbraucher zur Zahlung verpflichtet, muss der Unternehmer dem Verbraucher die Informationen gemäß Artikel 246a § 1 Absatz 1 Satz 1 Nummer 1, 5 bis 8, 11a, 14 und 15 des Einführungsgesetzes zum Bürgerlichen Gesetzbuche, unmittelbar bevor der Verbraucher seine Bestellung abgibt, klar und verständlich in hervorgehobener Weise zur Verfügung stellen.</w:t>
      </w:r>
    </w:p>
    <w:p>
      <w:r>
        <w:t xml:space="preserve">(3) </w:t>
      </w:r>
      <w:r>
        <w:rPr>
          <w:rStyle w:val="Satznummer"/>
        </w:rPr>
        <w:t>1</w:t>
      </w:r>
      <w:r>
        <w:t xml:space="preserve">Der Unternehmer hat die Bestellsituation bei einem Vertrag nach Absatz 2 so zu gestalten, dass der Verbraucher mit seiner Bestellung ausdrücklich bestätigt, dass er sich zu einer Zahlung verpflichtet. </w:t>
      </w:r>
      <w:r>
        <w:rPr>
          <w:rStyle w:val="Satznummer"/>
        </w:rPr>
        <w:t>2</w:t>
      </w:r>
      <w:r>
        <w:t>Erfolgt die Bestellung über eine Schaltfläche, ist die Pflicht des Unternehmers aus Satz 1 nur erfüllt, wenn diese Schaltfläche gut lesbar mit nichts anderem als den Wörtern „zahlungspflichtig bestellen“ oder mit einer entsprechenden eindeutigen Formulierung beschriftet ist.</w:t>
      </w:r>
    </w:p>
    <w:p>
      <w:r>
        <w:t>(4) Ein Vertrag nach Absatz 2 kommt nur zustande, wenn der Unternehmer seine Pflicht aus Absatz 3 erfüllt.</w:t>
      </w:r>
    </w:p>
    <w:p>
      <w:r>
        <w:t xml:space="preserve">(5) </w:t>
      </w:r>
      <w:r>
        <w:rPr>
          <w:rStyle w:val="Satznummer"/>
        </w:rPr>
        <w:t>1</w:t>
      </w:r>
      <w:r>
        <w:t xml:space="preserve">Die Absätze 2 bis 4 sind nicht anzuwenden, wenn der Vertrag ausschließlich durch individuelle Kommunikation geschlossen wird. </w:t>
      </w:r>
      <w:r>
        <w:rPr>
          <w:rStyle w:val="Satznummer"/>
        </w:rPr>
        <w:t>2</w:t>
      </w:r>
      <w:r>
        <w:t>Die Pflichten aus den Absätzen 1 und 2 gelten weder für Webseiten, die Finanzdienstleistungen betreffen, noch für Verträge über Finanzdienstleistungen.</w:t>
      </w:r>
    </w:p>
    <w:p>
      <w:pPr>
        <w:pStyle w:val="Heading6"/>
      </w:pPr>
      <w:bookmarkStart w:id="391" w:name="b383"/>
      <w:r>
        <w:t>§ 312k Kündigung von Verbraucherverträgen im elektronischen Geschäftsverkehr</w:t>
      </w:r>
      <w:r>
        <w:t xml:space="preserve"> </w:t>
      </w:r>
      <w:r>
        <w:rPr>
          <w:rStyle w:val="Suchmarke"/>
        </w:rPr>
        <w:t>#312k#</w:t>
      </w:r>
      <w:bookmarkEnd w:id="391"/>
    </w:p>
    <w:p>
      <w:r>
        <w:t xml:space="preserve">(1) </w:t>
      </w:r>
      <w:r>
        <w:rPr>
          <w:rStyle w:val="Satznummer"/>
        </w:rPr>
        <w:t>1</w:t>
      </w:r>
      <w:r>
        <w:t xml:space="preserve">Wird Verbrauchern über eine Webseite ermöglicht, einen Vertrag im elektronischen Geschäftsverkehr zu schließen, der auf die Begründung eines Dauerschuldverhältnisses gerichtet ist, das einen Unternehmer zu einer entgeltlichen Leistung verpflichtet, so treffen den Unternehmer die Pflichten nach dieser Vorschrift. </w:t>
      </w:r>
      <w:r>
        <w:rPr>
          <w:rStyle w:val="Satznummer"/>
        </w:rPr>
        <w:t>2</w:t>
      </w:r>
      <w:r>
        <w:t>Dies gilt nicht</w:t>
      </w:r>
    </w:p>
    <w:p>
      <w:pPr>
        <w:tabs>
          <w:tab w:pos="567" w:val="left"/>
        </w:tabs>
        <w:ind w:left="567" w:hanging="567"/>
      </w:pPr>
      <w:r>
        <w:t>1.</w:t>
      </w:r>
      <w:r>
        <w:tab/>
      </w:r>
      <w:r>
        <w:t>für Verträge, für deren Kündigung gesetzlich ausschließlich eine strengere Form als die Textform vorgesehen ist, und</w:t>
      </w:r>
    </w:p>
    <w:p>
      <w:pPr>
        <w:tabs>
          <w:tab w:pos="567" w:val="left"/>
        </w:tabs>
        <w:ind w:left="567" w:hanging="567"/>
      </w:pPr>
      <w:r>
        <w:t>2.</w:t>
      </w:r>
      <w:r>
        <w:tab/>
      </w:r>
      <w:r>
        <w:t>in Bezug auf Webseiten, die Finanzdienstleistungen betreffen, oder für Verträge über Finanzdienstleistungen.</w:t>
      </w:r>
    </w:p>
    <w:p>
      <w:r>
        <w:t xml:space="preserve">(2) </w:t>
      </w:r>
      <w:r>
        <w:rPr>
          <w:rStyle w:val="Satznummer"/>
        </w:rPr>
        <w:t>1</w:t>
      </w:r>
      <w:r>
        <w:t xml:space="preserve">Der Unternehmer hat sicherzustellen, dass der Verbraucher auf der Webseite eine Erklärung zur ordentlichen oder außerordentlichen Kündigung eines auf der Webseite abschließbaren Vertrags nach Absatz 1 Satz 1 über eine Kündigungsschaltfläche abgeben kann. </w:t>
      </w:r>
      <w:r>
        <w:rPr>
          <w:rStyle w:val="Satznummer"/>
        </w:rPr>
        <w:t>2</w:t>
      </w:r>
      <w:r>
        <w:t xml:space="preserve">Die Kündigungsschaltfläche muss gut lesbar mit nichts anderem als den Wörtern „Verträge hier kündigen“ oder mit einer entsprechenden eindeutigen Formulierung beschriftet sein. </w:t>
      </w:r>
      <w:r>
        <w:rPr>
          <w:rStyle w:val="Satznummer"/>
        </w:rPr>
        <w:t>3</w:t>
      </w:r>
      <w:r>
        <w:t>Sie muss den Verbraucher unmittelbar zu einer Bestätigungsseite führen, die</w:t>
      </w:r>
    </w:p>
    <w:p>
      <w:pPr>
        <w:tabs>
          <w:tab w:pos="567" w:val="left"/>
        </w:tabs>
        <w:ind w:left="567" w:hanging="567"/>
      </w:pPr>
      <w:r>
        <w:t>1.</w:t>
      </w:r>
      <w:r>
        <w:tab/>
      </w:r>
      <w:r>
        <w:t>den Verbraucher auffordert und ihm ermöglicht Angaben zu machen</w:t>
      </w:r>
    </w:p>
    <w:p>
      <w:pPr>
        <w:tabs>
          <w:tab w:pos="1134" w:val="left"/>
        </w:tabs>
        <w:ind w:left="1134" w:hanging="567"/>
      </w:pPr>
      <w:r>
        <w:t>a)</w:t>
      </w:r>
      <w:r>
        <w:tab/>
      </w:r>
      <w:r>
        <w:t>zur Art der Kündigung sowie im Falle der außerordentlichen Kündigung zum Kündigungsgrund,</w:t>
      </w:r>
    </w:p>
    <w:p>
      <w:pPr>
        <w:tabs>
          <w:tab w:pos="1134" w:val="left"/>
        </w:tabs>
        <w:ind w:left="1134" w:hanging="567"/>
      </w:pPr>
      <w:r>
        <w:t>b)</w:t>
      </w:r>
      <w:r>
        <w:tab/>
      </w:r>
      <w:r>
        <w:t>zu seiner eindeutigen Identifizierbarkeit,</w:t>
      </w:r>
    </w:p>
    <w:p>
      <w:pPr>
        <w:tabs>
          <w:tab w:pos="1134" w:val="left"/>
        </w:tabs>
        <w:ind w:left="1134" w:hanging="567"/>
      </w:pPr>
      <w:r>
        <w:t>c)</w:t>
      </w:r>
      <w:r>
        <w:tab/>
      </w:r>
      <w:r>
        <w:t>zur eindeutigen Bezeichnung des Vertrags,</w:t>
      </w:r>
    </w:p>
    <w:p>
      <w:pPr>
        <w:tabs>
          <w:tab w:pos="1134" w:val="left"/>
        </w:tabs>
        <w:ind w:left="1134" w:hanging="567"/>
      </w:pPr>
      <w:r>
        <w:t>d)</w:t>
      </w:r>
      <w:r>
        <w:tab/>
      </w:r>
      <w:r>
        <w:t>zum Zeitpunkt, zu dem die Kündigung das Vertragsverhältnis beenden soll,</w:t>
      </w:r>
    </w:p>
    <w:p>
      <w:pPr>
        <w:tabs>
          <w:tab w:pos="1134" w:val="left"/>
        </w:tabs>
        <w:ind w:left="1134" w:hanging="567"/>
      </w:pPr>
      <w:r>
        <w:t>e)</w:t>
      </w:r>
      <w:r>
        <w:tab/>
      </w:r>
      <w:r>
        <w:t>zur schnellen elektronischen Übermittlung der Kündigungsbestätigung an ihn und</w:t>
      </w:r>
    </w:p>
    <w:p>
      <w:pPr>
        <w:tabs>
          <w:tab w:pos="567" w:val="left"/>
        </w:tabs>
        <w:ind w:left="567" w:hanging="567"/>
      </w:pPr>
      <w:r>
        <w:t>2.</w:t>
      </w:r>
      <w:r>
        <w:tab/>
      </w:r>
      <w:r>
        <w:t>eine Bestätigungsschaltfläche enthält, über deren Betätigung der Verbraucher die Kündigungserklärung abgeben kann und die gut lesbar mit nichts anderem als den Wörtern „jetzt kündigen“ oder mit einer entsprechenden eindeutigen Formulierung beschriftet ist.</w:t>
      </w:r>
    </w:p>
    <w:p>
      <w:r>
        <w:rPr>
          <w:rStyle w:val="Satznummer"/>
        </w:rPr>
        <w:t>4</w:t>
      </w:r>
      <w:r>
        <w:t>Die Schaltflächen und die Bestätigungsseite müssen ständig verfügbar sowie unmittelbar und leicht zugänglich sein.</w:t>
      </w:r>
    </w:p>
    <w:p>
      <w:r>
        <w:t>(3) Der Verbraucher muss seine durch das Betätigen der Bestätigungsschaltfläche abgegebene Kündigungserklärung mit dem Datum und der Uhrzeit der Abgabe auf einem dauerhaften Datenträger so speichern können, dass erkennbar ist, dass die Kündigungserklärung durch das Betätigen der Bestätigungsschaltfläche abgegeben wurde.</w:t>
      </w:r>
    </w:p>
    <w:p>
      <w:r>
        <w:t xml:space="preserve">(4) </w:t>
      </w:r>
      <w:r>
        <w:rPr>
          <w:rStyle w:val="Satznummer"/>
        </w:rPr>
        <w:t>1</w:t>
      </w:r>
      <w:r>
        <w:t xml:space="preserve">Der Unternehmer hat dem Verbraucher den Inhalt sowie Datum und Uhrzeit des Zugangs der Kündigungserklärung sowie den Zeitpunkt, zu dem das Vertragsverhältnis durch die Kündigung beendet werden soll, sofort auf elektronischem Wege in Textform zu bestätigen. </w:t>
      </w:r>
      <w:r>
        <w:rPr>
          <w:rStyle w:val="Satznummer"/>
        </w:rPr>
        <w:t>2</w:t>
      </w:r>
      <w:r>
        <w:t>Es wird vermutet, dass eine durch das Betätigen der Bestätigungsschaltfläche abgegebene Kündigungserklärung dem Unternehmer unmittelbar nach ihrer Abgabe zugegangen ist.</w:t>
      </w:r>
    </w:p>
    <w:p>
      <w:r>
        <w:t>(5) Wenn der Verbraucher bei der Abgabe der Kündigungserklärung keinen Zeitpunkt angibt, zu dem die Kündigung das Vertragsverhältnis beenden soll, wirkt die Kündigung im Zweifel zum frühestmöglichen Zeitpunkt.</w:t>
      </w:r>
    </w:p>
    <w:p>
      <w:r>
        <w:t xml:space="preserve">(6) </w:t>
      </w:r>
      <w:r>
        <w:rPr>
          <w:rStyle w:val="Satznummer"/>
        </w:rPr>
        <w:t>1</w:t>
      </w:r>
      <w:r>
        <w:t xml:space="preserve">Werden die Schaltflächen und die Bestätigungsseite nicht entsprechend den Absätzen 1 und 2 zur Verfügung gestellt, kann ein Verbraucher einen Vertrag, für dessen Kündigung die Schaltflächen und die Bestätigungsseite zur Verfügung zu stellen sind, jederzeit und ohne Einhaltung einer Kündigungsfrist kündigen. </w:t>
      </w:r>
      <w:r>
        <w:rPr>
          <w:rStyle w:val="Satznummer"/>
        </w:rPr>
        <w:t>2</w:t>
      </w:r>
      <w:r>
        <w:t>Die Möglichkeit des Verbrauchers zur außerordentlichen Kündigung bleibt hiervon unberührt.</w:t>
      </w:r>
    </w:p>
    <w:p>
      <w:pPr>
        <w:pStyle w:val="Heading6"/>
      </w:pPr>
      <w:bookmarkStart w:id="392" w:name="b384"/>
      <w:r>
        <w:t>§ 312l Allgemeine Informationspflichten für Betreiber von Online-Marktplätzen</w:t>
      </w:r>
      <w:r>
        <w:t xml:space="preserve"> </w:t>
      </w:r>
      <w:r>
        <w:rPr>
          <w:rStyle w:val="Suchmarke"/>
        </w:rPr>
        <w:t>#312l#</w:t>
      </w:r>
      <w:bookmarkEnd w:id="392"/>
    </w:p>
    <w:p>
      <w:r>
        <w:t>(1) Der Betreiber eines Online-Marktplatzes ist verpflichtet, den Verbraucher nach Maßgabe des Artikels 246d des Einführungsgesetzes zum Bürgerlichen Gesetzbuche zu informieren.</w:t>
      </w:r>
    </w:p>
    <w:p>
      <w:r>
        <w:t>(2) Online-Marktplatz ist ein Dienst, der es Verbrauchern ermöglicht, durch die Verwendung von Software, die vom Unternehmer oder im Namen des Unternehmers betrieben wird, einschließlich einer Webseite, eines Teils einer Webseite oder einer Anwendung, Fernabsatzverträge mit anderen Unternehmern oder Verbrauchern abzuschließen.</w:t>
      </w:r>
    </w:p>
    <w:p>
      <w:r>
        <w:t>(3) Betreiber eines Online-Marktplatzes ist der Unternehmer, der einen Online-Marktplatz für Verbraucher zur Verfügung stellt.</w:t>
      </w:r>
    </w:p>
    <w:p>
      <w:pPr>
        <w:pStyle w:val="Heading5"/>
      </w:pPr>
      <w:bookmarkStart w:id="393" w:name="b385"/>
      <w:r>
        <w:t>Kapitel 4 Abweichende Vereinbarungen und Beweislast</w:t>
      </w:r>
      <w:bookmarkEnd w:id="393"/>
    </w:p>
    <w:p>
      <w:pPr>
        <w:pStyle w:val="Heading6"/>
      </w:pPr>
      <w:bookmarkStart w:id="394" w:name="b386"/>
      <w:r>
        <w:t>§ 312m Abweichende Vereinbarungen und Beweislast</w:t>
      </w:r>
      <w:r>
        <w:t xml:space="preserve"> </w:t>
      </w:r>
      <w:r>
        <w:rPr>
          <w:rStyle w:val="Suchmarke"/>
        </w:rPr>
        <w:t>#312m#</w:t>
      </w:r>
      <w:bookmarkEnd w:id="394"/>
    </w:p>
    <w:p>
      <w:r>
        <w:t xml:space="preserve">(1) </w:t>
      </w:r>
      <w:r>
        <w:rPr>
          <w:rStyle w:val="Satznummer"/>
        </w:rPr>
        <w:t>1</w:t>
      </w:r>
      <w:r>
        <w:t xml:space="preserve">Von den Vorschriften dieses Untertitels darf, soweit nichts anderes bestimmt ist, nicht zum Nachteil des Verbrauchers oder Kunden abgewichen werden. </w:t>
      </w:r>
      <w:r>
        <w:rPr>
          <w:rStyle w:val="Satznummer"/>
        </w:rPr>
        <w:t>2</w:t>
      </w:r>
      <w:r>
        <w:t>Die Vorschriften dieses Untertitels finden, soweit nichts anderes bestimmt ist, auch Anwendung, wenn sie durch anderweitige Gestaltungen umgangen werden.</w:t>
      </w:r>
    </w:p>
    <w:p>
      <w:r>
        <w:t>(2) Der Unternehmer trägt gegenüber dem Verbraucher die Beweislast für die Erfüllung der in diesem Untertitel geregelten Informationspflichten.</w:t>
      </w:r>
    </w:p>
    <w:p>
      <w:pPr>
        <w:pStyle w:val="Heading4"/>
      </w:pPr>
      <w:bookmarkStart w:id="395" w:name="b387"/>
      <w:r>
        <w:t>Untertitel 3 Anpassung und Beendigung von Verträgen</w:t>
      </w:r>
      <w:bookmarkEnd w:id="395"/>
    </w:p>
    <w:p>
      <w:pPr>
        <w:pStyle w:val="Heading5"/>
      </w:pPr>
      <w:bookmarkStart w:id="396" w:name="b388"/>
      <w:r>
        <w:t>§ 313 Störung der Geschäftsgrundlage</w:t>
      </w:r>
      <w:r>
        <w:t xml:space="preserve"> </w:t>
      </w:r>
      <w:r>
        <w:rPr>
          <w:rStyle w:val="Suchmarke"/>
        </w:rPr>
        <w:t>#313#</w:t>
      </w:r>
      <w:bookmarkEnd w:id="396"/>
    </w:p>
    <w:p>
      <w:r>
        <w:t>(1) Haben sich Umstände, die zur Grundlage des Vertrags geworden sind, nach Vertragsschluss schwerwiegend verändert und hätten die Parteien den Vertrag nicht oder mit anderem Inhalt geschlossen, wenn sie diese Veränderung vorausgesehen hätten, so kann Anpassung des Vertrags verlangt werden, soweit einem Teil unter Berücksichtigung aller Umstände des Einzelfalls, insbesondere der vertraglichen oder gesetzlichen Risikoverteilung, das Festhalten am unveränderten Vertrag nicht zugemutet werden kann.</w:t>
      </w:r>
    </w:p>
    <w:p>
      <w:r>
        <w:t>(2) Einer Veränderung der Umstände steht es gleich, wenn wesentliche Vorstellungen, die zur Grundlage des Vertrags geworden sind, sich als falsch herausstellen.</w:t>
      </w:r>
    </w:p>
    <w:p>
      <w:r>
        <w:t xml:space="preserve">(3) </w:t>
      </w:r>
      <w:r>
        <w:rPr>
          <w:rStyle w:val="Satznummer"/>
        </w:rPr>
        <w:t>1</w:t>
      </w:r>
      <w:r>
        <w:t xml:space="preserve">Ist eine Anpassung des Vertrags nicht möglich oder einem Teil nicht zumutbar, so kann der benachteiligte Teil vom Vertrag zurücktreten. </w:t>
      </w:r>
      <w:r>
        <w:rPr>
          <w:rStyle w:val="Satznummer"/>
        </w:rPr>
        <w:t>2</w:t>
      </w:r>
      <w:r>
        <w:t>An die Stelle des Rücktrittsrechts tritt für Dauerschuldverhältnisse das Recht zur Kündigung.</w:t>
      </w:r>
    </w:p>
    <w:p>
      <w:pPr>
        <w:pStyle w:val="Heading5"/>
      </w:pPr>
      <w:bookmarkStart w:id="397" w:name="b389"/>
      <w:r>
        <w:t>§ 314 Kündigung von Dauerschuldverhältnissen aus wichtigem Grund</w:t>
      </w:r>
      <w:r>
        <w:t xml:space="preserve"> </w:t>
      </w:r>
      <w:r>
        <w:rPr>
          <w:rStyle w:val="Suchmarke"/>
        </w:rPr>
        <w:t>#314#</w:t>
      </w:r>
      <w:bookmarkEnd w:id="397"/>
    </w:p>
    <w:p>
      <w:r>
        <w:t xml:space="preserve">(1) </w:t>
      </w:r>
      <w:r>
        <w:rPr>
          <w:rStyle w:val="Satznummer"/>
        </w:rPr>
        <w:t>1</w:t>
      </w:r>
      <w:r>
        <w:t xml:space="preserve">Dauerschuldverhältnisse kann jeder Vertragsteil aus wichtigem Grund ohne Einhaltung einer Kündigungsfrist kündigen. </w:t>
      </w:r>
      <w:r>
        <w:rPr>
          <w:rStyle w:val="Satznummer"/>
        </w:rPr>
        <w:t>2</w:t>
      </w:r>
      <w:r>
        <w:t>Ein wichtiger Grund liegt vor, wenn dem kündigenden Teil unter Berücksichtigung aller Umstände des Einzelfalls und unter Abwägung der beiderseitigen Interessen die Fortsetzung des Vertragsverhältnisses bis zur vereinbarten Beendigung oder bis zum Ablauf einer Kündigungsfrist nicht zugemutet werden kann.</w:t>
      </w:r>
    </w:p>
    <w:p>
      <w:r>
        <w:t xml:space="preserve">(2) </w:t>
      </w:r>
      <w:r>
        <w:rPr>
          <w:rStyle w:val="Satznummer"/>
        </w:rPr>
        <w:t>1</w:t>
      </w:r>
      <w:r>
        <w:t xml:space="preserve">Besteht der wichtige Grund in der Verletzung einer Pflicht aus dem Vertrag, ist die Kündigung erst nach erfolglosem Ablauf einer zur Abhilfe bestimmten Frist oder nach erfolgloser Abmahnung zulässig. </w:t>
      </w:r>
      <w:r>
        <w:rPr>
          <w:rStyle w:val="Satznummer"/>
        </w:rPr>
        <w:t>2</w:t>
      </w:r>
      <w:r>
        <w:t xml:space="preserve">Für die Entbehrlichkeit der Bestimmung einer Frist zur Abhilfe und für die Entbehrlichkeit einer Abmahnung findet </w:t>
      </w:r>
      <w:hyperlink w:anchor="b400" w:history="1">
        <w:r>
          <w:rPr>
            <w:color w:val="0A3A8C"/>
            <w:u w:val="single"/>
          </w:rPr>
          <w:t xml:space="preserve">§ 323</w:t>
        </w:r>
      </w:hyperlink>
      <w:r>
        <w:t xml:space="preserve"> Absatz 2 Nummer 1 und 2 entsprechende Anwendung. </w:t>
      </w:r>
      <w:r>
        <w:rPr>
          <w:rStyle w:val="Satznummer"/>
        </w:rPr>
        <w:t>3</w:t>
      </w:r>
      <w:r>
        <w:t>Die Bestimmung einer Frist zur Abhilfe und eine Abmahnung sind auch entbehrlich, wenn besondere Umstände vorliegen, die unter Abwägung der beiderseitigen Interessen die sofortige Kündigung rechtfertigen.</w:t>
      </w:r>
    </w:p>
    <w:p>
      <w:r>
        <w:t>(3) Der Berechtigte kann nur innerhalb einer angemessenen Frist kündigen, nachdem er vom Kündigungsgrund Kenntnis erlangt hat.</w:t>
      </w:r>
    </w:p>
    <w:p>
      <w:r>
        <w:t>(4) Die Berechtigung, Schadensersatz zu verlangen, wird durch die Kündigung nicht ausgeschlossen.</w:t>
      </w:r>
    </w:p>
    <w:p>
      <w:pPr>
        <w:pStyle w:val="Heading4"/>
      </w:pPr>
      <w:bookmarkStart w:id="398" w:name="b390"/>
      <w:r>
        <w:t>Untertitel 4 Einseitige Leistungsbestimmungsrechte</w:t>
      </w:r>
      <w:bookmarkEnd w:id="398"/>
    </w:p>
    <w:p>
      <w:pPr>
        <w:pStyle w:val="Heading5"/>
      </w:pPr>
      <w:bookmarkStart w:id="399" w:name="b391"/>
      <w:r>
        <w:t>§ 315 Bestimmung der Leistung durch eine Partei</w:t>
      </w:r>
      <w:r>
        <w:t xml:space="preserve"> </w:t>
      </w:r>
      <w:r>
        <w:rPr>
          <w:rStyle w:val="Suchmarke"/>
        </w:rPr>
        <w:t>#315#</w:t>
      </w:r>
      <w:bookmarkEnd w:id="399"/>
    </w:p>
    <w:p>
      <w:r>
        <w:t>(1) Soll die Leistung durch einen der Vertragschließenden bestimmt werden, so ist im Zweifel anzunehmen, dass die Bestimmung nach billigem Ermessen zu treffen ist.</w:t>
      </w:r>
    </w:p>
    <w:p>
      <w:r>
        <w:t>(2) Die Bestimmung erfolgt durch Erklärung gegenüber dem anderen Teil.</w:t>
      </w:r>
    </w:p>
    <w:p>
      <w:r>
        <w:t xml:space="preserve">(3) </w:t>
      </w:r>
      <w:r>
        <w:rPr>
          <w:rStyle w:val="Satznummer"/>
        </w:rPr>
        <w:t>1</w:t>
      </w:r>
      <w:r>
        <w:t xml:space="preserve">Soll die Bestimmung nach billigem Ermessen erfolgen, so ist die getroffene Bestimmung für den anderen Teil nur verbindlich, wenn sie der Billigkeit entspricht. </w:t>
      </w:r>
      <w:r>
        <w:rPr>
          <w:rStyle w:val="Satznummer"/>
        </w:rPr>
        <w:t>2</w:t>
      </w:r>
      <w:r>
        <w:t>Entspricht sie nicht der Billigkeit, so wird die Bestimmung durch Urteil getroffen; das Gleiche gilt, wenn die Bestimmung verzögert wird.</w:t>
      </w:r>
    </w:p>
    <w:p>
      <w:pPr>
        <w:pStyle w:val="Heading5"/>
      </w:pPr>
      <w:bookmarkStart w:id="400" w:name="b392"/>
      <w:r>
        <w:t>§ 316 Bestimmung der Gegenleistung</w:t>
      </w:r>
      <w:r>
        <w:t xml:space="preserve"> </w:t>
      </w:r>
      <w:r>
        <w:rPr>
          <w:rStyle w:val="Suchmarke"/>
        </w:rPr>
        <w:t>#316#</w:t>
      </w:r>
      <w:bookmarkEnd w:id="400"/>
    </w:p>
    <w:p>
      <w:r>
        <w:t>Ist der Umfang der für eine Leistung versprochenen Gegenleistung nicht bestimmt, so steht die Bestimmung im Zweifel demjenigen Teil zu, welcher die Gegenleistung zu fordern hat.</w:t>
      </w:r>
    </w:p>
    <w:p>
      <w:pPr>
        <w:pStyle w:val="Heading5"/>
      </w:pPr>
      <w:bookmarkStart w:id="401" w:name="b393"/>
      <w:r>
        <w:t>§ 317 Bestimmung der Leistung durch einen Dritten</w:t>
      </w:r>
      <w:r>
        <w:t xml:space="preserve"> </w:t>
      </w:r>
      <w:r>
        <w:rPr>
          <w:rStyle w:val="Suchmarke"/>
        </w:rPr>
        <w:t>#317#</w:t>
      </w:r>
      <w:bookmarkEnd w:id="401"/>
    </w:p>
    <w:p>
      <w:r>
        <w:t>(1) Ist die Bestimmung der Leistung einem Dritten überlassen, so ist im Zweifel anzunehmen, dass sie nach billigem Ermessen zu treffen ist.</w:t>
      </w:r>
    </w:p>
    <w:p>
      <w:r>
        <w:t>(2) Soll die Bestimmung durch mehrere Dritte erfolgen, so ist im Zweifel Übereinstimmung aller erforderlich; soll eine Summe bestimmt werden, so ist, wenn verschiedene Summen bestimmt werden, im Zweifel die Durchschnittssumme maßgebend.</w:t>
      </w:r>
    </w:p>
    <w:p>
      <w:pPr>
        <w:pStyle w:val="Heading5"/>
      </w:pPr>
      <w:bookmarkStart w:id="402" w:name="b394"/>
      <w:r>
        <w:t>§ 318 Anfechtung der Bestimmung</w:t>
      </w:r>
      <w:r>
        <w:t xml:space="preserve"> </w:t>
      </w:r>
      <w:r>
        <w:rPr>
          <w:rStyle w:val="Suchmarke"/>
        </w:rPr>
        <w:t>#318#</w:t>
      </w:r>
      <w:bookmarkEnd w:id="402"/>
    </w:p>
    <w:p>
      <w:r>
        <w:t>(1) Die einem Dritten überlassene Bestimmung der Leistung erfolgt durch Erklärung gegenüber einem der Vertragschließenden.</w:t>
      </w:r>
    </w:p>
    <w:p>
      <w:r>
        <w:t xml:space="preserve">(2) </w:t>
      </w:r>
      <w:r>
        <w:rPr>
          <w:rStyle w:val="Satznummer"/>
        </w:rPr>
        <w:t>1</w:t>
      </w:r>
      <w:r>
        <w:t xml:space="preserve">Die Anfechtung der getroffenen Bestimmung wegen Irrtums, Drohung oder arglistiger Täuschung steht nur den Vertragschließenden zu; Anfechtungsgegner ist der andere Teil. </w:t>
      </w:r>
      <w:r>
        <w:rPr>
          <w:rStyle w:val="Satznummer"/>
        </w:rPr>
        <w:t>2</w:t>
      </w:r>
      <w:r>
        <w:t xml:space="preserve">Die Anfechtung muss unverzüglich erfolgen, nachdem der Anfechtungsberechtigte von dem Anfechtungsgrund Kenntnis erlangt hat. </w:t>
      </w:r>
      <w:r>
        <w:rPr>
          <w:rStyle w:val="Satznummer"/>
        </w:rPr>
        <w:t>3</w:t>
      </w:r>
      <w:r>
        <w:t>Sie ist ausgeschlossen, wenn 30 Jahre verstrichen sind, nachdem die Bestimmung getroffen worden ist.</w:t>
      </w:r>
    </w:p>
    <w:p>
      <w:pPr>
        <w:pStyle w:val="Heading5"/>
      </w:pPr>
      <w:bookmarkStart w:id="403" w:name="b395"/>
      <w:r>
        <w:t>§ 319 Unwirksamkeit der Bestimmung; Ersetzung</w:t>
      </w:r>
      <w:r>
        <w:t xml:space="preserve"> </w:t>
      </w:r>
      <w:r>
        <w:rPr>
          <w:rStyle w:val="Suchmarke"/>
        </w:rPr>
        <w:t>#319#</w:t>
      </w:r>
      <w:bookmarkEnd w:id="403"/>
    </w:p>
    <w:p>
      <w:r>
        <w:t xml:space="preserve">(1) </w:t>
      </w:r>
      <w:r>
        <w:rPr>
          <w:rStyle w:val="Satznummer"/>
        </w:rPr>
        <w:t>1</w:t>
      </w:r>
      <w:r>
        <w:t xml:space="preserve">Soll der Dritte die Leistung nach billigem Ermessen bestimmen, so ist die getroffene Bestimmung für die Vertragschließenden nicht verbindlich, wenn sie offenbar unbillig ist. </w:t>
      </w:r>
      <w:r>
        <w:rPr>
          <w:rStyle w:val="Satznummer"/>
        </w:rPr>
        <w:t>2</w:t>
      </w:r>
      <w:r>
        <w:t>Die Bestimmung erfolgt in diesem Falle durch Urteil; das Gleiche gilt, wenn der Dritte die Bestimmung nicht treffen kann oder will oder wenn er sie verzögert.</w:t>
      </w:r>
    </w:p>
    <w:p>
      <w:r>
        <w:t>(2) Soll der Dritte die Bestimmung nach freiem Belieben treffen, so ist der Vertrag unwirksam, wenn der Dritte die Bestimmung nicht treffen kann oder will oder wenn er sie verzögert.</w:t>
      </w:r>
    </w:p>
    <w:p>
      <w:pPr>
        <w:pStyle w:val="Heading3"/>
      </w:pPr>
      <w:bookmarkStart w:id="404" w:name="b396"/>
      <w:r>
        <w:t>Titel 2 Gegenseitiger Vertrag</w:t>
      </w:r>
      <w:bookmarkEnd w:id="404"/>
    </w:p>
    <w:p>
      <w:pPr>
        <w:pStyle w:val="Heading4"/>
      </w:pPr>
      <w:bookmarkStart w:id="405" w:name="b397"/>
      <w:r>
        <w:t>§ 320 Einrede des nicht erfüllten Vertrags</w:t>
      </w:r>
      <w:r>
        <w:t xml:space="preserve"> </w:t>
      </w:r>
      <w:r>
        <w:rPr>
          <w:rStyle w:val="Suchmarke"/>
        </w:rPr>
        <w:t>#320#</w:t>
      </w:r>
      <w:bookmarkEnd w:id="405"/>
    </w:p>
    <w:p>
      <w:r>
        <w:t xml:space="preserve">(1) </w:t>
      </w:r>
      <w:r>
        <w:rPr>
          <w:rStyle w:val="Satznummer"/>
        </w:rPr>
        <w:t>1</w:t>
      </w:r>
      <w:r>
        <w:t xml:space="preserve">Wer aus einem gegenseitigen Vertrag verpflichtet ist, kann die ihm obliegende Leistung bis zur Bewirkung der Gegenleistung verweigern, es sei denn, dass er vorzuleisten verpflichtet ist. </w:t>
      </w:r>
      <w:r>
        <w:rPr>
          <w:rStyle w:val="Satznummer"/>
        </w:rPr>
        <w:t>2</w:t>
      </w:r>
      <w:r>
        <w:t xml:space="preserve">Hat die Leistung an mehrere zu erfolgen, so kann dem einzelnen der ihm gebührende Teil bis zur Bewirkung der ganzen Gegenleistung verweigert werden. </w:t>
      </w:r>
      <w:r>
        <w:rPr>
          <w:rStyle w:val="Satznummer"/>
        </w:rPr>
        <w:t>3</w:t>
      </w:r>
      <w:r>
        <w:t xml:space="preserve">Die Vorschrift des </w:t>
      </w:r>
      <w:hyperlink w:anchor="b317" w:history="1">
        <w:r>
          <w:rPr>
            <w:color w:val="0A3A8C"/>
            <w:u w:val="single"/>
          </w:rPr>
          <w:t xml:space="preserve">§ 273</w:t>
        </w:r>
      </w:hyperlink>
      <w:r>
        <w:t xml:space="preserve"> Abs. 3 findet keine Anwendung.</w:t>
      </w:r>
    </w:p>
    <w:p>
      <w:r>
        <w:t>(2) Ist von der einen Seite teilweise geleistet worden, so kann die Gegenleistung insoweit nicht verweigert werden, als die Verweigerung nach den Umständen, insbesondere wegen verhältnismäßiger Geringfügigkeit des rückständigen Teils, gegen Treu und Glauben verstoßen würde.</w:t>
      </w:r>
    </w:p>
    <w:p>
      <w:pPr>
        <w:pStyle w:val="Heading4"/>
      </w:pPr>
      <w:bookmarkStart w:id="406" w:name="b398"/>
      <w:r>
        <w:t>§ 321 Unsicherheitseinrede</w:t>
      </w:r>
      <w:r>
        <w:t xml:space="preserve"> </w:t>
      </w:r>
      <w:r>
        <w:rPr>
          <w:rStyle w:val="Suchmarke"/>
        </w:rPr>
        <w:t>#321#</w:t>
      </w:r>
      <w:bookmarkEnd w:id="406"/>
    </w:p>
    <w:p>
      <w:r>
        <w:t xml:space="preserve">(1) </w:t>
      </w:r>
      <w:r>
        <w:rPr>
          <w:rStyle w:val="Satznummer"/>
        </w:rPr>
        <w:t>1</w:t>
      </w:r>
      <w:r>
        <w:t xml:space="preserve">Wer aus einem gegenseitigen Vertrag vorzuleisten verpflichtet ist, kann die ihm obliegende Leistung verweigern, wenn nach Abschluss des Vertrags erkennbar wird, dass sein Anspruch auf die Gegenleistung durch mangelnde Leistungsfähigkeit des anderen Teils gefährdet wird. </w:t>
      </w:r>
      <w:r>
        <w:rPr>
          <w:rStyle w:val="Satznummer"/>
        </w:rPr>
        <w:t>2</w:t>
      </w:r>
      <w:r>
        <w:t>Das Leistungsverweigerungsrecht entfällt, wenn die Gegenleistung bewirkt oder Sicherheit für sie geleistet wird.</w:t>
      </w:r>
    </w:p>
    <w:p>
      <w:r>
        <w:t xml:space="preserve">(2) </w:t>
      </w:r>
      <w:r>
        <w:rPr>
          <w:rStyle w:val="Satznummer"/>
        </w:rPr>
        <w:t>1</w:t>
      </w:r>
      <w:r>
        <w:t xml:space="preserve">Der Vorleistungspflichtige kann eine angemessene Frist bestimmen, in welcher der andere Teil Zug um Zug gegen die Leistung nach seiner Wahl die Gegenleistung zu bewirken oder Sicherheit zu leisten hat. </w:t>
      </w:r>
      <w:r>
        <w:rPr>
          <w:rStyle w:val="Satznummer"/>
        </w:rPr>
        <w:t>2</w:t>
      </w:r>
      <w:r>
        <w:t xml:space="preserve">Nach erfolglosem Ablauf der Frist kann der Vorleistungspflichtige vom Vertrag zurücktreten. </w:t>
      </w:r>
      <w:r>
        <w:rPr>
          <w:rStyle w:val="Satznummer"/>
        </w:rPr>
        <w:t>3</w:t>
      </w:r>
      <w:hyperlink w:anchor="b400" w:history="1">
        <w:r>
          <w:rPr>
            <w:color w:val="0A3A8C"/>
            <w:u w:val="single"/>
          </w:rPr>
          <w:t xml:space="preserve">§ 323</w:t>
        </w:r>
      </w:hyperlink>
      <w:r>
        <w:t xml:space="preserve"> findet entsprechende Anwendung.</w:t>
      </w:r>
    </w:p>
    <w:p>
      <w:pPr>
        <w:pStyle w:val="Heading4"/>
      </w:pPr>
      <w:bookmarkStart w:id="407" w:name="b399"/>
      <w:r>
        <w:t>§ 322 Verurteilung zur Leistung Zug-um-Zug</w:t>
      </w:r>
      <w:r>
        <w:t xml:space="preserve"> </w:t>
      </w:r>
      <w:r>
        <w:rPr>
          <w:rStyle w:val="Suchmarke"/>
        </w:rPr>
        <w:t>#322#</w:t>
      </w:r>
      <w:bookmarkEnd w:id="407"/>
    </w:p>
    <w:p>
      <w:r>
        <w:t>(1) Erhebt aus einem gegenseitigen Vertrag der eine Teil Klage auf die ihm geschuldete Leistung, so hat die Geltendmachung des dem anderen Teil zustehenden Rechts, die Leistung bis zur Bewirkung der Gegenleistung zu verweigern, nur die Wirkung, dass der andere Teil zur Erfüllung Zug um Zug zu verurteilen ist.</w:t>
      </w:r>
    </w:p>
    <w:p>
      <w:r>
        <w:t>(2) Hat der klagende Teil vorzuleisten, so kann er, wenn der andere Teil im Verzug der Annahme ist, auf Leistung nach Empfang der Gegenleistung klagen.</w:t>
      </w:r>
    </w:p>
    <w:p>
      <w:r>
        <w:t>(3) Auf die Zwangsvollstreckung findet die Vorschrift des § 274 Abs. 2 Anwendung.</w:t>
      </w:r>
    </w:p>
    <w:p>
      <w:pPr>
        <w:pStyle w:val="Heading4"/>
      </w:pPr>
      <w:bookmarkStart w:id="408" w:name="b400"/>
      <w:r>
        <w:t>§ 323 Rücktritt wegen nicht oder nicht vertragsgemäß erbrachter Leistung</w:t>
      </w:r>
      <w:r>
        <w:t xml:space="preserve"> </w:t>
      </w:r>
      <w:r>
        <w:rPr>
          <w:rStyle w:val="Suchmarke"/>
        </w:rPr>
        <w:t>#323#</w:t>
      </w:r>
      <w:bookmarkEnd w:id="408"/>
    </w:p>
    <w:p>
      <w:hyperlink w:anchor="f400_1" w:history="1">
        <w:r>
          <w:rPr>
            <w:rStyle w:val="Fussnotenmarke"/>
            <w:u w:val="single"/>
            <w:color w:val="0A3A8C"/>
          </w:rPr>
          <w:t>1</w:t>
        </w:r>
      </w:hyperlink>
    </w:p>
    <w:p>
      <w:r>
        <w:t>(1) Erbringt bei einem gegenseitigen Vertrag der Schuldner eine fällige Leistung nicht oder nicht vertragsgemäß, so kann der Gläubiger, wenn er dem Schuldner erfolglos eine angemessene Frist zur Leistung oder Nacherfüllung bestimmt hat, vom Vertrag zurücktreten.</w:t>
      </w:r>
    </w:p>
    <w:p>
      <w:r>
        <w:t>(2) Die Fristsetzung ist entbehrlich, wenn</w:t>
      </w:r>
    </w:p>
    <w:p>
      <w:pPr>
        <w:tabs>
          <w:tab w:pos="567" w:val="left"/>
        </w:tabs>
        <w:ind w:left="567" w:hanging="567"/>
      </w:pPr>
      <w:r>
        <w:t>1.</w:t>
      </w:r>
      <w:r>
        <w:tab/>
      </w:r>
      <w:r>
        <w:t>der Schuldner die Leistung ernsthaft und endgültig verweigert,</w:t>
      </w:r>
    </w:p>
    <w:p>
      <w:pPr>
        <w:tabs>
          <w:tab w:pos="567" w:val="left"/>
        </w:tabs>
        <w:ind w:left="567" w:hanging="567"/>
      </w:pPr>
      <w:r>
        <w:t>2.</w:t>
      </w:r>
      <w:r>
        <w:tab/>
      </w:r>
      <w:r>
        <w:t>der Schuldner die Leistung bis zu einem im Vertrag bestimmten Termin oder innerhalb einer im Vertrag bestimmten Frist nicht bewirkt, obwohl die termin- oder fristgerechte Leistung nach einer Mitteilung des Gläubigers an den Schuldner vor Vertragsschluss oder auf Grund anderer den Vertragsabschluss begleitenden Umstände für den Gläubiger wesentlich ist, oder</w:t>
      </w:r>
    </w:p>
    <w:p>
      <w:pPr>
        <w:tabs>
          <w:tab w:pos="567" w:val="left"/>
        </w:tabs>
        <w:ind w:left="567" w:hanging="567"/>
      </w:pPr>
      <w:r>
        <w:t>3.</w:t>
      </w:r>
      <w:r>
        <w:tab/>
      </w:r>
      <w:r>
        <w:t>im Falle einer nicht vertragsgemäß erbrachten Leistung besondere Umstände vorliegen, die unter Abwägung der beiderseitigen Interessen den sofortigen Rücktritt rechtfertigen.</w:t>
      </w:r>
    </w:p>
    <w:p>
      <w:r>
        <w:t>(3) Kommt nach der Art der Pflichtverletzung eine Fristsetzung nicht in Betracht, so tritt an deren Stelle eine Abmahnung.</w:t>
      </w:r>
    </w:p>
    <w:p>
      <w:r>
        <w:t>(4) Der Gläubiger kann bereits vor dem Eintritt der Fälligkeit der Leistung zurücktreten, wenn offensichtlich ist, dass die Voraussetzungen des Rücktritts eintreten werden.</w:t>
      </w:r>
    </w:p>
    <w:p>
      <w:r>
        <w:t xml:space="preserve">(5) </w:t>
      </w:r>
      <w:r>
        <w:rPr>
          <w:rStyle w:val="Satznummer"/>
        </w:rPr>
        <w:t>1</w:t>
      </w:r>
      <w:r>
        <w:t xml:space="preserve">Hat der Schuldner eine Teilleistung bewirkt, so kann der Gläubiger vom ganzen Vertrag nur zurücktreten, wenn er an der Teilleistung kein Interesse hat. </w:t>
      </w:r>
      <w:r>
        <w:rPr>
          <w:rStyle w:val="Satznummer"/>
        </w:rPr>
        <w:t>2</w:t>
      </w:r>
      <w:r>
        <w:t>Hat der Schuldner die Leistung nicht vertragsgemäß bewirkt, so kann der Gläubiger vom Vertrag nicht zurücktreten, wenn die Pflichtverletzung unerheblich ist.</w:t>
      </w:r>
    </w:p>
    <w:p>
      <w:r>
        <w:t>(6) Der Rücktritt ist ausgeschlossen, wenn der Gläubiger für den Umstand, der ihn zum Rücktritt berechtigen würde, allein oder weit überwiegend verantwortlich ist oder wenn der vom Schuldner nicht zu vertretende Umstand zu einer Zeit eintritt, zu welcher der Gläubiger im Verzug der Annahme ist.</w:t>
      </w:r>
    </w:p>
    <w:p>
      <w:pPr>
        <w:pStyle w:val="Fußnote"/>
      </w:pPr>
      <w:bookmarkStart w:id="409" w:name="f400_1"/>
      <w:r>
        <w:rPr>
          <w:rStyle w:val="Zusatz"/>
          <w:b/>
        </w:rPr>
        <w:t xml:space="preserve">Fußnote 1: </w:t>
      </w:r>
      <w:r>
        <w:rPr>
          <w:b/>
        </w:rPr>
        <w:t>Amtlicher Hinweis:</w:t>
      </w:r>
      <w:r>
        <w:br/>
      </w:r>
      <w:r>
        <w:t>Diese Vorschrift dient auch der Umsetzung der Richtlinie 1999/44/EG des Europäischen Parlaments und des Rates vom 25. Mai 1999 zu bestimmten Aspekten des Verbrauchsgüterkaufs und der Garantien für Verbrauchsgüter (ABl. EG Nr. L 171 S. 12).</w:t>
      </w:r>
      <w:bookmarkEnd w:id="409"/>
    </w:p>
    <w:p>
      <w:pPr>
        <w:pStyle w:val="Heading4"/>
      </w:pPr>
      <w:bookmarkStart w:id="410" w:name="b401"/>
      <w:r>
        <w:t>§ 324 Rücktritt wegen Verletzung einer Pflicht nach § 241 Abs. 2</w:t>
      </w:r>
      <w:r>
        <w:t xml:space="preserve"> </w:t>
      </w:r>
      <w:r>
        <w:rPr>
          <w:rStyle w:val="Suchmarke"/>
        </w:rPr>
        <w:t>#324#</w:t>
      </w:r>
      <w:bookmarkEnd w:id="410"/>
    </w:p>
    <w:p>
      <w:r>
        <w:t xml:space="preserve">Verletzt der Schuldner bei einem gegenseitigen Vertrag eine Pflicht nach </w:t>
      </w:r>
      <w:hyperlink w:anchor="b282" w:history="1">
        <w:r>
          <w:rPr>
            <w:color w:val="0A3A8C"/>
            <w:u w:val="single"/>
          </w:rPr>
          <w:t xml:space="preserve">§ 241</w:t>
        </w:r>
      </w:hyperlink>
      <w:r>
        <w:t xml:space="preserve"> Abs. 2, so kann der Gläubiger zurücktreten, wenn ihm ein Festhalten am Vertrag nicht mehr zuzumuten ist.</w:t>
      </w:r>
    </w:p>
    <w:p>
      <w:pPr>
        <w:pStyle w:val="Heading4"/>
      </w:pPr>
      <w:bookmarkStart w:id="411" w:name="b402"/>
      <w:r>
        <w:t>§ 325 Schadensersatz und Rücktritt</w:t>
      </w:r>
      <w:r>
        <w:t xml:space="preserve"> </w:t>
      </w:r>
      <w:r>
        <w:rPr>
          <w:rStyle w:val="Suchmarke"/>
        </w:rPr>
        <w:t>#325#</w:t>
      </w:r>
      <w:bookmarkEnd w:id="411"/>
    </w:p>
    <w:p>
      <w:r>
        <w:t>Das Recht, bei einem gegenseitigen Vertrag Schadensersatz zu verlangen, wird durch den Rücktritt nicht ausgeschlossen.</w:t>
      </w:r>
    </w:p>
    <w:p>
      <w:pPr>
        <w:pStyle w:val="Heading4"/>
      </w:pPr>
      <w:bookmarkStart w:id="412" w:name="b403"/>
      <w:r>
        <w:t>§ 326 Befreiung von der Gegenleistung und Rücktritt beim Ausschluss der Leistungspflicht</w:t>
      </w:r>
      <w:r>
        <w:t xml:space="preserve"> </w:t>
      </w:r>
      <w:r>
        <w:rPr>
          <w:rStyle w:val="Suchmarke"/>
        </w:rPr>
        <w:t>#326#</w:t>
      </w:r>
      <w:bookmarkEnd w:id="412"/>
    </w:p>
    <w:p>
      <w:hyperlink w:anchor="f403_1" w:history="1">
        <w:r>
          <w:rPr>
            <w:rStyle w:val="Fussnotenmarke"/>
            <w:u w:val="single"/>
            <w:color w:val="0A3A8C"/>
          </w:rPr>
          <w:t>1</w:t>
        </w:r>
      </w:hyperlink>
    </w:p>
    <w:p>
      <w:r>
        <w:t xml:space="preserve">(1) </w:t>
      </w:r>
      <w:r>
        <w:rPr>
          <w:rStyle w:val="Satznummer"/>
        </w:rPr>
        <w:t>1</w:t>
      </w:r>
      <w:r>
        <w:t xml:space="preserve">Braucht der Schuldner nach </w:t>
      </w:r>
      <w:hyperlink w:anchor="b319" w:history="1">
        <w:r>
          <w:rPr>
            <w:color w:val="0A3A8C"/>
            <w:u w:val="single"/>
          </w:rPr>
          <w:t xml:space="preserve">§ 275</w:t>
        </w:r>
      </w:hyperlink>
      <w:r>
        <w:t xml:space="preserve"> Abs. 1 bis 3 nicht zu leisten, entfällt der Anspruch auf die Gegenleistung; bei einer Teilleistung findet </w:t>
      </w:r>
      <w:hyperlink w:anchor="b569" w:history="1">
        <w:r>
          <w:rPr>
            <w:color w:val="0A3A8C"/>
            <w:u w:val="single"/>
          </w:rPr>
          <w:t xml:space="preserve">§ 441</w:t>
        </w:r>
      </w:hyperlink>
      <w:r>
        <w:t xml:space="preserve"> Abs. 3 entsprechende Anwendung. </w:t>
      </w:r>
      <w:r>
        <w:rPr>
          <w:rStyle w:val="Satznummer"/>
        </w:rPr>
        <w:t>2</w:t>
      </w:r>
      <w:r>
        <w:t xml:space="preserve">Satz 1 gilt nicht, wenn der Schuldner im Falle der nicht vertragsgemäßen Leistung die Nacherfüllung nach </w:t>
      </w:r>
      <w:hyperlink w:anchor="b319" w:history="1">
        <w:r>
          <w:rPr>
            <w:color w:val="0A3A8C"/>
            <w:u w:val="single"/>
          </w:rPr>
          <w:t xml:space="preserve">§ 275</w:t>
        </w:r>
      </w:hyperlink>
      <w:r>
        <w:t xml:space="preserve"> Abs. 1 bis 3 nicht zu erbringen braucht.</w:t>
      </w:r>
    </w:p>
    <w:p>
      <w:r>
        <w:t xml:space="preserve">(2) </w:t>
      </w:r>
      <w:r>
        <w:rPr>
          <w:rStyle w:val="Satznummer"/>
        </w:rPr>
        <w:t>1</w:t>
      </w:r>
      <w:r>
        <w:t xml:space="preserve">Ist der Gläubiger für den Umstand, auf Grund dessen der Schuldner nach </w:t>
      </w:r>
      <w:hyperlink w:anchor="b319" w:history="1">
        <w:r>
          <w:rPr>
            <w:color w:val="0A3A8C"/>
            <w:u w:val="single"/>
          </w:rPr>
          <w:t xml:space="preserve">§ 275</w:t>
        </w:r>
      </w:hyperlink>
      <w:r>
        <w:t xml:space="preserve"> Abs. 1 bis 3 nicht zu leisten braucht, allein oder weit überwiegend verantwortlich oder tritt dieser vom Schuldner nicht zu vertretende Umstand zu einer Zeit ein, zu welcher der Gläubiger im Verzug der Annahme ist, so behält der Schuldner den Anspruch auf die Gegenleistung. </w:t>
      </w:r>
      <w:r>
        <w:rPr>
          <w:rStyle w:val="Satznummer"/>
        </w:rPr>
        <w:t>2</w:t>
      </w:r>
      <w:r>
        <w:t>Er muss sich jedoch dasjenige anrechnen lassen, was er infolge der Befreiung von der Leistung erspart oder durch anderweitige Verwendung seiner Arbeitskraft erwirbt oder zu erwerben böswillig unterlässt.</w:t>
      </w:r>
    </w:p>
    <w:p>
      <w:r>
        <w:t xml:space="preserve">(3) </w:t>
      </w:r>
      <w:r>
        <w:rPr>
          <w:rStyle w:val="Satznummer"/>
        </w:rPr>
        <w:t>1</w:t>
      </w:r>
      <w:r>
        <w:t xml:space="preserve">Verlangt der Gläubiger nach § 285 Herausgabe des für den geschuldeten Gegenstand erlangten Ersatzes oder Abtretung des Ersatzanspruchs, so bleibt er zur Gegenleistung verpflichtet. </w:t>
      </w:r>
      <w:r>
        <w:rPr>
          <w:rStyle w:val="Satznummer"/>
        </w:rPr>
        <w:t>2</w:t>
      </w:r>
      <w:r>
        <w:t xml:space="preserve">Diese mindert sich jedoch nach Maßgabe des </w:t>
      </w:r>
      <w:hyperlink w:anchor="b569" w:history="1">
        <w:r>
          <w:rPr>
            <w:color w:val="0A3A8C"/>
            <w:u w:val="single"/>
          </w:rPr>
          <w:t xml:space="preserve">§ 441</w:t>
        </w:r>
      </w:hyperlink>
      <w:r>
        <w:t xml:space="preserve"> Abs. 3 insoweit, als der Wert des Ersatzes oder des Ersatzanspruchs hinter dem Wert der geschuldeten Leistung zurückbleibt.</w:t>
      </w:r>
    </w:p>
    <w:p>
      <w:r>
        <w:t xml:space="preserve">(4) Soweit die nach dieser Vorschrift nicht geschuldete Gegenleistung bewirkt ist, kann das Geleistete nach den </w:t>
      </w:r>
      <w:hyperlink w:anchor="b451" w:history="1">
        <w:r>
          <w:rPr>
            <w:color w:val="0A3A8C"/>
            <w:u w:val="single"/>
          </w:rPr>
          <w:t xml:space="preserve">§§ 346</w:t>
        </w:r>
      </w:hyperlink>
      <w:r>
        <w:t xml:space="preserve"> bis </w:t>
      </w:r>
      <w:hyperlink w:anchor="b453" w:history="1">
        <w:r>
          <w:rPr>
            <w:color w:val="0A3A8C"/>
            <w:u w:val="single"/>
          </w:rPr>
          <w:t xml:space="preserve">348</w:t>
        </w:r>
      </w:hyperlink>
      <w:r>
        <w:t xml:space="preserve"> zurückgefordert werden.</w:t>
      </w:r>
    </w:p>
    <w:p>
      <w:r>
        <w:t xml:space="preserve">(5) Braucht der Schuldner nach </w:t>
      </w:r>
      <w:hyperlink w:anchor="b319" w:history="1">
        <w:r>
          <w:rPr>
            <w:color w:val="0A3A8C"/>
            <w:u w:val="single"/>
          </w:rPr>
          <w:t xml:space="preserve">§ 275</w:t>
        </w:r>
      </w:hyperlink>
      <w:r>
        <w:t xml:space="preserve"> Abs. 1 bis 3 nicht zu leisten, kann der Gläubiger zurücktreten; auf den Rücktritt findet </w:t>
      </w:r>
      <w:hyperlink w:anchor="b400" w:history="1">
        <w:r>
          <w:rPr>
            <w:color w:val="0A3A8C"/>
            <w:u w:val="single"/>
          </w:rPr>
          <w:t xml:space="preserve">§ 323</w:t>
        </w:r>
      </w:hyperlink>
      <w:r>
        <w:t xml:space="preserve"> mit der Maßgabe entsprechende Anwendung, dass die Fristsetzung entbehrlich ist.</w:t>
      </w:r>
    </w:p>
    <w:p>
      <w:pPr>
        <w:pStyle w:val="Fußnote"/>
      </w:pPr>
      <w:bookmarkStart w:id="413" w:name="f403_1"/>
      <w:r>
        <w:rPr>
          <w:rStyle w:val="Zusatz"/>
          <w:b/>
        </w:rPr>
        <w:t xml:space="preserve">Fußnote 1: </w:t>
      </w:r>
      <w:r>
        <w:rPr>
          <w:b/>
        </w:rPr>
        <w:t>Amtlicher Hinweis:</w:t>
      </w:r>
      <w:r>
        <w:br/>
      </w:r>
      <w:r>
        <w:t>Diese Vorschrift dient auch der Umsetzung der Richtlinie 1999/44/EG des Europäischen Parlaments und des Rates vom 25. Mai 1999 zu bestimmten Aspekten des Verbrauchsgüterkaufs und der Garantien für Verbrauchsgüter (ABl. EG Nr. L 171 S. 12).</w:t>
      </w:r>
      <w:bookmarkEnd w:id="413"/>
    </w:p>
    <w:p>
      <w:pPr>
        <w:pStyle w:val="Heading3"/>
      </w:pPr>
      <w:bookmarkStart w:id="414" w:name="b404"/>
      <w:r>
        <w:t>Titel 2a Verträge über digitale Produkte</w:t>
      </w:r>
      <w:bookmarkEnd w:id="414"/>
    </w:p>
    <w:p>
      <w:pPr>
        <w:pStyle w:val="Heading4"/>
      </w:pPr>
      <w:bookmarkStart w:id="415" w:name="b405"/>
      <w:r>
        <w:t>Untertitel 1 Verbraucherverträge über digitale Produkte</w:t>
      </w:r>
      <w:bookmarkEnd w:id="415"/>
    </w:p>
    <w:p>
      <w:pPr>
        <w:pStyle w:val="Heading5"/>
      </w:pPr>
      <w:bookmarkStart w:id="416" w:name="b406"/>
      <w:r>
        <w:t>§ 327 Anwendungsbereich</w:t>
      </w:r>
      <w:r>
        <w:t xml:space="preserve"> </w:t>
      </w:r>
      <w:r>
        <w:rPr>
          <w:rStyle w:val="Suchmarke"/>
        </w:rPr>
        <w:t>#327#</w:t>
      </w:r>
      <w:bookmarkEnd w:id="416"/>
    </w:p>
    <w:p>
      <w:r>
        <w:t xml:space="preserve">(1) </w:t>
      </w:r>
      <w:r>
        <w:rPr>
          <w:rStyle w:val="Satznummer"/>
        </w:rPr>
        <w:t>1</w:t>
      </w:r>
      <w:r>
        <w:t xml:space="preserve">Die Vorschriften dieses Untertitels sind auf Verbraucherverträge anzuwenden, welche die Bereitstellung digitaler Inhalte oder digitaler Dienstleistungen (digitale Produkte) durch den Unternehmer gegen Zahlung eines Preises zum Gegenstand haben. </w:t>
      </w:r>
      <w:r>
        <w:rPr>
          <w:rStyle w:val="Satznummer"/>
        </w:rPr>
        <w:t>2</w:t>
      </w:r>
      <w:r>
        <w:t>Preis im Sinne dieses Untertitels ist auch eine digitale Darstellung eines Werts.</w:t>
      </w:r>
    </w:p>
    <w:p>
      <w:r>
        <w:t xml:space="preserve">(2) </w:t>
      </w:r>
      <w:r>
        <w:rPr>
          <w:rStyle w:val="Satznummer"/>
        </w:rPr>
        <w:t>1</w:t>
      </w:r>
      <w:r>
        <w:t xml:space="preserve">Digitale Inhalte sind Daten, die in digitaler Form erstellt und bereitgestellt werden. </w:t>
      </w:r>
      <w:r>
        <w:rPr>
          <w:rStyle w:val="Satznummer"/>
        </w:rPr>
        <w:t>2</w:t>
      </w:r>
      <w:r>
        <w:t>Digitale Dienstleistungen sind Dienstleistungen, die dem Verbraucher</w:t>
      </w:r>
    </w:p>
    <w:p>
      <w:pPr>
        <w:tabs>
          <w:tab w:pos="567" w:val="left"/>
        </w:tabs>
        <w:ind w:left="567" w:hanging="567"/>
      </w:pPr>
      <w:r>
        <w:t>1.</w:t>
      </w:r>
      <w:r>
        <w:tab/>
      </w:r>
      <w:r>
        <w:t>die Erstellung, die Verarbeitung oder die Speicherung von Daten in digitaler Form oder den Zugang zu solchen Daten ermöglichen, oder</w:t>
      </w:r>
    </w:p>
    <w:p>
      <w:pPr>
        <w:tabs>
          <w:tab w:pos="567" w:val="left"/>
        </w:tabs>
        <w:ind w:left="567" w:hanging="567"/>
      </w:pPr>
      <w:r>
        <w:t>2.</w:t>
      </w:r>
      <w:r>
        <w:tab/>
      </w:r>
      <w:r>
        <w:t>die gemeinsame Nutzung der vom Verbraucher oder von anderen Nutzern der entsprechenden Dienstleistung in digitaler Form hochgeladenen oder erstellten Daten oder sonstige Interaktionen mit diesen Daten ermöglichen.</w:t>
      </w:r>
    </w:p>
    <w:p>
      <w:r>
        <w:t xml:space="preserve">(3) Die Vorschriften dieses Untertitels sind auch auf Verbraucherverträge über die Bereitstellung digitaler Produkte anzuwenden, bei denen der Verbraucher dem Unternehmer personenbezogene Daten bereitstellt oder sich zu deren Bereitstellung verpflichtet, es sei denn, die Voraussetzungen des </w:t>
      </w:r>
      <w:hyperlink w:anchor="b370" w:history="1">
        <w:r>
          <w:rPr>
            <w:color w:val="0A3A8C"/>
            <w:u w:val="single"/>
          </w:rPr>
          <w:t xml:space="preserve">§ 312</w:t>
        </w:r>
      </w:hyperlink>
      <w:r>
        <w:t xml:space="preserve"> Absatz 1a Satz 2 liegen vor.</w:t>
      </w:r>
    </w:p>
    <w:p>
      <w:r>
        <w:t>(4) Die Vorschriften dieses Untertitels sind auch auf Verbraucherverträge anzuwenden, die digitale Produkte zum Gegenstand haben, welche nach den Spezifikationen des Verbrauchers entwickelt werden.</w:t>
      </w:r>
    </w:p>
    <w:p>
      <w:r>
        <w:t xml:space="preserve">(5) Die Vorschriften dieses Untertitels sind mit Ausnahme der </w:t>
      </w:r>
      <w:hyperlink w:anchor="b408" w:history="1">
        <w:r>
          <w:rPr>
            <w:color w:val="0A3A8C"/>
            <w:u w:val="single"/>
          </w:rPr>
          <w:t xml:space="preserve">§§ 327b</w:t>
        </w:r>
      </w:hyperlink>
      <w:r>
        <w:t xml:space="preserve"> und </w:t>
      </w:r>
      <w:hyperlink w:anchor="b409" w:history="1">
        <w:r>
          <w:rPr>
            <w:color w:val="0A3A8C"/>
            <w:u w:val="single"/>
          </w:rPr>
          <w:t xml:space="preserve">327c</w:t>
        </w:r>
      </w:hyperlink>
      <w:r>
        <w:t xml:space="preserve"> auch auf Verbraucherverträge anzuwenden, welche die Bereitstellung von körperlichen Datenträgern, die ausschließlich als Träger digitaler Inhalte dienen, zum Gegenstand haben.</w:t>
      </w:r>
    </w:p>
    <w:p>
      <w:r>
        <w:t>(6) Die Vorschriften dieses Untertitels sind nicht anzuwenden auf:</w:t>
      </w:r>
    </w:p>
    <w:p>
      <w:pPr>
        <w:tabs>
          <w:tab w:pos="567" w:val="left"/>
        </w:tabs>
        <w:ind w:left="567" w:hanging="567"/>
      </w:pPr>
      <w:r>
        <w:t>1.</w:t>
      </w:r>
      <w:r>
        <w:tab/>
      </w:r>
      <w:r>
        <w:t>Verträge über andere Dienstleistungen als digitale Dienstleistungen, unabhängig davon, ob der Unternehmer digitale Formen oder Mittel einsetzt, um das Ergebnis der Dienstleistung zu generieren oder es dem Verbraucher zu liefern oder zu übermitteln,</w:t>
      </w:r>
    </w:p>
    <w:p>
      <w:pPr>
        <w:tabs>
          <w:tab w:pos="567" w:val="left"/>
        </w:tabs>
        <w:ind w:left="567" w:hanging="567"/>
      </w:pPr>
      <w:r>
        <w:t>2.</w:t>
      </w:r>
      <w:r>
        <w:tab/>
      </w:r>
      <w:r>
        <w:t>Verträge über Telekommunikationsdienste im Sinne des § 3 Nummer 61 des Telekommunikationsgesetzes vom 23. Juni 2021 (BGBl. I S. 1858) mit Ausnahme von nummernunabhängigen interpersonellen Telekommunikationsdiensten im Sinne des § 3 Nummer 40 des Telekommunikationsgesetzes,</w:t>
      </w:r>
    </w:p>
    <w:p>
      <w:pPr>
        <w:tabs>
          <w:tab w:pos="567" w:val="left"/>
        </w:tabs>
        <w:ind w:left="567" w:hanging="567"/>
      </w:pPr>
      <w:r>
        <w:t>3.</w:t>
      </w:r>
      <w:r>
        <w:tab/>
      </w:r>
      <w:r>
        <w:t xml:space="preserve">Behandlungsverträge nach </w:t>
      </w:r>
      <w:hyperlink w:anchor="b917" w:history="1">
        <w:r>
          <w:rPr>
            <w:color w:val="0A3A8C"/>
            <w:u w:val="single"/>
          </w:rPr>
          <w:t xml:space="preserve">§ 630a</w:t>
        </w:r>
      </w:hyperlink>
      <w:r>
        <w:t>,</w:t>
      </w:r>
    </w:p>
    <w:p>
      <w:pPr>
        <w:tabs>
          <w:tab w:pos="567" w:val="left"/>
        </w:tabs>
        <w:ind w:left="567" w:hanging="567"/>
      </w:pPr>
      <w:r>
        <w:t>4.</w:t>
      </w:r>
      <w:r>
        <w:tab/>
      </w:r>
      <w:r>
        <w:t>Verträge über Glücksspieldienstleistungen, die einen geldwerten Einsatz erfordern und unter Zuhilfenahme elektronischer oder anderer Kommunikationstechnologien auf individuellen Abruf eines Empfängers erbracht werden,</w:t>
      </w:r>
    </w:p>
    <w:p>
      <w:pPr>
        <w:tabs>
          <w:tab w:pos="567" w:val="left"/>
        </w:tabs>
        <w:ind w:left="567" w:hanging="567"/>
      </w:pPr>
      <w:r>
        <w:t>5.</w:t>
      </w:r>
      <w:r>
        <w:tab/>
      </w:r>
      <w:r>
        <w:t>Verträge über Finanzdienstleistungen,</w:t>
      </w:r>
    </w:p>
    <w:p>
      <w:pPr>
        <w:tabs>
          <w:tab w:pos="567" w:val="left"/>
        </w:tabs>
        <w:ind w:left="567" w:hanging="567"/>
      </w:pPr>
      <w:r>
        <w:t>6.</w:t>
      </w:r>
      <w:r>
        <w:tab/>
      </w:r>
      <w:r>
        <w:t>Verträge über die Bereitstellung von Software, für die der Verbraucher keinen Preis zahlt und die der Unternehmer im Rahmen einer freien und quelloffenen Lizenz anbietet, sofern die vom Verbraucher bereitgestellten personenbezogenen Daten durch den Unternehmer ausschließlich zur Verbesserung der Sicherheit, der Kompatibilität oder der Interoperabilität der vom Unternehmer angebotenen Software verarbeitet werden,</w:t>
      </w:r>
    </w:p>
    <w:p>
      <w:pPr>
        <w:tabs>
          <w:tab w:pos="567" w:val="left"/>
        </w:tabs>
        <w:ind w:left="567" w:hanging="567"/>
      </w:pPr>
      <w:r>
        <w:t>7.</w:t>
      </w:r>
      <w:r>
        <w:tab/>
      </w:r>
      <w:r>
        <w:t>Verträge über die Bereitstellung digitaler Inhalte, wenn die digitalen Inhalte der Öffentlichkeit auf eine andere Weise als durch Signalübermittlung als Teil einer Darbietung oder Veranstaltung zugänglich gemacht werden,</w:t>
      </w:r>
    </w:p>
    <w:p>
      <w:pPr>
        <w:tabs>
          <w:tab w:pos="567" w:val="left"/>
        </w:tabs>
        <w:ind w:left="567" w:hanging="567"/>
      </w:pPr>
      <w:r>
        <w:t>8.</w:t>
      </w:r>
      <w:r>
        <w:tab/>
      </w:r>
      <w:r>
        <w:t>Verträge über die Bereitstellung von Informationen im Sinne des Informationsweiterverwendungsgesetzes vom 13. Dezember 2006 (BGBl. I S. 2913), das durch Artikel 1 des Gesetzes vom 8. Juli 2015 (BGBl. I S. 1162) geändert worden ist.</w:t>
      </w:r>
    </w:p>
    <w:p>
      <w:pPr>
        <w:pStyle w:val="Heading5"/>
      </w:pPr>
      <w:bookmarkStart w:id="417" w:name="b407"/>
      <w:r>
        <w:t>§ 327a Anwendung auf Paketverträge und Verträge über Sachen mit digitalen Elementen</w:t>
      </w:r>
      <w:r>
        <w:t xml:space="preserve"> </w:t>
      </w:r>
      <w:r>
        <w:rPr>
          <w:rStyle w:val="Suchmarke"/>
        </w:rPr>
        <w:t>#327a#</w:t>
      </w:r>
      <w:bookmarkEnd w:id="417"/>
    </w:p>
    <w:p>
      <w:r>
        <w:t xml:space="preserve">(1) </w:t>
      </w:r>
      <w:r>
        <w:rPr>
          <w:rStyle w:val="Satznummer"/>
        </w:rPr>
        <w:t>1</w:t>
      </w:r>
      <w:r>
        <w:t xml:space="preserve">Die Vorschriften dieses Untertitels sind auch auf Verbraucherverträge anzuwenden, die in einem Vertrag zwischen denselben Vertragsparteien neben der Bereitstellung digitaler Produkte die Bereitstellung anderer Sachen oder die Bereitstellung anderer Dienstleistungen zum Gegenstand haben (Paketvertrag). </w:t>
      </w:r>
      <w:r>
        <w:rPr>
          <w:rStyle w:val="Satznummer"/>
        </w:rPr>
        <w:t>2</w:t>
      </w:r>
      <w:r>
        <w:t>Soweit nachfolgend nicht anders bestimmt, sind die Vorschriften dieses Untertitels jedoch nur auf diejenigen Bestandteile des Paketvertrags anzuwenden, welche die digitalen Produkte betreffen.</w:t>
      </w:r>
    </w:p>
    <w:p>
      <w:r>
        <w:t xml:space="preserve">(2) </w:t>
      </w:r>
      <w:r>
        <w:rPr>
          <w:rStyle w:val="Satznummer"/>
        </w:rPr>
        <w:t>1</w:t>
      </w:r>
      <w:r>
        <w:t xml:space="preserve">Die Vorschriften dieses Untertitels sind auch auf Verbraucherverträge über Sachen anzuwenden, die digitale Produkte enthalten oder mit ihnen verbunden sind. </w:t>
      </w:r>
      <w:r>
        <w:rPr>
          <w:rStyle w:val="Satznummer"/>
        </w:rPr>
        <w:t>2</w:t>
      </w:r>
      <w:r>
        <w:t>Soweit nachfolgend nicht anders bestimmt, sind die Vorschriften dieses Untertitels jedoch nur auf diejenigen Bestandteile des Vertrags anzuwenden, welche die digitalen Produkte betreffen.</w:t>
      </w:r>
    </w:p>
    <w:p>
      <w:r>
        <w:t xml:space="preserve">(3) </w:t>
      </w:r>
      <w:r>
        <w:rPr>
          <w:rStyle w:val="Satznummer"/>
        </w:rPr>
        <w:t>1</w:t>
      </w:r>
      <w:r>
        <w:t xml:space="preserve">Absatz 2 gilt nicht für Kaufverträge über Waren, die in einer Weise digitale Produkte enthalten oder mit ihnen verbunden sind, dass die Waren ihre Funktionen ohne diese digitalen Produkte nicht erfüllen können (Waren mit digitalen Elementen). </w:t>
      </w:r>
      <w:r>
        <w:rPr>
          <w:rStyle w:val="Satznummer"/>
        </w:rPr>
        <w:t>2</w:t>
      </w:r>
      <w:r>
        <w:t>Beim Kauf einer Ware mit digitalen Elementen ist im Zweifel anzunehmen, dass die Verpflichtung des Verkäufers die Bereitstellung der digitalen Inhalte oder digitalen Dienstleistungen umfasst.</w:t>
      </w:r>
    </w:p>
    <w:p>
      <w:pPr>
        <w:pStyle w:val="Heading5"/>
      </w:pPr>
      <w:bookmarkStart w:id="418" w:name="b408"/>
      <w:r>
        <w:t>§ 327b Bereitstellung digitaler Produkte</w:t>
      </w:r>
      <w:r>
        <w:t xml:space="preserve"> </w:t>
      </w:r>
      <w:r>
        <w:rPr>
          <w:rStyle w:val="Suchmarke"/>
        </w:rPr>
        <w:t>#327b#</w:t>
      </w:r>
      <w:bookmarkEnd w:id="418"/>
    </w:p>
    <w:p>
      <w:r>
        <w:t xml:space="preserve">(1) Ist der Unternehmer durch einen Verbrauchervertrag gemäß </w:t>
      </w:r>
      <w:hyperlink w:anchor="b406" w:history="1">
        <w:r>
          <w:rPr>
            <w:color w:val="0A3A8C"/>
            <w:u w:val="single"/>
          </w:rPr>
          <w:t xml:space="preserve">§ 327</w:t>
        </w:r>
      </w:hyperlink>
      <w:r>
        <w:t xml:space="preserve"> oder </w:t>
      </w:r>
      <w:hyperlink w:anchor="b407" w:history="1">
        <w:r>
          <w:rPr>
            <w:color w:val="0A3A8C"/>
            <w:u w:val="single"/>
          </w:rPr>
          <w:t xml:space="preserve">§ 327a</w:t>
        </w:r>
      </w:hyperlink>
      <w:r>
        <w:t xml:space="preserve"> dazu verpflichtet, dem Verbraucher ein digitales Produkt bereitzustellen, so gelten für die Bestimmung der Leistungszeit sowie für die Art und Weise der Bereitstellung durch den Unternehmer die nachfolgenden Vorschriften.</w:t>
      </w:r>
    </w:p>
    <w:p>
      <w:r>
        <w:t>(2) Sofern die Vertragsparteien keine Zeit für die Bereitstellung des digitalen Produkts nach Absatz 1 vereinbart haben, kann der Verbraucher die Bereitstellung unverzüglich nach Vertragsschluss verlangen, der Unternehmer sie sofort bewirken.</w:t>
      </w:r>
    </w:p>
    <w:p>
      <w:r>
        <w:t>(3) Ein digitaler Inhalt ist bereitgestellt, sobald der digitale Inhalt oder die geeigneten Mittel für den Zugang zu diesem oder das Herunterladen des digitalen Inhalts dem Verbraucher unmittelbar oder mittels einer von ihm hierzu bestimmten Einrichtung zur Verfügung gestellt oder zugänglich gemacht worden ist.</w:t>
      </w:r>
    </w:p>
    <w:p>
      <w:r>
        <w:t>(4) Eine digitale Dienstleistung ist bereitgestellt, sobald die digitale Dienstleistung dem Verbraucher unmittelbar oder mittels einer von ihm hierzu bestimmten Einrichtung zugänglich gemacht worden ist.</w:t>
      </w:r>
    </w:p>
    <w:p>
      <w:r>
        <w:t>(5) Wenn der Unternehmer durch den Vertrag zu einer Reihe einzelner Bereitstellungen verpflichtet ist, gelten die Absätze 2 bis 4 für jede einzelne Bereitstellung innerhalb der Reihe.</w:t>
      </w:r>
    </w:p>
    <w:p>
      <w:r>
        <w:t>(6) Die Beweislast für die nach den Absätzen 1 bis 4 erfolgte Bereitstellung trifft abweichend von § 363 den Unternehmer.</w:t>
      </w:r>
    </w:p>
    <w:p>
      <w:pPr>
        <w:pStyle w:val="Heading5"/>
      </w:pPr>
      <w:bookmarkStart w:id="419" w:name="b409"/>
      <w:r>
        <w:t>§ 327c Rechte bei unterbliebener Bereitstellung</w:t>
      </w:r>
      <w:r>
        <w:t xml:space="preserve"> </w:t>
      </w:r>
      <w:r>
        <w:rPr>
          <w:rStyle w:val="Suchmarke"/>
        </w:rPr>
        <w:t>#327c#</w:t>
      </w:r>
      <w:bookmarkEnd w:id="419"/>
    </w:p>
    <w:p>
      <w:r>
        <w:t xml:space="preserve">(1) </w:t>
      </w:r>
      <w:r>
        <w:rPr>
          <w:rStyle w:val="Satznummer"/>
        </w:rPr>
        <w:t>1</w:t>
      </w:r>
      <w:r>
        <w:t xml:space="preserve">Kommt der Unternehmer seiner fälligen Verpflichtung zur Bereitstellung des digitalen Produkts auf Aufforderung des Verbrauchers nicht unverzüglich nach, so kann der Verbraucher den Vertrag beenden. </w:t>
      </w:r>
      <w:r>
        <w:rPr>
          <w:rStyle w:val="Satznummer"/>
        </w:rPr>
        <w:t>2</w:t>
      </w:r>
      <w:r>
        <w:t>Nach einer Aufforderung gemäß Satz 1 kann eine andere Zeit für die Bereitstellung nur ausdrücklich vereinbart werden.</w:t>
      </w:r>
    </w:p>
    <w:p>
      <w:r>
        <w:t xml:space="preserve">(2) </w:t>
      </w:r>
      <w:r>
        <w:rPr>
          <w:rStyle w:val="Satznummer"/>
        </w:rPr>
        <w:t>1</w:t>
      </w:r>
      <w:r>
        <w:t xml:space="preserve">Liegen die Voraussetzungen für eine Beendigung des Vertrags nach Absatz 1 Satz 1 vor, so kann der Verbraucher nach den §§ 280 und 281 Absatz 1 Satz 1 Schadensersatz oder nach § 284 Ersatz vergeblicher Aufwendungen verlangen, wenn die Voraussetzungen dieser Vorschriften vorliegen. </w:t>
      </w:r>
      <w:r>
        <w:rPr>
          <w:rStyle w:val="Satznummer"/>
        </w:rPr>
        <w:t>2</w:t>
      </w:r>
      <w:hyperlink w:anchor="b325" w:history="1">
        <w:r>
          <w:rPr>
            <w:color w:val="0A3A8C"/>
            <w:u w:val="single"/>
          </w:rPr>
          <w:t xml:space="preserve">§ 281</w:t>
        </w:r>
      </w:hyperlink>
      <w:r>
        <w:t xml:space="preserve"> Absatz 1 Satz 1 ist mit der Maßgabe anzuwenden, dass an die Stelle der Bestimmung einer angemessenen Frist die Aufforderung nach Absatz 1 Satz 1 tritt. </w:t>
      </w:r>
      <w:r>
        <w:rPr>
          <w:rStyle w:val="Satznummer"/>
        </w:rPr>
        <w:t>3</w:t>
      </w:r>
      <w:r>
        <w:t xml:space="preserve">Ansprüche des Verbrauchers auf Schadensersatz nach den </w:t>
      </w:r>
      <w:hyperlink w:anchor="b327" w:history="1">
        <w:r>
          <w:rPr>
            <w:color w:val="0A3A8C"/>
            <w:u w:val="single"/>
          </w:rPr>
          <w:t xml:space="preserve">§§ 283</w:t>
        </w:r>
      </w:hyperlink>
      <w:r>
        <w:t xml:space="preserve"> und </w:t>
      </w:r>
      <w:hyperlink w:anchor="b365" w:history="1">
        <w:r>
          <w:rPr>
            <w:color w:val="0A3A8C"/>
            <w:u w:val="single"/>
          </w:rPr>
          <w:t xml:space="preserve">311a</w:t>
        </w:r>
      </w:hyperlink>
      <w:r>
        <w:t xml:space="preserve"> Absatz 2 bleiben unberührt.</w:t>
      </w:r>
    </w:p>
    <w:p>
      <w:r>
        <w:t xml:space="preserve">(3) </w:t>
      </w:r>
      <w:r>
        <w:rPr>
          <w:rStyle w:val="Satznummer"/>
        </w:rPr>
        <w:t>1</w:t>
      </w:r>
      <w:r>
        <w:t>Die Aufforderung nach Absatz 1 Satz 1 und Absatz 2 Satz 2 ist entbehrlich, wenn</w:t>
      </w:r>
    </w:p>
    <w:p>
      <w:pPr>
        <w:tabs>
          <w:tab w:pos="567" w:val="left"/>
        </w:tabs>
        <w:ind w:left="567" w:hanging="567"/>
      </w:pPr>
      <w:r>
        <w:t>1.</w:t>
      </w:r>
      <w:r>
        <w:tab/>
      </w:r>
      <w:r>
        <w:t>der Unternehmer die Bereitstellung verweigert,</w:t>
      </w:r>
    </w:p>
    <w:p>
      <w:pPr>
        <w:tabs>
          <w:tab w:pos="567" w:val="left"/>
        </w:tabs>
        <w:ind w:left="567" w:hanging="567"/>
      </w:pPr>
      <w:r>
        <w:t>2.</w:t>
      </w:r>
      <w:r>
        <w:tab/>
      </w:r>
      <w:r>
        <w:t>es nach den Umständen eindeutig zu erkennen ist, dass der Unternehmer das digitale Produkt nicht bereitstellen wird, oder</w:t>
      </w:r>
    </w:p>
    <w:p>
      <w:pPr>
        <w:tabs>
          <w:tab w:pos="567" w:val="left"/>
        </w:tabs>
        <w:ind w:left="567" w:hanging="567"/>
      </w:pPr>
      <w:r>
        <w:t>3.</w:t>
      </w:r>
      <w:r>
        <w:tab/>
      </w:r>
      <w:r>
        <w:t>der Unternehmer die Bereitstellung bis zu einem bestimmten Termin oder innerhalb einer bestimmten Frist nicht bewirkt, obwohl vereinbart war oder es sich für den Unternehmer aus eindeutig erkennbaren, den Vertragsabschluss begleitenden Umständen ergeben konnte, dass die termin- oder fristgerechte Bereitstellung für den Verbraucher wesentlich ist.</w:t>
      </w:r>
    </w:p>
    <w:p>
      <w:r>
        <w:rPr>
          <w:rStyle w:val="Satznummer"/>
        </w:rPr>
        <w:t>2</w:t>
      </w:r>
      <w:r>
        <w:t xml:space="preserve">In den Fällen des Satzes 1 ist die Mahnung gemäß </w:t>
      </w:r>
      <w:hyperlink w:anchor="b330" w:history="1">
        <w:r>
          <w:rPr>
            <w:color w:val="0A3A8C"/>
            <w:u w:val="single"/>
          </w:rPr>
          <w:t xml:space="preserve">§ 286</w:t>
        </w:r>
      </w:hyperlink>
      <w:r>
        <w:t xml:space="preserve"> stets entbehrlich.</w:t>
      </w:r>
    </w:p>
    <w:p>
      <w:r>
        <w:t xml:space="preserve">(4) </w:t>
      </w:r>
      <w:r>
        <w:rPr>
          <w:rStyle w:val="Satznummer"/>
        </w:rPr>
        <w:t>1</w:t>
      </w:r>
      <w:r>
        <w:t xml:space="preserve">Für die Beendigung des Vertrags nach Absatz 1 Satz 1 und deren Rechtsfolgen sind die </w:t>
      </w:r>
      <w:hyperlink w:anchor="b421" w:history="1">
        <w:r>
          <w:rPr>
            <w:color w:val="0A3A8C"/>
            <w:u w:val="single"/>
          </w:rPr>
          <w:t xml:space="preserve">§§ 327o</w:t>
        </w:r>
      </w:hyperlink>
      <w:r>
        <w:t xml:space="preserve"> und </w:t>
      </w:r>
      <w:hyperlink w:anchor="b422" w:history="1">
        <w:r>
          <w:rPr>
            <w:color w:val="0A3A8C"/>
            <w:u w:val="single"/>
          </w:rPr>
          <w:t xml:space="preserve">327p</w:t>
        </w:r>
      </w:hyperlink>
      <w:r>
        <w:t xml:space="preserve"> entsprechend anzuwenden. </w:t>
      </w:r>
      <w:r>
        <w:rPr>
          <w:rStyle w:val="Satznummer"/>
        </w:rPr>
        <w:t>2</w:t>
      </w:r>
      <w:r>
        <w:t xml:space="preserve">Das Gleiche gilt für den Fall, dass der Verbraucher in den Fällen des Absatzes 2 Schadensersatz statt der ganzen Leistung verlangt. </w:t>
      </w:r>
      <w:r>
        <w:rPr>
          <w:rStyle w:val="Satznummer"/>
        </w:rPr>
        <w:t>3</w:t>
      </w:r>
      <w:hyperlink w:anchor="b402" w:history="1">
        <w:r>
          <w:rPr>
            <w:color w:val="0A3A8C"/>
            <w:u w:val="single"/>
          </w:rPr>
          <w:t xml:space="preserve">§ 325</w:t>
        </w:r>
      </w:hyperlink>
      <w:r>
        <w:t xml:space="preserve"> gilt entsprechend.</w:t>
      </w:r>
    </w:p>
    <w:p>
      <w:r>
        <w:t xml:space="preserve">(5) </w:t>
      </w:r>
      <w:hyperlink w:anchor="b259" w:history="1">
        <w:r>
          <w:rPr>
            <w:color w:val="0A3A8C"/>
            <w:u w:val="single"/>
          </w:rPr>
          <w:t xml:space="preserve">§ 218</w:t>
        </w:r>
      </w:hyperlink>
      <w:r>
        <w:t xml:space="preserve"> ist auf die Vertragsbeendigung nach Absatz 1 Satz 1 entsprechend anzuwenden.</w:t>
      </w:r>
    </w:p>
    <w:p>
      <w:r>
        <w:t xml:space="preserve">(6) </w:t>
      </w:r>
      <w:r>
        <w:rPr>
          <w:rStyle w:val="Satznummer"/>
        </w:rPr>
        <w:t>1</w:t>
      </w:r>
      <w:r>
        <w:t xml:space="preserve">Sofern der Verbraucher den Vertrag nach Absatz 1 Satz 1 beenden kann, kann er sich im Hinblick auf alle Bestandteile des Paketvertrags vom Vertrag lösen, wenn er an dem anderen Teil des Paketvertrags ohne das nicht bereitgestellte digitale Produkt kein Interesse hat. </w:t>
      </w:r>
      <w:r>
        <w:rPr>
          <w:rStyle w:val="Satznummer"/>
        </w:rPr>
        <w:t>2</w:t>
      </w:r>
      <w:r>
        <w:t>Satz 1 ist nicht auf Paketverträge anzuwenden, bei denen der andere Bestandteil ein Telekommunikationsdienst im Sinne des § 3 Nummer 61 des Telekommunikationsgesetzes ist.</w:t>
      </w:r>
    </w:p>
    <w:p>
      <w:r>
        <w:t>(7) Sofern der Verbraucher den Vertrag nach Absatz 1 Satz 1 beenden kann, kann er sich im Hinblick auf alle Bestandteile eines Vertrags nach § 327a Absatz 2 vom Vertrag lösen, wenn aufgrund des nicht bereitgestellten digitalen Produkts sich die Sache nicht zur gewöhnlichen Verwendung eignet.</w:t>
      </w:r>
    </w:p>
    <w:p>
      <w:pPr>
        <w:pStyle w:val="Heading5"/>
      </w:pPr>
      <w:bookmarkStart w:id="420" w:name="b410"/>
      <w:r>
        <w:t>§ 327d Vertragsmäßigkeit digitaler Produkte</w:t>
      </w:r>
      <w:r>
        <w:t xml:space="preserve"> </w:t>
      </w:r>
      <w:r>
        <w:rPr>
          <w:rStyle w:val="Suchmarke"/>
        </w:rPr>
        <w:t>#327d#</w:t>
      </w:r>
      <w:bookmarkEnd w:id="420"/>
    </w:p>
    <w:p>
      <w:r>
        <w:t xml:space="preserve">Ist der Unternehmer durch einen Verbrauchervertrag gemäß § 327 oder § 327a zur Bereitstellung eines digitalen Produkts verpflichtet, so hat er das digitale Produkt frei von Produkt- und Rechtsmängeln im Sinne der </w:t>
      </w:r>
      <w:hyperlink w:anchor="b411" w:history="1">
        <w:r>
          <w:rPr>
            <w:color w:val="0A3A8C"/>
            <w:u w:val="single"/>
          </w:rPr>
          <w:t xml:space="preserve">§§ 327e</w:t>
        </w:r>
      </w:hyperlink>
      <w:r>
        <w:t xml:space="preserve"> bis </w:t>
      </w:r>
      <w:hyperlink w:anchor="b413" w:history="1">
        <w:r>
          <w:rPr>
            <w:color w:val="0A3A8C"/>
            <w:u w:val="single"/>
          </w:rPr>
          <w:t xml:space="preserve">327g</w:t>
        </w:r>
      </w:hyperlink>
      <w:r>
        <w:t xml:space="preserve"> bereitzustellen.</w:t>
      </w:r>
    </w:p>
    <w:p>
      <w:pPr>
        <w:pStyle w:val="Heading5"/>
      </w:pPr>
      <w:bookmarkStart w:id="421" w:name="b411"/>
      <w:r>
        <w:t>§ 327e Produktmangel</w:t>
      </w:r>
      <w:r>
        <w:t xml:space="preserve"> </w:t>
      </w:r>
      <w:r>
        <w:rPr>
          <w:rStyle w:val="Suchmarke"/>
        </w:rPr>
        <w:t>#327e#</w:t>
      </w:r>
      <w:bookmarkEnd w:id="421"/>
    </w:p>
    <w:p>
      <w:r>
        <w:t xml:space="preserve">(1) </w:t>
      </w:r>
      <w:r>
        <w:rPr>
          <w:rStyle w:val="Satznummer"/>
        </w:rPr>
        <w:t>1</w:t>
      </w:r>
      <w:r>
        <w:t xml:space="preserve">Das digitale Produkt ist frei von Produktmängeln, wenn es zur maßgeblichen Zeit nach den Vorschriften dieses Untertitels den subjektiven Anforderungen, den objektiven Anforderungen und den Anforderungen an die Integration entspricht. </w:t>
      </w:r>
      <w:r>
        <w:rPr>
          <w:rStyle w:val="Satznummer"/>
        </w:rPr>
        <w:t>2</w:t>
      </w:r>
      <w:r>
        <w:t xml:space="preserve">Soweit nachfolgend nicht anders bestimmt, ist die maßgebliche Zeit der Zeitpunkt der Bereitstellung nach </w:t>
      </w:r>
      <w:hyperlink w:anchor="b408" w:history="1">
        <w:r>
          <w:rPr>
            <w:color w:val="0A3A8C"/>
            <w:u w:val="single"/>
          </w:rPr>
          <w:t xml:space="preserve">§ 327b</w:t>
        </w:r>
      </w:hyperlink>
      <w:r>
        <w:t xml:space="preserve">. </w:t>
      </w:r>
      <w:r>
        <w:rPr>
          <w:rStyle w:val="Satznummer"/>
        </w:rPr>
        <w:t>3</w:t>
      </w:r>
      <w:r>
        <w:t>Wenn der Unternehmer durch den Vertrag zu einer fortlaufenden Bereitstellung über einen Zeitraum (dauerhafte Bereitstellung) verpflichtet ist, ist der maßgebliche Zeitraum der gesamte vereinbarte Zeitraum der Bereitstellung (Bereitstellungszeitraum).</w:t>
      </w:r>
    </w:p>
    <w:p>
      <w:r>
        <w:t xml:space="preserve">(2) </w:t>
      </w:r>
      <w:r>
        <w:rPr>
          <w:rStyle w:val="Satznummer"/>
        </w:rPr>
        <w:t>1</w:t>
      </w:r>
      <w:r>
        <w:t>Das digitale Produkt entspricht den subjektiven Anforderungen, wenn</w:t>
      </w:r>
    </w:p>
    <w:p>
      <w:pPr>
        <w:tabs>
          <w:tab w:pos="567" w:val="left"/>
        </w:tabs>
        <w:ind w:left="567" w:hanging="567"/>
      </w:pPr>
      <w:r>
        <w:t>1.</w:t>
      </w:r>
      <w:r>
        <w:tab/>
      </w:r>
      <w:r>
        <w:t>das digitale Produkt</w:t>
      </w:r>
    </w:p>
    <w:p>
      <w:pPr>
        <w:tabs>
          <w:tab w:pos="1134" w:val="left"/>
        </w:tabs>
        <w:ind w:left="1134" w:hanging="567"/>
      </w:pPr>
      <w:r>
        <w:t>a)</w:t>
      </w:r>
      <w:r>
        <w:tab/>
      </w:r>
      <w:r>
        <w:t>die vereinbarte Beschaffenheit hat, einschließlich der Anforderungen an seine Menge, seine Funktionalität, seine Kompatibilität und seine Interoperabilität,</w:t>
      </w:r>
    </w:p>
    <w:p>
      <w:pPr>
        <w:tabs>
          <w:tab w:pos="1134" w:val="left"/>
        </w:tabs>
        <w:ind w:left="1134" w:hanging="567"/>
      </w:pPr>
      <w:r>
        <w:t>b)</w:t>
      </w:r>
      <w:r>
        <w:tab/>
      </w:r>
      <w:r>
        <w:t>sich für die nach dem Vertrag vorausgesetzte Verwendung eignet,</w:t>
      </w:r>
    </w:p>
    <w:p>
      <w:pPr>
        <w:tabs>
          <w:tab w:pos="567" w:val="left"/>
        </w:tabs>
        <w:ind w:left="567" w:hanging="567"/>
      </w:pPr>
      <w:r>
        <w:t>2.</w:t>
      </w:r>
      <w:r>
        <w:tab/>
      </w:r>
      <w:r>
        <w:t>es wie im Vertrag vereinbart mit Zubehör, Anleitungen und Kundendienst bereitgestellt wird und</w:t>
      </w:r>
    </w:p>
    <w:p>
      <w:pPr>
        <w:tabs>
          <w:tab w:pos="567" w:val="left"/>
        </w:tabs>
        <w:ind w:left="567" w:hanging="567"/>
      </w:pPr>
      <w:r>
        <w:t>3.</w:t>
      </w:r>
      <w:r>
        <w:tab/>
      </w:r>
      <w:r>
        <w:t>die im Vertrag vereinbarten Aktualisierungen während des nach dem Vertrag maßgeblichen Zeitraums bereitgestellt werden.</w:t>
      </w:r>
    </w:p>
    <w:p>
      <w:r>
        <w:rPr>
          <w:rStyle w:val="Satznummer"/>
        </w:rPr>
        <w:t>2</w:t>
      </w:r>
      <w:r>
        <w:t xml:space="preserve">Funktionalität ist die Fähigkeit eines digitalen Produkts, seine Funktionen seinem Zweck entsprechend zu erfüllen. </w:t>
      </w:r>
      <w:r>
        <w:rPr>
          <w:rStyle w:val="Satznummer"/>
        </w:rPr>
        <w:t>3</w:t>
      </w:r>
      <w:r>
        <w:t xml:space="preserve">Kompatibilität ist die Fähigkeit eines digitalen Produkts, mit Hardware oder Software zu funktionieren, mit der digitale Produkte derselben Art in der Regel genutzt werden, ohne dass sie konvertiert werden müssen. </w:t>
      </w:r>
      <w:r>
        <w:rPr>
          <w:rStyle w:val="Satznummer"/>
        </w:rPr>
        <w:t>4</w:t>
      </w:r>
      <w:r>
        <w:t>Interoperabilität ist die Fähigkeit eines digitalen Produkts, mit anderer Hardware oder Software als derjenigen, mit der digitale Produkte derselben Art in der Regel genutzt werden, zu funktionieren.</w:t>
      </w:r>
    </w:p>
    <w:p>
      <w:r>
        <w:t xml:space="preserve">(3) </w:t>
      </w:r>
      <w:r>
        <w:rPr>
          <w:rStyle w:val="Satznummer"/>
        </w:rPr>
        <w:t>1</w:t>
      </w:r>
      <w:r>
        <w:t>Das digitale Produkt entspricht den objektiven Anforderungen, wenn</w:t>
      </w:r>
    </w:p>
    <w:p>
      <w:pPr>
        <w:tabs>
          <w:tab w:pos="567" w:val="left"/>
        </w:tabs>
        <w:ind w:left="567" w:hanging="567"/>
      </w:pPr>
      <w:r>
        <w:t>1.</w:t>
      </w:r>
      <w:r>
        <w:tab/>
      </w:r>
      <w:r>
        <w:t>es sich für die gewöhnliche Verwendung eignet,</w:t>
      </w:r>
    </w:p>
    <w:p>
      <w:pPr>
        <w:tabs>
          <w:tab w:pos="567" w:val="left"/>
        </w:tabs>
        <w:ind w:left="567" w:hanging="567"/>
      </w:pPr>
      <w:r>
        <w:t>2.</w:t>
      </w:r>
      <w:r>
        <w:tab/>
      </w:r>
      <w:r>
        <w:t>es eine Beschaffenheit, einschließlich der Menge, der Funktionalität, der Kompatibilität, der Zugänglichkeit, der Kontinuität und der Sicherheit aufweist, die bei digitalen Produkten derselben Art üblich ist und die der Verbraucher unter Berücksichtigung der Art des digitalen Produkts erwarten kann,</w:t>
      </w:r>
    </w:p>
    <w:p>
      <w:pPr>
        <w:tabs>
          <w:tab w:pos="567" w:val="left"/>
        </w:tabs>
        <w:ind w:left="567" w:hanging="567"/>
      </w:pPr>
      <w:r>
        <w:t>3.</w:t>
      </w:r>
      <w:r>
        <w:tab/>
      </w:r>
      <w:r>
        <w:t>es der Beschaffenheit einer Testversion oder Voranzeige entspricht, die der Unternehmer dem Verbraucher vor Vertragsschluss zur Verfügung gestellt hat,</w:t>
      </w:r>
    </w:p>
    <w:p>
      <w:pPr>
        <w:tabs>
          <w:tab w:pos="567" w:val="left"/>
        </w:tabs>
        <w:ind w:left="567" w:hanging="567"/>
      </w:pPr>
      <w:r>
        <w:t>4.</w:t>
      </w:r>
      <w:r>
        <w:tab/>
      </w:r>
      <w:r>
        <w:t>es mit dem Zubehör und den Anleitungen bereitgestellt wird, deren Erhalt der Verbraucher erwarten kann,</w:t>
      </w:r>
    </w:p>
    <w:p>
      <w:pPr>
        <w:tabs>
          <w:tab w:pos="567" w:val="left"/>
        </w:tabs>
        <w:ind w:left="567" w:hanging="567"/>
      </w:pPr>
      <w:r>
        <w:t>5.</w:t>
      </w:r>
      <w:r>
        <w:tab/>
      </w:r>
      <w:r>
        <w:t>dem Verbraucher gemäß § 327f Aktualisierungen bereitgestellt werden und der Verbraucher über diese Aktualisierungen informiert wird und</w:t>
      </w:r>
    </w:p>
    <w:p>
      <w:pPr>
        <w:tabs>
          <w:tab w:pos="567" w:val="left"/>
        </w:tabs>
        <w:ind w:left="567" w:hanging="567"/>
      </w:pPr>
      <w:r>
        <w:t>6.</w:t>
      </w:r>
      <w:r>
        <w:tab/>
      </w:r>
      <w:r>
        <w:t>sofern die Parteien nichts anderes vereinbart haben, es in der zum Zeitpunkt des Vertragsschlusses neuesten verfügbaren Version bereitgestellt wird.</w:t>
      </w:r>
    </w:p>
    <w:p>
      <w:r>
        <w:rPr>
          <w:rStyle w:val="Satznummer"/>
        </w:rPr>
        <w:t>2</w:t>
      </w:r>
      <w:r>
        <w:t xml:space="preserve">Zu der üblichen Beschaffenheit nach Satz 1 Nummer 2 gehören auch Anforderungen, die der Verbraucher nach vom Unternehmer oder einer anderen Person in vorhergehenden Gliedern der Vertriebskette selbst oder in deren Auftrag vorgenommenen öffentlichen Äußerungen, die insbesondere in der Werbung oder auf dem Etikett abgegeben wurden, erwarten kann. </w:t>
      </w:r>
      <w:r>
        <w:rPr>
          <w:rStyle w:val="Satznummer"/>
        </w:rPr>
        <w:t>3</w:t>
      </w:r>
      <w:r>
        <w:t>Das gilt nicht, wenn der Unternehmer die Äußerung nicht kannte und auch nicht kennen konnte, wenn die Äußerung im Zeitpunkt des Vertragsschlusses in derselben oder in gleichwertiger Weise berichtigt war oder wenn die Äußerung die Entscheidung, das digitale Produkt zu erwerben, nicht beeinflussen konnte.</w:t>
      </w:r>
    </w:p>
    <w:p>
      <w:r>
        <w:t xml:space="preserve">(4) </w:t>
      </w:r>
      <w:r>
        <w:rPr>
          <w:rStyle w:val="Satznummer"/>
        </w:rPr>
        <w:t>1</w:t>
      </w:r>
      <w:r>
        <w:t>Soweit eine Integration durchzuführen ist, entspricht das digitale Produkt den Anforderungen an die Integration, wenn die Integration</w:t>
      </w:r>
    </w:p>
    <w:p>
      <w:pPr>
        <w:tabs>
          <w:tab w:pos="567" w:val="left"/>
        </w:tabs>
        <w:ind w:left="567" w:hanging="567"/>
      </w:pPr>
      <w:r>
        <w:t>1.</w:t>
      </w:r>
      <w:r>
        <w:tab/>
      </w:r>
      <w:r>
        <w:t>sachgemäß durchgeführt worden ist oder</w:t>
      </w:r>
    </w:p>
    <w:p>
      <w:pPr>
        <w:tabs>
          <w:tab w:pos="567" w:val="left"/>
        </w:tabs>
        <w:ind w:left="567" w:hanging="567"/>
      </w:pPr>
      <w:r>
        <w:t>2.</w:t>
      </w:r>
      <w:r>
        <w:tab/>
      </w:r>
      <w:r>
        <w:t>zwar unsachgemäß durchgeführt worden ist, dies jedoch weder auf einer unsachgemäßen Integration durch den Unternehmer noch auf einem Mangel in der vom Unternehmer bereitgestellten Anleitung beruht.</w:t>
      </w:r>
    </w:p>
    <w:p>
      <w:r>
        <w:rPr>
          <w:rStyle w:val="Satznummer"/>
        </w:rPr>
        <w:t>2</w:t>
      </w:r>
      <w:r>
        <w:t xml:space="preserve">Integration ist die Verbindung und die Einbindung eines digitalen Produkts mit den oder in die Komponenten der digitalen Umgebung des Verbrauchers, damit das digitale Produkt gemäß den Anforderungen nach den Vorschriften dieses Untertitels genutzt werden kann. </w:t>
      </w:r>
      <w:r>
        <w:rPr>
          <w:rStyle w:val="Satznummer"/>
        </w:rPr>
        <w:t>3</w:t>
      </w:r>
      <w:r>
        <w:t>Digitale Umgebung sind Hardware, Software oder Netzverbindungen aller Art, die vom Verbraucher für den Zugang zu einem digitalen Produkt oder die Nutzung eines digitalen Produkts verwendet werden.</w:t>
      </w:r>
    </w:p>
    <w:p>
      <w:r>
        <w:t>(5) Einem Produktmangel steht es gleich, wenn der Unternehmer ein anderes digitales Produkt als das vertraglich geschuldete digitale Produkt bereitstellt.</w:t>
      </w:r>
    </w:p>
    <w:p>
      <w:pPr>
        <w:pStyle w:val="Heading5"/>
      </w:pPr>
      <w:bookmarkStart w:id="422" w:name="b412"/>
      <w:r>
        <w:t>§ 327f Aktualisierungen</w:t>
      </w:r>
      <w:r>
        <w:t xml:space="preserve"> </w:t>
      </w:r>
      <w:r>
        <w:rPr>
          <w:rStyle w:val="Suchmarke"/>
        </w:rPr>
        <w:t>#327f#</w:t>
      </w:r>
      <w:bookmarkEnd w:id="422"/>
    </w:p>
    <w:p>
      <w:r>
        <w:t xml:space="preserve">(1) </w:t>
      </w:r>
      <w:r>
        <w:rPr>
          <w:rStyle w:val="Satznummer"/>
        </w:rPr>
        <w:t>1</w:t>
      </w:r>
      <w:r>
        <w:t xml:space="preserve">Der Unternehmer hat sicherzustellen, dass dem Verbraucher während des maßgeblichen Zeitraums Aktualisierungen, die für den Erhalt der Vertragsmäßigkeit des digitalen Produkts erforderlich sind, bereitgestellt werden und der Verbraucher über diese Aktualisierungen informiert wird. </w:t>
      </w:r>
      <w:r>
        <w:rPr>
          <w:rStyle w:val="Satznummer"/>
        </w:rPr>
        <w:t>2</w:t>
      </w:r>
      <w:r>
        <w:t xml:space="preserve">Zu den erforderlichen Aktualisierungen gehören auch Sicherheitsaktualisierungen. </w:t>
      </w:r>
      <w:r>
        <w:rPr>
          <w:rStyle w:val="Satznummer"/>
        </w:rPr>
        <w:t>3</w:t>
      </w:r>
      <w:r>
        <w:t>Der maßgebliche Zeitraum nach Satz 1 ist</w:t>
      </w:r>
    </w:p>
    <w:p>
      <w:pPr>
        <w:tabs>
          <w:tab w:pos="567" w:val="left"/>
        </w:tabs>
        <w:ind w:left="567" w:hanging="567"/>
      </w:pPr>
      <w:r>
        <w:t>1.</w:t>
      </w:r>
      <w:r>
        <w:tab/>
      </w:r>
      <w:r>
        <w:t>bei einem Vertrag über die dauerhafte Bereitstellung eines digitalen Produkts der Bereitstellungszeitraum,</w:t>
      </w:r>
    </w:p>
    <w:p>
      <w:pPr>
        <w:tabs>
          <w:tab w:pos="567" w:val="left"/>
        </w:tabs>
        <w:ind w:left="567" w:hanging="567"/>
      </w:pPr>
      <w:r>
        <w:t>2.</w:t>
      </w:r>
      <w:r>
        <w:tab/>
      </w:r>
      <w:r>
        <w:t>in allen anderen Fällen der Zeitraum, den der Verbraucher aufgrund der Art und des Zwecks des digitalen Produkts und unter Berücksichtigung der Umstände und der Art des Vertrags erwarten kann.</w:t>
      </w:r>
    </w:p>
    <w:p>
      <w:r>
        <w:t>(2) Unterlässt es der Verbraucher, eine Aktualisierung, die ihm gemäß Absatz 1 bereitgestellt worden ist, innerhalb einer angemessenen Frist zu installieren, so haftet der Unternehmer nicht für einen Produktmangel, der allein auf das Fehlen dieser Aktualisierung zurückzuführen ist, sofern</w:t>
      </w:r>
    </w:p>
    <w:p>
      <w:pPr>
        <w:tabs>
          <w:tab w:pos="567" w:val="left"/>
        </w:tabs>
        <w:ind w:left="567" w:hanging="567"/>
      </w:pPr>
      <w:r>
        <w:t>1.</w:t>
      </w:r>
      <w:r>
        <w:tab/>
      </w:r>
      <w:r>
        <w:t>der Unternehmer den Verbraucher über die Verfügbarkeit der Aktualisierung und die Folgen einer unterlassenen Installation informiert hat und</w:t>
      </w:r>
    </w:p>
    <w:p>
      <w:pPr>
        <w:tabs>
          <w:tab w:pos="567" w:val="left"/>
        </w:tabs>
        <w:ind w:left="567" w:hanging="567"/>
      </w:pPr>
      <w:r>
        <w:t>2.</w:t>
      </w:r>
      <w:r>
        <w:tab/>
      </w:r>
      <w:r>
        <w:t>die Tatsache, dass der Verbraucher die Aktualisierung nicht oder unsachgemäß installiert hat, nicht auf eine dem Verbraucher bereitgestellte mangelhafte Installationsanleitung zurückzuführen ist.</w:t>
      </w:r>
    </w:p>
    <w:p>
      <w:pPr>
        <w:pStyle w:val="Heading5"/>
      </w:pPr>
      <w:bookmarkStart w:id="423" w:name="b413"/>
      <w:r>
        <w:t>§ 327g Rechtsmangel</w:t>
      </w:r>
      <w:r>
        <w:t xml:space="preserve"> </w:t>
      </w:r>
      <w:r>
        <w:rPr>
          <w:rStyle w:val="Suchmarke"/>
        </w:rPr>
        <w:t>#327g#</w:t>
      </w:r>
      <w:bookmarkEnd w:id="423"/>
    </w:p>
    <w:p>
      <w:r>
        <w:t xml:space="preserve">Das digitale Produkt ist frei von Rechtsmängeln, wenn der Verbraucher es gemäß den subjektiven oder objektiven Anforderungen nach </w:t>
      </w:r>
      <w:hyperlink w:anchor="b411" w:history="1">
        <w:r>
          <w:rPr>
            <w:color w:val="0A3A8C"/>
            <w:u w:val="single"/>
          </w:rPr>
          <w:t xml:space="preserve">§ 327e</w:t>
        </w:r>
      </w:hyperlink>
      <w:r>
        <w:t xml:space="preserve"> Absatz 2 und 3 nutzen kann, ohne Rechte Dritter zu verletzen.</w:t>
      </w:r>
    </w:p>
    <w:p>
      <w:pPr>
        <w:pStyle w:val="Heading5"/>
      </w:pPr>
      <w:bookmarkStart w:id="424" w:name="b414"/>
      <w:r>
        <w:t>§ 327h Abweichende Vereinbarungen über Produktmerkmale</w:t>
      </w:r>
      <w:r>
        <w:t xml:space="preserve"> </w:t>
      </w:r>
      <w:r>
        <w:rPr>
          <w:rStyle w:val="Suchmarke"/>
        </w:rPr>
        <w:t>#327h#</w:t>
      </w:r>
      <w:bookmarkEnd w:id="424"/>
    </w:p>
    <w:p>
      <w:r>
        <w:t xml:space="preserve">Von den objektiven Anforderungen nach </w:t>
      </w:r>
      <w:hyperlink w:anchor="b411" w:history="1">
        <w:r>
          <w:rPr>
            <w:color w:val="0A3A8C"/>
            <w:u w:val="single"/>
          </w:rPr>
          <w:t xml:space="preserve">§ 327e</w:t>
        </w:r>
      </w:hyperlink>
      <w:r>
        <w:t xml:space="preserve"> Absatz 3 Satz 1 Nummer 1 bis 5 und Satz 2, </w:t>
      </w:r>
      <w:hyperlink w:anchor="b412" w:history="1">
        <w:r>
          <w:rPr>
            <w:color w:val="0A3A8C"/>
            <w:u w:val="single"/>
          </w:rPr>
          <w:t xml:space="preserve">§ 327f</w:t>
        </w:r>
      </w:hyperlink>
      <w:r>
        <w:t xml:space="preserve"> Absatz 1 und </w:t>
      </w:r>
      <w:hyperlink w:anchor="b413" w:history="1">
        <w:r>
          <w:rPr>
            <w:color w:val="0A3A8C"/>
            <w:u w:val="single"/>
          </w:rPr>
          <w:t xml:space="preserve">§ 327g</w:t>
        </w:r>
      </w:hyperlink>
      <w:r>
        <w:t xml:space="preserve"> kann nur abgewichen werden, wenn der Verbraucher vor Abgabe seiner Vertragserklärung eigens davon in Kenntnis gesetzt wurde, dass ein bestimmtes Merkmal des digitalen Produkts von diesen objektiven Anforderungen abweicht, und diese Abweichung im Vertrag ausdrücklich und gesondert vereinbart wurde.</w:t>
      </w:r>
    </w:p>
    <w:p>
      <w:pPr>
        <w:pStyle w:val="Heading5"/>
      </w:pPr>
      <w:bookmarkStart w:id="425" w:name="b415"/>
      <w:r>
        <w:t>§ 327i Rechte des Verbrauchers bei Mängeln</w:t>
      </w:r>
      <w:r>
        <w:t xml:space="preserve"> </w:t>
      </w:r>
      <w:r>
        <w:rPr>
          <w:rStyle w:val="Suchmarke"/>
        </w:rPr>
        <w:t>#327i#</w:t>
      </w:r>
      <w:bookmarkEnd w:id="425"/>
    </w:p>
    <w:p>
      <w:r>
        <w:t>Ist das digitale Produkt mangelhaft, kann der Verbraucher, wenn die Voraussetzungen der folgenden Vorschriften vorliegen,</w:t>
      </w:r>
    </w:p>
    <w:p>
      <w:pPr>
        <w:tabs>
          <w:tab w:pos="567" w:val="left"/>
        </w:tabs>
        <w:ind w:left="567" w:hanging="567"/>
      </w:pPr>
      <w:r>
        <w:t>1.</w:t>
      </w:r>
      <w:r>
        <w:tab/>
      </w:r>
      <w:r>
        <w:t>nach § 327l Nacherfüllung verlangen,</w:t>
      </w:r>
    </w:p>
    <w:p>
      <w:pPr>
        <w:tabs>
          <w:tab w:pos="567" w:val="left"/>
        </w:tabs>
        <w:ind w:left="567" w:hanging="567"/>
      </w:pPr>
      <w:r>
        <w:t>2.</w:t>
      </w:r>
      <w:r>
        <w:tab/>
      </w:r>
      <w:r>
        <w:t>nach § 327m Absatz 1, 2, 4 und 5 den Vertrag beenden oder nach § 327n den Preis mindern und</w:t>
      </w:r>
    </w:p>
    <w:p>
      <w:pPr>
        <w:tabs>
          <w:tab w:pos="567" w:val="left"/>
        </w:tabs>
        <w:ind w:left="567" w:hanging="567"/>
      </w:pPr>
      <w:r>
        <w:t>3.</w:t>
      </w:r>
      <w:r>
        <w:tab/>
      </w:r>
      <w:r>
        <w:t>nach § 280 Absatz 1 oder § 327m Absatz 3 Schadensersatz oder nach § 284 Ersatz vergeblicher Aufwendungen verlangen.</w:t>
      </w:r>
    </w:p>
    <w:p>
      <w:pPr>
        <w:pStyle w:val="Heading5"/>
      </w:pPr>
      <w:bookmarkStart w:id="426" w:name="b416"/>
      <w:r>
        <w:t>§ 327j Verjährung</w:t>
      </w:r>
      <w:r>
        <w:t xml:space="preserve"> </w:t>
      </w:r>
      <w:r>
        <w:rPr>
          <w:rStyle w:val="Suchmarke"/>
        </w:rPr>
        <w:t>#327j#</w:t>
      </w:r>
      <w:bookmarkEnd w:id="426"/>
    </w:p>
    <w:p>
      <w:r>
        <w:t xml:space="preserve">(1) </w:t>
      </w:r>
      <w:r>
        <w:rPr>
          <w:rStyle w:val="Satznummer"/>
        </w:rPr>
        <w:t>1</w:t>
      </w:r>
      <w:r>
        <w:t xml:space="preserve">Die in </w:t>
      </w:r>
      <w:hyperlink w:anchor="b415" w:history="1">
        <w:r>
          <w:rPr>
            <w:color w:val="0A3A8C"/>
            <w:u w:val="single"/>
          </w:rPr>
          <w:t xml:space="preserve">§ 327i</w:t>
        </w:r>
      </w:hyperlink>
      <w:r>
        <w:t xml:space="preserve"> Nummer 1 und 3 bezeichneten Ansprüche verjähren in zwei Jahren. </w:t>
      </w:r>
      <w:r>
        <w:rPr>
          <w:rStyle w:val="Satznummer"/>
        </w:rPr>
        <w:t>2</w:t>
      </w:r>
      <w:r>
        <w:t>Die Verjährung beginnt mit der Bereitstellung.</w:t>
      </w:r>
    </w:p>
    <w:p>
      <w:r>
        <w:t>(2) Im Fall der dauerhaften Bereitstellung verjähren die Ansprüche nicht vor Ablauf von zwölf Monaten nach dem Ende des Bereitstellungszeitraums.</w:t>
      </w:r>
    </w:p>
    <w:p>
      <w:r>
        <w:t>(3) Ansprüche wegen einer Verletzung der Aktualisierungspflicht verjähren nicht vor Ablauf von zwölf Monaten nach dem Ende des für die Aktualisierungspflicht maßgeblichen Zeitraums.</w:t>
      </w:r>
    </w:p>
    <w:p>
      <w:r>
        <w:t>(4) Hat sich ein Mangel innerhalb der Verjährungsfrist gezeigt, so tritt die Verjährung nicht vor dem Ablauf von vier Monaten nach dem Zeitpunkt ein, in dem sich der Mangel erstmals gezeigt hat.</w:t>
      </w:r>
    </w:p>
    <w:p>
      <w:r>
        <w:t xml:space="preserve">(5) Für die in </w:t>
      </w:r>
      <w:hyperlink w:anchor="b415" w:history="1">
        <w:r>
          <w:rPr>
            <w:color w:val="0A3A8C"/>
            <w:u w:val="single"/>
          </w:rPr>
          <w:t xml:space="preserve">§ 327i</w:t>
        </w:r>
      </w:hyperlink>
      <w:r>
        <w:t xml:space="preserve"> Nummer 2 bezeichneten Rechte gilt </w:t>
      </w:r>
      <w:hyperlink w:anchor="b259" w:history="1">
        <w:r>
          <w:rPr>
            <w:color w:val="0A3A8C"/>
            <w:u w:val="single"/>
          </w:rPr>
          <w:t xml:space="preserve">§ 218</w:t>
        </w:r>
      </w:hyperlink>
      <w:r>
        <w:t xml:space="preserve"> entsprechend.</w:t>
      </w:r>
    </w:p>
    <w:p>
      <w:pPr>
        <w:pStyle w:val="Heading5"/>
      </w:pPr>
      <w:bookmarkStart w:id="427" w:name="b417"/>
      <w:r>
        <w:t>§ 327k Beweislastumkehr</w:t>
      </w:r>
      <w:r>
        <w:t xml:space="preserve"> </w:t>
      </w:r>
      <w:r>
        <w:rPr>
          <w:rStyle w:val="Suchmarke"/>
        </w:rPr>
        <w:t>#327k#</w:t>
      </w:r>
      <w:bookmarkEnd w:id="427"/>
    </w:p>
    <w:p>
      <w:r>
        <w:t xml:space="preserve">(1) Zeigt sich bei einem digitalen Produkt innerhalb eines Jahres seit seiner Bereitstellung ein von den Anforderungen nach </w:t>
      </w:r>
      <w:hyperlink w:anchor="b411" w:history="1">
        <w:r>
          <w:rPr>
            <w:color w:val="0A3A8C"/>
            <w:u w:val="single"/>
          </w:rPr>
          <w:t xml:space="preserve">§ 327e</w:t>
        </w:r>
      </w:hyperlink>
      <w:r>
        <w:t xml:space="preserve"> oder </w:t>
      </w:r>
      <w:hyperlink w:anchor="b413" w:history="1">
        <w:r>
          <w:rPr>
            <w:color w:val="0A3A8C"/>
            <w:u w:val="single"/>
          </w:rPr>
          <w:t xml:space="preserve">§ 327g</w:t>
        </w:r>
      </w:hyperlink>
      <w:r>
        <w:t xml:space="preserve"> abweichender Zustand, so wird vermutet, dass das digitale Produkt bereits bei Bereitstellung mangelhaft war.</w:t>
      </w:r>
    </w:p>
    <w:p>
      <w:r>
        <w:t xml:space="preserve">(2) Zeigt sich bei einem dauerhaft bereitgestellten digitalen Produkt während der Dauer der Bereitstellung ein von den Anforderungen nach </w:t>
      </w:r>
      <w:hyperlink w:anchor="b411" w:history="1">
        <w:r>
          <w:rPr>
            <w:color w:val="0A3A8C"/>
            <w:u w:val="single"/>
          </w:rPr>
          <w:t xml:space="preserve">§ 327e</w:t>
        </w:r>
      </w:hyperlink>
      <w:r>
        <w:t xml:space="preserve"> oder </w:t>
      </w:r>
      <w:hyperlink w:anchor="b413" w:history="1">
        <w:r>
          <w:rPr>
            <w:color w:val="0A3A8C"/>
            <w:u w:val="single"/>
          </w:rPr>
          <w:t xml:space="preserve">§ 327g</w:t>
        </w:r>
      </w:hyperlink>
      <w:r>
        <w:t xml:space="preserve"> abweichender Zustand, so wird vermutet, dass das digitale Produkt während der bisherigen Dauer der Bereitstellung mangelhaft war.</w:t>
      </w:r>
    </w:p>
    <w:p>
      <w:r>
        <w:t>(3) Die Vermutungen nach den Absätzen 1 und 2 gelten vorbehaltlich des Absatzes 4 nicht, wenn</w:t>
      </w:r>
    </w:p>
    <w:p>
      <w:pPr>
        <w:tabs>
          <w:tab w:pos="567" w:val="left"/>
        </w:tabs>
        <w:ind w:left="567" w:hanging="567"/>
      </w:pPr>
      <w:r>
        <w:t>1.</w:t>
      </w:r>
      <w:r>
        <w:tab/>
      </w:r>
      <w:r>
        <w:t>die digitale Umgebung des Verbrauchers mit den technischen Anforderungen des digitalen Produkts zur maßgeblichen Zeit nicht kompatibel war oder</w:t>
      </w:r>
    </w:p>
    <w:p>
      <w:pPr>
        <w:tabs>
          <w:tab w:pos="567" w:val="left"/>
        </w:tabs>
        <w:ind w:left="567" w:hanging="567"/>
      </w:pPr>
      <w:r>
        <w:t>2.</w:t>
      </w:r>
      <w:r>
        <w:tab/>
      </w:r>
      <w:r>
        <w:t>der Unternehmer nicht feststellen kann, ob die Voraussetzungen der Nummer 1 vorlagen, weil der Verbraucher eine hierfür notwendige und ihm mögliche Mitwirkungshandlung nicht vornimmt und der Unternehmer zur Feststellung ein technisches Mittel einsetzen wollte, das für den Verbraucher den geringsten Eingriff darstellt.</w:t>
      </w:r>
    </w:p>
    <w:p>
      <w:r>
        <w:t>(4) Absatz 3 ist nur anzuwenden, wenn der Unternehmer den Verbraucher vor Vertragsschluss klar und verständlich informiert hat über</w:t>
      </w:r>
    </w:p>
    <w:p>
      <w:pPr>
        <w:tabs>
          <w:tab w:pos="567" w:val="left"/>
        </w:tabs>
        <w:ind w:left="567" w:hanging="567"/>
      </w:pPr>
      <w:r>
        <w:t>1.</w:t>
      </w:r>
      <w:r>
        <w:tab/>
      </w:r>
      <w:r>
        <w:t>die technischen Anforderungen des digitalen Produkts an die digitale Umgebung im Fall des Absatzes 3 Nummer 1 oder</w:t>
      </w:r>
    </w:p>
    <w:p>
      <w:pPr>
        <w:tabs>
          <w:tab w:pos="567" w:val="left"/>
        </w:tabs>
        <w:ind w:left="567" w:hanging="567"/>
      </w:pPr>
      <w:r>
        <w:t>2.</w:t>
      </w:r>
      <w:r>
        <w:tab/>
      </w:r>
      <w:r>
        <w:t>die Obliegenheit des Verbrauchers nach Absatz 3 Nummer 2.</w:t>
      </w:r>
    </w:p>
    <w:p>
      <w:pPr>
        <w:pStyle w:val="Heading5"/>
      </w:pPr>
      <w:bookmarkStart w:id="428" w:name="b418"/>
      <w:r>
        <w:t>§ 327l Nacherfüllung</w:t>
      </w:r>
      <w:r>
        <w:t xml:space="preserve"> </w:t>
      </w:r>
      <w:r>
        <w:rPr>
          <w:rStyle w:val="Suchmarke"/>
        </w:rPr>
        <w:t>#327l#</w:t>
      </w:r>
      <w:bookmarkEnd w:id="428"/>
    </w:p>
    <w:p>
      <w:r>
        <w:t xml:space="preserve">(1) </w:t>
      </w:r>
      <w:r>
        <w:rPr>
          <w:rStyle w:val="Satznummer"/>
        </w:rPr>
        <w:t>1</w:t>
      </w:r>
      <w:r>
        <w:t xml:space="preserve">Verlangt der Verbraucher vom Unternehmer Nacherfüllung, so hat dieser den vertragsgemäßen Zustand herzustellen und die zum Zwecke der Nacherfüllung erforderlichen Aufwendungen zu tragen. </w:t>
      </w:r>
      <w:r>
        <w:rPr>
          <w:rStyle w:val="Satznummer"/>
        </w:rPr>
        <w:t>2</w:t>
      </w:r>
      <w:r>
        <w:t>Der Unternehmer hat die Nacherfüllung innerhalb einer angemessenen Frist ab dem Zeitpunkt, zu dem der Verbraucher ihn über den Mangel informiert hat, und ohne erhebliche Unannehmlichkeiten für den Verbraucher durchzuführen.</w:t>
      </w:r>
    </w:p>
    <w:p>
      <w:r>
        <w:t xml:space="preserve">(2) </w:t>
      </w:r>
      <w:r>
        <w:rPr>
          <w:rStyle w:val="Satznummer"/>
        </w:rPr>
        <w:t>1</w:t>
      </w:r>
      <w:r>
        <w:t xml:space="preserve">Der Anspruch nach Absatz 1 ist ausgeschlossen, wenn die Nacherfüllung unmöglich oder für den Unternehmer nur mit unverhältnismäßigen Kosten möglich ist. </w:t>
      </w:r>
      <w:r>
        <w:rPr>
          <w:rStyle w:val="Satznummer"/>
        </w:rPr>
        <w:t>2</w:t>
      </w:r>
      <w:r>
        <w:t xml:space="preserve">Dabei sind insbesondere der Wert des digitalen Produkts in mangelfreiem Zustand sowie die Bedeutung des Mangels zu berücksichtigen. </w:t>
      </w:r>
      <w:r>
        <w:rPr>
          <w:rStyle w:val="Satznummer"/>
        </w:rPr>
        <w:t>3</w:t>
      </w:r>
      <w:hyperlink w:anchor="b319" w:history="1">
        <w:r>
          <w:rPr>
            <w:color w:val="0A3A8C"/>
            <w:u w:val="single"/>
          </w:rPr>
          <w:t xml:space="preserve">§ 275</w:t>
        </w:r>
      </w:hyperlink>
      <w:r>
        <w:t xml:space="preserve"> Absatz 2 und 3 findet keine Anwendung.</w:t>
      </w:r>
    </w:p>
    <w:p>
      <w:pPr>
        <w:pStyle w:val="Heading5"/>
      </w:pPr>
      <w:bookmarkStart w:id="429" w:name="b419"/>
      <w:r>
        <w:t>§ 327m Vertragsbeendigung und Schadensersatz</w:t>
      </w:r>
      <w:r>
        <w:t xml:space="preserve"> </w:t>
      </w:r>
      <w:r>
        <w:rPr>
          <w:rStyle w:val="Suchmarke"/>
        </w:rPr>
        <w:t>#327m#</w:t>
      </w:r>
      <w:bookmarkEnd w:id="429"/>
    </w:p>
    <w:p>
      <w:r>
        <w:t xml:space="preserve">(1) Ist das digitale Produkt mangelhaft, so kann der Verbraucher den Vertrag gemäß </w:t>
      </w:r>
      <w:hyperlink w:anchor="b421" w:history="1">
        <w:r>
          <w:rPr>
            <w:color w:val="0A3A8C"/>
            <w:u w:val="single"/>
          </w:rPr>
          <w:t xml:space="preserve">§ 327o</w:t>
        </w:r>
      </w:hyperlink>
      <w:r>
        <w:t xml:space="preserve"> beenden, wenn</w:t>
      </w:r>
    </w:p>
    <w:p>
      <w:pPr>
        <w:tabs>
          <w:tab w:pos="567" w:val="left"/>
        </w:tabs>
        <w:ind w:left="567" w:hanging="567"/>
      </w:pPr>
      <w:r>
        <w:t>1.</w:t>
      </w:r>
      <w:r>
        <w:tab/>
      </w:r>
      <w:r>
        <w:t xml:space="preserve">der Nacherfüllungsanspruch gemäß </w:t>
      </w:r>
      <w:hyperlink w:anchor="b418" w:history="1">
        <w:r>
          <w:rPr>
            <w:color w:val="0A3A8C"/>
            <w:u w:val="single"/>
          </w:rPr>
          <w:t xml:space="preserve">§ 327l</w:t>
        </w:r>
      </w:hyperlink>
      <w:r>
        <w:t xml:space="preserve"> Absatz 2 ausgeschlossen ist,</w:t>
      </w:r>
    </w:p>
    <w:p>
      <w:pPr>
        <w:tabs>
          <w:tab w:pos="567" w:val="left"/>
        </w:tabs>
        <w:ind w:left="567" w:hanging="567"/>
      </w:pPr>
      <w:r>
        <w:t>2.</w:t>
      </w:r>
      <w:r>
        <w:tab/>
      </w:r>
      <w:r>
        <w:t xml:space="preserve">der Nacherfüllungsanspruch des Verbrauchers nicht gemäß </w:t>
      </w:r>
      <w:hyperlink w:anchor="b418" w:history="1">
        <w:r>
          <w:rPr>
            <w:color w:val="0A3A8C"/>
            <w:u w:val="single"/>
          </w:rPr>
          <w:t xml:space="preserve">§ 327l</w:t>
        </w:r>
      </w:hyperlink>
      <w:r>
        <w:t xml:space="preserve"> Absatz 1 erfüllt wurde,</w:t>
      </w:r>
    </w:p>
    <w:p>
      <w:pPr>
        <w:tabs>
          <w:tab w:pos="567" w:val="left"/>
        </w:tabs>
        <w:ind w:left="567" w:hanging="567"/>
      </w:pPr>
      <w:r>
        <w:t>3.</w:t>
      </w:r>
      <w:r>
        <w:tab/>
      </w:r>
      <w:r>
        <w:t>sich trotz der vom Unternehmer versuchten Nacherfüllung ein Mangel zeigt,</w:t>
      </w:r>
    </w:p>
    <w:p>
      <w:pPr>
        <w:tabs>
          <w:tab w:pos="567" w:val="left"/>
        </w:tabs>
        <w:ind w:left="567" w:hanging="567"/>
      </w:pPr>
      <w:r>
        <w:t>4.</w:t>
      </w:r>
      <w:r>
        <w:tab/>
      </w:r>
      <w:r>
        <w:t>der Mangel derart schwerwiegend ist, dass die sofortige Vertragsbeendigung gerechtfertigt ist,</w:t>
      </w:r>
    </w:p>
    <w:p>
      <w:pPr>
        <w:tabs>
          <w:tab w:pos="567" w:val="left"/>
        </w:tabs>
        <w:ind w:left="567" w:hanging="567"/>
      </w:pPr>
      <w:r>
        <w:t>5.</w:t>
      </w:r>
      <w:r>
        <w:tab/>
      </w:r>
      <w:r>
        <w:t xml:space="preserve">der Unternehmer die gemäß </w:t>
      </w:r>
      <w:hyperlink w:anchor="b418" w:history="1">
        <w:r>
          <w:rPr>
            <w:color w:val="0A3A8C"/>
            <w:u w:val="single"/>
          </w:rPr>
          <w:t xml:space="preserve">§ 327l</w:t>
        </w:r>
      </w:hyperlink>
      <w:r>
        <w:t xml:space="preserve"> Absatz 1 Satz 2 ordnungsgemäße Nacherfüllung verweigert hat, oder</w:t>
      </w:r>
    </w:p>
    <w:p>
      <w:pPr>
        <w:tabs>
          <w:tab w:pos="567" w:val="left"/>
        </w:tabs>
        <w:ind w:left="567" w:hanging="567"/>
      </w:pPr>
      <w:r>
        <w:t>6.</w:t>
      </w:r>
      <w:r>
        <w:tab/>
      </w:r>
      <w:r>
        <w:t xml:space="preserve">es nach den Umständen offensichtlich ist, dass der Unternehmer nicht gemäß </w:t>
      </w:r>
      <w:hyperlink w:anchor="b418" w:history="1">
        <w:r>
          <w:rPr>
            <w:color w:val="0A3A8C"/>
            <w:u w:val="single"/>
          </w:rPr>
          <w:t xml:space="preserve">§ 327l</w:t>
        </w:r>
      </w:hyperlink>
      <w:r>
        <w:t xml:space="preserve"> Absatz 1 Satz 2 ordnungsgemäß nacherfüllen wird.</w:t>
      </w:r>
    </w:p>
    <w:p>
      <w:r>
        <w:t xml:space="preserve">(2) </w:t>
      </w:r>
      <w:r>
        <w:rPr>
          <w:rStyle w:val="Satznummer"/>
        </w:rPr>
        <w:t>1</w:t>
      </w:r>
      <w:r>
        <w:t xml:space="preserve">Eine Beendigung des Vertrags nach Absatz 1 ist ausgeschlossen, wenn der Mangel unerheblich ist. </w:t>
      </w:r>
      <w:r>
        <w:rPr>
          <w:rStyle w:val="Satznummer"/>
        </w:rPr>
        <w:t>2</w:t>
      </w:r>
      <w:r>
        <w:t xml:space="preserve">Dies gilt nicht für Verbraucherverträge im Sinne des </w:t>
      </w:r>
      <w:hyperlink w:anchor="b406" w:history="1">
        <w:r>
          <w:rPr>
            <w:color w:val="0A3A8C"/>
            <w:u w:val="single"/>
          </w:rPr>
          <w:t xml:space="preserve">§ 327</w:t>
        </w:r>
      </w:hyperlink>
      <w:r>
        <w:t xml:space="preserve"> Absatz 3.</w:t>
      </w:r>
    </w:p>
    <w:p>
      <w:r>
        <w:t xml:space="preserve">(3) </w:t>
      </w:r>
      <w:r>
        <w:rPr>
          <w:rStyle w:val="Satznummer"/>
        </w:rPr>
        <w:t>1</w:t>
      </w:r>
      <w:r>
        <w:t xml:space="preserve">In den Fällen des Absatzes 1 Nummer 1 bis 6 kann der Verbraucher unter den Voraussetzungen des § 280 Absatz 1 Schadensersatz statt der Leistung verlangen. </w:t>
      </w:r>
      <w:r>
        <w:rPr>
          <w:rStyle w:val="Satznummer"/>
        </w:rPr>
        <w:t>2</w:t>
      </w:r>
      <w:hyperlink w:anchor="b325" w:history="1">
        <w:r>
          <w:rPr>
            <w:color w:val="0A3A8C"/>
            <w:u w:val="single"/>
          </w:rPr>
          <w:t xml:space="preserve">§ 281</w:t>
        </w:r>
      </w:hyperlink>
      <w:r>
        <w:t xml:space="preserve"> Absatz 1 Satz 3 und Absatz 4 sind entsprechend anzuwenden. </w:t>
      </w:r>
      <w:r>
        <w:rPr>
          <w:rStyle w:val="Satznummer"/>
        </w:rPr>
        <w:t>3</w:t>
      </w:r>
      <w:r>
        <w:t xml:space="preserve">Verlangt der Verbraucher Schadensersatz statt der ganzen Leistung, so ist der Unternehmer zur Rückforderung des Geleisteten nach den </w:t>
      </w:r>
      <w:hyperlink w:anchor="b421" w:history="1">
        <w:r>
          <w:rPr>
            <w:color w:val="0A3A8C"/>
            <w:u w:val="single"/>
          </w:rPr>
          <w:t xml:space="preserve">§§ 327o</w:t>
        </w:r>
      </w:hyperlink>
      <w:r>
        <w:t xml:space="preserve"> und </w:t>
      </w:r>
      <w:hyperlink w:anchor="b422" w:history="1">
        <w:r>
          <w:rPr>
            <w:color w:val="0A3A8C"/>
            <w:u w:val="single"/>
          </w:rPr>
          <w:t xml:space="preserve">327p</w:t>
        </w:r>
      </w:hyperlink>
      <w:r>
        <w:t xml:space="preserve"> berechtigt. </w:t>
      </w:r>
      <w:r>
        <w:rPr>
          <w:rStyle w:val="Satznummer"/>
        </w:rPr>
        <w:t>4</w:t>
      </w:r>
      <w:hyperlink w:anchor="b402" w:history="1">
        <w:r>
          <w:rPr>
            <w:color w:val="0A3A8C"/>
            <w:u w:val="single"/>
          </w:rPr>
          <w:t xml:space="preserve">§ 325</w:t>
        </w:r>
      </w:hyperlink>
      <w:r>
        <w:t xml:space="preserve"> gilt entsprechend.</w:t>
      </w:r>
    </w:p>
    <w:p>
      <w:r>
        <w:t xml:space="preserve">(4) </w:t>
      </w:r>
      <w:r>
        <w:rPr>
          <w:rStyle w:val="Satznummer"/>
        </w:rPr>
        <w:t>1</w:t>
      </w:r>
      <w:r>
        <w:t xml:space="preserve">Sofern der Verbraucher den Vertrag nach Absatz 1 beenden kann, kann er sich im Hinblick auf alle Bestandteile des Paketvertrags vom Vertrag lösen, wenn er an dem anderen Teil des Paketvertrags ohne das mangelhafte digitale Produkt kein Interesse hat. </w:t>
      </w:r>
      <w:r>
        <w:rPr>
          <w:rStyle w:val="Satznummer"/>
        </w:rPr>
        <w:t>2</w:t>
      </w:r>
      <w:r>
        <w:t>Satz 1 ist nicht auf Paketverträge anzuwenden, bei denen der andere Bestandteil ein Telekommunikationsdienst im Sinne des § 3 Nummer 61 des Telekommunikationsgesetzes ist.</w:t>
      </w:r>
    </w:p>
    <w:p>
      <w:r>
        <w:t>(5) Sofern der Verbraucher den Vertrag nach Absatz 1 beenden kann, kann er sich im Hinblick auf alle Bestandteile eines Vertrags nach § 327a Absatz 2 vom Vertrag lösen, wenn aufgrund des Mangels des digitalen Produkts sich die Sache nicht zur gewöhnlichen Verwendung eignet.</w:t>
      </w:r>
    </w:p>
    <w:p>
      <w:pPr>
        <w:pStyle w:val="Heading5"/>
      </w:pPr>
      <w:bookmarkStart w:id="430" w:name="b420"/>
      <w:r>
        <w:t>§ 327n Minderung</w:t>
      </w:r>
      <w:r>
        <w:t xml:space="preserve"> </w:t>
      </w:r>
      <w:r>
        <w:rPr>
          <w:rStyle w:val="Suchmarke"/>
        </w:rPr>
        <w:t>#327n#</w:t>
      </w:r>
      <w:bookmarkEnd w:id="430"/>
    </w:p>
    <w:p>
      <w:r>
        <w:t xml:space="preserve">(1) </w:t>
      </w:r>
      <w:r>
        <w:rPr>
          <w:rStyle w:val="Satznummer"/>
        </w:rPr>
        <w:t>1</w:t>
      </w:r>
      <w:r>
        <w:t xml:space="preserve">Statt den Vertrag nach </w:t>
      </w:r>
      <w:hyperlink w:anchor="b419" w:history="1">
        <w:r>
          <w:rPr>
            <w:color w:val="0A3A8C"/>
            <w:u w:val="single"/>
          </w:rPr>
          <w:t xml:space="preserve">§ 327m</w:t>
        </w:r>
      </w:hyperlink>
      <w:r>
        <w:t xml:space="preserve"> Absatz 1 zu beenden, kann der Verbraucher den Preis durch Erklärung gegenüber dem Unternehmer mindern. </w:t>
      </w:r>
      <w:r>
        <w:rPr>
          <w:rStyle w:val="Satznummer"/>
        </w:rPr>
        <w:t>2</w:t>
      </w:r>
      <w:r>
        <w:t xml:space="preserve">Der Ausschlussgrund des </w:t>
      </w:r>
      <w:hyperlink w:anchor="b419" w:history="1">
        <w:r>
          <w:rPr>
            <w:color w:val="0A3A8C"/>
            <w:u w:val="single"/>
          </w:rPr>
          <w:t xml:space="preserve">§ 327m</w:t>
        </w:r>
      </w:hyperlink>
      <w:r>
        <w:t xml:space="preserve"> Absatz 2 Satz 1 findet keine Anwendung. </w:t>
      </w:r>
      <w:r>
        <w:rPr>
          <w:rStyle w:val="Satznummer"/>
        </w:rPr>
        <w:t>3</w:t>
      </w:r>
      <w:hyperlink w:anchor="b421" w:history="1">
        <w:r>
          <w:rPr>
            <w:color w:val="0A3A8C"/>
            <w:u w:val="single"/>
          </w:rPr>
          <w:t xml:space="preserve">§ 327o</w:t>
        </w:r>
      </w:hyperlink>
      <w:r>
        <w:t xml:space="preserve"> Absatz 1 ist entsprechend anzuwenden.</w:t>
      </w:r>
    </w:p>
    <w:p>
      <w:r>
        <w:t xml:space="preserve">(2) </w:t>
      </w:r>
      <w:r>
        <w:rPr>
          <w:rStyle w:val="Satznummer"/>
        </w:rPr>
        <w:t>1</w:t>
      </w:r>
      <w:r>
        <w:t xml:space="preserve">Bei der Minderung ist der Preis in dem Verhältnis herabzusetzen, in welchem zum Zeitpunkt der Bereitstellung der Wert des digitalen Produkts in mangelfreiem Zustand zu dem wirklichen Wert gestanden haben würde. </w:t>
      </w:r>
      <w:r>
        <w:rPr>
          <w:rStyle w:val="Satznummer"/>
        </w:rPr>
        <w:t>2</w:t>
      </w:r>
      <w:r>
        <w:t>Bei Verträgen über die dauerhafte Bereitstellung eines digitalen Produkts ist der Preis unter entsprechender Anwendung des Satzes 1 nur anteilig für die Dauer der Mangelhaftigkeit herabzusetzen.</w:t>
      </w:r>
    </w:p>
    <w:p>
      <w:r>
        <w:t>(3) Die Minderung ist, soweit erforderlich, durch Schätzung zu ermitteln.</w:t>
      </w:r>
    </w:p>
    <w:p>
      <w:r>
        <w:t xml:space="preserve">(4) </w:t>
      </w:r>
      <w:r>
        <w:rPr>
          <w:rStyle w:val="Satznummer"/>
        </w:rPr>
        <w:t>1</w:t>
      </w:r>
      <w:r>
        <w:t xml:space="preserve">Hat der Verbraucher mehr als den geminderten Preis gezahlt, so hat der Unternehmer den Mehrbetrag zu erstatten. </w:t>
      </w:r>
      <w:r>
        <w:rPr>
          <w:rStyle w:val="Satznummer"/>
        </w:rPr>
        <w:t>2</w:t>
      </w:r>
      <w:r>
        <w:t xml:space="preserve">Der Mehrbetrag ist unverzüglich, auf jeden Fall aber innerhalb von 14 Tagen zu erstatten. </w:t>
      </w:r>
      <w:r>
        <w:rPr>
          <w:rStyle w:val="Satznummer"/>
        </w:rPr>
        <w:t>3</w:t>
      </w:r>
      <w:r>
        <w:t xml:space="preserve">Die Frist beginnt mit dem Zugang der Minderungserklärung beim Unternehmer. </w:t>
      </w:r>
      <w:r>
        <w:rPr>
          <w:rStyle w:val="Satznummer"/>
        </w:rPr>
        <w:t>4</w:t>
      </w:r>
      <w:r>
        <w:t xml:space="preserve">Für die Erstattung muss der Unternehmer dasselbe Zahlungsmittel verwenden, das der Verbraucher bei der Zahlung verwendet hat, es sei denn, es wurde ausdrücklich etwas anderes vereinbart und dem Verbraucher entstehen durch die Verwendung eines anderen Zahlungsmittels keine Kosten. </w:t>
      </w:r>
      <w:r>
        <w:rPr>
          <w:rStyle w:val="Satznummer"/>
        </w:rPr>
        <w:t>5</w:t>
      </w:r>
      <w:r>
        <w:t>Der Unternehmer kann vom Verbraucher keinen Ersatz für die Kosten verlangen, die ihm für die Erstattung des Mehrbetrags entstehen.</w:t>
      </w:r>
    </w:p>
    <w:p>
      <w:pPr>
        <w:pStyle w:val="Heading5"/>
      </w:pPr>
      <w:bookmarkStart w:id="431" w:name="b421"/>
      <w:r>
        <w:t>§ 327o Erklärung und Rechtsfolgen der Vertragsbeendigung</w:t>
      </w:r>
      <w:r>
        <w:t xml:space="preserve"> </w:t>
      </w:r>
      <w:r>
        <w:rPr>
          <w:rStyle w:val="Suchmarke"/>
        </w:rPr>
        <w:t>#327o#</w:t>
      </w:r>
      <w:bookmarkEnd w:id="431"/>
    </w:p>
    <w:p>
      <w:r>
        <w:t xml:space="preserve">(1) </w:t>
      </w:r>
      <w:r>
        <w:rPr>
          <w:rStyle w:val="Satznummer"/>
        </w:rPr>
        <w:t>1</w:t>
      </w:r>
      <w:r>
        <w:t xml:space="preserve">Die Beendigung des Vertrags erfolgt durch Erklärung gegenüber dem Unternehmer, in welcher der Entschluss des Verbrauchers zur Beendigung zum Ausdruck kommt. </w:t>
      </w:r>
      <w:r>
        <w:rPr>
          <w:rStyle w:val="Satznummer"/>
        </w:rPr>
        <w:t>2</w:t>
      </w:r>
      <w:hyperlink w:anchor="b456" w:history="1">
        <w:r>
          <w:rPr>
            <w:color w:val="0A3A8C"/>
            <w:u w:val="single"/>
          </w:rPr>
          <w:t xml:space="preserve">§ 351</w:t>
        </w:r>
      </w:hyperlink>
      <w:r>
        <w:t xml:space="preserve"> ist entsprechend anzuwenden.</w:t>
      </w:r>
    </w:p>
    <w:p>
      <w:r>
        <w:t xml:space="preserve">(2) </w:t>
      </w:r>
      <w:r>
        <w:rPr>
          <w:rStyle w:val="Satznummer"/>
        </w:rPr>
        <w:t>1</w:t>
      </w:r>
      <w:r>
        <w:t xml:space="preserve">Im Fall der Vertragsbeendigung hat der Unternehmer dem Verbraucher die Zahlungen zu erstatten, die der Verbraucher zur Erfüllung des Vertrags geleistet hat. </w:t>
      </w:r>
      <w:r>
        <w:rPr>
          <w:rStyle w:val="Satznummer"/>
        </w:rPr>
        <w:t>2</w:t>
      </w:r>
      <w:r>
        <w:t>Für Leistungen, die der Unternehmer aufgrund der Vertragsbeendigung nicht mehr zu erbringen hat, erlischt sein Anspruch auf Zahlung des vereinbarten Preises.</w:t>
      </w:r>
    </w:p>
    <w:p>
      <w:r>
        <w:t xml:space="preserve">(3) </w:t>
      </w:r>
      <w:r>
        <w:rPr>
          <w:rStyle w:val="Satznummer"/>
        </w:rPr>
        <w:t>1</w:t>
      </w:r>
      <w:r>
        <w:t xml:space="preserve">Abweichend von Absatz 2 Satz 2 erlischt bei Verträgen über die dauerhafte Bereitstellung eines digitalen Produkts der Anspruch des Unternehmers auch für bereits erbrachte Leistungen, jedoch nur für denjenigen Teil des Bereitstellungszeitraums, in dem das digitale Produkt mangelhaft war. </w:t>
      </w:r>
      <w:r>
        <w:rPr>
          <w:rStyle w:val="Satznummer"/>
        </w:rPr>
        <w:t>2</w:t>
      </w:r>
      <w:r>
        <w:t>Der gezahlte Preis für den Zeitraum, für den der Anspruch nach Satz 1 entfallen ist, ist dem Verbraucher zu erstatten.</w:t>
      </w:r>
    </w:p>
    <w:p>
      <w:r>
        <w:t xml:space="preserve">(4) Für die Erstattungen nach den Absätzen 2 und 3 ist </w:t>
      </w:r>
      <w:hyperlink w:anchor="b420" w:history="1">
        <w:r>
          <w:rPr>
            <w:color w:val="0A3A8C"/>
            <w:u w:val="single"/>
          </w:rPr>
          <w:t xml:space="preserve">§ 327n</w:t>
        </w:r>
      </w:hyperlink>
      <w:r>
        <w:t xml:space="preserve"> Absatz 4 Satz 2 bis 5 entsprechend anzuwenden.</w:t>
      </w:r>
    </w:p>
    <w:p>
      <w:r>
        <w:t xml:space="preserve">(5) </w:t>
      </w:r>
      <w:r>
        <w:rPr>
          <w:rStyle w:val="Satznummer"/>
        </w:rPr>
        <w:t>1</w:t>
      </w:r>
      <w:r>
        <w:t xml:space="preserve">Der Verbraucher ist verpflichtet, einen vom Unternehmer bereitgestellten körperlichen Datenträger an diesen unverzüglich zurückzusenden, wenn der Unternehmer dies spätestens 14 Tage nach Vertragsbeendigung verlangt. </w:t>
      </w:r>
      <w:r>
        <w:rPr>
          <w:rStyle w:val="Satznummer"/>
        </w:rPr>
        <w:t>2</w:t>
      </w:r>
      <w:r>
        <w:t xml:space="preserve">Der Unternehmer trägt die Kosten der Rücksendung. </w:t>
      </w:r>
      <w:r>
        <w:rPr>
          <w:rStyle w:val="Satznummer"/>
        </w:rPr>
        <w:t>3</w:t>
      </w:r>
      <w:hyperlink w:anchor="b453" w:history="1">
        <w:r>
          <w:rPr>
            <w:color w:val="0A3A8C"/>
            <w:u w:val="single"/>
          </w:rPr>
          <w:t xml:space="preserve">§ 348</w:t>
        </w:r>
      </w:hyperlink>
      <w:r>
        <w:t xml:space="preserve"> ist entsprechend anzuwenden.</w:t>
      </w:r>
    </w:p>
    <w:p>
      <w:pPr>
        <w:pStyle w:val="Heading5"/>
      </w:pPr>
      <w:bookmarkStart w:id="432" w:name="b422"/>
      <w:r>
        <w:t>§ 327p Weitere Nutzung nach Vertragsbeendigung</w:t>
      </w:r>
      <w:r>
        <w:t xml:space="preserve"> </w:t>
      </w:r>
      <w:r>
        <w:rPr>
          <w:rStyle w:val="Suchmarke"/>
        </w:rPr>
        <w:t>#327p#</w:t>
      </w:r>
      <w:bookmarkEnd w:id="432"/>
    </w:p>
    <w:p>
      <w:r>
        <w:t xml:space="preserve">(1) </w:t>
      </w:r>
      <w:r>
        <w:rPr>
          <w:rStyle w:val="Satznummer"/>
        </w:rPr>
        <w:t>1</w:t>
      </w:r>
      <w:r>
        <w:t xml:space="preserve">Der Verbraucher darf das digitale Produkt nach Vertragsbeendigung weder weiter nutzen noch Dritten zur Verfügung stellen. </w:t>
      </w:r>
      <w:r>
        <w:rPr>
          <w:rStyle w:val="Satznummer"/>
        </w:rPr>
        <w:t>2</w:t>
      </w:r>
      <w:r>
        <w:t xml:space="preserve">Der Unternehmer ist berechtigt, die weitere Nutzung durch den Verbraucher zu unterbinden. </w:t>
      </w:r>
      <w:r>
        <w:rPr>
          <w:rStyle w:val="Satznummer"/>
        </w:rPr>
        <w:t>3</w:t>
      </w:r>
      <w:r>
        <w:t>Absatz 3 bleibt hiervon unberührt.</w:t>
      </w:r>
    </w:p>
    <w:p>
      <w:r>
        <w:t xml:space="preserve">(2) </w:t>
      </w:r>
      <w:r>
        <w:rPr>
          <w:rStyle w:val="Satznummer"/>
        </w:rPr>
        <w:t>1</w:t>
      </w:r>
      <w:r>
        <w:t xml:space="preserve">Der Unternehmer darf die Inhalte, die nicht personenbezogene Daten sind und die der Verbraucher bei der Nutzung des vom Unternehmer bereitgestellten digitalen Produkts bereitgestellt oder erstellt hat, nach der Vertragsbeendigung nicht weiter nutzen. </w:t>
      </w:r>
      <w:r>
        <w:rPr>
          <w:rStyle w:val="Satznummer"/>
        </w:rPr>
        <w:t>2</w:t>
      </w:r>
      <w:r>
        <w:t>Dies gilt nicht, wenn die Inhalte</w:t>
      </w:r>
    </w:p>
    <w:p>
      <w:pPr>
        <w:tabs>
          <w:tab w:pos="567" w:val="left"/>
        </w:tabs>
        <w:ind w:left="567" w:hanging="567"/>
      </w:pPr>
      <w:r>
        <w:t>1.</w:t>
      </w:r>
      <w:r>
        <w:tab/>
      </w:r>
      <w:r>
        <w:t>außerhalb des Kontextes des vom Unternehmer bereitgestellten digitalen Produkts keinen Nutzen haben,</w:t>
      </w:r>
    </w:p>
    <w:p>
      <w:pPr>
        <w:tabs>
          <w:tab w:pos="567" w:val="left"/>
        </w:tabs>
        <w:ind w:left="567" w:hanging="567"/>
      </w:pPr>
      <w:r>
        <w:t>2.</w:t>
      </w:r>
      <w:r>
        <w:tab/>
      </w:r>
      <w:r>
        <w:t>ausschließlich mit der Nutzung des vom Unternehmer bereitgestellten digitalen Produkts durch den Verbraucher zusammenhängen,</w:t>
      </w:r>
    </w:p>
    <w:p>
      <w:pPr>
        <w:tabs>
          <w:tab w:pos="567" w:val="left"/>
        </w:tabs>
        <w:ind w:left="567" w:hanging="567"/>
      </w:pPr>
      <w:r>
        <w:t>3.</w:t>
      </w:r>
      <w:r>
        <w:tab/>
      </w:r>
      <w:r>
        <w:t>vom Unternehmer mit anderen Daten aggregiert wurden und nicht oder nur mit unverhältnismäßigem Aufwand disaggregiert werden können oder</w:t>
      </w:r>
    </w:p>
    <w:p>
      <w:pPr>
        <w:tabs>
          <w:tab w:pos="567" w:val="left"/>
        </w:tabs>
        <w:ind w:left="567" w:hanging="567"/>
      </w:pPr>
      <w:r>
        <w:t>4.</w:t>
      </w:r>
      <w:r>
        <w:tab/>
      </w:r>
      <w:r>
        <w:t>vom Verbraucher gemeinsam mit anderen erzeugt wurden, sofern andere Verbraucher die Inhalte weiterhin nutzen können.</w:t>
      </w:r>
    </w:p>
    <w:p>
      <w:r>
        <w:t xml:space="preserve">(3) </w:t>
      </w:r>
      <w:r>
        <w:rPr>
          <w:rStyle w:val="Satznummer"/>
        </w:rPr>
        <w:t>1</w:t>
      </w:r>
      <w:r>
        <w:t xml:space="preserve">Der Unternehmer hat dem Verbraucher auf dessen Verlangen die Inhalte gemäß Absatz 2 Satz 1 bereitzustellen. </w:t>
      </w:r>
      <w:r>
        <w:rPr>
          <w:rStyle w:val="Satznummer"/>
        </w:rPr>
        <w:t>2</w:t>
      </w:r>
      <w:r>
        <w:t xml:space="preserve">Dies gilt nicht für Inhalte nach Absatz 2 Satz 2 Nummer 1 bis 3. </w:t>
      </w:r>
      <w:r>
        <w:rPr>
          <w:rStyle w:val="Satznummer"/>
        </w:rPr>
        <w:t>3</w:t>
      </w:r>
      <w:r>
        <w:t>Die Inhalte müssen dem Verbraucher unentgeltlich, ohne Behinderung durch den Unternehmer, innerhalb einer angemessenen Frist und in einem gängigen und maschinenlesbaren Format bereitgestellt werden.</w:t>
      </w:r>
    </w:p>
    <w:p>
      <w:pPr>
        <w:pStyle w:val="Heading5"/>
      </w:pPr>
      <w:bookmarkStart w:id="433" w:name="b423"/>
      <w:r>
        <w:t>§ 327q Vertragsrechtliche Folgen datenschutzrechtlicher Erklärungen des Verbrauchers</w:t>
      </w:r>
      <w:r>
        <w:t xml:space="preserve"> </w:t>
      </w:r>
      <w:r>
        <w:rPr>
          <w:rStyle w:val="Suchmarke"/>
        </w:rPr>
        <w:t>#327q#</w:t>
      </w:r>
      <w:bookmarkEnd w:id="433"/>
    </w:p>
    <w:p>
      <w:r>
        <w:t>(1) Die Ausübung von datenschutzrechtlichen Betroffenenrechten und die Abgabe datenschutzrechtlicher Erklärungen des Verbrauchers nach Vertragsschluss lassen die Wirksamkeit des Vertrags unberührt.</w:t>
      </w:r>
    </w:p>
    <w:p>
      <w:r>
        <w:t>(2) Widerruft der Verbraucher eine von ihm erteilte datenschutzrechtliche Einwilligung oder widerspricht er einer weiteren Verarbeitung seiner personenbezogenen Daten, so kann der Unternehmer einen Vertrag, der ihn zu einer Reihe einzelner Bereitstellungen digitaler Produkte oder zur dauerhaften Bereitstellung eines digitalen Produkts verpflichtet, ohne Einhaltung einer Kündigungsfrist kündigen, wenn ihm unter Berücksichtigung des weiterhin zulässigen Umfangs der Datenverarbeitung und unter Abwägung der beiderseitigen Interessen die Fortsetzung des Vertragsverhältnisses bis zum vereinbarten Vertragsende oder bis zum Ablauf einer gesetzlichen oder vertraglichen Kündigungsfrist nicht zugemutet werden kann.</w:t>
      </w:r>
    </w:p>
    <w:p>
      <w:r>
        <w:t>(3) Ersatzansprüche des Unternehmers gegen den Verbraucher wegen einer durch die Ausübung von Datenschutzrechten oder die Abgabe datenschutzrechtlicher Erklärungen bewirkten Einschränkung der zulässigen Datenverarbeitung sind ausgeschlossen.</w:t>
      </w:r>
    </w:p>
    <w:p>
      <w:pPr>
        <w:pStyle w:val="Heading5"/>
      </w:pPr>
      <w:bookmarkStart w:id="434" w:name="b424"/>
      <w:r>
        <w:t>§ 327r Änderungen an digitalen Produkten</w:t>
      </w:r>
      <w:r>
        <w:t xml:space="preserve"> </w:t>
      </w:r>
      <w:r>
        <w:rPr>
          <w:rStyle w:val="Suchmarke"/>
        </w:rPr>
        <w:t>#327r#</w:t>
      </w:r>
      <w:bookmarkEnd w:id="434"/>
    </w:p>
    <w:p>
      <w:r>
        <w:t xml:space="preserve">(1) Bei einer dauerhaften Bereitstellung darf der Unternehmer Änderungen des digitalen Produkts, die über das zur Aufrechterhaltung der Vertragsmäßigkeit nach </w:t>
      </w:r>
      <w:hyperlink w:anchor="b411" w:history="1">
        <w:r>
          <w:rPr>
            <w:color w:val="0A3A8C"/>
            <w:u w:val="single"/>
          </w:rPr>
          <w:t xml:space="preserve">§ 327e</w:t>
        </w:r>
      </w:hyperlink>
      <w:r>
        <w:t xml:space="preserve"> Absatz 2 und 3 und </w:t>
      </w:r>
      <w:hyperlink w:anchor="b412" w:history="1">
        <w:r>
          <w:rPr>
            <w:color w:val="0A3A8C"/>
            <w:u w:val="single"/>
          </w:rPr>
          <w:t xml:space="preserve">§ 327f</w:t>
        </w:r>
      </w:hyperlink>
      <w:r>
        <w:t xml:space="preserve"> erforderliche Maß hinausgehen, nur vornehmen, wenn</w:t>
      </w:r>
    </w:p>
    <w:p>
      <w:pPr>
        <w:tabs>
          <w:tab w:pos="567" w:val="left"/>
        </w:tabs>
        <w:ind w:left="567" w:hanging="567"/>
      </w:pPr>
      <w:r>
        <w:t>1.</w:t>
      </w:r>
      <w:r>
        <w:tab/>
      </w:r>
      <w:r>
        <w:t>der Vertrag diese Möglichkeit vorsieht und einen triftigen Grund dafür enthält,</w:t>
      </w:r>
    </w:p>
    <w:p>
      <w:pPr>
        <w:tabs>
          <w:tab w:pos="567" w:val="left"/>
        </w:tabs>
        <w:ind w:left="567" w:hanging="567"/>
      </w:pPr>
      <w:r>
        <w:t>2.</w:t>
      </w:r>
      <w:r>
        <w:tab/>
      </w:r>
      <w:r>
        <w:t>dem Verbraucher durch die Änderung keine zusätzlichen Kosten entstehen und</w:t>
      </w:r>
    </w:p>
    <w:p>
      <w:pPr>
        <w:tabs>
          <w:tab w:pos="567" w:val="left"/>
        </w:tabs>
        <w:ind w:left="567" w:hanging="567"/>
      </w:pPr>
      <w:r>
        <w:t>3.</w:t>
      </w:r>
      <w:r>
        <w:tab/>
      </w:r>
      <w:r>
        <w:t>der Verbraucher klar und verständlich über die Änderung informiert wird.</w:t>
      </w:r>
    </w:p>
    <w:p>
      <w:r>
        <w:t xml:space="preserve">(2) </w:t>
      </w:r>
      <w:r>
        <w:rPr>
          <w:rStyle w:val="Satznummer"/>
        </w:rPr>
        <w:t>1</w:t>
      </w:r>
      <w:r>
        <w:t xml:space="preserve">Eine Änderung des digitalen Produkts, welche die Zugriffsmöglichkeit des Verbrauchers auf das digitale Produkt oder welche die Nutzbarkeit des digitalen Produkts für den Verbraucher beeinträchtigt, darf der Unternehmer nur vornehmen, wenn er den Verbraucher darüber hinaus innerhalb einer angemessenen Frist vor dem Zeitpunkt der Änderung mittels eines dauerhaften Datenträgers informiert. </w:t>
      </w:r>
      <w:r>
        <w:rPr>
          <w:rStyle w:val="Satznummer"/>
        </w:rPr>
        <w:t>2</w:t>
      </w:r>
      <w:r>
        <w:t>Die Information muss Angaben enthalten über:</w:t>
      </w:r>
    </w:p>
    <w:p>
      <w:pPr>
        <w:tabs>
          <w:tab w:pos="567" w:val="left"/>
        </w:tabs>
        <w:ind w:left="567" w:hanging="567"/>
      </w:pPr>
      <w:r>
        <w:t>1.</w:t>
      </w:r>
      <w:r>
        <w:tab/>
      </w:r>
      <w:r>
        <w:t>Merkmale und Zeitpunkt der Änderung sowie</w:t>
      </w:r>
    </w:p>
    <w:p>
      <w:pPr>
        <w:tabs>
          <w:tab w:pos="567" w:val="left"/>
        </w:tabs>
        <w:ind w:left="567" w:hanging="567"/>
      </w:pPr>
      <w:r>
        <w:t>2.</w:t>
      </w:r>
      <w:r>
        <w:tab/>
      </w:r>
      <w:r>
        <w:t>die Rechte des Verbrauchers nach den Absätzen 3 und 4.</w:t>
      </w:r>
    </w:p>
    <w:p>
      <w:r>
        <w:rPr>
          <w:rStyle w:val="Satznummer"/>
        </w:rPr>
        <w:t>3</w:t>
      </w:r>
      <w:r>
        <w:t>Satz 1 gilt nicht, wenn die Beeinträchtigung der Zugriffsmöglichkeit oder der Nutzbarkeit nur unerheblich ist.</w:t>
      </w:r>
    </w:p>
    <w:p>
      <w:r>
        <w:t xml:space="preserve">(3) </w:t>
      </w:r>
      <w:r>
        <w:rPr>
          <w:rStyle w:val="Satznummer"/>
        </w:rPr>
        <w:t>1</w:t>
      </w:r>
      <w:r>
        <w:t xml:space="preserve">Beeinträchtigt eine Änderung des digitalen Produkts die Zugriffsmöglichkeit oder die Nutzbarkeit im Sinne des Absatzes 2 Satz 1, so kann der Verbraucher den Vertrag innerhalb von 30 Tagen unentgeltlich beenden. </w:t>
      </w:r>
      <w:r>
        <w:rPr>
          <w:rStyle w:val="Satznummer"/>
        </w:rPr>
        <w:t>2</w:t>
      </w:r>
      <w:r>
        <w:t xml:space="preserve">Die Frist beginnt mit dem Zugang der Information nach Absatz 2 zu laufen. </w:t>
      </w:r>
      <w:r>
        <w:rPr>
          <w:rStyle w:val="Satznummer"/>
        </w:rPr>
        <w:t>3</w:t>
      </w:r>
      <w:r>
        <w:t>Erfolgt die Änderung nach dem Zugang der Information, so tritt an die Stelle des Zeitpunkts des Zugangs der Information der Zeitpunkt der Änderung.</w:t>
      </w:r>
    </w:p>
    <w:p>
      <w:r>
        <w:t>(4) Die Beendigung des Vertrags nach Absatz 3 Satz 1 ist ausgeschlossen, wenn</w:t>
      </w:r>
    </w:p>
    <w:p>
      <w:pPr>
        <w:tabs>
          <w:tab w:pos="567" w:val="left"/>
        </w:tabs>
        <w:ind w:left="567" w:hanging="567"/>
      </w:pPr>
      <w:r>
        <w:t>1.</w:t>
      </w:r>
      <w:r>
        <w:tab/>
      </w:r>
      <w:r>
        <w:t>die Beeinträchtigung der Zugriffsmöglichkeit oder der Nutzbarkeit nur unerheblich ist oder</w:t>
      </w:r>
    </w:p>
    <w:p>
      <w:pPr>
        <w:tabs>
          <w:tab w:pos="567" w:val="left"/>
        </w:tabs>
        <w:ind w:left="567" w:hanging="567"/>
      </w:pPr>
      <w:r>
        <w:t>2.</w:t>
      </w:r>
      <w:r>
        <w:tab/>
      </w:r>
      <w:r>
        <w:t>dem Verbraucher die Zugriffsmöglichkeit auf das unveränderte digitale Produkt und die Nutzbarkeit des unveränderten digitalen Produkts ohne zusätzliche Kosten erhalten bleiben.</w:t>
      </w:r>
    </w:p>
    <w:p>
      <w:r>
        <w:t xml:space="preserve">(5) Für die Beendigung des Vertrags nach Absatz 3 Satz 1 und deren Rechtsfolgen sind die </w:t>
      </w:r>
      <w:hyperlink w:anchor="b421" w:history="1">
        <w:r>
          <w:rPr>
            <w:color w:val="0A3A8C"/>
            <w:u w:val="single"/>
          </w:rPr>
          <w:t xml:space="preserve">§§ 327o</w:t>
        </w:r>
      </w:hyperlink>
      <w:r>
        <w:t xml:space="preserve"> und </w:t>
      </w:r>
      <w:hyperlink w:anchor="b422" w:history="1">
        <w:r>
          <w:rPr>
            <w:color w:val="0A3A8C"/>
            <w:u w:val="single"/>
          </w:rPr>
          <w:t xml:space="preserve">327p</w:t>
        </w:r>
      </w:hyperlink>
      <w:r>
        <w:t xml:space="preserve"> entsprechend anzuwenden.</w:t>
      </w:r>
    </w:p>
    <w:p>
      <w:r>
        <w:t>(6) Die Absätze 1 bis 5 sind auf Paketverträge, bei denen der andere Bestandteil des Paketvertrags die Bereitstellung eines Internetzugangsdienstes oder eines öffentlich zugänglichen nummerngebundenen interpersonellen Telekommunikationsdienstes im Rahmen eines Paketvertrags im Sinne des § 66 Absatz 1 des Telekommunikationsgesetzes zum Gegenstand hat, nicht anzuwenden.</w:t>
      </w:r>
    </w:p>
    <w:p>
      <w:pPr>
        <w:pStyle w:val="Heading5"/>
      </w:pPr>
      <w:bookmarkStart w:id="435" w:name="b425"/>
      <w:r>
        <w:t>§ 327s Abweichende Vereinbarungen</w:t>
      </w:r>
      <w:r>
        <w:t xml:space="preserve"> </w:t>
      </w:r>
      <w:r>
        <w:rPr>
          <w:rStyle w:val="Suchmarke"/>
        </w:rPr>
        <w:t>#327s#</w:t>
      </w:r>
      <w:bookmarkEnd w:id="435"/>
    </w:p>
    <w:p>
      <w:r>
        <w:t>(1) Auf eine Vereinbarung mit dem Verbraucher, die zum Nachteil des Verbrauchers von den Vorschriften dieses Untertitels abweicht, kann der Unternehmer sich nicht berufen, es sei denn, die Vereinbarung wurde erst nach der Mitteilung des Verbrauchers gegenüber dem Unternehmer über die unterbliebene Bereitstellung oder über den Mangel des digitalen Produkts getroffen.</w:t>
      </w:r>
    </w:p>
    <w:p>
      <w:r>
        <w:t xml:space="preserve">(2) Auf eine Vereinbarung mit dem Verbraucher über eine Änderung des digitalen Produkts, die zum Nachteil des Verbrauchers von den Vorschriften dieses Untertitels abweicht, kann der Unternehmer sich nicht berufen, es sei denn, sie wurde nach der Information des Verbrauchers über die Änderung des digitalen Produkts gemäß </w:t>
      </w:r>
      <w:hyperlink w:anchor="b424" w:history="1">
        <w:r>
          <w:rPr>
            <w:color w:val="0A3A8C"/>
            <w:u w:val="single"/>
          </w:rPr>
          <w:t xml:space="preserve">§ 327r</w:t>
        </w:r>
      </w:hyperlink>
      <w:r>
        <w:t xml:space="preserve"> getroffen.</w:t>
      </w:r>
    </w:p>
    <w:p>
      <w:r>
        <w:t>(3) Die Vorschriften dieses Untertitels sind auch anzuwenden, wenn sie durch anderweitige Gestaltungen umgangen werden.</w:t>
      </w:r>
    </w:p>
    <w:p>
      <w:r>
        <w:t>(4) Die Absätze 1 und 2 gelten nicht für den Ausschluss oder die Beschränkung des Anspruchs auf Schadensersatz.</w:t>
      </w:r>
    </w:p>
    <w:p>
      <w:r>
        <w:t xml:space="preserve">(5) </w:t>
      </w:r>
      <w:hyperlink w:anchor="b414" w:history="1">
        <w:r>
          <w:rPr>
            <w:color w:val="0A3A8C"/>
            <w:u w:val="single"/>
          </w:rPr>
          <w:t xml:space="preserve">§ 327h</w:t>
        </w:r>
      </w:hyperlink>
      <w:r>
        <w:t xml:space="preserve"> bleibt unberührt.</w:t>
      </w:r>
    </w:p>
    <w:p>
      <w:pPr>
        <w:pStyle w:val="Heading4"/>
      </w:pPr>
      <w:bookmarkStart w:id="436" w:name="b426"/>
      <w:r>
        <w:t>Untertitel 2 Besondere Bestimmungen für Verträge über digitale Produkte zwischen Unternehmern</w:t>
      </w:r>
      <w:bookmarkEnd w:id="436"/>
    </w:p>
    <w:p>
      <w:pPr>
        <w:pStyle w:val="Heading5"/>
      </w:pPr>
      <w:bookmarkStart w:id="437" w:name="b427"/>
      <w:r>
        <w:t>§ 327t Anwendungsbereich</w:t>
      </w:r>
      <w:r>
        <w:t xml:space="preserve"> </w:t>
      </w:r>
      <w:r>
        <w:rPr>
          <w:rStyle w:val="Suchmarke"/>
        </w:rPr>
        <w:t>#327t#</w:t>
      </w:r>
      <w:bookmarkEnd w:id="437"/>
    </w:p>
    <w:p>
      <w:r>
        <w:t>Auf Verträge zwischen Unternehmern, die der Bereitstellung digitaler Produkte gemäß der nach den §§ 327 und 327a vom Anwendungsbereich des Untertitels 1 erfassten Verbraucherverträge dienen, sind ergänzend die Vorschriften dieses Untertitels anzuwenden.</w:t>
      </w:r>
    </w:p>
    <w:p>
      <w:pPr>
        <w:pStyle w:val="Heading5"/>
      </w:pPr>
      <w:bookmarkStart w:id="438" w:name="b428"/>
      <w:r>
        <w:t>§ 327u Rückgriff des Unternehmers</w:t>
      </w:r>
      <w:r>
        <w:t xml:space="preserve"> </w:t>
      </w:r>
      <w:r>
        <w:rPr>
          <w:rStyle w:val="Suchmarke"/>
        </w:rPr>
        <w:t>#327u#</w:t>
      </w:r>
      <w:bookmarkEnd w:id="438"/>
    </w:p>
    <w:p>
      <w:r>
        <w:t xml:space="preserve">(1) </w:t>
      </w:r>
      <w:r>
        <w:rPr>
          <w:rStyle w:val="Satznummer"/>
        </w:rPr>
        <w:t>1</w:t>
      </w:r>
      <w:r>
        <w:t xml:space="preserve">Der Unternehmer kann von dem Unternehmer, der sich ihm gegenüber zur Bereitstellung eines digitalen Produkts verpflichtet hat (Vertriebspartner), Ersatz der Aufwendungen verlangen, die ihm im Verhältnis zu einem Verbraucher wegen einer durch den Vertriebspartner verursachten unterbliebenen Bereitstellung des vom Vertriebspartner bereitzustellenden digitalen Produkts aufgrund der Ausübung des Rechts des Verbrauchers nach </w:t>
      </w:r>
      <w:hyperlink w:anchor="b409" w:history="1">
        <w:r>
          <w:rPr>
            <w:color w:val="0A3A8C"/>
            <w:u w:val="single"/>
          </w:rPr>
          <w:t xml:space="preserve">§ 327c</w:t>
        </w:r>
      </w:hyperlink>
      <w:r>
        <w:t xml:space="preserve"> Absatz 1 Satz 1 entstanden sind. </w:t>
      </w:r>
      <w:r>
        <w:rPr>
          <w:rStyle w:val="Satznummer"/>
        </w:rPr>
        <w:t>2</w:t>
      </w:r>
      <w:r>
        <w:t xml:space="preserve">Das Gleiche gilt für die nach § 327l Absatz 1 vom Unternehmer zu tragenden Aufwendungen, wenn der vom Verbraucher gegenüber dem Unternehmer geltend gemachte Mangel bereits bei der Bereitstellung durch den Vertriebspartner vorhanden war oder in einer durch den Vertriebspartner verursachten Verletzung der Aktualisierungspflicht des Unternehmers nach </w:t>
      </w:r>
      <w:hyperlink w:anchor="b412" w:history="1">
        <w:r>
          <w:rPr>
            <w:color w:val="0A3A8C"/>
            <w:u w:val="single"/>
          </w:rPr>
          <w:t xml:space="preserve">§ 327f</w:t>
        </w:r>
      </w:hyperlink>
      <w:r>
        <w:t xml:space="preserve"> Absatz 1 besteht.</w:t>
      </w:r>
    </w:p>
    <w:p>
      <w:r>
        <w:t xml:space="preserve">(2) </w:t>
      </w:r>
      <w:r>
        <w:rPr>
          <w:rStyle w:val="Satznummer"/>
        </w:rPr>
        <w:t>1</w:t>
      </w:r>
      <w:r>
        <w:t xml:space="preserve">Die Aufwendungsersatzansprüche nach Absatz 1 verjähren in sechs Monaten. </w:t>
      </w:r>
      <w:r>
        <w:rPr>
          <w:rStyle w:val="Satznummer"/>
        </w:rPr>
        <w:t>2</w:t>
      </w:r>
      <w:r>
        <w:t>Die Verjährung beginnt</w:t>
      </w:r>
    </w:p>
    <w:p>
      <w:pPr>
        <w:tabs>
          <w:tab w:pos="567" w:val="left"/>
        </w:tabs>
        <w:ind w:left="567" w:hanging="567"/>
      </w:pPr>
      <w:r>
        <w:t>1.</w:t>
      </w:r>
      <w:r>
        <w:tab/>
      </w:r>
      <w:r>
        <w:t>im Fall des Absatzes 1 Satz 1 mit dem Zeitpunkt, zu dem der Verbraucher sein Recht ausgeübt hat,</w:t>
      </w:r>
    </w:p>
    <w:p>
      <w:pPr>
        <w:tabs>
          <w:tab w:pos="567" w:val="left"/>
        </w:tabs>
        <w:ind w:left="567" w:hanging="567"/>
      </w:pPr>
      <w:r>
        <w:t>2.</w:t>
      </w:r>
      <w:r>
        <w:tab/>
      </w:r>
      <w:r>
        <w:t xml:space="preserve">im Fall des Absatzes 1 Satz 2 mit dem Zeitpunkt, zu dem der Unternehmer die Ansprüche des Verbrauchers nach </w:t>
      </w:r>
      <w:hyperlink w:anchor="b418" w:history="1">
        <w:r>
          <w:rPr>
            <w:color w:val="0A3A8C"/>
            <w:u w:val="single"/>
          </w:rPr>
          <w:t xml:space="preserve">§ 327l</w:t>
        </w:r>
      </w:hyperlink>
      <w:r>
        <w:t xml:space="preserve"> Absatz 1 erfüllt hat.</w:t>
      </w:r>
    </w:p>
    <w:p>
      <w:r>
        <w:t xml:space="preserve">(3) </w:t>
      </w:r>
      <w:hyperlink w:anchor="b417" w:history="1">
        <w:r>
          <w:rPr>
            <w:color w:val="0A3A8C"/>
            <w:u w:val="single"/>
          </w:rPr>
          <w:t xml:space="preserve">§ 327k</w:t>
        </w:r>
      </w:hyperlink>
      <w:r>
        <w:t xml:space="preserve"> Absatz 1 und 2 ist mit der Maßgabe entsprechend anzuwenden, dass die Frist mit der Bereitstellung an den Verbraucher beginnt.</w:t>
      </w:r>
    </w:p>
    <w:p>
      <w:r>
        <w:t xml:space="preserve">(4) </w:t>
      </w:r>
      <w:r>
        <w:rPr>
          <w:rStyle w:val="Satznummer"/>
        </w:rPr>
        <w:t>1</w:t>
      </w:r>
      <w:r>
        <w:t xml:space="preserve">Der Vertriebspartner kann sich nicht auf eine Vereinbarung berufen, die er vor Geltendmachung der in Absatz 1 bezeichneten Aufwendungsersatzansprüche mit dem Unternehmer getroffen hat und die zum Nachteil des Unternehmers von den Absätzen 1 bis 3 abweicht. </w:t>
      </w:r>
      <w:r>
        <w:rPr>
          <w:rStyle w:val="Satznummer"/>
        </w:rPr>
        <w:t>2</w:t>
      </w:r>
      <w:r>
        <w:t>Satz 1 ist auch anzuwenden, wenn die Absätze 1 bis 3 durch anderweitige Gestaltungen umgangen werden.</w:t>
      </w:r>
    </w:p>
    <w:p>
      <w:r>
        <w:t>(5) § 377 des Handelsgesetzbuchs bleibt unberührt.</w:t>
      </w:r>
    </w:p>
    <w:p>
      <w:r>
        <w:t>(6) Die vorstehenden Absätze sind auf die Ansprüche des Vertriebspartners und der übrigen Vertragspartner in der Vertriebskette gegen die jeweiligen zur Bereitstellung verpflichteten Vertragspartner entsprechend anzuwenden, wenn die Schuldner Unternehmer sind.</w:t>
      </w:r>
    </w:p>
    <w:p>
      <w:pPr>
        <w:pStyle w:val="Heading3"/>
      </w:pPr>
      <w:bookmarkStart w:id="439" w:name="b429"/>
      <w:r>
        <w:t>Titel 3 Versprechen der Leistung an einen Dritten</w:t>
      </w:r>
      <w:bookmarkEnd w:id="439"/>
    </w:p>
    <w:p>
      <w:pPr>
        <w:pStyle w:val="Heading4"/>
      </w:pPr>
      <w:bookmarkStart w:id="440" w:name="b430"/>
      <w:r>
        <w:t>§ 328 Vertrag zugunsten Dritter</w:t>
      </w:r>
      <w:r>
        <w:t xml:space="preserve"> </w:t>
      </w:r>
      <w:r>
        <w:rPr>
          <w:rStyle w:val="Suchmarke"/>
        </w:rPr>
        <w:t>#328#</w:t>
      </w:r>
      <w:bookmarkEnd w:id="440"/>
    </w:p>
    <w:p>
      <w:r>
        <w:t>(1) Durch Vertrag kann eine Leistung an einen Dritten mit der Wirkung bedungen werden, dass der Dritte unmittelbar das Recht erwirbt, die Leistung zu fordern.</w:t>
      </w:r>
    </w:p>
    <w:p>
      <w:r>
        <w:t>(2) In Ermangelung einer besonderen Bestimmung ist aus den Umständen, insbesondere aus dem Zwecke des Vertrags, zu entnehmen, ob der Dritte das Recht erwerben, ob das Recht des Dritten sofort oder nur unter gewissen Voraussetzungen entstehen und ob den Vertragschließenden die Befugnis vorbehalten sein soll, das Recht des Dritten ohne dessen Zustimmung aufzuheben oder zu ändern.</w:t>
      </w:r>
    </w:p>
    <w:p>
      <w:pPr>
        <w:pStyle w:val="Heading4"/>
      </w:pPr>
      <w:bookmarkStart w:id="441" w:name="b431"/>
      <w:r>
        <w:t>§ 329 Auslegungsregel bei Erfüllungsübernahme</w:t>
      </w:r>
      <w:r>
        <w:t xml:space="preserve"> </w:t>
      </w:r>
      <w:r>
        <w:rPr>
          <w:rStyle w:val="Suchmarke"/>
        </w:rPr>
        <w:t>#329#</w:t>
      </w:r>
      <w:bookmarkEnd w:id="441"/>
    </w:p>
    <w:p>
      <w:r>
        <w:t>Verpflichtet sich in einem Vertrag der eine Teil zur Befriedigung eines Gläubigers des anderen Teils, ohne die Schuld zu übernehmen, so ist im Zweifel nicht anzunehmen, dass der Gläubiger unmittelbar das Recht erwerben soll, die Befriedigung von ihm zu fordern.</w:t>
      </w:r>
    </w:p>
    <w:p>
      <w:pPr>
        <w:pStyle w:val="Heading4"/>
      </w:pPr>
      <w:bookmarkStart w:id="442" w:name="b432"/>
      <w:r>
        <w:t>§ 330 Auslegungsregel bei Leibrentenvertrag</w:t>
      </w:r>
      <w:r>
        <w:t xml:space="preserve"> </w:t>
      </w:r>
      <w:r>
        <w:rPr>
          <w:rStyle w:val="Suchmarke"/>
        </w:rPr>
        <w:t>#330#</w:t>
      </w:r>
      <w:bookmarkEnd w:id="442"/>
    </w:p>
    <w:p>
      <w:r>
        <w:rPr>
          <w:rStyle w:val="Satznummer"/>
        </w:rPr>
        <w:t>1</w:t>
      </w:r>
      <w:r>
        <w:t xml:space="preserve">Wird in einem Leibrentenvertrag die Zahlung der Leibrente an einen Dritten vereinbart, ist im Zweifel anzunehmen, dass der Dritte unmittelbar das Recht erwerben soll, die Leistung zu fordern. </w:t>
      </w:r>
      <w:r>
        <w:rPr>
          <w:rStyle w:val="Satznummer"/>
        </w:rPr>
        <w:t>2</w:t>
      </w:r>
      <w:r>
        <w:t>Das Gleiche gilt, wenn bei einer unentgeltlichen Zuwendung dem Bedachten eine Leistung an einen Dritten auferlegt oder bei einer Vermögens- oder Gutsübernahme von dem Übernehmer eine Leistung an einen Dritten zum Zwecke der Abfindung versprochen wird.</w:t>
      </w:r>
    </w:p>
    <w:p>
      <w:pPr>
        <w:pStyle w:val="Heading4"/>
      </w:pPr>
      <w:bookmarkStart w:id="443" w:name="b433"/>
      <w:r>
        <w:t>§ 331 Leistung nach Todesfall</w:t>
      </w:r>
      <w:r>
        <w:t xml:space="preserve"> </w:t>
      </w:r>
      <w:r>
        <w:rPr>
          <w:rStyle w:val="Suchmarke"/>
        </w:rPr>
        <w:t>#331#</w:t>
      </w:r>
      <w:bookmarkEnd w:id="443"/>
    </w:p>
    <w:p>
      <w:r>
        <w:t>(1) Soll die Leistung an den Dritten nach dem Tode desjenigen erfolgen, welchem sie versprochen wird, so erwirbt der Dritte das Recht auf die Leistung im Zweifel mit dem Tode des Versprechensempfängers.</w:t>
      </w:r>
    </w:p>
    <w:p>
      <w:r>
        <w:t>(2) Stirbt der Versprechensempfänger vor der Geburt des Dritten, so kann das Versprechen, an den Dritten zu leisten, nur dann noch aufgehoben oder geändert werden, wenn die Befugnis dazu vorbehalten worden ist.</w:t>
      </w:r>
    </w:p>
    <w:p>
      <w:pPr>
        <w:pStyle w:val="Heading4"/>
      </w:pPr>
      <w:bookmarkStart w:id="444" w:name="b434"/>
      <w:r>
        <w:t>§ 332 Änderung durch Verfügung von Todes wegen bei Vorbehalt</w:t>
      </w:r>
      <w:r>
        <w:t xml:space="preserve"> </w:t>
      </w:r>
      <w:r>
        <w:rPr>
          <w:rStyle w:val="Suchmarke"/>
        </w:rPr>
        <w:t>#332#</w:t>
      </w:r>
      <w:bookmarkEnd w:id="444"/>
    </w:p>
    <w:p>
      <w:r>
        <w:t>Hat sich der Versprechensempfänger die Befugnis vorbehalten, ohne Zustimmung des Versprechenden an die Stelle des in dem Vertrag bezeichneten Dritten einen anderen zu setzen, so kann dies im Zweifel auch in einer Verfügung von Todes wegen geschehen.</w:t>
      </w:r>
    </w:p>
    <w:p>
      <w:pPr>
        <w:pStyle w:val="Heading4"/>
      </w:pPr>
      <w:bookmarkStart w:id="445" w:name="b435"/>
      <w:r>
        <w:t>§ 333 Zurückweisung des Rechts durch den Dritten</w:t>
      </w:r>
      <w:r>
        <w:t xml:space="preserve"> </w:t>
      </w:r>
      <w:r>
        <w:rPr>
          <w:rStyle w:val="Suchmarke"/>
        </w:rPr>
        <w:t>#333#</w:t>
      </w:r>
      <w:bookmarkEnd w:id="445"/>
    </w:p>
    <w:p>
      <w:r>
        <w:t>Weist der Dritte das aus dem Vertrag erworbene Recht dem Versprechenden gegenüber zurück, so gilt das Recht als nicht erworben.</w:t>
      </w:r>
    </w:p>
    <w:p>
      <w:pPr>
        <w:pStyle w:val="Heading4"/>
      </w:pPr>
      <w:bookmarkStart w:id="446" w:name="b436"/>
      <w:r>
        <w:t>§ 334 Einwendungen des Schuldners gegenüber dem Dritten</w:t>
      </w:r>
      <w:r>
        <w:t xml:space="preserve"> </w:t>
      </w:r>
      <w:r>
        <w:rPr>
          <w:rStyle w:val="Suchmarke"/>
        </w:rPr>
        <w:t>#334#</w:t>
      </w:r>
      <w:bookmarkEnd w:id="446"/>
    </w:p>
    <w:p>
      <w:r>
        <w:t>Einwendungen aus dem Vertrag stehen dem Versprechenden auch gegenüber dem Dritten zu.</w:t>
      </w:r>
    </w:p>
    <w:p>
      <w:pPr>
        <w:pStyle w:val="Heading4"/>
      </w:pPr>
      <w:bookmarkStart w:id="447" w:name="b437"/>
      <w:r>
        <w:t>§ 335 Forderungsrecht des Versprechensempfängers</w:t>
      </w:r>
      <w:r>
        <w:t xml:space="preserve"> </w:t>
      </w:r>
      <w:r>
        <w:rPr>
          <w:rStyle w:val="Suchmarke"/>
        </w:rPr>
        <w:t>#335#</w:t>
      </w:r>
      <w:bookmarkEnd w:id="447"/>
    </w:p>
    <w:p>
      <w:r>
        <w:t>Der Versprechensempfänger kann, sofern nicht ein anderer Wille der Vertragschließenden anzunehmen ist, die Leistung an den Dritten auch dann fordern, wenn diesem das Recht auf die Leistung zusteht.</w:t>
      </w:r>
    </w:p>
    <w:p>
      <w:pPr>
        <w:pStyle w:val="Heading3"/>
      </w:pPr>
      <w:bookmarkStart w:id="448" w:name="b438"/>
      <w:r>
        <w:t>Titel 4 Draufgabe, Vertragsstrafe</w:t>
      </w:r>
      <w:bookmarkEnd w:id="448"/>
    </w:p>
    <w:p>
      <w:pPr>
        <w:pStyle w:val="Heading4"/>
      </w:pPr>
      <w:bookmarkStart w:id="449" w:name="b439"/>
      <w:r>
        <w:t>§ 336 Auslegung der Draufgabe</w:t>
      </w:r>
      <w:r>
        <w:t xml:space="preserve"> </w:t>
      </w:r>
      <w:r>
        <w:rPr>
          <w:rStyle w:val="Suchmarke"/>
        </w:rPr>
        <w:t>#336#</w:t>
      </w:r>
      <w:bookmarkEnd w:id="449"/>
    </w:p>
    <w:p>
      <w:r>
        <w:t>(1) Wird bei der Eingehung eines Vertrags etwas als Draufgabe gegeben, so gilt dies als Zeichen des Abschlusses des Vertrags.</w:t>
      </w:r>
    </w:p>
    <w:p>
      <w:r>
        <w:t>(2) Die Draufgabe gilt im Zweifel nicht als Reugeld.</w:t>
      </w:r>
    </w:p>
    <w:p>
      <w:pPr>
        <w:pStyle w:val="Heading4"/>
      </w:pPr>
      <w:bookmarkStart w:id="450" w:name="b440"/>
      <w:r>
        <w:t>§ 337 Anrechnung oder Rückgabe der Draufgabe</w:t>
      </w:r>
      <w:r>
        <w:t xml:space="preserve"> </w:t>
      </w:r>
      <w:r>
        <w:rPr>
          <w:rStyle w:val="Suchmarke"/>
        </w:rPr>
        <w:t>#337#</w:t>
      </w:r>
      <w:bookmarkEnd w:id="450"/>
    </w:p>
    <w:p>
      <w:r>
        <w:t>(1) Die Draufgabe ist im Zweifel auf die von dem Geber geschuldete Leistung anzurechnen oder, wenn dies nicht geschehen kann, bei der Erfüllung des Vertrags zurückzugeben.</w:t>
      </w:r>
    </w:p>
    <w:p>
      <w:r>
        <w:t>(2) Wird der Vertrag wieder aufgehoben, so ist die Draufgabe zurückzugeben.</w:t>
      </w:r>
    </w:p>
    <w:p>
      <w:pPr>
        <w:pStyle w:val="Heading4"/>
      </w:pPr>
      <w:bookmarkStart w:id="451" w:name="b441"/>
      <w:r>
        <w:t>§ 338 Draufgabe bei zu vertretender Unmöglichkeit der Leistung</w:t>
      </w:r>
      <w:r>
        <w:t xml:space="preserve"> </w:t>
      </w:r>
      <w:r>
        <w:rPr>
          <w:rStyle w:val="Suchmarke"/>
        </w:rPr>
        <w:t>#338#</w:t>
      </w:r>
      <w:bookmarkEnd w:id="451"/>
    </w:p>
    <w:p>
      <w:r>
        <w:rPr>
          <w:rStyle w:val="Satznummer"/>
        </w:rPr>
        <w:t>1</w:t>
      </w:r>
      <w:r>
        <w:t xml:space="preserve">Wird die von dem Geber geschuldete Leistung infolge eines Umstands, den er zu vertreten hat, unmöglich oder verschuldet der Geber die Wiederaufhebung des Vertrags, so ist der Empfänger berechtigt, die Draufgabe zu behalten. </w:t>
      </w:r>
      <w:r>
        <w:rPr>
          <w:rStyle w:val="Satznummer"/>
        </w:rPr>
        <w:t>2</w:t>
      </w:r>
      <w:r>
        <w:t>Verlangt der Empfänger Schadensersatz wegen Nichterfüllung, so ist die Draufgabe im Zweifel anzurechnen oder, wenn dies nicht geschehen kann, bei der Leistung des Schadensersatzes zurückzugeben.</w:t>
      </w:r>
    </w:p>
    <w:p>
      <w:pPr>
        <w:pStyle w:val="Heading4"/>
      </w:pPr>
      <w:bookmarkStart w:id="452" w:name="b442"/>
      <w:r>
        <w:t>§ 339 Verwirkung der Vertragsstrafe</w:t>
      </w:r>
      <w:r>
        <w:t xml:space="preserve"> </w:t>
      </w:r>
      <w:r>
        <w:rPr>
          <w:rStyle w:val="Suchmarke"/>
        </w:rPr>
        <w:t>#339#</w:t>
      </w:r>
      <w:bookmarkEnd w:id="452"/>
    </w:p>
    <w:p>
      <w:r>
        <w:rPr>
          <w:rStyle w:val="Satznummer"/>
        </w:rPr>
        <w:t>1</w:t>
      </w:r>
      <w:r>
        <w:t xml:space="preserve">Verspricht der Schuldner dem Gläubiger für den Fall, dass er seine Verbindlichkeit nicht oder nicht in gehöriger Weise erfüllt, die Zahlung einer Geldsumme als Strafe, so ist die Strafe verwirkt, wenn er in Verzug kommt. </w:t>
      </w:r>
      <w:r>
        <w:rPr>
          <w:rStyle w:val="Satznummer"/>
        </w:rPr>
        <w:t>2</w:t>
      </w:r>
      <w:r>
        <w:t>Besteht die geschuldete Leistung in einem Unterlassen, so tritt die Verwirkung mit der Zuwiderhandlung ein.</w:t>
      </w:r>
    </w:p>
    <w:p>
      <w:pPr>
        <w:pStyle w:val="Heading4"/>
      </w:pPr>
      <w:bookmarkStart w:id="453" w:name="b443"/>
      <w:r>
        <w:t>§ 340 Strafversprechen für Nichterfüllung</w:t>
      </w:r>
      <w:r>
        <w:t xml:space="preserve"> </w:t>
      </w:r>
      <w:r>
        <w:rPr>
          <w:rStyle w:val="Suchmarke"/>
        </w:rPr>
        <w:t>#340#</w:t>
      </w:r>
      <w:bookmarkEnd w:id="453"/>
    </w:p>
    <w:p>
      <w:r>
        <w:t xml:space="preserve">(1) </w:t>
      </w:r>
      <w:r>
        <w:rPr>
          <w:rStyle w:val="Satznummer"/>
        </w:rPr>
        <w:t>1</w:t>
      </w:r>
      <w:r>
        <w:t xml:space="preserve">Hat der Schuldner die Strafe für den Fall versprochen, dass er seine Verbindlichkeit nicht erfüllt, so kann der Gläubiger die verwirkte Strafe statt der Erfüllung verlangen. </w:t>
      </w:r>
      <w:r>
        <w:rPr>
          <w:rStyle w:val="Satznummer"/>
        </w:rPr>
        <w:t>2</w:t>
      </w:r>
      <w:r>
        <w:t>Erklärt der Gläubiger dem Schuldner, dass er die Strafe verlange, so ist der Anspruch auf Erfüllung ausgeschlossen.</w:t>
      </w:r>
    </w:p>
    <w:p>
      <w:r>
        <w:t xml:space="preserve">(2) </w:t>
      </w:r>
      <w:r>
        <w:rPr>
          <w:rStyle w:val="Satznummer"/>
        </w:rPr>
        <w:t>1</w:t>
      </w:r>
      <w:r>
        <w:t xml:space="preserve">Steht dem Gläubiger ein Anspruch auf Schadensersatz wegen Nichterfüllung zu, so kann er die verwirkte Strafe als Mindestbetrag des Schadens verlangen. </w:t>
      </w:r>
      <w:r>
        <w:rPr>
          <w:rStyle w:val="Satznummer"/>
        </w:rPr>
        <w:t>2</w:t>
      </w:r>
      <w:r>
        <w:t>Die Geltendmachung eines weiteren Schadens ist nicht ausgeschlossen.</w:t>
      </w:r>
    </w:p>
    <w:p>
      <w:pPr>
        <w:pStyle w:val="Heading4"/>
      </w:pPr>
      <w:bookmarkStart w:id="454" w:name="b444"/>
      <w:r>
        <w:t>§ 341 Strafversprechen für nicht gehörige Erfüllung</w:t>
      </w:r>
      <w:r>
        <w:t xml:space="preserve"> </w:t>
      </w:r>
      <w:r>
        <w:rPr>
          <w:rStyle w:val="Suchmarke"/>
        </w:rPr>
        <w:t>#341#</w:t>
      </w:r>
      <w:bookmarkEnd w:id="454"/>
    </w:p>
    <w:p>
      <w:r>
        <w:t>(1) Hat der Schuldner die Strafe für den Fall versprochen, dass er seine Verbindlichkeit nicht in gehöriger Weise, insbesondere nicht zu der bestimmten Zeit, erfüllt, so kann der Gläubiger die verwirkte Strafe neben der Erfüllung verlangen.</w:t>
      </w:r>
    </w:p>
    <w:p>
      <w:r>
        <w:t>(2) Steht dem Gläubiger ein Anspruch auf Schadensersatz wegen der nicht gehörigen Erfüllung zu, so findet die Vorschrift des § 340 Abs. 2 Anwendung.</w:t>
      </w:r>
    </w:p>
    <w:p>
      <w:r>
        <w:t>(3) Nimmt der Gläubiger die Erfüllung an, so kann er die Strafe nur verlangen, wenn er sich das Recht dazu bei der Annahme vorbehält.</w:t>
      </w:r>
    </w:p>
    <w:p>
      <w:pPr>
        <w:pStyle w:val="Heading4"/>
      </w:pPr>
      <w:bookmarkStart w:id="455" w:name="b445"/>
      <w:r>
        <w:t>§ 342 Andere als Geldstrafe</w:t>
      </w:r>
      <w:r>
        <w:t xml:space="preserve"> </w:t>
      </w:r>
      <w:r>
        <w:rPr>
          <w:rStyle w:val="Suchmarke"/>
        </w:rPr>
        <w:t>#342#</w:t>
      </w:r>
      <w:bookmarkEnd w:id="455"/>
    </w:p>
    <w:p>
      <w:r>
        <w:t>Wird als Strafe eine andere Leistung als die Zahlung einer Geldsumme versprochen, so finden die Vorschriften der §§ 339 bis 341 Anwendung; der Anspruch auf Schadensersatz ist ausgeschlossen, wenn der Gläubiger die Strafe verlangt.</w:t>
      </w:r>
    </w:p>
    <w:p>
      <w:pPr>
        <w:pStyle w:val="Heading4"/>
      </w:pPr>
      <w:bookmarkStart w:id="456" w:name="b446"/>
      <w:r>
        <w:t>§ 343 Herabsetzung der Strafe</w:t>
      </w:r>
      <w:r>
        <w:t xml:space="preserve"> </w:t>
      </w:r>
      <w:r>
        <w:rPr>
          <w:rStyle w:val="Suchmarke"/>
        </w:rPr>
        <w:t>#343#</w:t>
      </w:r>
      <w:bookmarkEnd w:id="456"/>
    </w:p>
    <w:p>
      <w:r>
        <w:t xml:space="preserve">(1) </w:t>
      </w:r>
      <w:r>
        <w:rPr>
          <w:rStyle w:val="Satznummer"/>
        </w:rPr>
        <w:t>1</w:t>
      </w:r>
      <w:r>
        <w:t xml:space="preserve">Ist eine verwirkte Strafe unverhältnismäßig hoch, so kann sie auf Antrag des Schuldners durch Urteil auf den angemessenen Betrag herabgesetzt werden. </w:t>
      </w:r>
      <w:r>
        <w:rPr>
          <w:rStyle w:val="Satznummer"/>
        </w:rPr>
        <w:t>2</w:t>
      </w:r>
      <w:r>
        <w:t xml:space="preserve">Bei der Beurteilung der Angemessenheit ist jedes berechtigte Interesse des Gläubigers, nicht bloß das Vermögensinteresse, in Betracht zu ziehen. </w:t>
      </w:r>
      <w:r>
        <w:rPr>
          <w:rStyle w:val="Satznummer"/>
        </w:rPr>
        <w:t>3</w:t>
      </w:r>
      <w:r>
        <w:t>Nach der Entrichtung der Strafe ist die Herabsetzung ausgeschlossen.</w:t>
      </w:r>
    </w:p>
    <w:p>
      <w:r>
        <w:t xml:space="preserve">(2) Das Gleiche gilt auch außer in den Fällen der </w:t>
      </w:r>
      <w:hyperlink w:anchor="b442" w:history="1">
        <w:r>
          <w:rPr>
            <w:color w:val="0A3A8C"/>
            <w:u w:val="single"/>
          </w:rPr>
          <w:t xml:space="preserve">§§ 339</w:t>
        </w:r>
      </w:hyperlink>
      <w:r>
        <w:t xml:space="preserve">, </w:t>
      </w:r>
      <w:hyperlink w:anchor="b445" w:history="1">
        <w:r>
          <w:rPr>
            <w:color w:val="0A3A8C"/>
            <w:u w:val="single"/>
          </w:rPr>
          <w:t xml:space="preserve">342</w:t>
        </w:r>
      </w:hyperlink>
      <w:r>
        <w:t>, wenn jemand eine Strafe für den Fall verspricht, dass er eine Handlung vornimmt oder unterlässt.</w:t>
      </w:r>
    </w:p>
    <w:p>
      <w:pPr>
        <w:pStyle w:val="Heading4"/>
      </w:pPr>
      <w:bookmarkStart w:id="457" w:name="b447"/>
      <w:r>
        <w:t>§ 344 Unwirksames Strafversprechen</w:t>
      </w:r>
      <w:r>
        <w:t xml:space="preserve"> </w:t>
      </w:r>
      <w:r>
        <w:rPr>
          <w:rStyle w:val="Suchmarke"/>
        </w:rPr>
        <w:t>#344#</w:t>
      </w:r>
      <w:bookmarkEnd w:id="457"/>
    </w:p>
    <w:p>
      <w:r>
        <w:t>Erklärt das Gesetz das Versprechen einer Leistung für unwirksam, so ist auch die für den Fall der Nichterfüllung des Versprechens getroffene Vereinbarung einer Strafe unwirksam, selbst wenn die Parteien die Unwirksamkeit des Versprechens gekannt haben.</w:t>
      </w:r>
    </w:p>
    <w:p>
      <w:pPr>
        <w:pStyle w:val="Heading4"/>
      </w:pPr>
      <w:bookmarkStart w:id="458" w:name="b448"/>
      <w:r>
        <w:t>§ 345 Beweislast</w:t>
      </w:r>
      <w:r>
        <w:t xml:space="preserve"> </w:t>
      </w:r>
      <w:r>
        <w:rPr>
          <w:rStyle w:val="Suchmarke"/>
        </w:rPr>
        <w:t>#345#</w:t>
      </w:r>
      <w:bookmarkEnd w:id="458"/>
    </w:p>
    <w:p>
      <w:r>
        <w:t>Bestreitet der Schuldner die Verwirkung der Strafe, weil er seine Verbindlichkeit erfüllt habe, so hat er die Erfüllung zu beweisen, sofern nicht die geschuldete Leistung in einem Unterlassen besteht.</w:t>
      </w:r>
    </w:p>
    <w:p>
      <w:pPr>
        <w:pStyle w:val="Heading3"/>
      </w:pPr>
      <w:bookmarkStart w:id="459" w:name="b449"/>
      <w:r>
        <w:t>Titel 5 Rücktritt; Widerrufsrecht bei Verbraucherverträgen</w:t>
      </w:r>
      <w:bookmarkEnd w:id="459"/>
    </w:p>
    <w:p>
      <w:pPr>
        <w:pStyle w:val="Heading4"/>
      </w:pPr>
      <w:bookmarkStart w:id="460" w:name="b450"/>
      <w:r>
        <w:t>Untertitel 1 Rücktritt</w:t>
      </w:r>
      <w:bookmarkEnd w:id="460"/>
    </w:p>
    <w:p>
      <w:hyperlink w:anchor="f450_1" w:history="1">
        <w:r>
          <w:rPr>
            <w:rStyle w:val="Fussnotenmarke"/>
            <w:u w:val="single"/>
            <w:color w:val="0A3A8C"/>
          </w:rPr>
          <w:t>1</w:t>
        </w:r>
      </w:hyperlink>
    </w:p>
    <w:p>
      <w:pPr>
        <w:pStyle w:val="Fußnote"/>
      </w:pPr>
      <w:bookmarkStart w:id="461" w:name="f450_1"/>
      <w:r>
        <w:rPr>
          <w:rStyle w:val="Zusatz"/>
          <w:b/>
        </w:rPr>
        <w:t xml:space="preserve">Fußnote 1: </w:t>
      </w:r>
      <w:r>
        <w:rPr>
          <w:b/>
        </w:rPr>
        <w:t>Amtlicher Hinweis:</w:t>
      </w:r>
      <w:r>
        <w:br/>
      </w:r>
      <w:r>
        <w:t>Dieser Untertitel dient auch der Umsetzung der Richtlinie 1999/44/EG des Europäischen Parlaments und des Rates vom 25. Mai 1999 zu bestimmten Aspekten des Verbrauchsgüterkaufs und der Garantien für Verbrauchsgüter (ABl. EG Nr. L 171 S. 12).</w:t>
      </w:r>
      <w:bookmarkEnd w:id="461"/>
    </w:p>
    <w:p>
      <w:pPr>
        <w:pStyle w:val="Heading5"/>
      </w:pPr>
      <w:bookmarkStart w:id="462" w:name="b451"/>
      <w:r>
        <w:t>§ 346 Wirkungen des Rücktritts</w:t>
      </w:r>
      <w:r>
        <w:t xml:space="preserve"> </w:t>
      </w:r>
      <w:r>
        <w:rPr>
          <w:rStyle w:val="Suchmarke"/>
        </w:rPr>
        <w:t>#346#</w:t>
      </w:r>
      <w:bookmarkEnd w:id="462"/>
    </w:p>
    <w:p>
      <w:r>
        <w:t>(1) Hat sich eine Vertragspartei vertraglich den Rücktritt vorbehalten oder steht ihr ein gesetzliches Rücktrittsrecht zu, so sind im Falle des Rücktritts die empfangenen Leistungen zurückzugewähren und die gezogenen Nutzungen herauszugeben.</w:t>
      </w:r>
    </w:p>
    <w:p>
      <w:r>
        <w:t xml:space="preserve">(2) </w:t>
      </w:r>
      <w:r>
        <w:rPr>
          <w:rStyle w:val="Satznummer"/>
        </w:rPr>
        <w:t>1</w:t>
      </w:r>
      <w:r>
        <w:t>Statt der Rückgewähr oder Herausgabe hat der Schuldner Wertersatz zu leisten, soweit</w:t>
      </w:r>
    </w:p>
    <w:p>
      <w:pPr>
        <w:tabs>
          <w:tab w:pos="567" w:val="left"/>
        </w:tabs>
        <w:ind w:left="567" w:hanging="567"/>
      </w:pPr>
      <w:r>
        <w:t>1.</w:t>
      </w:r>
      <w:r>
        <w:tab/>
      </w:r>
      <w:r>
        <w:t>die Rückgewähr oder die Herausgabe nach der Natur des Erlangten ausgeschlossen ist,</w:t>
      </w:r>
    </w:p>
    <w:p>
      <w:pPr>
        <w:tabs>
          <w:tab w:pos="567" w:val="left"/>
        </w:tabs>
        <w:ind w:left="567" w:hanging="567"/>
      </w:pPr>
      <w:r>
        <w:t>2.</w:t>
      </w:r>
      <w:r>
        <w:tab/>
      </w:r>
      <w:r>
        <w:t>er den empfangenen Gegenstand verbraucht, veräußert, belastet, verarbeitet oder umgestaltet hat,</w:t>
      </w:r>
    </w:p>
    <w:p>
      <w:pPr>
        <w:tabs>
          <w:tab w:pos="567" w:val="left"/>
        </w:tabs>
        <w:ind w:left="567" w:hanging="567"/>
      </w:pPr>
      <w:r>
        <w:t>3.</w:t>
      </w:r>
      <w:r>
        <w:tab/>
      </w:r>
      <w:r>
        <w:t>der empfangene Gegenstand sich verschlechtert hat oder untergegangen ist; jedoch bleibt die durch die bestimmungsgemäße Ingebrauchnahme entstandene Verschlechterung außer Betracht.</w:t>
      </w:r>
    </w:p>
    <w:p>
      <w:r>
        <w:rPr>
          <w:rStyle w:val="Satznummer"/>
        </w:rPr>
        <w:t>2</w:t>
      </w:r>
      <w:r>
        <w:t>Ist im Vertrag eine Gegenleistung bestimmt, ist sie bei der Berechnung des Wertersatzes zugrunde zu legen; ist Wertersatz für den Gebrauchsvorteil eines Darlehens zu leisten, kann nachgewiesen werden, dass der Wert des Gebrauchsvorteils niedriger war.</w:t>
      </w:r>
    </w:p>
    <w:p>
      <w:r>
        <w:t xml:space="preserve">(3) </w:t>
      </w:r>
      <w:r>
        <w:rPr>
          <w:rStyle w:val="Satznummer"/>
        </w:rPr>
        <w:t>1</w:t>
      </w:r>
      <w:r>
        <w:t>Die Pflicht zum Wertersatz entfällt,</w:t>
      </w:r>
    </w:p>
    <w:p>
      <w:pPr>
        <w:tabs>
          <w:tab w:pos="567" w:val="left"/>
        </w:tabs>
        <w:ind w:left="567" w:hanging="567"/>
      </w:pPr>
      <w:r>
        <w:t>1.</w:t>
      </w:r>
      <w:r>
        <w:tab/>
      </w:r>
      <w:r>
        <w:t>wenn sich der zum Rücktritt berechtigende Mangel erst während der Verarbeitung oder Umgestaltung des Gegenstandes gezeigt hat,</w:t>
      </w:r>
    </w:p>
    <w:p>
      <w:pPr>
        <w:tabs>
          <w:tab w:pos="567" w:val="left"/>
        </w:tabs>
        <w:ind w:left="567" w:hanging="567"/>
      </w:pPr>
      <w:r>
        <w:t>2.</w:t>
      </w:r>
      <w:r>
        <w:tab/>
      </w:r>
      <w:r>
        <w:t>soweit der Gläubiger die Verschlechterung oder den Untergang zu vertreten hat oder der Schaden bei ihm gleichfalls eingetreten wäre,</w:t>
      </w:r>
    </w:p>
    <w:p>
      <w:pPr>
        <w:tabs>
          <w:tab w:pos="567" w:val="left"/>
        </w:tabs>
        <w:ind w:left="567" w:hanging="567"/>
      </w:pPr>
      <w:r>
        <w:t>3.</w:t>
      </w:r>
      <w:r>
        <w:tab/>
      </w:r>
      <w:r>
        <w:t>wenn im Falle eines gesetzlichen Rücktrittsrechts die Verschlechterung oder der Untergang beim Berechtigten eingetreten ist, obwohl dieser diejenige Sorgfalt beobachtet hat, die er in eigenen Angelegenheiten anzuwenden pflegt.</w:t>
      </w:r>
    </w:p>
    <w:p>
      <w:r>
        <w:rPr>
          <w:rStyle w:val="Satznummer"/>
        </w:rPr>
        <w:t>2</w:t>
      </w:r>
      <w:r>
        <w:t>Eine verbleibende Bereicherung ist herauszugeben.</w:t>
      </w:r>
    </w:p>
    <w:p>
      <w:r>
        <w:t>(4) Der Gläubiger kann wegen Verletzung einer Pflicht aus Absatz 1 nach Maßgabe der §§ 280 bis 283 Schadensersatz verlangen.</w:t>
      </w:r>
    </w:p>
    <w:p>
      <w:pPr>
        <w:pStyle w:val="Heading5"/>
      </w:pPr>
      <w:bookmarkStart w:id="463" w:name="b452"/>
      <w:r>
        <w:t>§ 347 Nutzungen und Verwendungen nach Rücktritt</w:t>
      </w:r>
      <w:r>
        <w:t xml:space="preserve"> </w:t>
      </w:r>
      <w:r>
        <w:rPr>
          <w:rStyle w:val="Suchmarke"/>
        </w:rPr>
        <w:t>#347#</w:t>
      </w:r>
      <w:bookmarkEnd w:id="463"/>
    </w:p>
    <w:p>
      <w:r>
        <w:t xml:space="preserve">(1) </w:t>
      </w:r>
      <w:r>
        <w:rPr>
          <w:rStyle w:val="Satznummer"/>
        </w:rPr>
        <w:t>1</w:t>
      </w:r>
      <w:r>
        <w:t xml:space="preserve">Zieht der Schuldner Nutzungen entgegen den Regeln einer ordnungsmäßigen Wirtschaft nicht, obwohl ihm das möglich gewesen wäre, so ist er dem Gläubiger zum Wertersatz verpflichtet. </w:t>
      </w:r>
      <w:r>
        <w:rPr>
          <w:rStyle w:val="Satznummer"/>
        </w:rPr>
        <w:t>2</w:t>
      </w:r>
      <w:r>
        <w:t>Im Falle eines gesetzlichen Rücktrittsrechts hat der Berechtigte hinsichtlich der Nutzungen nur für diejenige Sorgfalt einzustehen, die er in eigenen Angelegenheiten anzuwenden pflegt.</w:t>
      </w:r>
    </w:p>
    <w:p>
      <w:r>
        <w:t xml:space="preserve">(2) </w:t>
      </w:r>
      <w:r>
        <w:rPr>
          <w:rStyle w:val="Satznummer"/>
        </w:rPr>
        <w:t>1</w:t>
      </w:r>
      <w:r>
        <w:t xml:space="preserve">Gibt der Schuldner den Gegenstand zurück, leistet er Wertersatz oder ist seine Wertersatzpflicht gemäß </w:t>
      </w:r>
      <w:hyperlink w:anchor="b451" w:history="1">
        <w:r>
          <w:rPr>
            <w:color w:val="0A3A8C"/>
            <w:u w:val="single"/>
          </w:rPr>
          <w:t xml:space="preserve">§ 346</w:t>
        </w:r>
      </w:hyperlink>
      <w:r>
        <w:t xml:space="preserve"> Abs. 3 Nr. 1 oder 2 ausgeschlossen, so sind ihm notwendige Verwendungen zu ersetzen. </w:t>
      </w:r>
      <w:r>
        <w:rPr>
          <w:rStyle w:val="Satznummer"/>
        </w:rPr>
        <w:t>2</w:t>
      </w:r>
      <w:r>
        <w:t>Andere Aufwendungen sind zu ersetzen, soweit der Gläubiger durch diese bereichert wird.</w:t>
      </w:r>
    </w:p>
    <w:p>
      <w:pPr>
        <w:pStyle w:val="Heading5"/>
      </w:pPr>
      <w:bookmarkStart w:id="464" w:name="b453"/>
      <w:r>
        <w:t>§ 348 Erfüllung Zug-um-Zug</w:t>
      </w:r>
      <w:r>
        <w:t xml:space="preserve"> </w:t>
      </w:r>
      <w:r>
        <w:rPr>
          <w:rStyle w:val="Suchmarke"/>
        </w:rPr>
        <w:t>#348#</w:t>
      </w:r>
      <w:bookmarkEnd w:id="464"/>
    </w:p>
    <w:p>
      <w:r>
        <w:rPr>
          <w:rStyle w:val="Satznummer"/>
        </w:rPr>
        <w:t>1</w:t>
      </w:r>
      <w:r>
        <w:t xml:space="preserve">Die sich aus dem Rücktritt ergebenden Verpflichtungen der Parteien sind Zug um Zug zu erfüllen. </w:t>
      </w:r>
      <w:r>
        <w:rPr>
          <w:rStyle w:val="Satznummer"/>
        </w:rPr>
        <w:t>2</w:t>
      </w:r>
      <w:r>
        <w:t xml:space="preserve">Die Vorschriften der </w:t>
      </w:r>
      <w:hyperlink w:anchor="b397" w:history="1">
        <w:r>
          <w:rPr>
            <w:color w:val="0A3A8C"/>
            <w:u w:val="single"/>
          </w:rPr>
          <w:t xml:space="preserve">§§ 320</w:t>
        </w:r>
      </w:hyperlink>
      <w:r>
        <w:t xml:space="preserve">, </w:t>
      </w:r>
      <w:hyperlink w:anchor="b399" w:history="1">
        <w:r>
          <w:rPr>
            <w:color w:val="0A3A8C"/>
            <w:u w:val="single"/>
          </w:rPr>
          <w:t xml:space="preserve">322</w:t>
        </w:r>
      </w:hyperlink>
      <w:r>
        <w:t xml:space="preserve"> finden entsprechende Anwendung.</w:t>
      </w:r>
    </w:p>
    <w:p>
      <w:pPr>
        <w:pStyle w:val="Heading5"/>
      </w:pPr>
      <w:bookmarkStart w:id="465" w:name="b454"/>
      <w:r>
        <w:t>§ 349 Erklärung des Rücktritts</w:t>
      </w:r>
      <w:r>
        <w:t xml:space="preserve"> </w:t>
      </w:r>
      <w:r>
        <w:rPr>
          <w:rStyle w:val="Suchmarke"/>
        </w:rPr>
        <w:t>#349#</w:t>
      </w:r>
      <w:bookmarkEnd w:id="465"/>
    </w:p>
    <w:p>
      <w:r>
        <w:t>Der Rücktritt erfolgt durch Erklärung gegenüber dem anderen Teil.</w:t>
      </w:r>
    </w:p>
    <w:p>
      <w:pPr>
        <w:pStyle w:val="Heading5"/>
      </w:pPr>
      <w:bookmarkStart w:id="466" w:name="b455"/>
      <w:r>
        <w:t>§ 350 Erlöschen des Rücktrittsrechts nach Fristsetzung</w:t>
      </w:r>
      <w:r>
        <w:t xml:space="preserve"> </w:t>
      </w:r>
      <w:r>
        <w:rPr>
          <w:rStyle w:val="Suchmarke"/>
        </w:rPr>
        <w:t>#350#</w:t>
      </w:r>
      <w:bookmarkEnd w:id="466"/>
    </w:p>
    <w:p>
      <w:r>
        <w:rPr>
          <w:rStyle w:val="Satznummer"/>
        </w:rPr>
        <w:t>1</w:t>
      </w:r>
      <w:r>
        <w:t xml:space="preserve">Ist für die Ausübung des vertraglichen Rücktrittsrechts eine Frist nicht vereinbart, so kann dem Berechtigten von dem anderen Teil für die Ausübung eine angemessene Frist bestimmt werden. </w:t>
      </w:r>
      <w:r>
        <w:rPr>
          <w:rStyle w:val="Satznummer"/>
        </w:rPr>
        <w:t>2</w:t>
      </w:r>
      <w:r>
        <w:t>Das Rücktrittsrecht erlischt, wenn nicht der Rücktritt vor dem Ablauf der Frist erklärt wird.</w:t>
      </w:r>
    </w:p>
    <w:p>
      <w:pPr>
        <w:pStyle w:val="Heading5"/>
      </w:pPr>
      <w:bookmarkStart w:id="467" w:name="b456"/>
      <w:r>
        <w:t>§ 351 Unteilbarkeit des Rücktrittsrechts</w:t>
      </w:r>
      <w:r>
        <w:t xml:space="preserve"> </w:t>
      </w:r>
      <w:r>
        <w:rPr>
          <w:rStyle w:val="Suchmarke"/>
        </w:rPr>
        <w:t>#351#</w:t>
      </w:r>
      <w:bookmarkEnd w:id="467"/>
    </w:p>
    <w:p>
      <w:r>
        <w:rPr>
          <w:rStyle w:val="Satznummer"/>
        </w:rPr>
        <w:t>1</w:t>
      </w:r>
      <w:r>
        <w:t xml:space="preserve">Sind bei einem Vertrag auf der einen oder der anderen Seite mehrere beteiligt, so kann das Rücktrittsrecht nur von allen und gegen alle ausgeübt werden. </w:t>
      </w:r>
      <w:r>
        <w:rPr>
          <w:rStyle w:val="Satznummer"/>
        </w:rPr>
        <w:t>2</w:t>
      </w:r>
      <w:r>
        <w:t>Erlischt das Rücktrittsrecht für einen der Berechtigten, so erlischt es auch für die übrigen.</w:t>
      </w:r>
    </w:p>
    <w:p>
      <w:pPr>
        <w:pStyle w:val="Heading5"/>
      </w:pPr>
      <w:bookmarkStart w:id="468" w:name="b457"/>
      <w:r>
        <w:t>§ 352 Aufrechnung nach Nichterfüllung</w:t>
      </w:r>
      <w:r>
        <w:t xml:space="preserve"> </w:t>
      </w:r>
      <w:r>
        <w:rPr>
          <w:rStyle w:val="Suchmarke"/>
        </w:rPr>
        <w:t>#352#</w:t>
      </w:r>
      <w:bookmarkEnd w:id="468"/>
    </w:p>
    <w:p>
      <w:r>
        <w:t>Der Rücktritt wegen Nichterfüllung einer Verbindlichkeit wird unwirksam, wenn der Schuldner sich von der Verbindlichkeit durch Aufrechnung befreien konnte und unverzüglich nach dem Rücktritt die Aufrechnung erklärt.</w:t>
      </w:r>
    </w:p>
    <w:p>
      <w:pPr>
        <w:pStyle w:val="Heading5"/>
      </w:pPr>
      <w:bookmarkStart w:id="469" w:name="b458"/>
      <w:r>
        <w:t>§ 353 Rücktritt gegen Reugeld</w:t>
      </w:r>
      <w:r>
        <w:t xml:space="preserve"> </w:t>
      </w:r>
      <w:r>
        <w:rPr>
          <w:rStyle w:val="Suchmarke"/>
        </w:rPr>
        <w:t>#353#</w:t>
      </w:r>
      <w:bookmarkEnd w:id="469"/>
    </w:p>
    <w:p>
      <w:r>
        <w:rPr>
          <w:rStyle w:val="Satznummer"/>
        </w:rPr>
        <w:t>1</w:t>
      </w:r>
      <w:r>
        <w:t xml:space="preserve">Ist der Rücktritt gegen Zahlung eines Reugelds vorbehalten, so ist der Rücktritt unwirksam, wenn das Reugeld nicht vor oder bei der Erklärung entrichtet wird und der andere Teil aus diesem Grunde die Erklärung unverzüglich zurückweist. </w:t>
      </w:r>
      <w:r>
        <w:rPr>
          <w:rStyle w:val="Satznummer"/>
        </w:rPr>
        <w:t>2</w:t>
      </w:r>
      <w:r>
        <w:t>Die Erklärung ist jedoch wirksam, wenn das Reugeld unverzüglich nach der Zurückweisung entrichtet wird.</w:t>
      </w:r>
    </w:p>
    <w:p>
      <w:pPr>
        <w:pStyle w:val="Heading5"/>
      </w:pPr>
      <w:bookmarkStart w:id="470" w:name="b459"/>
      <w:r>
        <w:t>§ 354 Verwirkungsklausel</w:t>
      </w:r>
      <w:r>
        <w:t xml:space="preserve"> </w:t>
      </w:r>
      <w:r>
        <w:rPr>
          <w:rStyle w:val="Suchmarke"/>
        </w:rPr>
        <w:t>#354#</w:t>
      </w:r>
      <w:bookmarkEnd w:id="470"/>
    </w:p>
    <w:p>
      <w:r>
        <w:t>Ist ein Vertrag mit dem Vorbehalt geschlossen, dass der Schuldner seiner Rechte aus dem Vertrag verlustig sein soll, wenn er seine Verbindlichkeit nicht erfüllt, so ist der Gläubiger bei dem Eintritt dieses Falles zum Rücktritt von dem Vertrag berechtigt.</w:t>
      </w:r>
    </w:p>
    <w:p>
      <w:pPr>
        <w:pStyle w:val="Heading4"/>
      </w:pPr>
      <w:bookmarkStart w:id="471" w:name="b460"/>
      <w:r>
        <w:t>Untertitel 2 Widerrufsrecht bei Verbraucherverträgen</w:t>
      </w:r>
      <w:bookmarkEnd w:id="471"/>
    </w:p>
    <w:p>
      <w:pPr>
        <w:pStyle w:val="Heading5"/>
      </w:pPr>
      <w:bookmarkStart w:id="472" w:name="b461"/>
      <w:r>
        <w:t>§ 355 Widerrufsrecht bei Verbraucherverträgen</w:t>
      </w:r>
      <w:r>
        <w:t xml:space="preserve"> </w:t>
      </w:r>
      <w:r>
        <w:rPr>
          <w:rStyle w:val="Suchmarke"/>
        </w:rPr>
        <w:t>#355#</w:t>
      </w:r>
      <w:bookmarkEnd w:id="472"/>
    </w:p>
    <w:p>
      <w:r>
        <w:t xml:space="preserve">(1) </w:t>
      </w:r>
      <w:r>
        <w:rPr>
          <w:rStyle w:val="Satznummer"/>
        </w:rPr>
        <w:t>1</w:t>
      </w:r>
      <w:r>
        <w:t xml:space="preserve">Wird einem Verbraucher durch Gesetz ein Widerrufsrecht nach dieser Vorschrift eingeräumt, so sind der Verbraucher und der Unternehmer an ihre auf den Abschluss des Vertrags gerichteten Willenserklärungen nicht mehr gebunden, wenn der Verbraucher seine Willenserklärung fristgerecht widerrufen hat. </w:t>
      </w:r>
      <w:r>
        <w:rPr>
          <w:rStyle w:val="Satznummer"/>
        </w:rPr>
        <w:t>2</w:t>
      </w:r>
      <w:r>
        <w:t xml:space="preserve">Der Widerruf erfolgt durch Erklärung gegenüber dem Unternehmer. </w:t>
      </w:r>
      <w:r>
        <w:rPr>
          <w:rStyle w:val="Satznummer"/>
        </w:rPr>
        <w:t>3</w:t>
      </w:r>
      <w:r>
        <w:t xml:space="preserve">Aus der Erklärung muss der Entschluss des Verbrauchers zum Widerruf des Vertrags eindeutig hervorgehen. </w:t>
      </w:r>
      <w:r>
        <w:rPr>
          <w:rStyle w:val="Satznummer"/>
        </w:rPr>
        <w:t>4</w:t>
      </w:r>
      <w:r>
        <w:t xml:space="preserve">Der Widerruf muss keine Begründung enthalten. </w:t>
      </w:r>
      <w:r>
        <w:rPr>
          <w:rStyle w:val="Satznummer"/>
        </w:rPr>
        <w:t>5</w:t>
      </w:r>
      <w:r>
        <w:t>Zur Fristwahrung genügt die rechtzeitige Absendung des Widerrufs.</w:t>
      </w:r>
    </w:p>
    <w:p>
      <w:r>
        <w:t xml:space="preserve">(2) </w:t>
      </w:r>
      <w:r>
        <w:rPr>
          <w:rStyle w:val="Satznummer"/>
        </w:rPr>
        <w:t>1</w:t>
      </w:r>
      <w:r>
        <w:t xml:space="preserve">Die Widerrufsfrist beträgt 14 Tage. </w:t>
      </w:r>
      <w:r>
        <w:rPr>
          <w:rStyle w:val="Satznummer"/>
        </w:rPr>
        <w:t>2</w:t>
      </w:r>
      <w:r>
        <w:t>Sie beginnt mit Vertragsschluss, soweit nichts anderes bestimmt ist.</w:t>
      </w:r>
    </w:p>
    <w:p>
      <w:r>
        <w:t xml:space="preserve">(3) </w:t>
      </w:r>
      <w:r>
        <w:rPr>
          <w:rStyle w:val="Satznummer"/>
        </w:rPr>
        <w:t>1</w:t>
      </w:r>
      <w:r>
        <w:t xml:space="preserve">Im Falle des Widerrufs sind die empfangenen Leistungen unverzüglich zurückzugewähren. </w:t>
      </w:r>
      <w:r>
        <w:rPr>
          <w:rStyle w:val="Satznummer"/>
        </w:rPr>
        <w:t>2</w:t>
      </w:r>
      <w:r>
        <w:t xml:space="preserve">Bestimmt das Gesetz eine Höchstfrist für die Rückgewähr, so beginnt diese für den Unternehmer mit dem Zugang und für den Verbraucher mit der Abgabe der Widerrufserklärung. </w:t>
      </w:r>
      <w:r>
        <w:rPr>
          <w:rStyle w:val="Satznummer"/>
        </w:rPr>
        <w:t>3</w:t>
      </w:r>
      <w:r>
        <w:t xml:space="preserve">Ein Verbraucher wahrt diese Frist durch die rechtzeitige Absendung der Waren. </w:t>
      </w:r>
      <w:r>
        <w:rPr>
          <w:rStyle w:val="Satznummer"/>
        </w:rPr>
        <w:t>4</w:t>
      </w:r>
      <w:r>
        <w:t>Der Unternehmer trägt bei Widerruf die Gefahr der Rücksendung der Waren.</w:t>
      </w:r>
    </w:p>
    <w:p>
      <w:pPr>
        <w:pStyle w:val="Heading5"/>
      </w:pPr>
      <w:bookmarkStart w:id="473" w:name="b462"/>
      <w:r>
        <w:t>§ 356 Widerrufsrecht bei außerhalb von Geschäftsräumen geschlossenen Verträgen und Fernabsatzverträgen</w:t>
      </w:r>
      <w:r>
        <w:t xml:space="preserve"> </w:t>
      </w:r>
      <w:r>
        <w:rPr>
          <w:rStyle w:val="Suchmarke"/>
        </w:rPr>
        <w:t>#356#</w:t>
      </w:r>
      <w:bookmarkEnd w:id="473"/>
    </w:p>
    <w:p>
      <w:r>
        <w:t xml:space="preserve">(1) </w:t>
      </w:r>
      <w:r>
        <w:rPr>
          <w:rStyle w:val="Satznummer"/>
        </w:rPr>
        <w:t>1</w:t>
      </w:r>
      <w:r>
        <w:t xml:space="preserve">Der Unternehmer kann dem Verbraucher die Möglichkeit einräumen, das Muster-Widerrufsformular nach Anlage 2 zu Artikel 246a § 1 Absatz 2 Satz 1 Nummer 1 des Einführungsgesetzes zum Bürgerlichen Gesetzbuche oder eine andere eindeutige Widerrufserklärung auf der Webseite des Unternehmers auszufüllen und zu übermitteln. </w:t>
      </w:r>
      <w:r>
        <w:rPr>
          <w:rStyle w:val="Satznummer"/>
        </w:rPr>
        <w:t>2</w:t>
      </w:r>
      <w:r>
        <w:t>Macht der Verbraucher von dieser Möglichkeit Gebrauch, muss der Unternehmer dem Verbraucher den Zugang des Widerrufs unverzüglich auf einem dauerhaften Datenträger bestätigen.</w:t>
      </w:r>
    </w:p>
    <w:p>
      <w:r>
        <w:t>(2) Die Widerrufsfrist beginnt</w:t>
      </w:r>
    </w:p>
    <w:p>
      <w:pPr>
        <w:tabs>
          <w:tab w:pos="567" w:val="left"/>
        </w:tabs>
        <w:ind w:left="567" w:hanging="567"/>
      </w:pPr>
      <w:r>
        <w:t>1.</w:t>
      </w:r>
      <w:r>
        <w:tab/>
      </w:r>
      <w:r>
        <w:t>bei einem Verbrauchsgüterkauf,</w:t>
      </w:r>
    </w:p>
    <w:p>
      <w:pPr>
        <w:tabs>
          <w:tab w:pos="1134" w:val="left"/>
        </w:tabs>
        <w:ind w:left="1134" w:hanging="567"/>
      </w:pPr>
      <w:r>
        <w:t>a)</w:t>
      </w:r>
      <w:r>
        <w:tab/>
      </w:r>
      <w:r>
        <w:t>der nicht unter die Buchstaben b bis d fällt, sobald der Verbraucher oder ein von ihm benannter Dritter, der nicht Frachtführer ist, die Waren erhalten hat,</w:t>
      </w:r>
    </w:p>
    <w:p>
      <w:pPr>
        <w:tabs>
          <w:tab w:pos="1134" w:val="left"/>
        </w:tabs>
        <w:ind w:left="1134" w:hanging="567"/>
      </w:pPr>
      <w:r>
        <w:t>b)</w:t>
      </w:r>
      <w:r>
        <w:tab/>
      </w:r>
      <w:r>
        <w:t>bei dem der Verbraucher mehrere Waren im Rahmen einer einheitlichen Bestellung bestellt hat und die Waren getrennt geliefert werden, sobald der Verbraucher oder ein von ihm benannter Dritter, der nicht Frachtführer ist, die letzte Ware erhalten hat,</w:t>
      </w:r>
    </w:p>
    <w:p>
      <w:pPr>
        <w:tabs>
          <w:tab w:pos="1134" w:val="left"/>
        </w:tabs>
        <w:ind w:left="1134" w:hanging="567"/>
      </w:pPr>
      <w:r>
        <w:t>c)</w:t>
      </w:r>
      <w:r>
        <w:tab/>
      </w:r>
      <w:r>
        <w:t>bei dem die Ware in mehreren Teilsendungen oder Stücken geliefert wird, sobald der Verbraucher oder ein vom Verbraucher benannter Dritter, der nicht Frachtführer ist, die letzte Teilsendung oder das letzte Stück erhalten hat,</w:t>
      </w:r>
    </w:p>
    <w:p>
      <w:pPr>
        <w:tabs>
          <w:tab w:pos="1134" w:val="left"/>
        </w:tabs>
        <w:ind w:left="1134" w:hanging="567"/>
      </w:pPr>
      <w:r>
        <w:t>d)</w:t>
      </w:r>
      <w:r>
        <w:tab/>
      </w:r>
      <w:r>
        <w:t>der auf die regelmäßige Lieferung von Waren über einen festgelegten Zeitraum gerichtet ist, sobald der Verbraucher oder ein von ihm benannter Dritter, der nicht Frachtführer ist, die erste Ware erhalten hat,</w:t>
      </w:r>
    </w:p>
    <w:p>
      <w:pPr>
        <w:tabs>
          <w:tab w:pos="567" w:val="left"/>
        </w:tabs>
        <w:ind w:left="567" w:hanging="567"/>
      </w:pPr>
      <w:r>
        <w:t>2.</w:t>
      </w:r>
      <w:r>
        <w:tab/>
      </w:r>
      <w:r>
        <w:t>bei einem Vertrag, der die nicht in einem begrenzten Volumen oder in einer bestimmten Menge angebotene Lieferung von Wasser, Gas oder Strom, die Lieferung von Fernwärme oder die Lieferung von nicht auf einem körperlichen Datenträger befindlichen digitalen Inhalten zum Gegenstand hat, mit Vertragsschluss.</w:t>
      </w:r>
    </w:p>
    <w:p>
      <w:r>
        <w:t xml:space="preserve">(3) </w:t>
      </w:r>
      <w:r>
        <w:rPr>
          <w:rStyle w:val="Satznummer"/>
        </w:rPr>
        <w:t>1</w:t>
      </w:r>
      <w:r>
        <w:t xml:space="preserve">Die Widerrufsfrist beginnt nicht, bevor der Unternehmer den Verbraucher entsprechend den Anforderungen des Artikels 246a § 1 Absatz 2 Satz 1 Nummer 1 des Einführungsgesetzes zum Bürgerlichen Gesetzbuche unterrichtet hat. </w:t>
      </w:r>
      <w:r>
        <w:rPr>
          <w:rStyle w:val="Satznummer"/>
        </w:rPr>
        <w:t>2</w:t>
      </w:r>
      <w:r>
        <w:t>Bei Verträgen über Finanzdienstleistungen beginnt die Widerrufsfrist nicht, bevor der Verbraucher die Vertragsbestimmungen einschließlich der Allgemeinen Geschäftsbedingungen erhalten hat und der Unternehmer den Verbraucher entsprechend den Anforderungen des Artikels 246b § 2 Absatz 1 des Einführungsgesetzes zum Bürgerlichen Gesetzbuche unterrichtet hat.</w:t>
      </w:r>
    </w:p>
    <w:p>
      <w:r>
        <w:t xml:space="preserve">(4) </w:t>
      </w:r>
      <w:r>
        <w:rPr>
          <w:rStyle w:val="Satznummer"/>
        </w:rPr>
        <w:t>1</w:t>
      </w:r>
      <w:r>
        <w:t xml:space="preserve">Das Widerrufsrecht erlischt spätestens zwölf Monate und 14 Tage nach dem in Absatz 2 oder </w:t>
      </w:r>
      <w:hyperlink w:anchor="b461" w:history="1">
        <w:r>
          <w:rPr>
            <w:color w:val="0A3A8C"/>
            <w:u w:val="single"/>
          </w:rPr>
          <w:t xml:space="preserve">§ 355</w:t>
        </w:r>
      </w:hyperlink>
      <w:r>
        <w:t xml:space="preserve"> Absatz 2 Satz 2 genannten Zeitpunkt. </w:t>
      </w:r>
      <w:r>
        <w:rPr>
          <w:rStyle w:val="Satznummer"/>
        </w:rPr>
        <w:t>2</w:t>
      </w:r>
      <w:r>
        <w:t>Bei Verträgen über Finanzdienstleistungen gilt Satz 1 nicht, wenn der Verbraucher nicht nach Artikel 246b § 1 Absatz 1 Nummer 16 des Einführungsgesetzes zum Bürgerlichen Gesetzbuche über sein Widerrufsrecht belehrt wurde.</w:t>
      </w:r>
    </w:p>
    <w:p>
      <w:r>
        <w:t>(5) Das Widerrufsrecht erlischt bei Verträgen über die Erbringung von Dienstleistungen auch unter folgenden Voraussetzungen:</w:t>
      </w:r>
    </w:p>
    <w:p>
      <w:pPr>
        <w:tabs>
          <w:tab w:pos="567" w:val="left"/>
        </w:tabs>
        <w:ind w:left="567" w:hanging="567"/>
      </w:pPr>
      <w:r>
        <w:t>1.</w:t>
      </w:r>
      <w:r>
        <w:tab/>
      </w:r>
      <w:r>
        <w:t>bei einem Vertrag, der den Verbraucher nicht zur Zahlung eines Preises verpflichtet, wenn der Unternehmer die Dienstleistung vollständig erbracht hat,</w:t>
      </w:r>
    </w:p>
    <w:p>
      <w:pPr>
        <w:tabs>
          <w:tab w:pos="567" w:val="left"/>
        </w:tabs>
        <w:ind w:left="567" w:hanging="567"/>
      </w:pPr>
      <w:r>
        <w:t>2.</w:t>
      </w:r>
      <w:r>
        <w:tab/>
      </w:r>
      <w:r>
        <w:t>bei einem Vertrag, der den Verbraucher zur Zahlung eines Preises verpflichtet, mit der vollständigen Erbringung der Dienstleistung, wenn der Verbraucher vor Beginn der Erbringung</w:t>
      </w:r>
    </w:p>
    <w:p>
      <w:pPr>
        <w:tabs>
          <w:tab w:pos="1134" w:val="left"/>
        </w:tabs>
        <w:ind w:left="1134" w:hanging="567"/>
      </w:pPr>
      <w:r>
        <w:t>a)</w:t>
      </w:r>
      <w:r>
        <w:tab/>
      </w:r>
      <w:r>
        <w:t>ausdrücklich zugestimmt hat, dass der Unternehmer mit der Erbringung der Dienstleistung vor Ablauf der Widerrufsfrist beginnt,</w:t>
      </w:r>
    </w:p>
    <w:p>
      <w:pPr>
        <w:tabs>
          <w:tab w:pos="1134" w:val="left"/>
        </w:tabs>
        <w:ind w:left="1134" w:hanging="567"/>
      </w:pPr>
      <w:r>
        <w:t>b)</w:t>
      </w:r>
      <w:r>
        <w:tab/>
      </w:r>
      <w:r>
        <w:t>bei einem außerhalb von Geschäftsräumen geschlossenen Vertrag die Zustimmung nach Buchstabe a auf einem dauerhaften Datenträger übermittelt hat und</w:t>
      </w:r>
    </w:p>
    <w:p>
      <w:pPr>
        <w:tabs>
          <w:tab w:pos="1134" w:val="left"/>
        </w:tabs>
        <w:ind w:left="1134" w:hanging="567"/>
      </w:pPr>
      <w:r>
        <w:t>c)</w:t>
      </w:r>
      <w:r>
        <w:tab/>
      </w:r>
      <w:r>
        <w:t>seine Kenntnis davon bestätigt hat, dass sein Widerrufsrecht mit vollständiger Vertragserfüllung durch den Unternehmer erlischt,</w:t>
      </w:r>
    </w:p>
    <w:p>
      <w:pPr>
        <w:tabs>
          <w:tab w:pos="567" w:val="left"/>
        </w:tabs>
        <w:ind w:left="567" w:hanging="567"/>
      </w:pPr>
      <w:r>
        <w:t>3.</w:t>
      </w:r>
      <w:r>
        <w:tab/>
      </w:r>
      <w:r>
        <w:t>bei einem Vertrag, bei dem der Verbraucher den Unternehmer ausdrücklich aufgefordert hat, ihn aufzusuchen, um Reparaturarbeiten auszuführen, mit der vollständigen Erbringung der Dienstleistung, wenn der Verbraucher die in Nummer 2 Buchstabe a und b genannten Voraussetzungen erfüllt hat,</w:t>
      </w:r>
    </w:p>
    <w:p>
      <w:pPr>
        <w:tabs>
          <w:tab w:pos="567" w:val="left"/>
        </w:tabs>
        <w:ind w:left="567" w:hanging="567"/>
      </w:pPr>
      <w:r>
        <w:t>4.</w:t>
      </w:r>
      <w:r>
        <w:tab/>
      </w:r>
      <w:r>
        <w:t>bei einem Vertrag über die Erbringung von Finanzdienstleistungen, wenn der Vertrag von beiden Seiten auf ausdrücklichen Wunsch des Verbrauchers vollständig erfüllt ist, bevor der Verbraucher sein Widerrufsrecht ausübt.</w:t>
      </w:r>
    </w:p>
    <w:p>
      <w:r>
        <w:t>(6) Das Widerrufsrecht erlischt bei Verträgen über die Bereitstellung von nicht auf einem körperlichen Datenträger befindlichen digitalen Inhalten auch unter folgenden Voraussetzungen:</w:t>
      </w:r>
    </w:p>
    <w:p>
      <w:pPr>
        <w:tabs>
          <w:tab w:pos="567" w:val="left"/>
        </w:tabs>
        <w:ind w:left="567" w:hanging="567"/>
      </w:pPr>
      <w:r>
        <w:t>1.</w:t>
      </w:r>
      <w:r>
        <w:tab/>
      </w:r>
      <w:r>
        <w:t>bei einem Vertrag, der den Verbraucher nicht zur Zahlung eines Preises verpflichtet, wenn der Unternehmer mit der Vertragserfüllung begonnen hat,</w:t>
      </w:r>
    </w:p>
    <w:p>
      <w:pPr>
        <w:tabs>
          <w:tab w:pos="567" w:val="left"/>
        </w:tabs>
        <w:ind w:left="567" w:hanging="567"/>
      </w:pPr>
      <w:r>
        <w:t>2.</w:t>
      </w:r>
      <w:r>
        <w:tab/>
      </w:r>
      <w:r>
        <w:t>bei einem Vertrag, der den Verbraucher zur Zahlung eines Preises verpflichtet, wenn</w:t>
      </w:r>
    </w:p>
    <w:p>
      <w:pPr>
        <w:tabs>
          <w:tab w:pos="1134" w:val="left"/>
        </w:tabs>
        <w:ind w:left="1134" w:hanging="567"/>
      </w:pPr>
      <w:r>
        <w:t>a)</w:t>
      </w:r>
      <w:r>
        <w:tab/>
      </w:r>
      <w:r>
        <w:t>der Unternehmer mit der Vertragserfüllung begonnen hat,</w:t>
      </w:r>
    </w:p>
    <w:p>
      <w:pPr>
        <w:tabs>
          <w:tab w:pos="1134" w:val="left"/>
        </w:tabs>
        <w:ind w:left="1134" w:hanging="567"/>
      </w:pPr>
      <w:r>
        <w:t>b)</w:t>
      </w:r>
      <w:r>
        <w:tab/>
      </w:r>
      <w:r>
        <w:t>der Verbraucher ausdrücklich zugestimmt hat, dass der Unternehmer mit der Vertragserfüllung vor Ablauf der Widerrufsfrist beginnt,</w:t>
      </w:r>
    </w:p>
    <w:p>
      <w:pPr>
        <w:tabs>
          <w:tab w:pos="1134" w:val="left"/>
        </w:tabs>
        <w:ind w:left="1134" w:hanging="567"/>
      </w:pPr>
      <w:r>
        <w:t>c)</w:t>
      </w:r>
      <w:r>
        <w:tab/>
      </w:r>
      <w:r>
        <w:t>der Verbraucher seine Kenntnis davon bestätigt hat, dass durch seine Zustimmung nach Buchstabe b mit Beginn der Vertragserfüllung sein Widerrufsrecht erlischt, und</w:t>
      </w:r>
    </w:p>
    <w:p>
      <w:pPr>
        <w:tabs>
          <w:tab w:pos="1134" w:val="left"/>
        </w:tabs>
        <w:ind w:left="1134" w:hanging="567"/>
      </w:pPr>
      <w:r>
        <w:t>d)</w:t>
      </w:r>
      <w:r>
        <w:tab/>
      </w:r>
      <w:r>
        <w:t>der Unternehmer dem Verbraucher eine Bestätigung gemäß § 312f zur Verfügung gestellt hat.</w:t>
      </w:r>
    </w:p>
    <w:p>
      <w:pPr>
        <w:pStyle w:val="Heading5"/>
      </w:pPr>
      <w:bookmarkStart w:id="474" w:name="b463"/>
      <w:r>
        <w:t>§ 356a Elektronische Widerrufsfunktion bei Fernabsatzverträgen</w:t>
      </w:r>
      <w:r>
        <w:t xml:space="preserve"> </w:t>
      </w:r>
      <w:r>
        <w:rPr>
          <w:rStyle w:val="Suchmarke"/>
        </w:rPr>
        <w:t>#356a#</w:t>
      </w:r>
      <w:bookmarkEnd w:id="474"/>
    </w:p>
    <w:p>
      <w:r>
        <w:t xml:space="preserve">(1) </w:t>
      </w:r>
      <w:r>
        <w:rPr>
          <w:rStyle w:val="Satznummer"/>
        </w:rPr>
        <w:t>1</w:t>
      </w:r>
      <w:r>
        <w:t xml:space="preserve">Bei Fernabsatzverträgen, die über eine Online-Benutzeroberfläche geschlossen werden, hat der Unternehmer sicherzustellen, dass der Verbraucher auf der Online-Benutzeroberfläche durch das Nutzen einer Widerrufsfunktion eine Widerrufserklärung abgeben kann. </w:t>
      </w:r>
      <w:r>
        <w:rPr>
          <w:rStyle w:val="Satznummer"/>
        </w:rPr>
        <w:t>2</w:t>
      </w:r>
      <w:r>
        <w:t xml:space="preserve">Die Widerrufsfunktion muss gut lesbar mit „Vertrag widerrufen“ oder einer anderen gleichbedeutenden eindeutigen Formulierung beschriftet sein. </w:t>
      </w:r>
      <w:r>
        <w:rPr>
          <w:rStyle w:val="Satznummer"/>
        </w:rPr>
        <w:t>3</w:t>
      </w:r>
      <w:r>
        <w:t>Sie muss während des Laufs der Widerrufsfrist auf der Online-Benutzeroberfläche ständig verfügbar, hervorgehoben platziert und für den Verbraucher leicht zugänglich sein.</w:t>
      </w:r>
    </w:p>
    <w:p>
      <w:r>
        <w:t>(2) Die Widerrufsfunktion muss dem Verbraucher ermöglichen, eine Widerrufserklärung an den Unternehmer zu übermitteln und dem Unternehmer in oder mit der Widerrufserklärung ohne Weiteres folgende Informationen bereitzustellen oder zu bestätigen:</w:t>
      </w:r>
    </w:p>
    <w:p>
      <w:pPr>
        <w:tabs>
          <w:tab w:pos="567" w:val="left"/>
        </w:tabs>
        <w:ind w:left="567" w:hanging="567"/>
      </w:pPr>
      <w:r>
        <w:t>1.</w:t>
      </w:r>
      <w:r>
        <w:tab/>
      </w:r>
      <w:r>
        <w:t>den Namen des Verbrauchers,</w:t>
      </w:r>
    </w:p>
    <w:p>
      <w:pPr>
        <w:tabs>
          <w:tab w:pos="567" w:val="left"/>
        </w:tabs>
        <w:ind w:left="567" w:hanging="567"/>
      </w:pPr>
      <w:r>
        <w:t>2.</w:t>
      </w:r>
      <w:r>
        <w:tab/>
      </w:r>
      <w:r>
        <w:t>Angaben zur Identifizierung des Vertrags oder des Teils des Vertrags, den der Verbraucher widerrufen möchte,</w:t>
      </w:r>
    </w:p>
    <w:p>
      <w:pPr>
        <w:tabs>
          <w:tab w:pos="567" w:val="left"/>
        </w:tabs>
        <w:ind w:left="567" w:hanging="567"/>
      </w:pPr>
      <w:r>
        <w:t>3.</w:t>
      </w:r>
      <w:r>
        <w:tab/>
      </w:r>
      <w:r>
        <w:t>Angaben zum elektronischen Kommunikationsmittel, mit welchem dem Verbraucher eine Eingangsbestätigung für den Widerruf zu übermitteln ist.</w:t>
      </w:r>
    </w:p>
    <w:p>
      <w:r>
        <w:t xml:space="preserve">(3) </w:t>
      </w:r>
      <w:r>
        <w:rPr>
          <w:rStyle w:val="Satznummer"/>
        </w:rPr>
        <w:t>1</w:t>
      </w:r>
      <w:r>
        <w:t xml:space="preserve">Sobald der Verbraucher die Informationen nach Absatz 2 bereitgestellt oder bestätigt hat, hat der Unternehmer dem Verbraucher zu ermöglichen, seine Widerrufserklärung und die Informationen dem Unternehmer mittels einer Bestätigungsfunktion zu übermitteln. </w:t>
      </w:r>
      <w:r>
        <w:rPr>
          <w:rStyle w:val="Satznummer"/>
        </w:rPr>
        <w:t>2</w:t>
      </w:r>
      <w:r>
        <w:t>Diese Bestätigungsfunktion muss gut lesbar und mit „Widerruf bestätigen“ oder einer anderen gleichbedeutenden eindeutigen Formulierung beschriftet sein.</w:t>
      </w:r>
    </w:p>
    <w:p>
      <w:r>
        <w:t>(4) Der Unternehmer hat dem Verbraucher, wenn dieser die Bestätigungsfunktion aktiviert hat, auf einem dauerhaften Datenträger unverzüglich eine Eingangsbestätigung zu übermitteln, die zumindest den Inhalt der Widerrufserklärung nach Absatz 2 sowie das Datum und die Uhrzeit ihres Eingangs enthält.</w:t>
      </w:r>
    </w:p>
    <w:p>
      <w:r>
        <w:t>(5) Die Widerrufserklärung des Verbrauchers gilt als dem Unternehmer innerhalb der Widerrufsfrist zugegangen, wenn er die Widerrufserklärung nach Absatz 3 vor Ablauf dieser Frist über die Widerrufsfunktion versandt hat.</w:t>
      </w:r>
    </w:p>
    <w:p>
      <w:pPr>
        <w:pStyle w:val="Heading5"/>
      </w:pPr>
      <w:bookmarkStart w:id="475" w:name="b464"/>
      <w:r>
        <w:t>§ 356b Widerrufsrecht bei Verbraucherdarlehensverträgen</w:t>
      </w:r>
      <w:r>
        <w:t xml:space="preserve"> </w:t>
      </w:r>
      <w:r>
        <w:rPr>
          <w:rStyle w:val="Suchmarke"/>
        </w:rPr>
        <w:t>#356b#</w:t>
      </w:r>
      <w:bookmarkEnd w:id="475"/>
    </w:p>
    <w:p>
      <w:r>
        <w:t>(1) Die Widerrufsfrist beginnt auch nicht, bevor der Darlehensgeber dem Darlehensnehmer eine für diesen bestimmte Vertragsurkunde, den schriftlichen Antrag des Darlehensnehmers oder eine Abschrift der Vertragsurkunde oder seines Antrags zur Verfügung gestellt hat.</w:t>
      </w:r>
    </w:p>
    <w:p>
      <w:r>
        <w:t xml:space="preserve">(2) </w:t>
      </w:r>
      <w:r>
        <w:rPr>
          <w:rStyle w:val="Satznummer"/>
        </w:rPr>
        <w:t>1</w:t>
      </w:r>
      <w:r>
        <w:t xml:space="preserve">Enthält bei einem Allgemein-Verbraucherdarlehensvertrag die dem Darlehensnehmer nach Absatz 1 zur Verfügung gestellte Urkunde die Pflichtangaben nach </w:t>
      </w:r>
      <w:hyperlink w:anchor="b652" w:history="1">
        <w:r>
          <w:rPr>
            <w:color w:val="0A3A8C"/>
            <w:u w:val="single"/>
          </w:rPr>
          <w:t xml:space="preserve">§ 492</w:t>
        </w:r>
      </w:hyperlink>
      <w:r>
        <w:t xml:space="preserve"> Absatz 2 nicht, beginnt die Frist erst mit Nachholung dieser Angaben gemäß </w:t>
      </w:r>
      <w:hyperlink w:anchor="b652" w:history="1">
        <w:r>
          <w:rPr>
            <w:color w:val="0A3A8C"/>
            <w:u w:val="single"/>
          </w:rPr>
          <w:t xml:space="preserve">§ 492</w:t>
        </w:r>
      </w:hyperlink>
      <w:r>
        <w:t xml:space="preserve"> Absatz 6. </w:t>
      </w:r>
      <w:r>
        <w:rPr>
          <w:rStyle w:val="Satznummer"/>
        </w:rPr>
        <w:t>2</w:t>
      </w:r>
      <w:r>
        <w:t xml:space="preserve">Enthält bei einem Immobiliar-Verbraucherdarlehensvertrag die dem Darlehensnehmer nach Absatz 1 zur Verfügung gestellte Urkunde die Pflichtangaben zum Widerrufsrecht nach </w:t>
      </w:r>
      <w:hyperlink w:anchor="b652" w:history="1">
        <w:r>
          <w:rPr>
            <w:color w:val="0A3A8C"/>
            <w:u w:val="single"/>
          </w:rPr>
          <w:t xml:space="preserve">§ 492</w:t>
        </w:r>
      </w:hyperlink>
      <w:r>
        <w:t xml:space="preserve"> Absatz 2 in Verbindung mit Artikel 247 § 6 Absatz 2 des Einführungsgesetzes zum Bürgerlichen Gesetzbuche nicht, beginnt die Frist erst mit Nachholung dieser Angaben gemäß </w:t>
      </w:r>
      <w:hyperlink w:anchor="b652" w:history="1">
        <w:r>
          <w:rPr>
            <w:color w:val="0A3A8C"/>
            <w:u w:val="single"/>
          </w:rPr>
          <w:t xml:space="preserve">§ 492</w:t>
        </w:r>
      </w:hyperlink>
      <w:r>
        <w:t xml:space="preserve"> Absatz 6. </w:t>
      </w:r>
      <w:r>
        <w:rPr>
          <w:rStyle w:val="Satznummer"/>
        </w:rPr>
        <w:t>3</w:t>
      </w:r>
      <w:r>
        <w:t xml:space="preserve">In den Fällen der Sätze 1 und 2 beträgt die Widerrufsfrist einen Monat. </w:t>
      </w:r>
      <w:r>
        <w:rPr>
          <w:rStyle w:val="Satznummer"/>
        </w:rPr>
        <w:t>4</w:t>
      </w:r>
      <w:r>
        <w:t>Das Widerrufsrecht bei einem Immobiliar-Verbraucherdarlehensvertrag erlischt spätestens zwölf Monate und 14 Tage nach dem Vertragsschluss oder nach dem in Absatz 1 genannten Zeitpunkt, wenn dieser nach dem Vertragsschluss liegt.</w:t>
      </w:r>
    </w:p>
    <w:p>
      <w:r>
        <w:t xml:space="preserve">(3) Die Widerrufsfrist beginnt im Falle des </w:t>
      </w:r>
      <w:hyperlink w:anchor="b656" w:history="1">
        <w:r>
          <w:rPr>
            <w:color w:val="0A3A8C"/>
            <w:u w:val="single"/>
          </w:rPr>
          <w:t xml:space="preserve">§ 494</w:t>
        </w:r>
      </w:hyperlink>
      <w:r>
        <w:t xml:space="preserve"> Absatz 7 bei einem Allgemein-Verbraucherdarlehensvertrag erst, wenn der Darlehensnehmer die dort bezeichnete Abschrift des Vertrags erhalten hat.</w:t>
      </w:r>
    </w:p>
    <w:p>
      <w:pPr>
        <w:pStyle w:val="Heading5"/>
      </w:pPr>
      <w:bookmarkStart w:id="476" w:name="b465"/>
      <w:r>
        <w:t>§ 356c Widerrufsrecht bei Teilzeit-Wohnrechteverträgen, Verträgen über ein langfristiges Urlaubsprodukt, bei Vermittlungsverträgen und Tauschsystemverträgen</w:t>
      </w:r>
      <w:r>
        <w:t xml:space="preserve"> </w:t>
      </w:r>
      <w:r>
        <w:rPr>
          <w:rStyle w:val="Suchmarke"/>
        </w:rPr>
        <w:t>#356c#</w:t>
      </w:r>
      <w:bookmarkEnd w:id="476"/>
    </w:p>
    <w:p>
      <w:r>
        <w:t>(1) Der Widerruf ist in Textform zu erklären.</w:t>
      </w:r>
    </w:p>
    <w:p>
      <w:r>
        <w:t xml:space="preserve">(2) </w:t>
      </w:r>
      <w:r>
        <w:rPr>
          <w:rStyle w:val="Satznummer"/>
        </w:rPr>
        <w:t>1</w:t>
      </w:r>
      <w:r>
        <w:t xml:space="preserve">Die Widerrufsfrist beginnt mit dem Zeitpunkt des Vertragsschlusses oder des Abschlusses eines Vorvertrags. </w:t>
      </w:r>
      <w:r>
        <w:rPr>
          <w:rStyle w:val="Satznummer"/>
        </w:rPr>
        <w:t>2</w:t>
      </w:r>
      <w:r>
        <w:t>Erhält der Verbraucher die Vertragsurkunde oder die Abschrift des Vertrags erst nach Vertragsschluss, beginnt die Widerrufsfrist mit dem Zeitpunkt des Erhalts.</w:t>
      </w:r>
    </w:p>
    <w:p>
      <w:r>
        <w:t xml:space="preserve">(3) </w:t>
      </w:r>
      <w:r>
        <w:rPr>
          <w:rStyle w:val="Satznummer"/>
        </w:rPr>
        <w:t>1</w:t>
      </w:r>
      <w:r>
        <w:t xml:space="preserve">Sind dem Verbraucher die in </w:t>
      </w:r>
      <w:hyperlink w:anchor="b635" w:history="1">
        <w:r>
          <w:rPr>
            <w:color w:val="0A3A8C"/>
            <w:u w:val="single"/>
          </w:rPr>
          <w:t xml:space="preserve">§ 482</w:t>
        </w:r>
      </w:hyperlink>
      <w:r>
        <w:t xml:space="preserve"> Absatz 1 bezeichneten vorvertraglichen Informationen oder das in Artikel 242 § 1 Absatz 2 des Einführungsgesetzes zum Bürgerlichen Gesetzbuche bezeichnete Formblatt vor Vertragsschluss nicht, nicht vollständig oder nicht in der in </w:t>
      </w:r>
      <w:hyperlink w:anchor="b637" w:history="1">
        <w:r>
          <w:rPr>
            <w:color w:val="0A3A8C"/>
            <w:u w:val="single"/>
          </w:rPr>
          <w:t xml:space="preserve">§ 483</w:t>
        </w:r>
      </w:hyperlink>
      <w:r>
        <w:t xml:space="preserve"> Absatz 1 vorgeschriebenen Sprache überlassen worden, so beginnt die Widerrufsfrist abweichend von Absatz 2 erst mit dem vollständigen Erhalt der vorvertraglichen Informationen und des Formblatts in der vorgeschriebenen Sprache. </w:t>
      </w:r>
      <w:r>
        <w:rPr>
          <w:rStyle w:val="Satznummer"/>
        </w:rPr>
        <w:t>2</w:t>
      </w:r>
      <w:r>
        <w:t>Das Widerrufsrecht erlischt spätestens drei Monate und 14 Tage nach dem in Absatz 2 genannten Zeitpunkt.</w:t>
      </w:r>
    </w:p>
    <w:p>
      <w:r>
        <w:t xml:space="preserve">(4) </w:t>
      </w:r>
      <w:r>
        <w:rPr>
          <w:rStyle w:val="Satznummer"/>
        </w:rPr>
        <w:t>1</w:t>
      </w:r>
      <w:r>
        <w:t xml:space="preserve">Ist dem Verbraucher die in </w:t>
      </w:r>
      <w:hyperlink w:anchor="b636" w:history="1">
        <w:r>
          <w:rPr>
            <w:color w:val="0A3A8C"/>
            <w:u w:val="single"/>
          </w:rPr>
          <w:t xml:space="preserve">§ 482a</w:t>
        </w:r>
      </w:hyperlink>
      <w:r>
        <w:t xml:space="preserve"> bezeichnete Widerrufsbelehrung vor Vertragsschluss nicht, nicht vollständig oder nicht in der in </w:t>
      </w:r>
      <w:hyperlink w:anchor="b637" w:history="1">
        <w:r>
          <w:rPr>
            <w:color w:val="0A3A8C"/>
            <w:u w:val="single"/>
          </w:rPr>
          <w:t xml:space="preserve">§ 483</w:t>
        </w:r>
      </w:hyperlink>
      <w:r>
        <w:t xml:space="preserve"> Absatz 1 vorgeschriebenen Sprache überlassen worden, so beginnt die Widerrufsfrist abweichend von Absatz 2 erst mit dem vollständigen Erhalt der Widerrufsbelehrung in der vorgeschriebenen Sprache. </w:t>
      </w:r>
      <w:r>
        <w:rPr>
          <w:rStyle w:val="Satznummer"/>
        </w:rPr>
        <w:t>2</w:t>
      </w:r>
      <w:r>
        <w:t>Das Widerrufsrecht erlischt gegebenenfalls abweichend von Absatz 3 Satz 2 spätestens zwölf Monate und 14 Tage nach dem in Absatz 2 genannten Zeitpunkt.</w:t>
      </w:r>
    </w:p>
    <w:p>
      <w:r>
        <w:t xml:space="preserve">(5) </w:t>
      </w:r>
      <w:r>
        <w:rPr>
          <w:rStyle w:val="Satznummer"/>
        </w:rPr>
        <w:t>1</w:t>
      </w:r>
      <w:r>
        <w:t xml:space="preserve">Hat der Verbraucher einen Teilzeit-Wohnrechtevertrag und einen Tauschsystemvertrag abgeschlossen und sind ihm diese Verträge zum gleichen Zeitpunkt angeboten worden, so beginnt die Widerrufsfrist für beide Verträge mit dem nach Absatz 2 für den Teilzeit-Wohnrechtevertrag geltenden Zeitpunkt. </w:t>
      </w:r>
      <w:r>
        <w:rPr>
          <w:rStyle w:val="Satznummer"/>
        </w:rPr>
        <w:t>2</w:t>
      </w:r>
      <w:r>
        <w:t>Die Absätze 3 und 4 gelten entsprechend.</w:t>
      </w:r>
    </w:p>
    <w:p>
      <w:pPr>
        <w:pStyle w:val="Heading5"/>
      </w:pPr>
      <w:bookmarkStart w:id="477" w:name="b466"/>
      <w:r>
        <w:t>§ 356d Widerrufsrecht bei Ratenlieferungsverträgen</w:t>
      </w:r>
      <w:r>
        <w:t xml:space="preserve"> </w:t>
      </w:r>
      <w:r>
        <w:rPr>
          <w:rStyle w:val="Suchmarke"/>
        </w:rPr>
        <w:t>#356d#</w:t>
      </w:r>
      <w:bookmarkEnd w:id="477"/>
    </w:p>
    <w:p>
      <w:r>
        <w:t>(1) Bei einem Ratenlieferungsvertrag, der weder im Fernabsatz noch außerhalb von Geschäftsräumen geschlossenen wird, beginnt die Widerrufsfrist nicht, bevor der Unternehmer den Verbraucher gemäß Artikel 246 Absatz 3 des Einführungsgesetzes zum Bürgerlichen Gesetzbuche über sein Widerrufsrecht unterrichtet hat.</w:t>
      </w:r>
    </w:p>
    <w:p>
      <w:r>
        <w:t xml:space="preserve">(2) </w:t>
      </w:r>
      <w:r>
        <w:rPr>
          <w:rStyle w:val="Satznummer"/>
        </w:rPr>
        <w:t>1</w:t>
      </w:r>
      <w:hyperlink w:anchor="b462" w:history="1">
        <w:r>
          <w:rPr>
            <w:color w:val="0A3A8C"/>
            <w:u w:val="single"/>
          </w:rPr>
          <w:t xml:space="preserve">§ 356</w:t>
        </w:r>
      </w:hyperlink>
      <w:r>
        <w:t xml:space="preserve"> Absatz 1 gilt entsprechend. </w:t>
      </w:r>
      <w:r>
        <w:rPr>
          <w:rStyle w:val="Satznummer"/>
        </w:rPr>
        <w:t>2</w:t>
      </w:r>
      <w:r>
        <w:t xml:space="preserve">Das Widerrufsrecht erlischt spätestens zwölf Monate und 14 Tage nach dem in </w:t>
      </w:r>
      <w:hyperlink w:anchor="b461" w:history="1">
        <w:r>
          <w:rPr>
            <w:color w:val="0A3A8C"/>
            <w:u w:val="single"/>
          </w:rPr>
          <w:t xml:space="preserve">§ 355</w:t>
        </w:r>
      </w:hyperlink>
      <w:r>
        <w:t xml:space="preserve"> Absatz 2 Satz 2 genannten Zeitpunkt.</w:t>
      </w:r>
    </w:p>
    <w:p>
      <w:pPr>
        <w:pStyle w:val="Heading5"/>
      </w:pPr>
      <w:bookmarkStart w:id="478" w:name="b467"/>
      <w:r>
        <w:t>§ 356e Widerrufsrecht bei Verbraucherbauverträgen</w:t>
      </w:r>
      <w:r>
        <w:t xml:space="preserve"> </w:t>
      </w:r>
      <w:r>
        <w:rPr>
          <w:rStyle w:val="Suchmarke"/>
        </w:rPr>
        <w:t>#356e#</w:t>
      </w:r>
      <w:bookmarkEnd w:id="478"/>
    </w:p>
    <w:p>
      <w:r>
        <w:rPr>
          <w:rStyle w:val="Satznummer"/>
        </w:rPr>
        <w:t>1</w:t>
      </w:r>
      <w:r>
        <w:t>Bei einem Verbraucherbauvertrag (</w:t>
      </w:r>
      <w:hyperlink w:anchor="b963" w:history="1">
        <w:r>
          <w:rPr>
            <w:color w:val="0A3A8C"/>
            <w:u w:val="single"/>
          </w:rPr>
          <w:t xml:space="preserve">§ 650i</w:t>
        </w:r>
      </w:hyperlink>
      <w:r>
        <w:t xml:space="preserve"> Absatz 1) beginnt die Widerrufsfrist nicht, bevor der Unternehmer den Verbraucher gemäß Artikel 249 § 3 des Einführungsgesetzes zum Bürgerlichen Gesetzbuche über sein Widerrufsrecht belehrt hat. </w:t>
      </w:r>
      <w:r>
        <w:rPr>
          <w:rStyle w:val="Satznummer"/>
        </w:rPr>
        <w:t>2</w:t>
      </w:r>
      <w:r>
        <w:t xml:space="preserve">Das Widerrufsrecht erlischt spätestens zwölf Monate und 14 Tage nach dem in </w:t>
      </w:r>
      <w:hyperlink w:anchor="b461" w:history="1">
        <w:r>
          <w:rPr>
            <w:color w:val="0A3A8C"/>
            <w:u w:val="single"/>
          </w:rPr>
          <w:t xml:space="preserve">§ 355</w:t>
        </w:r>
      </w:hyperlink>
      <w:r>
        <w:t xml:space="preserve"> Absatz 2 Satz 2 genannten Zeitpunkt.</w:t>
      </w:r>
    </w:p>
    <w:p>
      <w:pPr>
        <w:pStyle w:val="Heading5"/>
      </w:pPr>
      <w:bookmarkStart w:id="479" w:name="b468"/>
      <w:r>
        <w:t>§ 356f Widerrufsrecht des Verbrauchers bei unentgeltlichen Darlehensverträgen und unentgeltlichen Finanzierungshilfen</w:t>
      </w:r>
      <w:r>
        <w:t xml:space="preserve"> </w:t>
      </w:r>
      <w:r>
        <w:rPr>
          <w:rStyle w:val="Suchmarke"/>
        </w:rPr>
        <w:t>#356f#</w:t>
      </w:r>
      <w:bookmarkEnd w:id="479"/>
    </w:p>
    <w:p>
      <w:r>
        <w:rPr>
          <w:rStyle w:val="Satznummer"/>
        </w:rPr>
        <w:t>1</w:t>
      </w:r>
      <w:r>
        <w:t xml:space="preserve">Bei einem Vertrag, durch den ein Unternehmer einem Verbraucher ein unentgeltliches Darlehen oder eine unentgeltliche Finanzierungshilfe gewährt, beginnt die Widerrufsfrist abweichend von </w:t>
      </w:r>
      <w:hyperlink w:anchor="b461" w:history="1">
        <w:r>
          <w:rPr>
            <w:color w:val="0A3A8C"/>
            <w:u w:val="single"/>
          </w:rPr>
          <w:t xml:space="preserve">§ 355</w:t>
        </w:r>
      </w:hyperlink>
      <w:r>
        <w:t xml:space="preserve"> Absatz 2 Satz 2 nicht, bevor der Unternehmer den Verbraucher entsprechend den Anforderungen des </w:t>
      </w:r>
      <w:hyperlink w:anchor="b687" w:history="1">
        <w:r>
          <w:rPr>
            <w:color w:val="0A3A8C"/>
            <w:u w:val="single"/>
          </w:rPr>
          <w:t xml:space="preserve">§ 514</w:t>
        </w:r>
      </w:hyperlink>
      <w:r>
        <w:t xml:space="preserve"> Absatz 2 Satz 3 über dessen Widerrufsrecht unterrichtet hat. </w:t>
      </w:r>
      <w:r>
        <w:rPr>
          <w:rStyle w:val="Satznummer"/>
        </w:rPr>
        <w:t>2</w:t>
      </w:r>
      <w:r>
        <w:t>Das Widerrufsrecht erlischt spätestens zwölf Monate und 14 Tage nach dem Vertragsschluss oder nach dem in Satz 1 genannten Zeitpunkt, wenn dieser nach dem Vertragsschluss liegt.</w:t>
      </w:r>
    </w:p>
    <w:p>
      <w:pPr>
        <w:pStyle w:val="Heading5"/>
      </w:pPr>
      <w:bookmarkStart w:id="480" w:name="b469"/>
      <w:r>
        <w:t>§ 357 Rechtsfolgen des Widerrufs von außerhalb von Geschäftsräumen geschlossenen Verträgen und Fernabsatzverträgen mit Ausnahme von Verträgen über Finanzdienstleistungen</w:t>
      </w:r>
      <w:r>
        <w:t xml:space="preserve"> </w:t>
      </w:r>
      <w:r>
        <w:rPr>
          <w:rStyle w:val="Suchmarke"/>
        </w:rPr>
        <w:t>#357#</w:t>
      </w:r>
      <w:bookmarkEnd w:id="480"/>
    </w:p>
    <w:p>
      <w:r>
        <w:t>(1) Die empfangenen Leistungen sind spätestens nach 14 Tagen zurückzugewähren.</w:t>
      </w:r>
    </w:p>
    <w:p>
      <w:r>
        <w:t xml:space="preserve">(2) </w:t>
      </w:r>
      <w:r>
        <w:rPr>
          <w:rStyle w:val="Satznummer"/>
        </w:rPr>
        <w:t>1</w:t>
      </w:r>
      <w:r>
        <w:t xml:space="preserve">Der Unternehmer muss auch etwaige Zahlungen des Verbrauchers für die Lieferung zurückgewähren. </w:t>
      </w:r>
      <w:r>
        <w:rPr>
          <w:rStyle w:val="Satznummer"/>
        </w:rPr>
        <w:t>2</w:t>
      </w:r>
      <w:r>
        <w:t>Dies gilt nicht, soweit dem Verbraucher zusätzliche Kosten entstanden sind, weil er sich für eine andere Art der Lieferung als die vom Unternehmer angebotene günstigste Standardlieferung entschieden hat.</w:t>
      </w:r>
    </w:p>
    <w:p>
      <w:r>
        <w:t xml:space="preserve">(3) </w:t>
      </w:r>
      <w:r>
        <w:rPr>
          <w:rStyle w:val="Satznummer"/>
        </w:rPr>
        <w:t>1</w:t>
      </w:r>
      <w:r>
        <w:t xml:space="preserve">Für die Rückzahlung muss der Unternehmer dasselbe Zahlungsmittel verwenden, das der Verbraucher bei der Zahlung verwendet hat. </w:t>
      </w:r>
      <w:r>
        <w:rPr>
          <w:rStyle w:val="Satznummer"/>
        </w:rPr>
        <w:t>2</w:t>
      </w:r>
      <w:r>
        <w:t>Satz 1 gilt nicht, wenn ausdrücklich etwas anderes vereinbart worden ist und dem Verbraucher dadurch keine Kosten entstehen.</w:t>
      </w:r>
    </w:p>
    <w:p>
      <w:r>
        <w:t xml:space="preserve">(4) </w:t>
      </w:r>
      <w:r>
        <w:rPr>
          <w:rStyle w:val="Satznummer"/>
        </w:rPr>
        <w:t>1</w:t>
      </w:r>
      <w:r>
        <w:t xml:space="preserve">Bei einem Verbrauchsgüterkauf kann der Unternehmer die Rückzahlung verweigern, bis er die Waren zurückerhalten hat oder der Verbraucher den Nachweis erbracht hat, dass er die Waren abgesandt hat. </w:t>
      </w:r>
      <w:r>
        <w:rPr>
          <w:rStyle w:val="Satznummer"/>
        </w:rPr>
        <w:t>2</w:t>
      </w:r>
      <w:r>
        <w:t>Dies gilt nicht, wenn der Unternehmer angeboten hat, die Waren abzuholen.</w:t>
      </w:r>
    </w:p>
    <w:p>
      <w:r>
        <w:t xml:space="preserve">(5) </w:t>
      </w:r>
      <w:r>
        <w:rPr>
          <w:rStyle w:val="Satznummer"/>
        </w:rPr>
        <w:t>1</w:t>
      </w:r>
      <w:r>
        <w:t xml:space="preserve">Der Verbraucher trägt die unmittelbaren Kosten der Rücksendung der Waren, wenn der Unternehmer den Verbraucher nach Artikel 246a § 1 Absatz 2 Satz 1 Nummer 2 des Einführungsgesetzes zum Bürgerlichen Gesetzbuche von dieser Pflicht unterrichtet hat. </w:t>
      </w:r>
      <w:r>
        <w:rPr>
          <w:rStyle w:val="Satznummer"/>
        </w:rPr>
        <w:t>2</w:t>
      </w:r>
      <w:r>
        <w:t>Satz 1 gilt nicht, wenn der Unternehmer sich bereit erklärt hat, diese Kosten zu tragen.</w:t>
      </w:r>
    </w:p>
    <w:p>
      <w:r>
        <w:t>(6) Der Verbraucher ist nicht verpflichtet, die Waren zurückzusenden, wenn der Unternehmer angeboten hat, die Waren abzuholen.</w:t>
      </w:r>
    </w:p>
    <w:p>
      <w:r>
        <w:t>(7) Bei außerhalb von Geschäftsräumen geschlossenen Verträgen, bei denen die Waren zum Zeitpunkt des Vertragsschlusses zur Wohnung des Verbrauchers gebracht worden sind, ist der Unternehmer verpflichtet, die Waren auf eigene Kosten abzuholen, wenn die Waren so beschaffen sind, dass sie nicht per Post zurückgesandt werden können.</w:t>
      </w:r>
    </w:p>
    <w:p>
      <w:r>
        <w:t xml:space="preserve">(8) Für die Rechtsfolgen des Widerrufs von Verträgen über die Bereitstellung digitaler Produkte gilt ferner </w:t>
      </w:r>
      <w:hyperlink w:anchor="b422" w:history="1">
        <w:r>
          <w:rPr>
            <w:color w:val="0A3A8C"/>
            <w:u w:val="single"/>
          </w:rPr>
          <w:t xml:space="preserve">§ 327p</w:t>
        </w:r>
      </w:hyperlink>
      <w:r>
        <w:t xml:space="preserve"> entsprechend.</w:t>
      </w:r>
    </w:p>
    <w:p>
      <w:pPr>
        <w:pStyle w:val="Heading5"/>
      </w:pPr>
      <w:bookmarkStart w:id="481" w:name="b470"/>
      <w:r>
        <w:t>§ 357a Wertersatz als Rechtsfolge des Widerrufs von außerhalb von Geschäftsräumen geschlossenen Verträgen und Fernabsatzverträgen mit Ausnahme von Verträgen über Finanzdienstleistungen</w:t>
      </w:r>
      <w:r>
        <w:t xml:space="preserve"> </w:t>
      </w:r>
      <w:r>
        <w:rPr>
          <w:rStyle w:val="Suchmarke"/>
        </w:rPr>
        <w:t>#357a#</w:t>
      </w:r>
      <w:bookmarkEnd w:id="481"/>
    </w:p>
    <w:p>
      <w:r>
        <w:t>(1) Der Verbraucher hat Wertersatz für einen Wertverlust der Ware zu leisten, wenn</w:t>
      </w:r>
    </w:p>
    <w:p>
      <w:pPr>
        <w:tabs>
          <w:tab w:pos="567" w:val="left"/>
        </w:tabs>
        <w:ind w:left="567" w:hanging="567"/>
      </w:pPr>
      <w:r>
        <w:t>1.</w:t>
      </w:r>
      <w:r>
        <w:tab/>
      </w:r>
      <w:r>
        <w:t>der Wertverlust auf einen Umgang mit den Waren zurückzuführen ist, der zur Prüfung der Beschaffenheit, der Eigenschaften und der Funktionsweise der Waren nicht notwendig war, und</w:t>
      </w:r>
    </w:p>
    <w:p>
      <w:pPr>
        <w:tabs>
          <w:tab w:pos="567" w:val="left"/>
        </w:tabs>
        <w:ind w:left="567" w:hanging="567"/>
      </w:pPr>
      <w:r>
        <w:t>2.</w:t>
      </w:r>
      <w:r>
        <w:tab/>
      </w:r>
      <w:r>
        <w:t>der Unternehmer den Verbraucher nach Artikel 246a § 1 Absatz 2 Satz 1 Nummer 1 des Einführungsgesetzes zum Bürgerlichen Gesetzbuche über dessen Widerrufsrecht unterrichtet hat.</w:t>
      </w:r>
    </w:p>
    <w:p>
      <w:r>
        <w:t xml:space="preserve">(2) </w:t>
      </w:r>
      <w:r>
        <w:rPr>
          <w:rStyle w:val="Satznummer"/>
        </w:rPr>
        <w:t>1</w:t>
      </w:r>
      <w:r>
        <w:t>Der Verbraucher hat Wertersatz für die bis zum Widerruf erbrachten Dienstleistungen, für die der Vertrag die Zahlung eines Preises vorsieht, oder die bis zum Widerruf erfolgte Lieferung von Wasser, Gas oder Strom in nicht bestimmten Mengen oder nicht begrenztem Volumen oder von Fernwärme zu leisten, wenn</w:t>
      </w:r>
    </w:p>
    <w:p>
      <w:pPr>
        <w:tabs>
          <w:tab w:pos="567" w:val="left"/>
        </w:tabs>
        <w:ind w:left="567" w:hanging="567"/>
      </w:pPr>
      <w:r>
        <w:t>1.</w:t>
      </w:r>
      <w:r>
        <w:tab/>
      </w:r>
      <w:r>
        <w:t>der Verbraucher von dem Unternehmer ausdrücklich verlangt hat, dass mit der Leistung vor Ablauf der Widerrufsfrist begonnen werden soll,</w:t>
      </w:r>
    </w:p>
    <w:p>
      <w:pPr>
        <w:tabs>
          <w:tab w:pos="567" w:val="left"/>
        </w:tabs>
        <w:ind w:left="567" w:hanging="567"/>
      </w:pPr>
      <w:r>
        <w:t>2.</w:t>
      </w:r>
      <w:r>
        <w:tab/>
      </w:r>
      <w:r>
        <w:t>bei einem außerhalb von Geschäftsräumen geschlossenen Vertrag der Verbraucher das Verlangen nach Nummer 1 auf einem dauerhaften Datenträger übermittelt hat und</w:t>
      </w:r>
    </w:p>
    <w:p>
      <w:pPr>
        <w:tabs>
          <w:tab w:pos="567" w:val="left"/>
        </w:tabs>
        <w:ind w:left="567" w:hanging="567"/>
      </w:pPr>
      <w:r>
        <w:t>3.</w:t>
      </w:r>
      <w:r>
        <w:tab/>
      </w:r>
      <w:r>
        <w:t>der Unternehmer den Verbraucher nach Artikel 246a § 1 Absatz 2 Satz 1 Nummer 1 und 3 des Einführungsgesetzes zum Bürgerlichen Gesetzbuche ordnungsgemäß informiert hat.</w:t>
      </w:r>
    </w:p>
    <w:p>
      <w:r>
        <w:rPr>
          <w:rStyle w:val="Satznummer"/>
        </w:rPr>
        <w:t>2</w:t>
      </w:r>
      <w:r>
        <w:t xml:space="preserve">Bei der Berechnung des Wertersatzes ist der vereinbarte Gesamtpreis zu Grunde zu legen. </w:t>
      </w:r>
      <w:r>
        <w:rPr>
          <w:rStyle w:val="Satznummer"/>
        </w:rPr>
        <w:t>3</w:t>
      </w:r>
      <w:r>
        <w:t>Ist der vereinbarte Gesamtpreis unverhältnismäßig hoch, so ist der Wertersatz auf der Grundlage des Marktwerts der erbrachten Leistung zu berechnen.</w:t>
      </w:r>
    </w:p>
    <w:p>
      <w:r>
        <w:t>(3) Widerruft der Verbraucher einen Vertrag über die Bereitstellung von nicht auf einem körperlichen Datenträger befindlichen digitalen Inhalten, so hat er keinen Wertersatz zu leisten.</w:t>
      </w:r>
    </w:p>
    <w:p>
      <w:pPr>
        <w:pStyle w:val="Heading5"/>
      </w:pPr>
      <w:bookmarkStart w:id="482" w:name="b471"/>
      <w:r>
        <w:t>§ 357b Rechtsfolgen des Widerrufs von Verträgen über Finanzdienstleistungen</w:t>
      </w:r>
      <w:r>
        <w:t xml:space="preserve"> </w:t>
      </w:r>
      <w:r>
        <w:rPr>
          <w:rStyle w:val="Suchmarke"/>
        </w:rPr>
        <w:t>#357b#</w:t>
      </w:r>
      <w:bookmarkEnd w:id="482"/>
    </w:p>
    <w:p>
      <w:r>
        <w:t>(1) Die empfangenen Leistungen sind spätestens nach 30 Tagen zurückzugewähren.</w:t>
      </w:r>
    </w:p>
    <w:p>
      <w:r>
        <w:t xml:space="preserve">(2) </w:t>
      </w:r>
      <w:r>
        <w:rPr>
          <w:rStyle w:val="Satznummer"/>
        </w:rPr>
        <w:t>1</w:t>
      </w:r>
      <w:r>
        <w:t>Im Falle des Widerrufs von außerhalb von Geschäftsräumen geschlossenen Verträgen oder Fernabsatzverträgen über Finanzdienstleistungen ist der Verbraucher zur Zahlung von Wertersatz für die vom Unternehmer bis zum Widerruf erbrachte Dienstleistung verpflichtet, wenn er</w:t>
      </w:r>
    </w:p>
    <w:p>
      <w:pPr>
        <w:tabs>
          <w:tab w:pos="567" w:val="left"/>
        </w:tabs>
        <w:ind w:left="567" w:hanging="567"/>
      </w:pPr>
      <w:r>
        <w:t>1.</w:t>
      </w:r>
      <w:r>
        <w:tab/>
      </w:r>
      <w:r>
        <w:t>vor Abgabe seiner Vertragserklärung auf diese Rechtsfolge hingewiesen worden ist und</w:t>
      </w:r>
    </w:p>
    <w:p>
      <w:pPr>
        <w:tabs>
          <w:tab w:pos="567" w:val="left"/>
        </w:tabs>
        <w:ind w:left="567" w:hanging="567"/>
      </w:pPr>
      <w:r>
        <w:t>2.</w:t>
      </w:r>
      <w:r>
        <w:tab/>
      </w:r>
      <w:r>
        <w:t>ausdrücklich zugestimmt hat, dass der Unternehmer vor Ende der Widerrufsfrist mit der Ausführung der Dienstleistung beginnt.</w:t>
      </w:r>
    </w:p>
    <w:p>
      <w:r>
        <w:rPr>
          <w:rStyle w:val="Satznummer"/>
        </w:rPr>
        <w:t>2</w:t>
      </w:r>
      <w:r>
        <w:t xml:space="preserve">Im Falle des Widerrufs von Verträgen über eine entgeltliche Finanzierungshilfe, die von der Ausnahme des </w:t>
      </w:r>
      <w:hyperlink w:anchor="b675" w:history="1">
        <w:r>
          <w:rPr>
            <w:color w:val="0A3A8C"/>
            <w:u w:val="single"/>
          </w:rPr>
          <w:t xml:space="preserve">§ 506</w:t>
        </w:r>
      </w:hyperlink>
      <w:r>
        <w:t xml:space="preserve"> Absatz 4 erfasst sind, gelten auch </w:t>
      </w:r>
      <w:hyperlink w:anchor="b469" w:history="1">
        <w:r>
          <w:rPr>
            <w:color w:val="0A3A8C"/>
            <w:u w:val="single"/>
          </w:rPr>
          <w:t xml:space="preserve">§ 357</w:t>
        </w:r>
      </w:hyperlink>
      <w:r>
        <w:t xml:space="preserve"> Absatz 5 bis 7 und </w:t>
      </w:r>
      <w:hyperlink w:anchor="b470" w:history="1">
        <w:r>
          <w:rPr>
            <w:color w:val="0A3A8C"/>
            <w:u w:val="single"/>
          </w:rPr>
          <w:t xml:space="preserve">§ 357a</w:t>
        </w:r>
      </w:hyperlink>
      <w:r>
        <w:t xml:space="preserve"> Absatz 1 und 2 entsprechend. </w:t>
      </w:r>
      <w:r>
        <w:rPr>
          <w:rStyle w:val="Satznummer"/>
        </w:rPr>
        <w:t>3</w:t>
      </w:r>
      <w:r>
        <w:t>Ist Gegenstand des Vertrags über die entgeltliche Finanzierungshilfe die Lieferung von nicht auf einem körperlichen Datenträger befindlichen digitalen Inhalten, hat der Verbraucher Wertersatz für die bis zum Widerruf gelieferten digitalen Inhalte zu leisten, wenn er</w:t>
      </w:r>
    </w:p>
    <w:p>
      <w:pPr>
        <w:tabs>
          <w:tab w:pos="567" w:val="left"/>
        </w:tabs>
        <w:ind w:left="567" w:hanging="567"/>
      </w:pPr>
      <w:r>
        <w:t>1.</w:t>
      </w:r>
      <w:r>
        <w:tab/>
      </w:r>
      <w:r>
        <w:t>vor Abgabe seiner Vertragserklärung auf diese Rechtsfolge hingewiesen worden ist und</w:t>
      </w:r>
    </w:p>
    <w:p>
      <w:pPr>
        <w:tabs>
          <w:tab w:pos="567" w:val="left"/>
        </w:tabs>
        <w:ind w:left="567" w:hanging="567"/>
      </w:pPr>
      <w:r>
        <w:t>2.</w:t>
      </w:r>
      <w:r>
        <w:tab/>
      </w:r>
      <w:r>
        <w:t>ausdrücklich zugestimmt hat, dass der Unternehmer vor Ende der Widerrufsfrist mit der Lieferung der digitalen Inhalte beginnt.</w:t>
      </w:r>
    </w:p>
    <w:p>
      <w:r>
        <w:rPr>
          <w:rStyle w:val="Satznummer"/>
        </w:rPr>
        <w:t>4</w:t>
      </w:r>
      <w:r>
        <w:t xml:space="preserve">Ist im Vertrag eine Gegenleistung bestimmt, ist sie bei der Berechnung des Wertersatzes zu Grunde zu legen. </w:t>
      </w:r>
      <w:r>
        <w:rPr>
          <w:rStyle w:val="Satznummer"/>
        </w:rPr>
        <w:t>5</w:t>
      </w:r>
      <w:r>
        <w:t>Ist der vereinbarte Gesamtpreis unverhältnismäßig hoch, ist der Wertersatz auf der Grundlage des Marktwerts der erbrachten Leistung zu berechnen.</w:t>
      </w:r>
    </w:p>
    <w:p>
      <w:r>
        <w:t xml:space="preserve">(3) </w:t>
      </w:r>
      <w:r>
        <w:rPr>
          <w:rStyle w:val="Satznummer"/>
        </w:rPr>
        <w:t>1</w:t>
      </w:r>
      <w:r>
        <w:t xml:space="preserve">Im Falle des Widerrufs von Verbraucherdarlehensverträgen hat der Darlehensnehmer für den Zeitraum zwischen der Auszahlung und der Rückzahlung des Darlehens den vereinbarten Sollzins zu entrichten. </w:t>
      </w:r>
      <w:r>
        <w:rPr>
          <w:rStyle w:val="Satznummer"/>
        </w:rPr>
        <w:t>2</w:t>
      </w:r>
      <w:r>
        <w:t xml:space="preserve">Bei einem Immobiliar-Verbraucherdarlehen kann nachgewiesen werden, dass der Wert des Gebrauchsvorteils niedriger war als der vereinbarte Sollzins. </w:t>
      </w:r>
      <w:r>
        <w:rPr>
          <w:rStyle w:val="Satznummer"/>
        </w:rPr>
        <w:t>3</w:t>
      </w:r>
      <w:r>
        <w:t xml:space="preserve">In diesem Fall ist nur der niedrigere Betrag geschuldet. </w:t>
      </w:r>
      <w:r>
        <w:rPr>
          <w:rStyle w:val="Satznummer"/>
        </w:rPr>
        <w:t>4</w:t>
      </w:r>
      <w:r>
        <w:t xml:space="preserve">Im Falle des Widerrufs von Verträgen über eine entgeltliche Finanzierungshilfe, die nicht von der Ausnahme des </w:t>
      </w:r>
      <w:hyperlink w:anchor="b675" w:history="1">
        <w:r>
          <w:rPr>
            <w:color w:val="0A3A8C"/>
            <w:u w:val="single"/>
          </w:rPr>
          <w:t xml:space="preserve">§ 506</w:t>
        </w:r>
      </w:hyperlink>
      <w:r>
        <w:t xml:space="preserve"> Absatz 4 erfasst sind, gilt auch Absatz 2 entsprechend mit der Maßgabe, dass an die Stelle der Unterrichtung über das Widerrufsrecht die Pflichtangaben nach Artikel 247 § 12 Absatz 1 in Verbindung mit § 6 Absatz 2 des Einführungsgesetzes zum Bürgerlichen Gesetzbuche, die das Widerrufsrecht betreffen, treten. </w:t>
      </w:r>
      <w:r>
        <w:rPr>
          <w:rStyle w:val="Satznummer"/>
        </w:rPr>
        <w:t>5</w:t>
      </w:r>
      <w:r>
        <w:t>Darüber hinaus hat der Darlehensnehmer dem Darlehensgeber nur die Aufwendungen zu ersetzen, die der Darlehensgeber gegenüber öffentlichen Stellen erbracht hat und nicht zurückverlangen kann.</w:t>
      </w:r>
    </w:p>
    <w:p>
      <w:pPr>
        <w:pStyle w:val="Heading5"/>
      </w:pPr>
      <w:bookmarkStart w:id="483" w:name="b472"/>
      <w:r>
        <w:t>§ 357c Rechtsfolgen des Widerrufs von Teilzeit-Wohnrechteverträgen, Verträgen über ein langfristiges Urlaubsprodukt, Vermittlungsverträgen und Tauschsystemverträgen</w:t>
      </w:r>
      <w:r>
        <w:t xml:space="preserve"> </w:t>
      </w:r>
      <w:r>
        <w:rPr>
          <w:rStyle w:val="Suchmarke"/>
        </w:rPr>
        <w:t>#357c#</w:t>
      </w:r>
      <w:bookmarkEnd w:id="483"/>
    </w:p>
    <w:p>
      <w:r>
        <w:t xml:space="preserve">(1) </w:t>
      </w:r>
      <w:r>
        <w:rPr>
          <w:rStyle w:val="Satznummer"/>
        </w:rPr>
        <w:t>1</w:t>
      </w:r>
      <w:r>
        <w:t xml:space="preserve">Der Verbraucher hat im Falle des Widerrufs keine Kosten zu tragen. </w:t>
      </w:r>
      <w:r>
        <w:rPr>
          <w:rStyle w:val="Satznummer"/>
        </w:rPr>
        <w:t>2</w:t>
      </w:r>
      <w:r>
        <w:t xml:space="preserve">Die Kosten des Vertrags, seiner Durchführung und seiner Rückabwicklung hat der Unternehmer dem Verbraucher zu erstatten. </w:t>
      </w:r>
      <w:r>
        <w:rPr>
          <w:rStyle w:val="Satznummer"/>
        </w:rPr>
        <w:t>3</w:t>
      </w:r>
      <w:r>
        <w:t>Eine Vergütung für geleistete Dienste sowie für die Überlassung von Wohngebäuden zur Nutzung ist ausgeschlossen.</w:t>
      </w:r>
    </w:p>
    <w:p>
      <w:r>
        <w:t xml:space="preserve">(2) Der Verbraucher hat für einen Wertverlust der Unterkunft im Sinne des </w:t>
      </w:r>
      <w:hyperlink w:anchor="b632" w:history="1">
        <w:r>
          <w:rPr>
            <w:color w:val="0A3A8C"/>
            <w:u w:val="single"/>
          </w:rPr>
          <w:t xml:space="preserve">§ 481</w:t>
        </w:r>
      </w:hyperlink>
      <w:r>
        <w:t xml:space="preserve"> nur Wertersatz zu leisten, soweit der Wertverlust auf einer nicht bestimmungsgemäßen Nutzung der Unterkunft beruht.</w:t>
      </w:r>
    </w:p>
    <w:p>
      <w:pPr>
        <w:pStyle w:val="Heading5"/>
      </w:pPr>
      <w:bookmarkStart w:id="484" w:name="b473"/>
      <w:r>
        <w:t>§ 357d Rechtsfolgen des Widerrufs von weder im Fernabsatz noch außerhalb von Geschäftsräumen geschlossenen Ratenlieferungsverträgen</w:t>
      </w:r>
      <w:r>
        <w:t xml:space="preserve"> </w:t>
      </w:r>
      <w:r>
        <w:rPr>
          <w:rStyle w:val="Suchmarke"/>
        </w:rPr>
        <w:t>#357d#</w:t>
      </w:r>
      <w:bookmarkEnd w:id="484"/>
    </w:p>
    <w:p>
      <w:r>
        <w:rPr>
          <w:rStyle w:val="Satznummer"/>
        </w:rPr>
        <w:t>1</w:t>
      </w:r>
      <w:r>
        <w:t xml:space="preserve">Für die Rückgewähr der empfangenen Leistungen gilt </w:t>
      </w:r>
      <w:hyperlink w:anchor="b469" w:history="1">
        <w:r>
          <w:rPr>
            <w:color w:val="0A3A8C"/>
            <w:u w:val="single"/>
          </w:rPr>
          <w:t xml:space="preserve">§ 357</w:t>
        </w:r>
      </w:hyperlink>
      <w:r>
        <w:t xml:space="preserve"> Absatz 1 bis 4 und 6 entsprechend. </w:t>
      </w:r>
      <w:r>
        <w:rPr>
          <w:rStyle w:val="Satznummer"/>
        </w:rPr>
        <w:t>2</w:t>
      </w:r>
      <w:r>
        <w:t xml:space="preserve">Der Verbraucher trägt die unmittelbaren Kosten der Rücksendung der empfangenen Sachen, es sei denn, der Unternehmer hat sich bereit erklärt, diese Kosten zu tragen. </w:t>
      </w:r>
      <w:r>
        <w:rPr>
          <w:rStyle w:val="Satznummer"/>
        </w:rPr>
        <w:t>3</w:t>
      </w:r>
      <w:hyperlink w:anchor="b470" w:history="1">
        <w:r>
          <w:rPr>
            <w:color w:val="0A3A8C"/>
            <w:u w:val="single"/>
          </w:rPr>
          <w:t xml:space="preserve">§ 357a</w:t>
        </w:r>
      </w:hyperlink>
      <w:r>
        <w:t xml:space="preserve"> Absatz 1 ist mit der Maßgabe entsprechend anzuwenden, dass an die Stelle der Unterrichtung nach Artikel 246a § 1 Absatz 2 Satz 1 Nummer 1 des Einführungsgesetzes zum Bürgerlichen Gesetzbuche die Unterrichtung nach Artikel 246 Absatz 3 des Einführungsgesetzes zum Bürgerlichen Gesetzbuche tritt.</w:t>
      </w:r>
    </w:p>
    <w:p>
      <w:pPr>
        <w:pStyle w:val="Heading5"/>
      </w:pPr>
      <w:bookmarkStart w:id="485" w:name="b474"/>
      <w:r>
        <w:t>§ 357e Rechtsfolgen des Widerrufs bei Verbraucherbauverträgen</w:t>
      </w:r>
      <w:r>
        <w:t xml:space="preserve"> </w:t>
      </w:r>
      <w:r>
        <w:rPr>
          <w:rStyle w:val="Suchmarke"/>
        </w:rPr>
        <w:t>#357e#</w:t>
      </w:r>
      <w:bookmarkEnd w:id="485"/>
    </w:p>
    <w:p>
      <w:r>
        <w:rPr>
          <w:rStyle w:val="Satznummer"/>
        </w:rPr>
        <w:t>1</w:t>
      </w:r>
      <w:r>
        <w:t xml:space="preserve">Ist die Rückgewähr der bis zum Widerruf erbrachten Leistung ihrer Natur nach ausgeschlossen, schuldet der Verbraucher dem Unternehmer Wertersatz. </w:t>
      </w:r>
      <w:r>
        <w:rPr>
          <w:rStyle w:val="Satznummer"/>
        </w:rPr>
        <w:t>2</w:t>
      </w:r>
      <w:r>
        <w:t xml:space="preserve">Bei der Berechnung des Wertersatzes ist die vereinbarte Vergütung zugrunde zu legen. </w:t>
      </w:r>
      <w:r>
        <w:rPr>
          <w:rStyle w:val="Satznummer"/>
        </w:rPr>
        <w:t>3</w:t>
      </w:r>
      <w:r>
        <w:t>Ist die vereinbarte Vergütung unverhältnismäßig hoch, ist der Wertersatz auf der Grundlage des Marktwertes der erbrachten Leistung zu berechnen.</w:t>
      </w:r>
    </w:p>
    <w:p>
      <w:pPr>
        <w:pStyle w:val="Heading5"/>
      </w:pPr>
      <w:bookmarkStart w:id="486" w:name="b475"/>
      <w:r>
        <w:t>§ 358 Mit dem widerrufenen Vertrag verbundener Vertrag</w:t>
      </w:r>
      <w:r>
        <w:t xml:space="preserve"> </w:t>
      </w:r>
      <w:r>
        <w:rPr>
          <w:rStyle w:val="Suchmarke"/>
        </w:rPr>
        <w:t>#358#</w:t>
      </w:r>
      <w:bookmarkEnd w:id="486"/>
    </w:p>
    <w:p>
      <w:r>
        <w:t>(1) Hat der Verbraucher seine auf den Abschluss eines Vertrags über die Lieferung einer Ware oder die Erbringung einer anderen Leistung durch einen Unternehmer gerichtete Willenserklärung wirksam widerrufen, so ist er auch an seine auf den Abschluss eines mit diesem Vertrag verbundenen Darlehensvertrags gerichtete Willenserklärung nicht mehr gebunden.</w:t>
      </w:r>
    </w:p>
    <w:p>
      <w:r>
        <w:t xml:space="preserve">(2) Hat der Verbraucher seine auf den Abschluss eines Darlehensvertrags gerichtete Willenserklärung auf Grund des </w:t>
      </w:r>
      <w:hyperlink w:anchor="b657" w:history="1">
        <w:r>
          <w:rPr>
            <w:color w:val="0A3A8C"/>
            <w:u w:val="single"/>
          </w:rPr>
          <w:t xml:space="preserve">§ 495</w:t>
        </w:r>
      </w:hyperlink>
      <w:r>
        <w:t xml:space="preserve"> Absatz 1 oder des </w:t>
      </w:r>
      <w:hyperlink w:anchor="b687" w:history="1">
        <w:r>
          <w:rPr>
            <w:color w:val="0A3A8C"/>
            <w:u w:val="single"/>
          </w:rPr>
          <w:t xml:space="preserve">§ 514</w:t>
        </w:r>
      </w:hyperlink>
      <w:r>
        <w:t xml:space="preserve"> Absatz 2 Satz 1 wirksam widerrufen, so ist er auch nicht mehr an diejenige Willenserklärung gebunden, die auf den Abschluss eines mit diesem Darlehensvertrag verbundenen Vertrags über die Lieferung einer Ware oder die Erbringung einer anderen Leistung gerichtet ist.</w:t>
      </w:r>
    </w:p>
    <w:p>
      <w:r>
        <w:t xml:space="preserve">(3) </w:t>
      </w:r>
      <w:r>
        <w:rPr>
          <w:rStyle w:val="Satznummer"/>
        </w:rPr>
        <w:t>1</w:t>
      </w:r>
      <w:r>
        <w:t xml:space="preserve">Ein Vertrag über die Lieferung einer Ware oder über die Erbringung einer anderen Leistung und ein Darlehensvertrag nach den Absätzen 1 oder 2 sind verbunden, wenn das Darlehen ganz oder teilweise der Finanzierung des anderen Vertrags dient und beide Verträge eine wirtschaftliche Einheit bilden. </w:t>
      </w:r>
      <w:r>
        <w:rPr>
          <w:rStyle w:val="Satznummer"/>
        </w:rPr>
        <w:t>2</w:t>
      </w:r>
      <w:r>
        <w:t xml:space="preserve">Eine wirtschaftliche Einheit ist insbesondere anzunehmen, wenn der Unternehmer selbst die Gegenleistung des Verbrauchers finanziert, oder im Falle der Finanzierung durch einen Dritten, wenn sich der Darlehensgeber bei der Vorbereitung oder dem Abschluss des Darlehensvertrags der Mitwirkung des Unternehmers bedient. </w:t>
      </w:r>
      <w:r>
        <w:rPr>
          <w:rStyle w:val="Satznummer"/>
        </w:rPr>
        <w:t>3</w:t>
      </w:r>
      <w:r>
        <w:t>Bei einem finanzierten Erwerb eines Grundstücks oder eines grundstücksgleichen Rechts ist eine wirtschaftliche Einheit nur anzunehmen, wenn der Darlehensgeber selbst dem Verbraucher das Grundstück oder das grundstücksgleiche Recht verschafft oder wenn er über die Zurverfügungstellung von Darlehen hinaus den Erwerb des Grundstücks oder grundstücksgleichen Rechts durch Zusammenwirken mit dem Unternehmer fördert, indem er sich dessen Veräußerungsinteressen ganz oder teilweise zu Eigen macht, bei der Planung, Werbung oder Durchführung des Projekts Funktionen des Veräußerers übernimmt oder den Veräußerer einseitig begünstigt.</w:t>
      </w:r>
    </w:p>
    <w:p>
      <w:r>
        <w:t xml:space="preserve">(4) </w:t>
      </w:r>
      <w:r>
        <w:rPr>
          <w:rStyle w:val="Satznummer"/>
        </w:rPr>
        <w:t>1</w:t>
      </w:r>
      <w:r>
        <w:t xml:space="preserve">Auf die Rückabwicklung des verbundenen Vertrags sind unabhängig von der Vertriebsform </w:t>
      </w:r>
      <w:hyperlink w:anchor="b461" w:history="1">
        <w:r>
          <w:rPr>
            <w:color w:val="0A3A8C"/>
            <w:u w:val="single"/>
          </w:rPr>
          <w:t xml:space="preserve">§ 355</w:t>
        </w:r>
      </w:hyperlink>
      <w:r>
        <w:t xml:space="preserve"> Absatz 3 und, je nach Art des verbundenen Vertrags, </w:t>
      </w:r>
      <w:hyperlink w:anchor="b469" w:history="1">
        <w:r>
          <w:rPr>
            <w:color w:val="0A3A8C"/>
            <w:u w:val="single"/>
          </w:rPr>
          <w:t xml:space="preserve">§ 357</w:t>
        </w:r>
      </w:hyperlink>
      <w:r>
        <w:t xml:space="preserve"> Absatz 1 bis 3 sowie 5 bis 8 und die </w:t>
      </w:r>
      <w:hyperlink w:anchor="b470" w:history="1">
        <w:r>
          <w:rPr>
            <w:color w:val="0A3A8C"/>
            <w:u w:val="single"/>
          </w:rPr>
          <w:t xml:space="preserve">§§ 357a</w:t>
        </w:r>
      </w:hyperlink>
      <w:r>
        <w:t xml:space="preserve"> bis </w:t>
      </w:r>
      <w:hyperlink w:anchor="b472" w:history="1">
        <w:r>
          <w:rPr>
            <w:color w:val="0A3A8C"/>
            <w:u w:val="single"/>
          </w:rPr>
          <w:t xml:space="preserve">357c</w:t>
        </w:r>
      </w:hyperlink>
      <w:r>
        <w:t xml:space="preserve"> entsprechend anzuwenden. </w:t>
      </w:r>
      <w:r>
        <w:rPr>
          <w:rStyle w:val="Satznummer"/>
        </w:rPr>
        <w:t>2</w:t>
      </w:r>
      <w:r>
        <w:t xml:space="preserve">Ist der verbundene Vertrag ein Vertrag über die Lieferung von nicht auf einem körperlichen Datenträger befindlichen digitalen Inhalten, hat der Verbraucher abweichend von </w:t>
      </w:r>
      <w:hyperlink w:anchor="b470" w:history="1">
        <w:r>
          <w:rPr>
            <w:color w:val="0A3A8C"/>
            <w:u w:val="single"/>
          </w:rPr>
          <w:t xml:space="preserve">§ 357a</w:t>
        </w:r>
      </w:hyperlink>
      <w:r>
        <w:t xml:space="preserve"> Absatz 3 unter den Voraussetzungen des § 356 Absatz 6 Nummer 2 Wertersatz für die bis zum Widerruf gelieferten digitalen Inhalte zu leisten. </w:t>
      </w:r>
      <w:r>
        <w:rPr>
          <w:rStyle w:val="Satznummer"/>
        </w:rPr>
        <w:t>3</w:t>
      </w:r>
      <w:r>
        <w:t xml:space="preserve">Ist der verbundene Vertrag ein im Fernabsatz oder außerhalb von Geschäftsräumen geschlossener Ratenlieferungsvertrag, so sind neben </w:t>
      </w:r>
      <w:hyperlink w:anchor="b461" w:history="1">
        <w:r>
          <w:rPr>
            <w:color w:val="0A3A8C"/>
            <w:u w:val="single"/>
          </w:rPr>
          <w:t xml:space="preserve">§ 355</w:t>
        </w:r>
      </w:hyperlink>
      <w:r>
        <w:t xml:space="preserve"> Absatz 3 auch </w:t>
      </w:r>
      <w:hyperlink w:anchor="b469" w:history="1">
        <w:r>
          <w:rPr>
            <w:color w:val="0A3A8C"/>
            <w:u w:val="single"/>
          </w:rPr>
          <w:t xml:space="preserve">§ 357</w:t>
        </w:r>
      </w:hyperlink>
      <w:r>
        <w:t xml:space="preserve"> Absatz 1 bis 3 sowie 5 bis 8 und </w:t>
      </w:r>
      <w:hyperlink w:anchor="b470" w:history="1">
        <w:r>
          <w:rPr>
            <w:color w:val="0A3A8C"/>
            <w:u w:val="single"/>
          </w:rPr>
          <w:t xml:space="preserve">§ 357a</w:t>
        </w:r>
      </w:hyperlink>
      <w:r>
        <w:t xml:space="preserve"> entsprechend anzuwenden; im Übrigen gelten für verbundene Ratenlieferungsverträge </w:t>
      </w:r>
      <w:hyperlink w:anchor="b461" w:history="1">
        <w:r>
          <w:rPr>
            <w:color w:val="0A3A8C"/>
            <w:u w:val="single"/>
          </w:rPr>
          <w:t xml:space="preserve">§ 355</w:t>
        </w:r>
      </w:hyperlink>
      <w:r>
        <w:t xml:space="preserve"> Absatz 3, </w:t>
      </w:r>
      <w:hyperlink w:anchor="b469" w:history="1">
        <w:r>
          <w:rPr>
            <w:color w:val="0A3A8C"/>
            <w:u w:val="single"/>
          </w:rPr>
          <w:t xml:space="preserve">§ 357</w:t>
        </w:r>
      </w:hyperlink>
      <w:r>
        <w:t xml:space="preserve"> Absatz 1 bis 3 und 6 sowie </w:t>
      </w:r>
      <w:hyperlink w:anchor="b473" w:history="1">
        <w:r>
          <w:rPr>
            <w:color w:val="0A3A8C"/>
            <w:u w:val="single"/>
          </w:rPr>
          <w:t xml:space="preserve">§ 357d</w:t>
        </w:r>
      </w:hyperlink>
      <w:r>
        <w:t xml:space="preserve"> Satz 2 und 3 entsprechend. </w:t>
      </w:r>
      <w:r>
        <w:rPr>
          <w:rStyle w:val="Satznummer"/>
        </w:rPr>
        <w:t>4</w:t>
      </w:r>
      <w:r>
        <w:t xml:space="preserve">Im Falle des Absatzes 1 sind jedoch Ansprüche auf Zahlung von Zinsen und Kosten aus der Rückabwicklung des Darlehensvertrags gegen den Verbraucher ausgeschlossen. </w:t>
      </w:r>
      <w:r>
        <w:rPr>
          <w:rStyle w:val="Satznummer"/>
        </w:rPr>
        <w:t>5</w:t>
      </w:r>
      <w:r>
        <w:t>Der Darlehensgeber tritt im Verhältnis zum Verbraucher hinsichtlich der Rechtsfolgen des Widerrufs in die Rechte und Pflichten des Unternehmers aus dem verbundenen Vertrag ein, wenn das Darlehen dem Unternehmer bei Wirksamwerden des Widerrufs bereits zugeflossen ist.</w:t>
      </w:r>
    </w:p>
    <w:p>
      <w:r>
        <w:t>(5) Die Absätze 2 und 4 sind nicht anzuwenden auf Darlehensverträge, die der Finanzierung des Erwerbs von Finanzinstrumenten dienen.</w:t>
      </w:r>
    </w:p>
    <w:p>
      <w:pPr>
        <w:pStyle w:val="Heading5"/>
      </w:pPr>
      <w:bookmarkStart w:id="487" w:name="b476"/>
      <w:r>
        <w:t>§ 359 Einwendungen bei verbundenen Verträgen</w:t>
      </w:r>
      <w:r>
        <w:t xml:space="preserve"> </w:t>
      </w:r>
      <w:r>
        <w:rPr>
          <w:rStyle w:val="Suchmarke"/>
        </w:rPr>
        <w:t>#359#</w:t>
      </w:r>
      <w:bookmarkEnd w:id="487"/>
    </w:p>
    <w:p>
      <w:r>
        <w:t xml:space="preserve">(1) </w:t>
      </w:r>
      <w:r>
        <w:rPr>
          <w:rStyle w:val="Satznummer"/>
        </w:rPr>
        <w:t>1</w:t>
      </w:r>
      <w:r>
        <w:t xml:space="preserve">Der Verbraucher kann die Rückzahlung des Darlehens verweigern, soweit Einwendungen aus dem verbundenen Vertrag ihn gegenüber dem Unternehmer, mit dem er den verbundenen Vertrag geschlossen hat, zur Verweigerung seiner Leistung berechtigen würden. </w:t>
      </w:r>
      <w:r>
        <w:rPr>
          <w:rStyle w:val="Satznummer"/>
        </w:rPr>
        <w:t>2</w:t>
      </w:r>
      <w:r>
        <w:t xml:space="preserve">Dies gilt nicht bei Einwendungen, die auf einer Vertragsänderung beruhen, welche zwischen diesem Unternehmer und dem Verbraucher nach Abschluss des Darlehensvertrags vereinbart wurde. </w:t>
      </w:r>
      <w:r>
        <w:rPr>
          <w:rStyle w:val="Satznummer"/>
        </w:rPr>
        <w:t>3</w:t>
      </w:r>
      <w:r>
        <w:t>Kann der Verbraucher Nacherfüllung verlangen, so kann er die Rückzahlung des Darlehens erst verweigern, wenn die Nacherfüllung fehlgeschlagen ist.</w:t>
      </w:r>
    </w:p>
    <w:p>
      <w:r>
        <w:t>(2) Absatz 1 ist nicht anzuwenden auf Darlehensverträge, die der Finanzierung des Erwerbs von Finanzinstrumenten dienen, oder wenn das finanzierte Entgelt weniger als 200 Euro beträgt.</w:t>
      </w:r>
    </w:p>
    <w:p>
      <w:pPr>
        <w:pStyle w:val="Heading5"/>
      </w:pPr>
      <w:bookmarkStart w:id="488" w:name="b477"/>
      <w:r>
        <w:t>§ 360 Zusammenhängende Verträge</w:t>
      </w:r>
      <w:r>
        <w:t xml:space="preserve"> </w:t>
      </w:r>
      <w:r>
        <w:rPr>
          <w:rStyle w:val="Suchmarke"/>
        </w:rPr>
        <w:t>#360#</w:t>
      </w:r>
      <w:bookmarkEnd w:id="488"/>
    </w:p>
    <w:p>
      <w:r>
        <w:t xml:space="preserve">(1) </w:t>
      </w:r>
      <w:r>
        <w:rPr>
          <w:rStyle w:val="Satznummer"/>
        </w:rPr>
        <w:t>1</w:t>
      </w:r>
      <w:r>
        <w:t xml:space="preserve">Hat der Verbraucher seine auf den Abschluss eines Vertrags gerichtete Willenserklärung wirksam widerrufen und liegen die Voraussetzungen für einen verbundenen Vertrag nicht vor, so ist er auch an seine auf den Abschluss eines damit zusammenhängenden Vertrags gerichtete Willenserklärung nicht mehr gebunden. </w:t>
      </w:r>
      <w:r>
        <w:rPr>
          <w:rStyle w:val="Satznummer"/>
        </w:rPr>
        <w:t>2</w:t>
      </w:r>
      <w:r>
        <w:t xml:space="preserve">Auf die Rückabwicklung des zusammenhängenden Vertrags ist </w:t>
      </w:r>
      <w:hyperlink w:anchor="b475" w:history="1">
        <w:r>
          <w:rPr>
            <w:color w:val="0A3A8C"/>
            <w:u w:val="single"/>
          </w:rPr>
          <w:t xml:space="preserve">§ 358</w:t>
        </w:r>
      </w:hyperlink>
      <w:r>
        <w:t xml:space="preserve"> Absatz 4 Satz 1 bis 3 entsprechend anzuwenden. </w:t>
      </w:r>
      <w:r>
        <w:rPr>
          <w:rStyle w:val="Satznummer"/>
        </w:rPr>
        <w:t>3</w:t>
      </w:r>
      <w:r>
        <w:t xml:space="preserve">Widerruft der Verbraucher einen Teilzeit-Wohnrechtevertrag oder einen Vertrag über ein langfristiges Urlaubsprodukt, hat er auch für den zusammenhängenden Vertrag keine Kosten zu tragen; </w:t>
      </w:r>
      <w:hyperlink w:anchor="b472" w:history="1">
        <w:r>
          <w:rPr>
            <w:color w:val="0A3A8C"/>
            <w:u w:val="single"/>
          </w:rPr>
          <w:t xml:space="preserve">§ 357c</w:t>
        </w:r>
      </w:hyperlink>
      <w:r>
        <w:t xml:space="preserve"> Absatz 1 Satz 2 und 3 gilt entsprechend.</w:t>
      </w:r>
    </w:p>
    <w:p>
      <w:r>
        <w:t xml:space="preserve">(2) </w:t>
      </w:r>
      <w:r>
        <w:rPr>
          <w:rStyle w:val="Satznummer"/>
        </w:rPr>
        <w:t>1</w:t>
      </w:r>
      <w:r>
        <w:t xml:space="preserve">Ein zusammenhängender Vertrag liegt vor, wenn er einen Bezug zu dem widerrufenen Vertrag aufweist und eine Leistung betrifft, die von dem Unternehmer des widerrufenen Vertrags oder einem Dritten auf der Grundlage einer Vereinbarung zwischen dem Dritten und dem Unternehmer des widerrufenen Vertrags erbracht wird. </w:t>
      </w:r>
      <w:r>
        <w:rPr>
          <w:rStyle w:val="Satznummer"/>
        </w:rPr>
        <w:t>2</w:t>
      </w:r>
      <w:r>
        <w:t>Ein Darlehensvertrag ist auch dann ein zusammenhängender Vertrag, wenn das Darlehen, das ein Unternehmer einem Verbraucher gewährt, ausschließlich der Finanzierung des widerrufenen Vertrags dient und die Leistung des Unternehmers aus dem widerrufenen Vertrag in dem Darlehensvertrag genau angegeben ist.</w:t>
      </w:r>
    </w:p>
    <w:p>
      <w:pPr>
        <w:pStyle w:val="Heading5"/>
      </w:pPr>
      <w:bookmarkStart w:id="489" w:name="b478"/>
      <w:r>
        <w:t>§ 361 Weitere Ansprüche, abweichende Vereinbarungen und Beweislast</w:t>
      </w:r>
      <w:r>
        <w:t xml:space="preserve"> </w:t>
      </w:r>
      <w:r>
        <w:rPr>
          <w:rStyle w:val="Suchmarke"/>
        </w:rPr>
        <w:t>#361#</w:t>
      </w:r>
      <w:bookmarkEnd w:id="489"/>
    </w:p>
    <w:p>
      <w:r>
        <w:t>(1) Über die Vorschriften dieses Untertitels hinaus bestehen keine weiteren Ansprüche gegen den Verbraucher infolge des Widerrufs.</w:t>
      </w:r>
    </w:p>
    <w:p>
      <w:r>
        <w:t xml:space="preserve">(2) </w:t>
      </w:r>
      <w:r>
        <w:rPr>
          <w:rStyle w:val="Satznummer"/>
        </w:rPr>
        <w:t>1</w:t>
      </w:r>
      <w:r>
        <w:t xml:space="preserve">Von den Vorschriften dieses Untertitels darf, soweit nicht ein anderes bestimmt ist, nicht zum Nachteil des Verbrauchers abgewichen werden. </w:t>
      </w:r>
      <w:r>
        <w:rPr>
          <w:rStyle w:val="Satznummer"/>
        </w:rPr>
        <w:t>2</w:t>
      </w:r>
      <w:r>
        <w:t>Die Vorschriften dieses Untertitels finden, soweit nichts anderes bestimmt ist, auch Anwendung, wenn sie durch anderweitige Gestaltungen umgangen werden.</w:t>
      </w:r>
    </w:p>
    <w:p>
      <w:r>
        <w:t>(3) Ist der Beginn der Widerrufsfrist streitig, so trifft die Beweislast den Unternehmer.</w:t>
      </w:r>
    </w:p>
    <w:p>
      <w:pPr>
        <w:pStyle w:val="Heading2"/>
      </w:pPr>
      <w:bookmarkStart w:id="490" w:name="b479"/>
      <w:r>
        <w:t>Abschnitt 4 Erlöschen der Schuldverhältnisse</w:t>
      </w:r>
      <w:bookmarkEnd w:id="490"/>
    </w:p>
    <w:p>
      <w:pPr>
        <w:pStyle w:val="Heading3"/>
      </w:pPr>
      <w:bookmarkStart w:id="491" w:name="b480"/>
      <w:r>
        <w:t>Titel 1 Erfüllung</w:t>
      </w:r>
      <w:bookmarkEnd w:id="491"/>
    </w:p>
    <w:p>
      <w:pPr>
        <w:pStyle w:val="Heading4"/>
      </w:pPr>
      <w:bookmarkStart w:id="492" w:name="b481"/>
      <w:r>
        <w:t>§ 362 Erlöschen durch Leistung</w:t>
      </w:r>
      <w:r>
        <w:t xml:space="preserve"> </w:t>
      </w:r>
      <w:r>
        <w:rPr>
          <w:rStyle w:val="Suchmarke"/>
        </w:rPr>
        <w:t>#362#</w:t>
      </w:r>
      <w:bookmarkEnd w:id="492"/>
    </w:p>
    <w:p>
      <w:r>
        <w:t>(1) Das Schuldverhältnis erlischt, wenn die geschuldete Leistung an den Gläubiger bewirkt wird.</w:t>
      </w:r>
    </w:p>
    <w:p>
      <w:r>
        <w:t>(2) Wird an einen Dritten zum Zwecke der Erfüllung geleistet, so findet die Vorschrift des § 185 Anwendung.</w:t>
      </w:r>
    </w:p>
    <w:p>
      <w:pPr>
        <w:pStyle w:val="Heading4"/>
      </w:pPr>
      <w:bookmarkStart w:id="493" w:name="b482"/>
      <w:r>
        <w:t>§ 363 Beweislast bei Annahme als Erfüllung</w:t>
      </w:r>
      <w:r>
        <w:t xml:space="preserve"> </w:t>
      </w:r>
      <w:r>
        <w:rPr>
          <w:rStyle w:val="Suchmarke"/>
        </w:rPr>
        <w:t>#363#</w:t>
      </w:r>
      <w:bookmarkEnd w:id="493"/>
    </w:p>
    <w:p>
      <w:r>
        <w:t>Hat der Gläubiger eine ihm als Erfüllung angebotene Leistung als Erfüllung angenommen, so trifft ihn die Beweislast, wenn er die Leistung deshalb nicht als Erfüllung gelten lassen will, weil sie eine andere als die geschuldete Leistung oder weil sie unvollständig gewesen sei.</w:t>
      </w:r>
    </w:p>
    <w:p>
      <w:pPr>
        <w:pStyle w:val="Heading4"/>
      </w:pPr>
      <w:bookmarkStart w:id="494" w:name="b483"/>
      <w:r>
        <w:t>§ 364 Annahme an Erfüllungs statt</w:t>
      </w:r>
      <w:r>
        <w:t xml:space="preserve"> </w:t>
      </w:r>
      <w:r>
        <w:rPr>
          <w:rStyle w:val="Suchmarke"/>
        </w:rPr>
        <w:t>#364#</w:t>
      </w:r>
      <w:bookmarkEnd w:id="494"/>
    </w:p>
    <w:p>
      <w:r>
        <w:t>(1) Das Schuldverhältnis erlischt, wenn der Gläubiger eine andere als die geschuldete Leistung an Erfüllungs statt annimmt.</w:t>
      </w:r>
    </w:p>
    <w:p>
      <w:r>
        <w:t>(2) Übernimmt der Schuldner zum Zwecke der Befriedigung des Gläubigers diesem gegenüber eine neue Verbindlichkeit, so ist im Zweifel nicht anzunehmen, dass er die Verbindlichkeit an Erfüllungs statt übernimmt.</w:t>
      </w:r>
    </w:p>
    <w:p>
      <w:pPr>
        <w:pStyle w:val="Heading4"/>
      </w:pPr>
      <w:bookmarkStart w:id="495" w:name="b484"/>
      <w:r>
        <w:t>§ 365 Gewährleistung bei Hingabe an Erfüllungs statt</w:t>
      </w:r>
      <w:r>
        <w:t xml:space="preserve"> </w:t>
      </w:r>
      <w:r>
        <w:rPr>
          <w:rStyle w:val="Suchmarke"/>
        </w:rPr>
        <w:t>#365#</w:t>
      </w:r>
      <w:bookmarkEnd w:id="495"/>
    </w:p>
    <w:p>
      <w:r>
        <w:t>Wird eine Sache, eine Forderung gegen einen Dritten oder ein anderes Recht an Erfüllungs statt gegeben, so hat der Schuldner wegen eines Mangels im Recht oder wegen eines Mangels der Sache in gleicher Weise wie ein Verkäufer Gewähr zu leisten.</w:t>
      </w:r>
    </w:p>
    <w:p>
      <w:pPr>
        <w:pStyle w:val="Heading4"/>
      </w:pPr>
      <w:bookmarkStart w:id="496" w:name="b485"/>
      <w:r>
        <w:t>§ 366 Anrechnung der Leistung auf mehrere Forderungen</w:t>
      </w:r>
      <w:r>
        <w:t xml:space="preserve"> </w:t>
      </w:r>
      <w:r>
        <w:rPr>
          <w:rStyle w:val="Suchmarke"/>
        </w:rPr>
        <w:t>#366#</w:t>
      </w:r>
      <w:bookmarkEnd w:id="496"/>
    </w:p>
    <w:p>
      <w:r>
        <w:t>(1) Ist der Schuldner dem Gläubiger aus mehreren Schuldverhältnissen zu gleichartigen Leistungen verpflichtet und reicht das von ihm Geleistete nicht zur Tilgung sämtlicher Schulden aus, so wird diejenige Schuld getilgt, welche er bei der Leistung bestimmt.</w:t>
      </w:r>
    </w:p>
    <w:p>
      <w:r>
        <w:t>(2) Trifft der Schuldner keine Bestimmung, so wird zunächst die fällige Schuld, unter mehreren fälligen Schulden diejenige, welche dem Gläubiger geringere Sicherheit bietet, unter mehreren gleich sicheren die dem Schuldner lästigere, unter mehreren gleich lästigen die ältere Schuld und bei gleichem Alter jede Schuld verhältnismäßig getilgt.</w:t>
      </w:r>
    </w:p>
    <w:p>
      <w:pPr>
        <w:pStyle w:val="Heading4"/>
      </w:pPr>
      <w:bookmarkStart w:id="497" w:name="b486"/>
      <w:r>
        <w:t>§ 367 Anrechnung auf Zinsen und Kosten</w:t>
      </w:r>
      <w:r>
        <w:t xml:space="preserve"> </w:t>
      </w:r>
      <w:r>
        <w:rPr>
          <w:rStyle w:val="Suchmarke"/>
        </w:rPr>
        <w:t>#367#</w:t>
      </w:r>
      <w:bookmarkEnd w:id="497"/>
    </w:p>
    <w:p>
      <w:r>
        <w:t>(1) Hat der Schuldner außer der Hauptleistung Zinsen und Kosten zu entrichten, so wird eine zur Tilgung der ganzen Schuld nicht ausreichende Leistung zunächst auf die Kosten, dann auf die Zinsen und zuletzt auf die Hauptleistung angerechnet.</w:t>
      </w:r>
    </w:p>
    <w:p>
      <w:r>
        <w:t>(2) Bestimmt der Schuldner eine andere Anrechnung, so kann der Gläubiger die Annahme der Leistung ablehnen.</w:t>
      </w:r>
    </w:p>
    <w:p>
      <w:pPr>
        <w:pStyle w:val="Heading4"/>
      </w:pPr>
      <w:bookmarkStart w:id="498" w:name="b487"/>
      <w:r>
        <w:t>§ 368 Quittung</w:t>
      </w:r>
      <w:r>
        <w:t xml:space="preserve"> </w:t>
      </w:r>
      <w:r>
        <w:rPr>
          <w:rStyle w:val="Suchmarke"/>
        </w:rPr>
        <w:t>#368#</w:t>
      </w:r>
      <w:bookmarkEnd w:id="498"/>
    </w:p>
    <w:p>
      <w:r>
        <w:rPr>
          <w:rStyle w:val="Satznummer"/>
        </w:rPr>
        <w:t>1</w:t>
      </w:r>
      <w:r>
        <w:t xml:space="preserve">Der Gläubiger hat gegen Empfang der Leistung auf Verlangen ein schriftliches Empfangsbekenntnis (Quittung) zu erteilen. </w:t>
      </w:r>
      <w:r>
        <w:rPr>
          <w:rStyle w:val="Satznummer"/>
        </w:rPr>
        <w:t>2</w:t>
      </w:r>
      <w:r>
        <w:t>Hat der Schuldner ein rechtliches Interesse, dass die Quittung in anderer Form erteilt wird, so kann er die Erteilung in dieser Form verlangen.</w:t>
      </w:r>
    </w:p>
    <w:p>
      <w:pPr>
        <w:pStyle w:val="Heading4"/>
      </w:pPr>
      <w:bookmarkStart w:id="499" w:name="b488"/>
      <w:r>
        <w:t>§ 369 Kosten der Quittung</w:t>
      </w:r>
      <w:r>
        <w:t xml:space="preserve"> </w:t>
      </w:r>
      <w:r>
        <w:rPr>
          <w:rStyle w:val="Suchmarke"/>
        </w:rPr>
        <w:t>#369#</w:t>
      </w:r>
      <w:bookmarkEnd w:id="499"/>
    </w:p>
    <w:p>
      <w:r>
        <w:t>(1) Die Kosten der Quittung hat der Schuldner zu tragen und vorzuschießen, sofern nicht aus dem zwischen ihm und dem Gläubiger bestehenden Rechtsverhältnis sich ein anderes ergibt.</w:t>
      </w:r>
    </w:p>
    <w:p>
      <w:r>
        <w:t>(2) Treten infolge einer Übertragung der Forderung oder im Wege der Erbfolge an die Stelle des ursprünglichen Gläubigers mehrere Gläubiger, so fallen die Mehrkosten den Gläubigern zur Last.</w:t>
      </w:r>
    </w:p>
    <w:p>
      <w:pPr>
        <w:pStyle w:val="Heading4"/>
      </w:pPr>
      <w:bookmarkStart w:id="500" w:name="b489"/>
      <w:r>
        <w:t>§ 370 Leistung an den Überbringer der Quittung</w:t>
      </w:r>
      <w:r>
        <w:t xml:space="preserve"> </w:t>
      </w:r>
      <w:r>
        <w:rPr>
          <w:rStyle w:val="Suchmarke"/>
        </w:rPr>
        <w:t>#370#</w:t>
      </w:r>
      <w:bookmarkEnd w:id="500"/>
    </w:p>
    <w:p>
      <w:r>
        <w:t>Der Überbringer einer Quittung gilt als ermächtigt, die Leistung zu empfangen, sofern nicht die dem Leistenden bekannten Umstände der Annahme einer solchen Ermächtigung entgegenstehen.</w:t>
      </w:r>
    </w:p>
    <w:p>
      <w:pPr>
        <w:pStyle w:val="Heading4"/>
      </w:pPr>
      <w:bookmarkStart w:id="501" w:name="b490"/>
      <w:r>
        <w:t>§ 371 Rückgabe des Schuldscheins</w:t>
      </w:r>
      <w:r>
        <w:t xml:space="preserve"> </w:t>
      </w:r>
      <w:r>
        <w:rPr>
          <w:rStyle w:val="Suchmarke"/>
        </w:rPr>
        <w:t>#371#</w:t>
      </w:r>
      <w:bookmarkEnd w:id="501"/>
    </w:p>
    <w:p>
      <w:r>
        <w:rPr>
          <w:rStyle w:val="Satznummer"/>
        </w:rPr>
        <w:t>1</w:t>
      </w:r>
      <w:r>
        <w:t xml:space="preserve">Ist über die Forderung ein Schuldschein ausgestellt worden, so kann der Schuldner neben der Quittung Rückgabe des Schuldscheins verlangen. </w:t>
      </w:r>
      <w:r>
        <w:rPr>
          <w:rStyle w:val="Satznummer"/>
        </w:rPr>
        <w:t>2</w:t>
      </w:r>
      <w:r>
        <w:t>Behauptet der Gläubiger, zur Rückgabe außerstande zu sein, so kann der Schuldner das öffentlich beglaubigte Anerkenntnis verlangen, dass die Schuld erloschen sei.</w:t>
      </w:r>
    </w:p>
    <w:p>
      <w:pPr>
        <w:pStyle w:val="Heading3"/>
      </w:pPr>
      <w:bookmarkStart w:id="502" w:name="b491"/>
      <w:r>
        <w:t>Titel 2 Hinterlegung</w:t>
      </w:r>
      <w:bookmarkEnd w:id="502"/>
    </w:p>
    <w:p>
      <w:pPr>
        <w:pStyle w:val="Heading4"/>
      </w:pPr>
      <w:bookmarkStart w:id="503" w:name="b492"/>
      <w:r>
        <w:t>§ 372 Voraussetzungen</w:t>
      </w:r>
      <w:r>
        <w:t xml:space="preserve"> </w:t>
      </w:r>
      <w:r>
        <w:rPr>
          <w:rStyle w:val="Suchmarke"/>
        </w:rPr>
        <w:t>#372#</w:t>
      </w:r>
      <w:bookmarkEnd w:id="503"/>
    </w:p>
    <w:p>
      <w:r>
        <w:rPr>
          <w:rStyle w:val="Satznummer"/>
        </w:rPr>
        <w:t>1</w:t>
      </w:r>
      <w:r>
        <w:t xml:space="preserve">Geld, Wertpapiere und sonstige Urkunden sowie Kostbarkeiten kann der Schuldner bei einer dazu bestimmten öffentlichen Stelle für den Gläubiger hinterlegen, wenn der Gläubiger im Verzug der Annahme ist. </w:t>
      </w:r>
      <w:r>
        <w:rPr>
          <w:rStyle w:val="Satznummer"/>
        </w:rPr>
        <w:t>2</w:t>
      </w:r>
      <w:r>
        <w:t>Das Gleiche gilt, wenn der Schuldner aus einem anderen in der Person des Gläubigers liegenden Grund oder infolge einer nicht auf Fahrlässigkeit beruhenden Ungewissheit über die Person des Gläubigers seine Verbindlichkeit nicht oder nicht mit Sicherheit erfüllen kann.</w:t>
      </w:r>
    </w:p>
    <w:p>
      <w:pPr>
        <w:pStyle w:val="Heading4"/>
      </w:pPr>
      <w:bookmarkStart w:id="504" w:name="b493"/>
      <w:r>
        <w:t>§ 373 Zug-um-Zug-Leistung</w:t>
      </w:r>
      <w:r>
        <w:t xml:space="preserve"> </w:t>
      </w:r>
      <w:r>
        <w:rPr>
          <w:rStyle w:val="Suchmarke"/>
        </w:rPr>
        <w:t>#373#</w:t>
      </w:r>
      <w:bookmarkEnd w:id="504"/>
    </w:p>
    <w:p>
      <w:r>
        <w:t>Ist der Schuldner nur gegen eine Leistung des Gläubigers zu leisten verpflichtet, so kann er das Recht des Gläubigers zum Empfang der hinterlegten Sache von der Bewirkung der Gegenleistung abhängig machen.</w:t>
      </w:r>
    </w:p>
    <w:p>
      <w:pPr>
        <w:pStyle w:val="Heading4"/>
      </w:pPr>
      <w:bookmarkStart w:id="505" w:name="b494"/>
      <w:r>
        <w:t>§ 374 Hinterlegungsort; Anzeigepflicht</w:t>
      </w:r>
      <w:r>
        <w:t xml:space="preserve"> </w:t>
      </w:r>
      <w:r>
        <w:rPr>
          <w:rStyle w:val="Suchmarke"/>
        </w:rPr>
        <w:t>#374#</w:t>
      </w:r>
      <w:bookmarkEnd w:id="505"/>
    </w:p>
    <w:p>
      <w:r>
        <w:t>(1) Die Hinterlegung hat bei der Hinterlegungsstelle des Leistungsorts zu erfolgen; hinterlegt der Schuldner bei einer anderen Stelle, so hat er dem Gläubiger den daraus entstehenden Schaden zu ersetzen.</w:t>
      </w:r>
    </w:p>
    <w:p>
      <w:r>
        <w:t xml:space="preserve">(2) </w:t>
      </w:r>
      <w:r>
        <w:rPr>
          <w:rStyle w:val="Satznummer"/>
        </w:rPr>
        <w:t>1</w:t>
      </w:r>
      <w:r>
        <w:t xml:space="preserve">Der Schuldner hat dem Gläubiger die Hinterlegung unverzüglich anzuzeigen; im Falle der Unterlassung ist er zum Schadensersatz verpflichtet. </w:t>
      </w:r>
      <w:r>
        <w:rPr>
          <w:rStyle w:val="Satznummer"/>
        </w:rPr>
        <w:t>2</w:t>
      </w:r>
      <w:r>
        <w:t>Die Anzeige darf unterbleiben, wenn sie untunlich ist.</w:t>
      </w:r>
    </w:p>
    <w:p>
      <w:pPr>
        <w:pStyle w:val="Heading4"/>
      </w:pPr>
      <w:bookmarkStart w:id="506" w:name="b495"/>
      <w:r>
        <w:t>§ 375 Rückwirkung bei Postübersendung</w:t>
      </w:r>
      <w:r>
        <w:t xml:space="preserve"> </w:t>
      </w:r>
      <w:r>
        <w:rPr>
          <w:rStyle w:val="Suchmarke"/>
        </w:rPr>
        <w:t>#375#</w:t>
      </w:r>
      <w:bookmarkEnd w:id="506"/>
    </w:p>
    <w:p>
      <w:r>
        <w:t>Ist die hinterlegte Sache der Hinterlegungsstelle durch die Post übersendet worden, so wirkt die Hinterlegung auf die Zeit der Aufgabe der Sache zur Post zurück.</w:t>
      </w:r>
    </w:p>
    <w:p>
      <w:pPr>
        <w:pStyle w:val="Heading4"/>
      </w:pPr>
      <w:bookmarkStart w:id="507" w:name="b496"/>
      <w:r>
        <w:t>§ 376 Rücknahmerecht</w:t>
      </w:r>
      <w:r>
        <w:t xml:space="preserve"> </w:t>
      </w:r>
      <w:r>
        <w:rPr>
          <w:rStyle w:val="Suchmarke"/>
        </w:rPr>
        <w:t>#376#</w:t>
      </w:r>
      <w:bookmarkEnd w:id="507"/>
    </w:p>
    <w:p>
      <w:r>
        <w:t>(1) Der Schuldner hat das Recht, die hinterlegte Sache zurückzunehmen.</w:t>
      </w:r>
    </w:p>
    <w:p>
      <w:r>
        <w:t>(2) Die Rücknahme ist ausgeschlossen:</w:t>
      </w:r>
    </w:p>
    <w:p>
      <w:pPr>
        <w:tabs>
          <w:tab w:pos="567" w:val="left"/>
        </w:tabs>
        <w:ind w:left="567" w:hanging="567"/>
      </w:pPr>
      <w:r>
        <w:t>1.</w:t>
      </w:r>
      <w:r>
        <w:tab/>
      </w:r>
      <w:r>
        <w:t>wenn der Schuldner der Hinterlegungsstelle erklärt, dass er auf das Recht zur Rücknahme verzichte,</w:t>
      </w:r>
    </w:p>
    <w:p>
      <w:pPr>
        <w:tabs>
          <w:tab w:pos="567" w:val="left"/>
        </w:tabs>
        <w:ind w:left="567" w:hanging="567"/>
      </w:pPr>
      <w:r>
        <w:t>2.</w:t>
      </w:r>
      <w:r>
        <w:tab/>
      </w:r>
      <w:r>
        <w:t>wenn der Gläubiger der Hinterlegungsstelle die Annahme erklärt,</w:t>
      </w:r>
    </w:p>
    <w:p>
      <w:pPr>
        <w:tabs>
          <w:tab w:pos="567" w:val="left"/>
        </w:tabs>
        <w:ind w:left="567" w:hanging="567"/>
      </w:pPr>
      <w:r>
        <w:t>3.</w:t>
      </w:r>
      <w:r>
        <w:tab/>
      </w:r>
      <w:r>
        <w:t>wenn der Hinterlegungsstelle ein zwischen dem Gläubiger und dem Schuldner ergangenes rechtskräftiges Urteil vorgelegt wird, das die Hinterlegung für rechtmäßig erklärt.</w:t>
      </w:r>
    </w:p>
    <w:p>
      <w:pPr>
        <w:pStyle w:val="Heading4"/>
      </w:pPr>
      <w:bookmarkStart w:id="508" w:name="b497"/>
      <w:r>
        <w:t>§ 377 Unpfändbarkeit des Rücknahmerechts</w:t>
      </w:r>
      <w:r>
        <w:t xml:space="preserve"> </w:t>
      </w:r>
      <w:r>
        <w:rPr>
          <w:rStyle w:val="Suchmarke"/>
        </w:rPr>
        <w:t>#377#</w:t>
      </w:r>
      <w:bookmarkEnd w:id="508"/>
    </w:p>
    <w:p>
      <w:r>
        <w:t>(1) Das Recht zur Rücknahme ist der Pfändung nicht unterworfen.</w:t>
      </w:r>
    </w:p>
    <w:p>
      <w:r>
        <w:t>(2) Wird über das Vermögen des Schuldners das Insolvenzverfahren eröffnet, so kann während des Insolvenzverfahrens das Recht zur Rücknahme auch nicht von dem Schuldner ausgeübt werden.</w:t>
      </w:r>
    </w:p>
    <w:p>
      <w:pPr>
        <w:pStyle w:val="Heading4"/>
      </w:pPr>
      <w:bookmarkStart w:id="509" w:name="b498"/>
      <w:r>
        <w:t>§ 378 Wirkung der Hinterlegung bei ausgeschlossener Rücknahme</w:t>
      </w:r>
      <w:r>
        <w:t xml:space="preserve"> </w:t>
      </w:r>
      <w:r>
        <w:rPr>
          <w:rStyle w:val="Suchmarke"/>
        </w:rPr>
        <w:t>#378#</w:t>
      </w:r>
      <w:bookmarkEnd w:id="509"/>
    </w:p>
    <w:p>
      <w:r>
        <w:t>Ist die Rücknahme der hinterlegten Sache ausgeschlossen, so wird der Schuldner durch die Hinterlegung von seiner Verbindlichkeit in gleicher Weise befreit, wie wenn er zur Zeit der Hinterlegung an den Gläubiger geleistet hätte.</w:t>
      </w:r>
    </w:p>
    <w:p>
      <w:pPr>
        <w:pStyle w:val="Heading4"/>
      </w:pPr>
      <w:bookmarkStart w:id="510" w:name="b499"/>
      <w:r>
        <w:t>§ 379 Wirkung der Hinterlegung bei nicht ausgeschlossener Rücknahme</w:t>
      </w:r>
      <w:r>
        <w:t xml:space="preserve"> </w:t>
      </w:r>
      <w:r>
        <w:rPr>
          <w:rStyle w:val="Suchmarke"/>
        </w:rPr>
        <w:t>#379#</w:t>
      </w:r>
      <w:bookmarkEnd w:id="510"/>
    </w:p>
    <w:p>
      <w:r>
        <w:t>(1) Ist die Rücknahme der hinterlegten Sache nicht ausgeschlossen, so kann der Schuldner den Gläubiger auf die hinterlegte Sache verweisen.</w:t>
      </w:r>
    </w:p>
    <w:p>
      <w:r>
        <w:t>(2) Solange die Sache hinterlegt ist, trägt der Gläubiger die Gefahr und ist der Schuldner nicht verpflichtet, Zinsen zu zahlen oder Ersatz für nicht gezogene Nutzungen zu leisten.</w:t>
      </w:r>
    </w:p>
    <w:p>
      <w:r>
        <w:t>(3) Nimmt der Schuldner die hinterlegte Sache zurück, so gilt die Hinterlegung als nicht erfolgt.</w:t>
      </w:r>
    </w:p>
    <w:p>
      <w:pPr>
        <w:pStyle w:val="Heading4"/>
      </w:pPr>
      <w:bookmarkStart w:id="511" w:name="b500"/>
      <w:r>
        <w:t>§ 380 Nachweis der Empfangsberechtigung</w:t>
      </w:r>
      <w:r>
        <w:t xml:space="preserve"> </w:t>
      </w:r>
      <w:r>
        <w:rPr>
          <w:rStyle w:val="Suchmarke"/>
        </w:rPr>
        <w:t>#380#</w:t>
      </w:r>
      <w:bookmarkEnd w:id="511"/>
    </w:p>
    <w:p>
      <w:r>
        <w:t>Soweit nach den für die Hinterlegungsstelle geltenden Bestimmungen zum Nachweis der Empfangsberechtigung des Gläubigers eine diese Berechtigung anerkennende Erklärung des Schuldners erforderlich oder genügend ist, kann der Gläubiger von dem Schuldner die Abgabe der Erklärung unter denselben Voraussetzungen verlangen, unter denen er die Leistung zu fordern berechtigt sein würde, wenn die Hinterlegung nicht erfolgt wäre.</w:t>
      </w:r>
    </w:p>
    <w:p>
      <w:pPr>
        <w:pStyle w:val="Heading4"/>
      </w:pPr>
      <w:bookmarkStart w:id="512" w:name="b501"/>
      <w:r>
        <w:t>§ 381 Kosten der Hinterlegung</w:t>
      </w:r>
      <w:r>
        <w:t xml:space="preserve"> </w:t>
      </w:r>
      <w:r>
        <w:rPr>
          <w:rStyle w:val="Suchmarke"/>
        </w:rPr>
        <w:t>#381#</w:t>
      </w:r>
      <w:bookmarkEnd w:id="512"/>
    </w:p>
    <w:p>
      <w:r>
        <w:t>Die Kosten der Hinterlegung fallen dem Gläubiger zur Last, sofern nicht der Schuldner die hinterlegte Sache zurücknimmt.</w:t>
      </w:r>
    </w:p>
    <w:p>
      <w:pPr>
        <w:pStyle w:val="Heading4"/>
      </w:pPr>
      <w:bookmarkStart w:id="513" w:name="b502"/>
      <w:r>
        <w:t>§ 382 Erlöschen des Gläubigerrechts</w:t>
      </w:r>
      <w:r>
        <w:t xml:space="preserve"> </w:t>
      </w:r>
      <w:r>
        <w:rPr>
          <w:rStyle w:val="Suchmarke"/>
        </w:rPr>
        <w:t>#382#</w:t>
      </w:r>
      <w:bookmarkEnd w:id="513"/>
    </w:p>
    <w:p>
      <w:r>
        <w:t>Das Recht des Gläubigers auf den hinterlegten Betrag erlischt mit dem Ablauf von 30 Jahren nach dem Empfang der Anzeige von der Hinterlegung, wenn nicht der Gläubiger sich vorher bei der Hinterlegungsstelle meldet; der Schuldner ist zur Rücknahme berechtigt, auch wenn er auf das Recht zur Rücknahme verzichtet hat.</w:t>
      </w:r>
    </w:p>
    <w:p>
      <w:pPr>
        <w:pStyle w:val="Heading4"/>
      </w:pPr>
      <w:bookmarkStart w:id="514" w:name="b503"/>
      <w:r>
        <w:t>§ 383 Versteigerung hinterlegungsunfähiger Sachen</w:t>
      </w:r>
      <w:r>
        <w:t xml:space="preserve"> </w:t>
      </w:r>
      <w:r>
        <w:rPr>
          <w:rStyle w:val="Suchmarke"/>
        </w:rPr>
        <w:t>#383#</w:t>
      </w:r>
      <w:bookmarkEnd w:id="514"/>
    </w:p>
    <w:p>
      <w:r>
        <w:t xml:space="preserve">(1) </w:t>
      </w:r>
      <w:r>
        <w:rPr>
          <w:rStyle w:val="Satznummer"/>
        </w:rPr>
        <w:t>1</w:t>
      </w:r>
      <w:r>
        <w:t xml:space="preserve">Ist die geschuldete bewegliche Sache zur Hinterlegung nicht geeignet, so kann der Schuldner sie im Falle des Verzugs des Gläubigers versteigern lassen und den Erlös hinterlegen. </w:t>
      </w:r>
      <w:r>
        <w:rPr>
          <w:rStyle w:val="Satznummer"/>
        </w:rPr>
        <w:t>2</w:t>
      </w:r>
      <w:r>
        <w:t xml:space="preserve">Das Gleiche gilt in den Fällen des </w:t>
      </w:r>
      <w:hyperlink w:anchor="b492" w:history="1">
        <w:r>
          <w:rPr>
            <w:color w:val="0A3A8C"/>
            <w:u w:val="single"/>
          </w:rPr>
          <w:t xml:space="preserve">§ 372</w:t>
        </w:r>
      </w:hyperlink>
      <w:r>
        <w:t xml:space="preserve"> Satz 2, wenn der Verderb der Sache zu besorgen oder die Aufbewahrung mit unverhältnismäßigen Kosten verbunden ist.</w:t>
      </w:r>
    </w:p>
    <w:p>
      <w:r>
        <w:t xml:space="preserve">(2) </w:t>
      </w:r>
      <w:r>
        <w:rPr>
          <w:rStyle w:val="Satznummer"/>
        </w:rPr>
        <w:t>1</w:t>
      </w:r>
      <w:r>
        <w:t xml:space="preserve">Die Versteigerung hat durch einen öffentlich bestellten und vereidigten Versteigerer oder durch einen für den Bezirk, in dem sich die zu versteigernde Sache befindet, bestellten Gerichtsvollzieher öffentlich zu erfolgen (öffentliche Versteigerung). </w:t>
      </w:r>
      <w:r>
        <w:rPr>
          <w:rStyle w:val="Satznummer"/>
        </w:rPr>
        <w:t>2</w:t>
      </w:r>
      <w:r>
        <w:t>Die Versteigerung hat zu erfolgen:</w:t>
      </w:r>
    </w:p>
    <w:p>
      <w:pPr>
        <w:tabs>
          <w:tab w:pos="567" w:val="left"/>
        </w:tabs>
        <w:ind w:left="567" w:hanging="567"/>
      </w:pPr>
      <w:r>
        <w:t>1.</w:t>
      </w:r>
      <w:r>
        <w:tab/>
      </w:r>
      <w:r>
        <w:t>ausschließlich an einem Versteigerungsort,</w:t>
      </w:r>
    </w:p>
    <w:p>
      <w:pPr>
        <w:tabs>
          <w:tab w:pos="567" w:val="left"/>
        </w:tabs>
        <w:ind w:left="567" w:hanging="567"/>
      </w:pPr>
      <w:r>
        <w:t>2.</w:t>
      </w:r>
      <w:r>
        <w:tab/>
      </w:r>
      <w:r>
        <w:t>im Wege elektronischer Kommunikation bei gleichzeitiger Teilnahme an der Versteigerung ohne physische Präsenz der Beteiligten am Versteigerungsort (virtuelle öffentliche Versteigerung) oder</w:t>
      </w:r>
    </w:p>
    <w:p>
      <w:pPr>
        <w:tabs>
          <w:tab w:pos="567" w:val="left"/>
        </w:tabs>
        <w:ind w:left="567" w:hanging="567"/>
      </w:pPr>
      <w:r>
        <w:t>3.</w:t>
      </w:r>
      <w:r>
        <w:tab/>
      </w:r>
      <w:r>
        <w:t>an einem Versteigerungsort unter gleichzeitiger Möglichkeit zur Teilnahme im Wege elektronischer Kommunikation ohne physische Präsenz am Versteigerungsort (hybride öffentliche Versteigerung).</w:t>
      </w:r>
    </w:p>
    <w:p>
      <w:r>
        <w:rPr>
          <w:rStyle w:val="Satznummer"/>
        </w:rPr>
        <w:t>3</w:t>
      </w:r>
      <w:r>
        <w:t>Erfolgt die Versteigerung an einem Versteigerungsort (Satz 2 Nummer 1 oder 3), so muss dieser für die Versteigerung geeignet sein.</w:t>
      </w:r>
    </w:p>
    <w:p>
      <w:r>
        <w:t>(3) Unter allgemeiner Bezeichnung der zu versteigernden Sache sind öffentlich bekannt zu machen:</w:t>
      </w:r>
    </w:p>
    <w:p>
      <w:pPr>
        <w:tabs>
          <w:tab w:pos="567" w:val="left"/>
        </w:tabs>
        <w:ind w:left="567" w:hanging="567"/>
      </w:pPr>
      <w:r>
        <w:t>1.</w:t>
      </w:r>
      <w:r>
        <w:tab/>
      </w:r>
      <w:r>
        <w:t>der Zeitpunkt der Versteigerung,</w:t>
      </w:r>
    </w:p>
    <w:p>
      <w:pPr>
        <w:tabs>
          <w:tab w:pos="567" w:val="left"/>
        </w:tabs>
        <w:ind w:left="567" w:hanging="567"/>
      </w:pPr>
      <w:r>
        <w:t>2.</w:t>
      </w:r>
      <w:r>
        <w:tab/>
      </w:r>
      <w:r>
        <w:t>in den Fällen des Absatzes 2 Satz 2 Nummer 1 und bei hybriden öffentlichen Versteigerungen der Versteigerungsort sowie</w:t>
      </w:r>
    </w:p>
    <w:p>
      <w:pPr>
        <w:tabs>
          <w:tab w:pos="567" w:val="left"/>
        </w:tabs>
        <w:ind w:left="567" w:hanging="567"/>
      </w:pPr>
      <w:r>
        <w:t>3.</w:t>
      </w:r>
      <w:r>
        <w:tab/>
      </w:r>
      <w:r>
        <w:t>bei virtuellen öffentlichen Versteigerungen und bei hybriden öffentlichen Versteigerungen die Zugangsdaten.</w:t>
      </w:r>
    </w:p>
    <w:p>
      <w:r>
        <w:t>(4) Die Vorschriften der Absätze 1 bis 3 gelten nicht für eingetragene Schiffe und Schiffsbauwerke.</w:t>
      </w:r>
    </w:p>
    <w:p>
      <w:pPr>
        <w:pStyle w:val="Heading4"/>
      </w:pPr>
      <w:bookmarkStart w:id="515" w:name="b504"/>
      <w:r>
        <w:t>§ 384 Androhung der Versteigerung</w:t>
      </w:r>
      <w:r>
        <w:t xml:space="preserve"> </w:t>
      </w:r>
      <w:r>
        <w:rPr>
          <w:rStyle w:val="Suchmarke"/>
        </w:rPr>
        <w:t>#384#</w:t>
      </w:r>
      <w:bookmarkEnd w:id="515"/>
    </w:p>
    <w:p>
      <w:r>
        <w:t>(1) Die Versteigerung ist erst zulässig, nachdem sie dem Gläubiger angedroht worden ist; die Androhung darf unterbleiben, wenn die Sache dem Verderb ausgesetzt und mit dem Aufschub der Versteigerung Gefahr verbunden ist.</w:t>
      </w:r>
    </w:p>
    <w:p>
      <w:r>
        <w:t>(2) Der Schuldner hat den Gläubiger von der Versteigerung unverzüglich zu benachrichtigen; im Falle der Unterlassung ist er zum Schadensersatz verpflichtet.</w:t>
      </w:r>
    </w:p>
    <w:p>
      <w:r>
        <w:t>(3) Die Androhung und die Benachrichtigung dürfen unterbleiben, wenn sie untunlich sind.</w:t>
      </w:r>
    </w:p>
    <w:p>
      <w:pPr>
        <w:pStyle w:val="Heading4"/>
      </w:pPr>
      <w:bookmarkStart w:id="516" w:name="b505"/>
      <w:r>
        <w:t>§ 385 Freihändiger Verkauf</w:t>
      </w:r>
      <w:r>
        <w:t xml:space="preserve"> </w:t>
      </w:r>
      <w:r>
        <w:rPr>
          <w:rStyle w:val="Suchmarke"/>
        </w:rPr>
        <w:t>#385#</w:t>
      </w:r>
      <w:bookmarkEnd w:id="516"/>
    </w:p>
    <w:p>
      <w:r>
        <w:t>Hat die Sache einen Börsen- oder Marktpreis, so kann der Schuldner den Verkauf aus freier Hand durch einen zu solchen Verkäufen öffentlich ermächtigten Handelsmakler oder durch eine zur öffentlichen Versteigerung befugte Person zum laufenden Preis bewirken.</w:t>
      </w:r>
    </w:p>
    <w:p>
      <w:pPr>
        <w:pStyle w:val="Heading4"/>
      </w:pPr>
      <w:bookmarkStart w:id="517" w:name="b506"/>
      <w:r>
        <w:t>§ 386 Kosten der Versteigerung</w:t>
      </w:r>
      <w:r>
        <w:t xml:space="preserve"> </w:t>
      </w:r>
      <w:r>
        <w:rPr>
          <w:rStyle w:val="Suchmarke"/>
        </w:rPr>
        <w:t>#386#</w:t>
      </w:r>
      <w:bookmarkEnd w:id="517"/>
    </w:p>
    <w:p>
      <w:r>
        <w:t xml:space="preserve">Die Kosten der Versteigerung oder des nach </w:t>
      </w:r>
      <w:hyperlink w:anchor="b505" w:history="1">
        <w:r>
          <w:rPr>
            <w:color w:val="0A3A8C"/>
            <w:u w:val="single"/>
          </w:rPr>
          <w:t xml:space="preserve">§ 385</w:t>
        </w:r>
      </w:hyperlink>
      <w:r>
        <w:t xml:space="preserve"> erfolgten Verkaufs fallen dem Gläubiger zur Last, sofern nicht der Schuldner den hinterlegten Erlös zurücknimmt.</w:t>
      </w:r>
    </w:p>
    <w:p>
      <w:pPr>
        <w:pStyle w:val="Heading3"/>
      </w:pPr>
      <w:bookmarkStart w:id="518" w:name="b507"/>
      <w:r>
        <w:t>Titel 3 Aufrechnung</w:t>
      </w:r>
      <w:bookmarkEnd w:id="518"/>
    </w:p>
    <w:p>
      <w:pPr>
        <w:pStyle w:val="Heading4"/>
      </w:pPr>
      <w:bookmarkStart w:id="519" w:name="b508"/>
      <w:r>
        <w:t>§ 387 Voraussetzungen</w:t>
      </w:r>
      <w:r>
        <w:t xml:space="preserve"> </w:t>
      </w:r>
      <w:r>
        <w:rPr>
          <w:rStyle w:val="Suchmarke"/>
        </w:rPr>
        <w:t>#387#</w:t>
      </w:r>
      <w:bookmarkEnd w:id="519"/>
    </w:p>
    <w:p>
      <w:r>
        <w:t>Schulden zwei Personen einander Leistungen, die ihrem Gegenstand nach gleichartig sind, so kann jeder Teil seine Forderung gegen die Forderung des anderen Teils aufrechnen, sobald er die ihm gebührende Leistung fordern und die ihm obliegende Leistung bewirken kann.</w:t>
      </w:r>
    </w:p>
    <w:p>
      <w:pPr>
        <w:pStyle w:val="Heading4"/>
      </w:pPr>
      <w:bookmarkStart w:id="520" w:name="b509"/>
      <w:r>
        <w:t>§ 388 Erklärung der Aufrechnung</w:t>
      </w:r>
      <w:r>
        <w:t xml:space="preserve"> </w:t>
      </w:r>
      <w:r>
        <w:rPr>
          <w:rStyle w:val="Suchmarke"/>
        </w:rPr>
        <w:t>#388#</w:t>
      </w:r>
      <w:bookmarkEnd w:id="520"/>
    </w:p>
    <w:p>
      <w:r>
        <w:rPr>
          <w:rStyle w:val="Satznummer"/>
        </w:rPr>
        <w:t>1</w:t>
      </w:r>
      <w:r>
        <w:t xml:space="preserve">Die Aufrechnung erfolgt durch Erklärung gegenüber dem anderen Teil. </w:t>
      </w:r>
      <w:r>
        <w:rPr>
          <w:rStyle w:val="Satznummer"/>
        </w:rPr>
        <w:t>2</w:t>
      </w:r>
      <w:r>
        <w:t>Die Erklärung ist unwirksam, wenn sie unter einer Bedingung oder einer Zeitbestimmung abgegeben wird.</w:t>
      </w:r>
    </w:p>
    <w:p>
      <w:pPr>
        <w:pStyle w:val="Heading4"/>
      </w:pPr>
      <w:bookmarkStart w:id="521" w:name="b510"/>
      <w:r>
        <w:t>§ 389 Wirkung der Aufrechnung</w:t>
      </w:r>
      <w:r>
        <w:t xml:space="preserve"> </w:t>
      </w:r>
      <w:r>
        <w:rPr>
          <w:rStyle w:val="Suchmarke"/>
        </w:rPr>
        <w:t>#389#</w:t>
      </w:r>
      <w:bookmarkEnd w:id="521"/>
    </w:p>
    <w:p>
      <w:r>
        <w:t>Die Aufrechnung bewirkt, dass die Forderungen, soweit sie sich decken, als in dem Zeitpunkt erloschen gelten, in welchem sie zur Aufrechnung geeignet einander gegenübergetreten sind.</w:t>
      </w:r>
    </w:p>
    <w:p>
      <w:pPr>
        <w:pStyle w:val="Heading4"/>
      </w:pPr>
      <w:bookmarkStart w:id="522" w:name="b511"/>
      <w:r>
        <w:t>§ 390 Keine Aufrechnung mit einredebehafteter Forderung</w:t>
      </w:r>
      <w:r>
        <w:t xml:space="preserve"> </w:t>
      </w:r>
      <w:r>
        <w:rPr>
          <w:rStyle w:val="Suchmarke"/>
        </w:rPr>
        <w:t>#390#</w:t>
      </w:r>
      <w:bookmarkEnd w:id="522"/>
    </w:p>
    <w:p>
      <w:r>
        <w:t>Eine Forderung, der eine Einrede entgegensteht, kann nicht aufgerechnet werden.</w:t>
      </w:r>
    </w:p>
    <w:p>
      <w:pPr>
        <w:pStyle w:val="Heading4"/>
      </w:pPr>
      <w:bookmarkStart w:id="523" w:name="b512"/>
      <w:r>
        <w:t>§ 391 Aufrechnung bei Verschiedenheit der Leistungsorte</w:t>
      </w:r>
      <w:r>
        <w:t xml:space="preserve"> </w:t>
      </w:r>
      <w:r>
        <w:rPr>
          <w:rStyle w:val="Suchmarke"/>
        </w:rPr>
        <w:t>#391#</w:t>
      </w:r>
      <w:bookmarkEnd w:id="523"/>
    </w:p>
    <w:p>
      <w:r>
        <w:t xml:space="preserve">(1) </w:t>
      </w:r>
      <w:r>
        <w:rPr>
          <w:rStyle w:val="Satznummer"/>
        </w:rPr>
        <w:t>1</w:t>
      </w:r>
      <w:r>
        <w:t xml:space="preserve">Die Aufrechnung wird nicht dadurch ausgeschlossen, dass für die Forderungen verschiedene Leistungs- oder Ablieferungsorte bestehen. </w:t>
      </w:r>
      <w:r>
        <w:rPr>
          <w:rStyle w:val="Satznummer"/>
        </w:rPr>
        <w:t>2</w:t>
      </w:r>
      <w:r>
        <w:t>Der aufrechnende Teil hat jedoch den Schaden zu ersetzen, den der andere Teil dadurch erleidet, dass er infolge der Aufrechnung die Leistung nicht an dem bestimmten Orte erhält oder bewirken kann.</w:t>
      </w:r>
    </w:p>
    <w:p>
      <w:r>
        <w:t>(2) Ist vereinbart, dass die Leistung zu einer bestimmten Zeit an einem bestimmten Orte erfolgen soll, so ist im Zweifel anzunehmen, dass die Aufrechnung einer Forderung, für die ein anderer Leistungsort besteht, ausgeschlossen sein soll.</w:t>
      </w:r>
    </w:p>
    <w:p>
      <w:pPr>
        <w:pStyle w:val="Heading4"/>
      </w:pPr>
      <w:bookmarkStart w:id="524" w:name="b513"/>
      <w:r>
        <w:t>§ 392 Aufrechnung gegen beschlagnahmte Forderung</w:t>
      </w:r>
      <w:r>
        <w:t xml:space="preserve"> </w:t>
      </w:r>
      <w:r>
        <w:rPr>
          <w:rStyle w:val="Suchmarke"/>
        </w:rPr>
        <w:t>#392#</w:t>
      </w:r>
      <w:bookmarkEnd w:id="524"/>
    </w:p>
    <w:p>
      <w:r>
        <w:t>Durch die Beschlagnahme einer Forderung wird die Aufrechnung einer dem Schuldner gegen den Gläubiger zustehenden Forderung nur dann ausgeschlossen, wenn der Schuldner seine Forderung nach der Beschlagnahme erworben hat oder wenn seine Forderung erst nach der Beschlagnahme und später als die in Beschlag genommene Forderung fällig geworden ist.</w:t>
      </w:r>
    </w:p>
    <w:p>
      <w:pPr>
        <w:pStyle w:val="Heading4"/>
      </w:pPr>
      <w:bookmarkStart w:id="525" w:name="b514"/>
      <w:r>
        <w:t>§ 393 Keine Aufrechnung gegen Forderung aus unerlaubter Handlung</w:t>
      </w:r>
      <w:r>
        <w:t xml:space="preserve"> </w:t>
      </w:r>
      <w:r>
        <w:rPr>
          <w:rStyle w:val="Suchmarke"/>
        </w:rPr>
        <w:t>#393#</w:t>
      </w:r>
      <w:bookmarkEnd w:id="525"/>
    </w:p>
    <w:p>
      <w:r>
        <w:t>Gegen eine Forderung aus einer vorsätzlich begangenen unerlaubten Handlung ist die Aufrechnung nicht zulässig.</w:t>
      </w:r>
    </w:p>
    <w:p>
      <w:pPr>
        <w:pStyle w:val="Heading4"/>
      </w:pPr>
      <w:bookmarkStart w:id="526" w:name="b515"/>
      <w:r>
        <w:t>§ 394 Keine Aufrechnung gegen unpfändbare Forderung</w:t>
      </w:r>
      <w:r>
        <w:t xml:space="preserve"> </w:t>
      </w:r>
      <w:r>
        <w:rPr>
          <w:rStyle w:val="Suchmarke"/>
        </w:rPr>
        <w:t>#394#</w:t>
      </w:r>
      <w:bookmarkEnd w:id="526"/>
    </w:p>
    <w:p>
      <w:r>
        <w:rPr>
          <w:rStyle w:val="Satznummer"/>
        </w:rPr>
        <w:t>1</w:t>
      </w:r>
      <w:r>
        <w:t xml:space="preserve">Soweit eine Forderung der Pfändung nicht unterworfen ist, findet die Aufrechnung gegen die Forderung nicht statt. </w:t>
      </w:r>
      <w:r>
        <w:rPr>
          <w:rStyle w:val="Satznummer"/>
        </w:rPr>
        <w:t>2</w:t>
      </w:r>
      <w:r>
        <w:t>Gegen die aus Kranken-, Hilfs- oder Sterbekassen, insbesondere aus Knappschaftskassen und Kassen der Knappschaftsvereine, zu beziehenden Hebungen können jedoch geschuldete Beiträge aufgerechnet werden.</w:t>
      </w:r>
    </w:p>
    <w:p>
      <w:pPr>
        <w:pStyle w:val="Heading4"/>
      </w:pPr>
      <w:bookmarkStart w:id="527" w:name="b516"/>
      <w:r>
        <w:t>§ 395 Aufrechnung gegen Forderungen öffentlich-rechtlicher Körperschaften</w:t>
      </w:r>
      <w:r>
        <w:t xml:space="preserve"> </w:t>
      </w:r>
      <w:r>
        <w:rPr>
          <w:rStyle w:val="Suchmarke"/>
        </w:rPr>
        <w:t>#395#</w:t>
      </w:r>
      <w:bookmarkEnd w:id="527"/>
    </w:p>
    <w:p>
      <w:r>
        <w:t>Gegen eine Forderung des Bundes oder eines Landes sowie gegen eine Forderung einer Gemeinde oder eines anderen Kommunalverbands ist die Aufrechnung nur zulässig, wenn die Leistung an dieselbe Kasse zu erfolgen hat, aus der die Forderung des Aufrechnenden zu berichtigen ist.</w:t>
      </w:r>
    </w:p>
    <w:p>
      <w:pPr>
        <w:pStyle w:val="Heading4"/>
      </w:pPr>
      <w:bookmarkStart w:id="528" w:name="b517"/>
      <w:r>
        <w:t>§ 396 Mehrheit von Forderungen</w:t>
      </w:r>
      <w:r>
        <w:t xml:space="preserve"> </w:t>
      </w:r>
      <w:r>
        <w:rPr>
          <w:rStyle w:val="Suchmarke"/>
        </w:rPr>
        <w:t>#396#</w:t>
      </w:r>
      <w:bookmarkEnd w:id="528"/>
    </w:p>
    <w:p>
      <w:r>
        <w:t xml:space="preserve">(1) </w:t>
      </w:r>
      <w:r>
        <w:rPr>
          <w:rStyle w:val="Satznummer"/>
        </w:rPr>
        <w:t>1</w:t>
      </w:r>
      <w:r>
        <w:t xml:space="preserve">Hat der eine oder der andere Teil mehrere zur Aufrechnung geeignete Forderungen, so kann der aufrechnende Teil die Forderungen bestimmen, die gegeneinander aufgerechnet werden sollen. </w:t>
      </w:r>
      <w:r>
        <w:rPr>
          <w:rStyle w:val="Satznummer"/>
        </w:rPr>
        <w:t>2</w:t>
      </w:r>
      <w:r>
        <w:t xml:space="preserve">Wird die Aufrechnung ohne eine solche Bestimmung erklärt oder widerspricht der andere Teil unverzüglich, so findet die Vorschrift des </w:t>
      </w:r>
      <w:hyperlink w:anchor="b485" w:history="1">
        <w:r>
          <w:rPr>
            <w:color w:val="0A3A8C"/>
            <w:u w:val="single"/>
          </w:rPr>
          <w:t xml:space="preserve">§ 366</w:t>
        </w:r>
      </w:hyperlink>
      <w:r>
        <w:t xml:space="preserve"> Abs. 2 entsprechende Anwendung.</w:t>
      </w:r>
    </w:p>
    <w:p>
      <w:r>
        <w:t xml:space="preserve">(2) Schuldet der aufrechnende Teil dem anderen Teil außer der Hauptleistung Zinsen und Kosten, so findet die Vorschrift des </w:t>
      </w:r>
      <w:hyperlink w:anchor="b486" w:history="1">
        <w:r>
          <w:rPr>
            <w:color w:val="0A3A8C"/>
            <w:u w:val="single"/>
          </w:rPr>
          <w:t xml:space="preserve">§ 367</w:t>
        </w:r>
      </w:hyperlink>
      <w:r>
        <w:t xml:space="preserve"> entsprechende Anwendung.</w:t>
      </w:r>
    </w:p>
    <w:p>
      <w:pPr>
        <w:pStyle w:val="Heading3"/>
      </w:pPr>
      <w:bookmarkStart w:id="529" w:name="b518"/>
      <w:r>
        <w:t>Titel 4 Erlass</w:t>
      </w:r>
      <w:bookmarkEnd w:id="529"/>
    </w:p>
    <w:p>
      <w:pPr>
        <w:pStyle w:val="Heading4"/>
      </w:pPr>
      <w:bookmarkStart w:id="530" w:name="b519"/>
      <w:r>
        <w:t>§ 397 Erlassvertrag, negatives Schuldanerkenntnis</w:t>
      </w:r>
      <w:r>
        <w:t xml:space="preserve"> </w:t>
      </w:r>
      <w:r>
        <w:rPr>
          <w:rStyle w:val="Suchmarke"/>
        </w:rPr>
        <w:t>#397#</w:t>
      </w:r>
      <w:bookmarkEnd w:id="530"/>
    </w:p>
    <w:p>
      <w:r>
        <w:t>(1) Das Schuldverhältnis erlischt, wenn der Gläubiger dem Schuldner durch Vertrag die Schuld erlässt.</w:t>
      </w:r>
    </w:p>
    <w:p>
      <w:r>
        <w:t>(2) Das Gleiche gilt, wenn der Gläubiger durch Vertrag mit dem Schuldner anerkennt, dass das Schuldverhältnis nicht bestehe.</w:t>
      </w:r>
    </w:p>
    <w:p>
      <w:pPr>
        <w:pStyle w:val="Heading2"/>
      </w:pPr>
      <w:bookmarkStart w:id="531" w:name="b520"/>
      <w:r>
        <w:t>Abschnitt 5 Übertragung einer Forderung</w:t>
      </w:r>
      <w:bookmarkEnd w:id="531"/>
    </w:p>
    <w:p>
      <w:pPr>
        <w:pStyle w:val="Heading3"/>
      </w:pPr>
      <w:bookmarkStart w:id="532" w:name="b521"/>
      <w:r>
        <w:t>§ 398 Abtretung</w:t>
      </w:r>
      <w:r>
        <w:t xml:space="preserve"> </w:t>
      </w:r>
      <w:r>
        <w:rPr>
          <w:rStyle w:val="Suchmarke"/>
        </w:rPr>
        <w:t>#398#</w:t>
      </w:r>
      <w:bookmarkEnd w:id="532"/>
    </w:p>
    <w:p>
      <w:r>
        <w:rPr>
          <w:rStyle w:val="Satznummer"/>
        </w:rPr>
        <w:t>1</w:t>
      </w:r>
      <w:r>
        <w:t xml:space="preserve">Eine Forderung kann von dem Gläubiger durch Vertrag mit einem anderen auf diesen übertragen werden (Abtretung). </w:t>
      </w:r>
      <w:r>
        <w:rPr>
          <w:rStyle w:val="Satznummer"/>
        </w:rPr>
        <w:t>2</w:t>
      </w:r>
      <w:r>
        <w:t>Mit dem Abschluss des Vertrags tritt der neue Gläubiger an die Stelle des bisherigen Gläubigers.</w:t>
      </w:r>
    </w:p>
    <w:p>
      <w:pPr>
        <w:pStyle w:val="Heading3"/>
      </w:pPr>
      <w:bookmarkStart w:id="533" w:name="b522"/>
      <w:r>
        <w:t>§ 399 Ausschluss der Abtretung bei Inhaltsänderung oder Vereinbarung</w:t>
      </w:r>
      <w:r>
        <w:t xml:space="preserve"> </w:t>
      </w:r>
      <w:r>
        <w:rPr>
          <w:rStyle w:val="Suchmarke"/>
        </w:rPr>
        <w:t>#399#</w:t>
      </w:r>
      <w:bookmarkEnd w:id="533"/>
    </w:p>
    <w:p>
      <w:r>
        <w:t>Eine Forderung kann nicht abgetreten werden, wenn die Leistung an einen anderen als den ursprünglichen Gläubiger nicht ohne Veränderung ihres Inhalts erfolgen kann oder wenn die Abtretung durch Vereinbarung mit dem Schuldner ausgeschlossen ist.</w:t>
      </w:r>
    </w:p>
    <w:p>
      <w:pPr>
        <w:pStyle w:val="Heading3"/>
      </w:pPr>
      <w:bookmarkStart w:id="534" w:name="b523"/>
      <w:r>
        <w:t>§ 400 Ausschluss bei unpfändbaren Forderungen</w:t>
      </w:r>
      <w:r>
        <w:t xml:space="preserve"> </w:t>
      </w:r>
      <w:r>
        <w:rPr>
          <w:rStyle w:val="Suchmarke"/>
        </w:rPr>
        <w:t>#400#</w:t>
      </w:r>
      <w:bookmarkEnd w:id="534"/>
    </w:p>
    <w:p>
      <w:r>
        <w:t>Eine Forderung kann nicht abgetreten werden, soweit sie der Pfändung nicht unterworfen ist.</w:t>
      </w:r>
    </w:p>
    <w:p>
      <w:pPr>
        <w:pStyle w:val="Heading3"/>
      </w:pPr>
      <w:bookmarkStart w:id="535" w:name="b524"/>
      <w:r>
        <w:t>§ 401 Übergang der Neben- und Vorzugsrechte</w:t>
      </w:r>
      <w:r>
        <w:t xml:space="preserve"> </w:t>
      </w:r>
      <w:r>
        <w:rPr>
          <w:rStyle w:val="Suchmarke"/>
        </w:rPr>
        <w:t>#401#</w:t>
      </w:r>
      <w:bookmarkEnd w:id="535"/>
    </w:p>
    <w:p>
      <w:r>
        <w:t>(1) Mit der abgetretenen Forderung gehen die Hypotheken, Schiffshypotheken oder Pfandrechte, die für sie bestehen, sowie die Rechte aus einer für sie bestellten Bürgschaft auf den neuen Gläubiger über.</w:t>
      </w:r>
    </w:p>
    <w:p>
      <w:r>
        <w:t>(2) Ein mit der Forderung für den Fall der Zwangsvollstreckung oder des Insolvenzverfahrens verbundenes Vorzugsrecht kann auch der neue Gläubiger geltend machen.</w:t>
      </w:r>
    </w:p>
    <w:p>
      <w:pPr>
        <w:pStyle w:val="Heading3"/>
      </w:pPr>
      <w:bookmarkStart w:id="536" w:name="b525"/>
      <w:r>
        <w:t>§ 402 Auskunftspflicht; Urkundenauslieferung</w:t>
      </w:r>
      <w:r>
        <w:t xml:space="preserve"> </w:t>
      </w:r>
      <w:r>
        <w:rPr>
          <w:rStyle w:val="Suchmarke"/>
        </w:rPr>
        <w:t>#402#</w:t>
      </w:r>
      <w:bookmarkEnd w:id="536"/>
    </w:p>
    <w:p>
      <w:r>
        <w:t>Der bisherige Gläubiger ist verpflichtet, dem neuen Gläubiger die zur Geltendmachung der Forderung nötige Auskunft zu erteilen und ihm die zum Beweis der Forderung dienenden Urkunden, soweit sie sich in seinem Besitz befinden, auszuliefern.</w:t>
      </w:r>
    </w:p>
    <w:p>
      <w:pPr>
        <w:pStyle w:val="Heading3"/>
      </w:pPr>
      <w:bookmarkStart w:id="537" w:name="b526"/>
      <w:r>
        <w:t>§ 403 Pflicht zur Beurkundung</w:t>
      </w:r>
      <w:r>
        <w:t xml:space="preserve"> </w:t>
      </w:r>
      <w:r>
        <w:rPr>
          <w:rStyle w:val="Suchmarke"/>
        </w:rPr>
        <w:t>#403#</w:t>
      </w:r>
      <w:bookmarkEnd w:id="537"/>
    </w:p>
    <w:p>
      <w:r>
        <w:rPr>
          <w:rStyle w:val="Satznummer"/>
        </w:rPr>
        <w:t>1</w:t>
      </w:r>
      <w:r>
        <w:t xml:space="preserve">Der bisherige Gläubiger hat dem neuen Gläubiger auf Verlangen eine öffentlich beglaubigte Urkunde über die Abtretung auszustellen. </w:t>
      </w:r>
      <w:r>
        <w:rPr>
          <w:rStyle w:val="Satznummer"/>
        </w:rPr>
        <w:t>2</w:t>
      </w:r>
      <w:r>
        <w:t>Die Kosten hat der neue Gläubiger zu tragen und vorzuschießen.</w:t>
      </w:r>
    </w:p>
    <w:p>
      <w:pPr>
        <w:pStyle w:val="Heading3"/>
      </w:pPr>
      <w:bookmarkStart w:id="538" w:name="b527"/>
      <w:r>
        <w:t>§ 404 Einwendungen des Schuldners</w:t>
      </w:r>
      <w:r>
        <w:t xml:space="preserve"> </w:t>
      </w:r>
      <w:r>
        <w:rPr>
          <w:rStyle w:val="Suchmarke"/>
        </w:rPr>
        <w:t>#404#</w:t>
      </w:r>
      <w:bookmarkEnd w:id="538"/>
    </w:p>
    <w:p>
      <w:r>
        <w:t>Der Schuldner kann dem neuen Gläubiger die Einwendungen entgegensetzen, die zur Zeit der Abtretung der Forderung gegen den bisherigen Gläubiger begründet waren.</w:t>
      </w:r>
    </w:p>
    <w:p>
      <w:pPr>
        <w:pStyle w:val="Heading3"/>
      </w:pPr>
      <w:bookmarkStart w:id="539" w:name="b528"/>
      <w:r>
        <w:t>§ 405 Abtretung unter Urkundenvorlegung</w:t>
      </w:r>
      <w:r>
        <w:t xml:space="preserve"> </w:t>
      </w:r>
      <w:r>
        <w:rPr>
          <w:rStyle w:val="Suchmarke"/>
        </w:rPr>
        <w:t>#405#</w:t>
      </w:r>
      <w:bookmarkEnd w:id="539"/>
    </w:p>
    <w:p>
      <w:r>
        <w:t>Hat der Schuldner eine Urkunde über die Schuld ausgestellt, so kann er sich, wenn die Forderung unter Vorlegung der Urkunde abgetreten wird, dem neuen Gläubiger gegenüber nicht darauf berufen, dass die Eingehung oder Anerkennung des Schuldverhältnisses nur zum Schein erfolgt oder dass die Abtretung durch Vereinbarung mit dem ursprünglichen Gläubiger ausgeschlossen sei, es sei denn, dass der neue Gläubiger bei der Abtretung den Sachverhalt kannte oder kennen musste.</w:t>
      </w:r>
    </w:p>
    <w:p>
      <w:pPr>
        <w:pStyle w:val="Heading3"/>
      </w:pPr>
      <w:bookmarkStart w:id="540" w:name="b529"/>
      <w:r>
        <w:t>§ 406 Aufrechnung gegenüber dem neuen Gläubiger</w:t>
      </w:r>
      <w:r>
        <w:t xml:space="preserve"> </w:t>
      </w:r>
      <w:r>
        <w:rPr>
          <w:rStyle w:val="Suchmarke"/>
        </w:rPr>
        <w:t>#406#</w:t>
      </w:r>
      <w:bookmarkEnd w:id="540"/>
    </w:p>
    <w:p>
      <w:r>
        <w:t>Der Schuldner kann eine ihm gegen den bisherigen Gläubiger zustehende Forderung auch dem neuen Gläubiger gegenüber aufrechnen, es sei denn, dass er bei dem Erwerb der Forderung von der Abtretung Kenntnis hatte oder dass die Forderung erst nach der Erlangung der Kenntnis und später als die abgetretene Forderung fällig geworden ist.</w:t>
      </w:r>
    </w:p>
    <w:p>
      <w:pPr>
        <w:pStyle w:val="Heading3"/>
      </w:pPr>
      <w:bookmarkStart w:id="541" w:name="b530"/>
      <w:r>
        <w:t>§ 407 Rechtshandlungen gegenüber dem bisherigen Gläubiger</w:t>
      </w:r>
      <w:r>
        <w:t xml:space="preserve"> </w:t>
      </w:r>
      <w:r>
        <w:rPr>
          <w:rStyle w:val="Suchmarke"/>
        </w:rPr>
        <w:t>#407#</w:t>
      </w:r>
      <w:bookmarkEnd w:id="541"/>
    </w:p>
    <w:p>
      <w:r>
        <w:t>(1) Der neue Gläubiger muss eine Leistung, die der Schuldner nach der Abtretung an den bisherigen Gläubiger bewirkt, sowie jedes Rechtsgeschäft, das nach der Abtretung zwischen dem Schuldner und dem bisherigen Gläubiger in Ansehung der Forderung vorgenommen wird, gegen sich gelten lassen, es sei denn, dass der Schuldner die Abtretung bei der Leistung oder der Vornahme des Rechtsgeschäfts kennt.</w:t>
      </w:r>
    </w:p>
    <w:p>
      <w:r>
        <w:t>(2) Ist in einem nach der Abtretung zwischen dem Schuldner und dem bisherigen Gläubiger anhängig gewordenen Rechtsstreit ein rechtskräftiges Urteil über die Forderung ergangen, so muss der neue Gläubiger das Urteil gegen sich gelten lassen, es sei denn, dass der Schuldner die Abtretung bei dem Eintritt der Rechtshängigkeit gekannt hat.</w:t>
      </w:r>
    </w:p>
    <w:p>
      <w:pPr>
        <w:pStyle w:val="Heading3"/>
      </w:pPr>
      <w:bookmarkStart w:id="542" w:name="b531"/>
      <w:r>
        <w:t>§ 408 Mehrfache Abtretung</w:t>
      </w:r>
      <w:r>
        <w:t xml:space="preserve"> </w:t>
      </w:r>
      <w:r>
        <w:rPr>
          <w:rStyle w:val="Suchmarke"/>
        </w:rPr>
        <w:t>#408#</w:t>
      </w:r>
      <w:bookmarkEnd w:id="542"/>
    </w:p>
    <w:p>
      <w:r>
        <w:t>(1) Wird eine abgetretene Forderung von dem bisherigen Gläubiger nochmals an einen Dritten abgetreten, so findet, wenn der Schuldner an den Dritten leistet oder wenn zwischen dem Schuldner und dem Dritten ein Rechtsgeschäft vorgenommen oder ein Rechtsstreit anhängig wird, zugunsten des Schuldners die Vorschrift des § 407 dem früheren Erwerber gegenüber entsprechende Anwendung.</w:t>
      </w:r>
    </w:p>
    <w:p>
      <w:r>
        <w:t>(2) Das Gleiche gilt, wenn die bereits abgetretene Forderung durch gerichtlichen Beschluss einem Dritten überwiesen wird oder wenn der bisherige Gläubiger dem Dritten gegenüber anerkennt, dass die bereits abgetretene Forderung kraft Gesetzes auf den Dritten übergegangen sei.</w:t>
      </w:r>
    </w:p>
    <w:p>
      <w:pPr>
        <w:pStyle w:val="Heading3"/>
      </w:pPr>
      <w:bookmarkStart w:id="543" w:name="b532"/>
      <w:r>
        <w:t>§ 409 Abtretungsanzeige</w:t>
      </w:r>
      <w:r>
        <w:t xml:space="preserve"> </w:t>
      </w:r>
      <w:r>
        <w:rPr>
          <w:rStyle w:val="Suchmarke"/>
        </w:rPr>
        <w:t>#409#</w:t>
      </w:r>
      <w:bookmarkEnd w:id="543"/>
    </w:p>
    <w:p>
      <w:r>
        <w:t xml:space="preserve">(1) </w:t>
      </w:r>
      <w:r>
        <w:rPr>
          <w:rStyle w:val="Satznummer"/>
        </w:rPr>
        <w:t>1</w:t>
      </w:r>
      <w:r>
        <w:t xml:space="preserve">Zeigt der Gläubiger dem Schuldner an, dass er die Forderung abgetreten habe, so muss er dem Schuldner gegenüber die angezeigte Abtretung gegen sich gelten lassen, auch wenn sie nicht erfolgt oder nicht wirksam ist. </w:t>
      </w:r>
      <w:r>
        <w:rPr>
          <w:rStyle w:val="Satznummer"/>
        </w:rPr>
        <w:t>2</w:t>
      </w:r>
      <w:r>
        <w:t>Der Anzeige steht es gleich, wenn der Gläubiger eine Urkunde über die Abtretung dem in der Urkunde bezeichneten neuen Gläubiger ausgestellt hat und dieser sie dem Schuldner vorlegt.</w:t>
      </w:r>
    </w:p>
    <w:p>
      <w:r>
        <w:t>(2) Die Anzeige kann nur mit Zustimmung desjenigen zurückgenommen werden, welcher als der neue Gläubiger bezeichnet worden ist.</w:t>
      </w:r>
    </w:p>
    <w:p>
      <w:pPr>
        <w:pStyle w:val="Heading3"/>
      </w:pPr>
      <w:bookmarkStart w:id="544" w:name="b533"/>
      <w:r>
        <w:t>§ 410 Aushändigung der Abtretungsurkunde</w:t>
      </w:r>
      <w:r>
        <w:t xml:space="preserve"> </w:t>
      </w:r>
      <w:r>
        <w:rPr>
          <w:rStyle w:val="Suchmarke"/>
        </w:rPr>
        <w:t>#410#</w:t>
      </w:r>
      <w:bookmarkEnd w:id="544"/>
    </w:p>
    <w:p>
      <w:r>
        <w:t xml:space="preserve">(1) </w:t>
      </w:r>
      <w:r>
        <w:rPr>
          <w:rStyle w:val="Satznummer"/>
        </w:rPr>
        <w:t>1</w:t>
      </w:r>
      <w:r>
        <w:t xml:space="preserve">Der Schuldner ist dem neuen Gläubiger gegenüber zur Leistung nur gegen Aushändigung einer von dem bisherigen Gläubiger über die Abtretung ausgestellten Urkunde verpflichtet. </w:t>
      </w:r>
      <w:r>
        <w:rPr>
          <w:rStyle w:val="Satznummer"/>
        </w:rPr>
        <w:t>2</w:t>
      </w:r>
      <w:r>
        <w:t>Eine Kündigung oder eine Mahnung des neuen Gläubigers ist unwirksam, wenn sie ohne Vorlegung einer solchen Urkunde erfolgt und der Schuldner sie aus diesem Grunde unverzüglich zurückweist.</w:t>
      </w:r>
    </w:p>
    <w:p>
      <w:r>
        <w:t>(2) Diese Vorschriften finden keine Anwendung, wenn der bisherige Gläubiger dem Schuldner die Abtretung schriftlich angezeigt hat.</w:t>
      </w:r>
    </w:p>
    <w:p>
      <w:pPr>
        <w:pStyle w:val="Heading3"/>
      </w:pPr>
      <w:bookmarkStart w:id="545" w:name="b534"/>
      <w:r>
        <w:t>§ 411 Gehaltsabtretung</w:t>
      </w:r>
      <w:r>
        <w:t xml:space="preserve"> </w:t>
      </w:r>
      <w:r>
        <w:rPr>
          <w:rStyle w:val="Suchmarke"/>
        </w:rPr>
        <w:t>#411#</w:t>
      </w:r>
      <w:bookmarkEnd w:id="545"/>
    </w:p>
    <w:p>
      <w:r>
        <w:rPr>
          <w:rStyle w:val="Satznummer"/>
        </w:rPr>
        <w:t>1</w:t>
      </w:r>
      <w:r>
        <w:t xml:space="preserve">Tritt eine Militärperson, ein Beamter, ein Geistlicher oder ein Lehrer an einer öffentlichen Unterrichtsanstalt den übertragbaren Teil des Diensteinkommens, des Wartegelds oder des Ruhegehalts ab, so ist die auszahlende Kasse durch Aushändigung einer von dem bisherigen Gläubiger ausgestellten, öffentlich oder amtlich beglaubigten Urkunde von der Abtretung zu benachrichtigen. </w:t>
      </w:r>
      <w:r>
        <w:rPr>
          <w:rStyle w:val="Satznummer"/>
        </w:rPr>
        <w:t>2</w:t>
      </w:r>
      <w:r>
        <w:t>Bis zur Benachrichtigung gilt die Abtretung als der Kasse nicht bekannt.</w:t>
      </w:r>
    </w:p>
    <w:p>
      <w:pPr>
        <w:pStyle w:val="Heading3"/>
      </w:pPr>
      <w:bookmarkStart w:id="546" w:name="b535"/>
      <w:r>
        <w:t>§ 412 Gesetzlicher Forderungsübergang</w:t>
      </w:r>
      <w:r>
        <w:t xml:space="preserve"> </w:t>
      </w:r>
      <w:r>
        <w:rPr>
          <w:rStyle w:val="Suchmarke"/>
        </w:rPr>
        <w:t>#412#</w:t>
      </w:r>
      <w:bookmarkEnd w:id="546"/>
    </w:p>
    <w:p>
      <w:r>
        <w:t xml:space="preserve">Auf die Übertragung einer Forderung kraft Gesetzes finden die Vorschriften der </w:t>
      </w:r>
      <w:hyperlink w:anchor="b522" w:history="1">
        <w:r>
          <w:rPr>
            <w:color w:val="0A3A8C"/>
            <w:u w:val="single"/>
          </w:rPr>
          <w:t xml:space="preserve">§§ 399</w:t>
        </w:r>
      </w:hyperlink>
      <w:r>
        <w:t xml:space="preserve"> bis </w:t>
      </w:r>
      <w:hyperlink w:anchor="b527" w:history="1">
        <w:r>
          <w:rPr>
            <w:color w:val="0A3A8C"/>
            <w:u w:val="single"/>
          </w:rPr>
          <w:t xml:space="preserve">404</w:t>
        </w:r>
      </w:hyperlink>
      <w:r>
        <w:t xml:space="preserve">, </w:t>
      </w:r>
      <w:hyperlink w:anchor="b529" w:history="1">
        <w:r>
          <w:rPr>
            <w:color w:val="0A3A8C"/>
            <w:u w:val="single"/>
          </w:rPr>
          <w:t xml:space="preserve">406</w:t>
        </w:r>
      </w:hyperlink>
      <w:r>
        <w:t xml:space="preserve"> bis </w:t>
      </w:r>
      <w:hyperlink w:anchor="b533" w:history="1">
        <w:r>
          <w:rPr>
            <w:color w:val="0A3A8C"/>
            <w:u w:val="single"/>
          </w:rPr>
          <w:t xml:space="preserve">410</w:t>
        </w:r>
      </w:hyperlink>
      <w:r>
        <w:t xml:space="preserve"> entsprechende Anwendung.</w:t>
      </w:r>
    </w:p>
    <w:p>
      <w:pPr>
        <w:pStyle w:val="Heading3"/>
      </w:pPr>
      <w:bookmarkStart w:id="547" w:name="b536"/>
      <w:r>
        <w:t>§ 413 Übertragung anderer Rechte</w:t>
      </w:r>
      <w:r>
        <w:t xml:space="preserve"> </w:t>
      </w:r>
      <w:r>
        <w:rPr>
          <w:rStyle w:val="Suchmarke"/>
        </w:rPr>
        <w:t>#413#</w:t>
      </w:r>
      <w:bookmarkEnd w:id="547"/>
    </w:p>
    <w:p>
      <w:r>
        <w:t>Die Vorschriften über die Übertragung von Forderungen finden auf die Übertragung anderer Rechte entsprechende Anwendung, soweit nicht das Gesetz ein anderes vorschreibt.</w:t>
      </w:r>
    </w:p>
    <w:p>
      <w:pPr>
        <w:pStyle w:val="Heading2"/>
      </w:pPr>
      <w:bookmarkStart w:id="548" w:name="b537"/>
      <w:r>
        <w:t>Abschnitt 6 Schuldübernahme</w:t>
      </w:r>
      <w:bookmarkEnd w:id="548"/>
    </w:p>
    <w:p>
      <w:pPr>
        <w:pStyle w:val="Heading3"/>
      </w:pPr>
      <w:bookmarkStart w:id="549" w:name="b538"/>
      <w:r>
        <w:t>§ 414 Vertrag zwischen Gläubiger und Übernehmer</w:t>
      </w:r>
      <w:r>
        <w:t xml:space="preserve"> </w:t>
      </w:r>
      <w:r>
        <w:rPr>
          <w:rStyle w:val="Suchmarke"/>
        </w:rPr>
        <w:t>#414#</w:t>
      </w:r>
      <w:bookmarkEnd w:id="549"/>
    </w:p>
    <w:p>
      <w:r>
        <w:t>Eine Schuld kann von einem Dritten durch Vertrag mit dem Gläubiger in der Weise übernommen werden, dass der Dritte an die Stelle des bisherigen Schuldners tritt.</w:t>
      </w:r>
    </w:p>
    <w:p>
      <w:pPr>
        <w:pStyle w:val="Heading3"/>
      </w:pPr>
      <w:bookmarkStart w:id="550" w:name="b539"/>
      <w:r>
        <w:t>§ 415 Vertrag zwischen Schuldner und Übernehmer</w:t>
      </w:r>
      <w:r>
        <w:t xml:space="preserve"> </w:t>
      </w:r>
      <w:r>
        <w:rPr>
          <w:rStyle w:val="Suchmarke"/>
        </w:rPr>
        <w:t>#415#</w:t>
      </w:r>
      <w:bookmarkEnd w:id="550"/>
    </w:p>
    <w:p>
      <w:r>
        <w:t xml:space="preserve">(1) </w:t>
      </w:r>
      <w:r>
        <w:rPr>
          <w:rStyle w:val="Satznummer"/>
        </w:rPr>
        <w:t>1</w:t>
      </w:r>
      <w:r>
        <w:t xml:space="preserve">Wird die Schuldübernahme von dem Dritten mit dem Schuldner vereinbart, so hängt ihre Wirksamkeit von der Genehmigung des Gläubigers ab. </w:t>
      </w:r>
      <w:r>
        <w:rPr>
          <w:rStyle w:val="Satznummer"/>
        </w:rPr>
        <w:t>2</w:t>
      </w:r>
      <w:r>
        <w:t xml:space="preserve">Die Genehmigung kann erst erfolgen, wenn der Schuldner oder der Dritte dem Gläubiger die Schuldübernahme mitgeteilt hat. </w:t>
      </w:r>
      <w:r>
        <w:rPr>
          <w:rStyle w:val="Satznummer"/>
        </w:rPr>
        <w:t>3</w:t>
      </w:r>
      <w:r>
        <w:t>Bis zur Genehmigung können die Parteien den Vertrag ändern oder aufheben.</w:t>
      </w:r>
    </w:p>
    <w:p>
      <w:r>
        <w:t xml:space="preserve">(2) </w:t>
      </w:r>
      <w:r>
        <w:rPr>
          <w:rStyle w:val="Satznummer"/>
        </w:rPr>
        <w:t>1</w:t>
      </w:r>
      <w:r>
        <w:t xml:space="preserve">Wird die Genehmigung verweigert, so gilt die Schuldübernahme als nicht erfolgt. </w:t>
      </w:r>
      <w:r>
        <w:rPr>
          <w:rStyle w:val="Satznummer"/>
        </w:rPr>
        <w:t>2</w:t>
      </w:r>
      <w:r>
        <w:t>Fordert der Schuldner oder der Dritte den Gläubiger unter Bestimmung einer Frist zur Erklärung über die Genehmigung auf, so kann die Genehmigung nur bis zum Ablauf der Frist erklärt werden; wird sie nicht erklärt, so gilt sie als verweigert.</w:t>
      </w:r>
    </w:p>
    <w:p>
      <w:r>
        <w:t xml:space="preserve">(3) </w:t>
      </w:r>
      <w:r>
        <w:rPr>
          <w:rStyle w:val="Satznummer"/>
        </w:rPr>
        <w:t>1</w:t>
      </w:r>
      <w:r>
        <w:t xml:space="preserve">Solange nicht der Gläubiger die Genehmigung erteilt hat, ist im Zweifel der Übernehmer dem Schuldner gegenüber verpflichtet, den Gläubiger rechtzeitig zu befriedigen. </w:t>
      </w:r>
      <w:r>
        <w:rPr>
          <w:rStyle w:val="Satznummer"/>
        </w:rPr>
        <w:t>2</w:t>
      </w:r>
      <w:r>
        <w:t>Das Gleiche gilt, wenn der Gläubiger die Genehmigung verweigert.</w:t>
      </w:r>
    </w:p>
    <w:p>
      <w:pPr>
        <w:pStyle w:val="Heading3"/>
      </w:pPr>
      <w:bookmarkStart w:id="551" w:name="b540"/>
      <w:r>
        <w:t>§ 416 Übernahme einer Hypothekenschuld</w:t>
      </w:r>
      <w:r>
        <w:t xml:space="preserve"> </w:t>
      </w:r>
      <w:r>
        <w:rPr>
          <w:rStyle w:val="Suchmarke"/>
        </w:rPr>
        <w:t>#416#</w:t>
      </w:r>
      <w:bookmarkEnd w:id="551"/>
    </w:p>
    <w:p>
      <w:r>
        <w:t xml:space="preserve">(1) </w:t>
      </w:r>
      <w:r>
        <w:rPr>
          <w:rStyle w:val="Satznummer"/>
        </w:rPr>
        <w:t>1</w:t>
      </w:r>
      <w:r>
        <w:t xml:space="preserve">Übernimmt der Erwerber eines Grundstücks durch Vertrag mit dem Veräußerer eine Schuld des Veräußerers, für die eine Hypothek an dem Grundstück besteht, so kann der Gläubiger die Schuldübernahme nur genehmigen, wenn der Veräußerer sie ihm mitteilt. </w:t>
      </w:r>
      <w:r>
        <w:rPr>
          <w:rStyle w:val="Satznummer"/>
        </w:rPr>
        <w:t>2</w:t>
      </w:r>
      <w:r>
        <w:t xml:space="preserve">Sind seit dem Empfang der Mitteilung sechs Monate verstrichen, so gilt die Genehmigung als erteilt, wenn nicht der Gläubiger sie dem Veräußerer gegenüber vorher verweigert hat; die Vorschrift des </w:t>
      </w:r>
      <w:hyperlink w:anchor="b539" w:history="1">
        <w:r>
          <w:rPr>
            <w:color w:val="0A3A8C"/>
            <w:u w:val="single"/>
          </w:rPr>
          <w:t xml:space="preserve">§ 415</w:t>
        </w:r>
      </w:hyperlink>
      <w:r>
        <w:t xml:space="preserve"> Abs. 2 Satz 2 findet keine Anwendung.</w:t>
      </w:r>
    </w:p>
    <w:p>
      <w:r>
        <w:t xml:space="preserve">(2) </w:t>
      </w:r>
      <w:r>
        <w:rPr>
          <w:rStyle w:val="Satznummer"/>
        </w:rPr>
        <w:t>1</w:t>
      </w:r>
      <w:r>
        <w:t xml:space="preserve">Die Mitteilung des Veräußerers kann erst erfolgen, wenn der Erwerber als Eigentümer im Grundbuch eingetragen ist. </w:t>
      </w:r>
      <w:r>
        <w:rPr>
          <w:rStyle w:val="Satznummer"/>
        </w:rPr>
        <w:t>2</w:t>
      </w:r>
      <w:r>
        <w:t>Sie muss in Textform geschehen und den Hinweis enthalten, dass der Übernehmer an die Stelle des bisherigen Schuldners tritt, wenn nicht der Gläubiger die Verweigerung innerhalb der sechs Monate erklärt.</w:t>
      </w:r>
    </w:p>
    <w:p>
      <w:r>
        <w:t xml:space="preserve">(3) </w:t>
      </w:r>
      <w:r>
        <w:rPr>
          <w:rStyle w:val="Satznummer"/>
        </w:rPr>
        <w:t>1</w:t>
      </w:r>
      <w:r>
        <w:t xml:space="preserve">Der Veräußerer hat auf Verlangen des Erwerbers dem Gläubiger die Schuldübernahme mitzuteilen. </w:t>
      </w:r>
      <w:r>
        <w:rPr>
          <w:rStyle w:val="Satznummer"/>
        </w:rPr>
        <w:t>2</w:t>
      </w:r>
      <w:r>
        <w:t>Sobald die Erteilung oder Verweigerung der Genehmigung feststeht, hat der Veräußerer den Erwerber zu benachrichtigen.</w:t>
      </w:r>
    </w:p>
    <w:p>
      <w:pPr>
        <w:pStyle w:val="Heading3"/>
      </w:pPr>
      <w:bookmarkStart w:id="552" w:name="b541"/>
      <w:r>
        <w:t>§ 417 Einwendungen des Übernehmers</w:t>
      </w:r>
      <w:r>
        <w:t xml:space="preserve"> </w:t>
      </w:r>
      <w:r>
        <w:rPr>
          <w:rStyle w:val="Suchmarke"/>
        </w:rPr>
        <w:t>#417#</w:t>
      </w:r>
      <w:bookmarkEnd w:id="552"/>
    </w:p>
    <w:p>
      <w:r>
        <w:t xml:space="preserve">(1) </w:t>
      </w:r>
      <w:r>
        <w:rPr>
          <w:rStyle w:val="Satznummer"/>
        </w:rPr>
        <w:t>1</w:t>
      </w:r>
      <w:r>
        <w:t xml:space="preserve">Der Übernehmer kann dem Gläubiger die Einwendungen entgegensetzen, welche sich aus dem Rechtsverhältnis zwischen dem Gläubiger und dem bisherigen Schuldner ergeben. </w:t>
      </w:r>
      <w:r>
        <w:rPr>
          <w:rStyle w:val="Satznummer"/>
        </w:rPr>
        <w:t>2</w:t>
      </w:r>
      <w:r>
        <w:t>Eine dem bisherigen Schuldner zustehende Forderung kann er nicht aufrechnen.</w:t>
      </w:r>
    </w:p>
    <w:p>
      <w:r>
        <w:t>(2) Aus dem der Schuldübernahme zugrunde liegenden Rechtsverhältnis zwischen dem Übernehmer und dem bisherigen Schuldner kann der Übernehmer dem Gläubiger gegenüber Einwendungen nicht herleiten.</w:t>
      </w:r>
    </w:p>
    <w:p>
      <w:pPr>
        <w:pStyle w:val="Heading3"/>
      </w:pPr>
      <w:bookmarkStart w:id="553" w:name="b542"/>
      <w:r>
        <w:t>§ 418 Erlöschen von Sicherungs- und Vorzugsrechten</w:t>
      </w:r>
      <w:r>
        <w:t xml:space="preserve"> </w:t>
      </w:r>
      <w:r>
        <w:rPr>
          <w:rStyle w:val="Suchmarke"/>
        </w:rPr>
        <w:t>#418#</w:t>
      </w:r>
      <w:bookmarkEnd w:id="553"/>
    </w:p>
    <w:p>
      <w:r>
        <w:t xml:space="preserve">(1) </w:t>
      </w:r>
      <w:r>
        <w:rPr>
          <w:rStyle w:val="Satznummer"/>
        </w:rPr>
        <w:t>1</w:t>
      </w:r>
      <w:r>
        <w:t xml:space="preserve">Infolge der Schuldübernahme erlöschen die für die Forderung bestellten Bürgschaften und Pfandrechte. </w:t>
      </w:r>
      <w:r>
        <w:rPr>
          <w:rStyle w:val="Satznummer"/>
        </w:rPr>
        <w:t>2</w:t>
      </w:r>
      <w:r>
        <w:t xml:space="preserve">Besteht für die Forderung eine Hypothek oder eine Schiffshypothek, so tritt das Gleiche ein, wie wenn der Gläubiger auf die Hypothek oder die Schiffshypothek verzichtet. </w:t>
      </w:r>
      <w:r>
        <w:rPr>
          <w:rStyle w:val="Satznummer"/>
        </w:rPr>
        <w:t>3</w:t>
      </w:r>
      <w:r>
        <w:t>Diese Vorschriften finden keine Anwendung, wenn der Bürge oder derjenige, welchem der verhaftete Gegenstand zur Zeit der Schuldübernahme gehört, in diese einwilligt.</w:t>
      </w:r>
    </w:p>
    <w:p>
      <w:r>
        <w:t>(2) Ein mit der Forderung für den Fall des Insolvenzverfahrens verbundenes Vorzugsrecht kann nicht im Insolvenzverfahren über das Vermögen des Übernehmers geltend gemacht werden.</w:t>
      </w:r>
    </w:p>
    <w:p>
      <w:pPr>
        <w:pStyle w:val="Heading3"/>
      </w:pPr>
      <w:bookmarkStart w:id="554" w:name="b543"/>
      <w:r>
        <w:t>§ 419</w:t>
      </w:r>
      <w:r>
        <w:t xml:space="preserve"> </w:t>
      </w:r>
      <w:r>
        <w:rPr>
          <w:rStyle w:val="Suchmarke"/>
        </w:rPr>
        <w:t>#419#</w:t>
      </w:r>
      <w:bookmarkEnd w:id="554"/>
    </w:p>
    <w:p>
      <w:r>
        <w:t>(weggefallen)</w:t>
      </w:r>
    </w:p>
    <w:p>
      <w:pPr>
        <w:pStyle w:val="Heading2"/>
      </w:pPr>
      <w:bookmarkStart w:id="555" w:name="b544"/>
      <w:r>
        <w:t>Abschnitt 7 Mehrheit von Schuldnern und Gläubigern</w:t>
      </w:r>
      <w:bookmarkEnd w:id="555"/>
    </w:p>
    <w:p>
      <w:pPr>
        <w:pStyle w:val="Heading3"/>
      </w:pPr>
      <w:bookmarkStart w:id="556" w:name="b545"/>
      <w:r>
        <w:t>§ 420 Teilbare Leistung</w:t>
      </w:r>
      <w:r>
        <w:t xml:space="preserve"> </w:t>
      </w:r>
      <w:r>
        <w:rPr>
          <w:rStyle w:val="Suchmarke"/>
        </w:rPr>
        <w:t>#420#</w:t>
      </w:r>
      <w:bookmarkEnd w:id="556"/>
    </w:p>
    <w:p>
      <w:r>
        <w:t>Schulden mehrere eine teilbare Leistung oder haben mehrere eine teilbare Leistung zu fordern, so ist im Zweifel jeder Schuldner nur zu einem gleichen Anteil verpflichtet, jeder Gläubiger nur zu einem gleichen Anteil berechtigt.</w:t>
      </w:r>
    </w:p>
    <w:p>
      <w:pPr>
        <w:pStyle w:val="Heading3"/>
      </w:pPr>
      <w:bookmarkStart w:id="557" w:name="b546"/>
      <w:r>
        <w:t>§ 421 Gesamtschuldner</w:t>
      </w:r>
      <w:r>
        <w:t xml:space="preserve"> </w:t>
      </w:r>
      <w:r>
        <w:rPr>
          <w:rStyle w:val="Suchmarke"/>
        </w:rPr>
        <w:t>#421#</w:t>
      </w:r>
      <w:bookmarkEnd w:id="557"/>
    </w:p>
    <w:p>
      <w:r>
        <w:rPr>
          <w:rStyle w:val="Satznummer"/>
        </w:rPr>
        <w:t>1</w:t>
      </w:r>
      <w:r>
        <w:t xml:space="preserve">Schulden mehrere eine Leistung in der Weise, dass jeder die ganze Leistung zu bewirken verpflichtet, der Gläubiger aber die Leistung nur einmal zu fordern berechtigt ist (Gesamtschuldner), so kann der Gläubiger die Leistung nach seinem Belieben von jedem der Schuldner ganz oder zu einem Teil fordern. </w:t>
      </w:r>
      <w:r>
        <w:rPr>
          <w:rStyle w:val="Satznummer"/>
        </w:rPr>
        <w:t>2</w:t>
      </w:r>
      <w:r>
        <w:t>Bis zur Bewirkung der ganzen Leistung bleiben sämtliche Schuldner verpflichtet.</w:t>
      </w:r>
    </w:p>
    <w:p>
      <w:pPr>
        <w:pStyle w:val="Heading3"/>
      </w:pPr>
      <w:bookmarkStart w:id="558" w:name="b547"/>
      <w:r>
        <w:t>§ 422 Wirkung der Erfüllung</w:t>
      </w:r>
      <w:r>
        <w:t xml:space="preserve"> </w:t>
      </w:r>
      <w:r>
        <w:rPr>
          <w:rStyle w:val="Suchmarke"/>
        </w:rPr>
        <w:t>#422#</w:t>
      </w:r>
      <w:bookmarkEnd w:id="558"/>
    </w:p>
    <w:p>
      <w:r>
        <w:t xml:space="preserve">(1) </w:t>
      </w:r>
      <w:r>
        <w:rPr>
          <w:rStyle w:val="Satznummer"/>
        </w:rPr>
        <w:t>1</w:t>
      </w:r>
      <w:r>
        <w:t xml:space="preserve">Die Erfüllung durch einen Gesamtschuldner wirkt auch für die übrigen Schuldner. </w:t>
      </w:r>
      <w:r>
        <w:rPr>
          <w:rStyle w:val="Satznummer"/>
        </w:rPr>
        <w:t>2</w:t>
      </w:r>
      <w:r>
        <w:t>Das Gleiche gilt von der Leistung an Erfüllungs statt, der Hinterlegung und der Aufrechnung.</w:t>
      </w:r>
    </w:p>
    <w:p>
      <w:r>
        <w:t>(2) Eine Forderung, die einem Gesamtschuldner zusteht, kann nicht von den übrigen Schuldnern aufgerechnet werden.</w:t>
      </w:r>
    </w:p>
    <w:p>
      <w:pPr>
        <w:pStyle w:val="Heading3"/>
      </w:pPr>
      <w:bookmarkStart w:id="559" w:name="b548"/>
      <w:r>
        <w:t>§ 423 Wirkung des Erlasses</w:t>
      </w:r>
      <w:r>
        <w:t xml:space="preserve"> </w:t>
      </w:r>
      <w:r>
        <w:rPr>
          <w:rStyle w:val="Suchmarke"/>
        </w:rPr>
        <w:t>#423#</w:t>
      </w:r>
      <w:bookmarkEnd w:id="559"/>
    </w:p>
    <w:p>
      <w:r>
        <w:t>Ein zwischen dem Gläubiger und einem Gesamtschuldner vereinbarter Erlass wirkt auch für die übrigen Schuldner, wenn die Vertragschließenden das ganze Schuldverhältnis aufheben wollten.</w:t>
      </w:r>
    </w:p>
    <w:p>
      <w:pPr>
        <w:pStyle w:val="Heading3"/>
      </w:pPr>
      <w:bookmarkStart w:id="560" w:name="b549"/>
      <w:r>
        <w:t>§ 424 Wirkung des Gläubigerverzugs</w:t>
      </w:r>
      <w:r>
        <w:t xml:space="preserve"> </w:t>
      </w:r>
      <w:r>
        <w:rPr>
          <w:rStyle w:val="Suchmarke"/>
        </w:rPr>
        <w:t>#424#</w:t>
      </w:r>
      <w:bookmarkEnd w:id="560"/>
    </w:p>
    <w:p>
      <w:r>
        <w:t>Der Verzug des Gläubigers gegenüber einem Gesamtschuldner wirkt auch für die übrigen Schuldner.</w:t>
      </w:r>
    </w:p>
    <w:p>
      <w:pPr>
        <w:pStyle w:val="Heading3"/>
      </w:pPr>
      <w:bookmarkStart w:id="561" w:name="b550"/>
      <w:r>
        <w:t>§ 425 Wirkung anderer Tatsachen</w:t>
      </w:r>
      <w:r>
        <w:t xml:space="preserve"> </w:t>
      </w:r>
      <w:r>
        <w:rPr>
          <w:rStyle w:val="Suchmarke"/>
        </w:rPr>
        <w:t>#425#</w:t>
      </w:r>
      <w:bookmarkEnd w:id="561"/>
    </w:p>
    <w:p>
      <w:r>
        <w:t xml:space="preserve">(1) Andere als die in den </w:t>
      </w:r>
      <w:hyperlink w:anchor="b547" w:history="1">
        <w:r>
          <w:rPr>
            <w:color w:val="0A3A8C"/>
            <w:u w:val="single"/>
          </w:rPr>
          <w:t xml:space="preserve">§§ 422</w:t>
        </w:r>
      </w:hyperlink>
      <w:r>
        <w:t xml:space="preserve"> bis </w:t>
      </w:r>
      <w:hyperlink w:anchor="b549" w:history="1">
        <w:r>
          <w:rPr>
            <w:color w:val="0A3A8C"/>
            <w:u w:val="single"/>
          </w:rPr>
          <w:t xml:space="preserve">424</w:t>
        </w:r>
      </w:hyperlink>
      <w:r>
        <w:t xml:space="preserve"> bezeichneten Tatsachen wirken, soweit sich nicht aus dem Schuldverhältnis ein anderes ergibt, nur für und gegen den Gesamtschuldner, in dessen Person sie eintreten.</w:t>
      </w:r>
    </w:p>
    <w:p>
      <w:r>
        <w:t>(2) Dies gilt insbesondere von der Kündigung, dem Verzug, dem Verschulden, von der Unmöglichkeit der Leistung in der Person eines Gesamtschuldners, von der Verjährung, deren Neubeginn, Hemmung und Ablaufhemmung, von der Vereinigung der Forderung mit der Schuld und von dem rechtskräftigen Urteil.</w:t>
      </w:r>
    </w:p>
    <w:p>
      <w:pPr>
        <w:pStyle w:val="Heading3"/>
      </w:pPr>
      <w:bookmarkStart w:id="562" w:name="b551"/>
      <w:r>
        <w:t>§ 426 Ausgleichungspflicht, Forderungsübergang</w:t>
      </w:r>
      <w:r>
        <w:t xml:space="preserve"> </w:t>
      </w:r>
      <w:r>
        <w:rPr>
          <w:rStyle w:val="Suchmarke"/>
        </w:rPr>
        <w:t>#426#</w:t>
      </w:r>
      <w:bookmarkEnd w:id="562"/>
    </w:p>
    <w:p>
      <w:r>
        <w:t xml:space="preserve">(1) </w:t>
      </w:r>
      <w:r>
        <w:rPr>
          <w:rStyle w:val="Satznummer"/>
        </w:rPr>
        <w:t>1</w:t>
      </w:r>
      <w:r>
        <w:t xml:space="preserve">Die Gesamtschuldner sind im Verhältnis zueinander zu gleichen Anteilen verpflichtet, soweit nicht ein anderes bestimmt ist. </w:t>
      </w:r>
      <w:r>
        <w:rPr>
          <w:rStyle w:val="Satznummer"/>
        </w:rPr>
        <w:t>2</w:t>
      </w:r>
      <w:r>
        <w:t>Kann von einem Gesamtschuldner der auf ihn entfallende Beitrag nicht erlangt werden, so ist der Ausfall von den übrigen zur Ausgleichung verpflichteten Schuldnern zu tragen.</w:t>
      </w:r>
    </w:p>
    <w:p>
      <w:r>
        <w:t xml:space="preserve">(2) </w:t>
      </w:r>
      <w:r>
        <w:rPr>
          <w:rStyle w:val="Satznummer"/>
        </w:rPr>
        <w:t>1</w:t>
      </w:r>
      <w:r>
        <w:t xml:space="preserve">Soweit ein Gesamtschuldner den Gläubiger befriedigt und von den übrigen Schuldnern Ausgleichung verlangen kann, geht die Forderung des Gläubigers gegen die übrigen Schuldner auf ihn über. </w:t>
      </w:r>
      <w:r>
        <w:rPr>
          <w:rStyle w:val="Satznummer"/>
        </w:rPr>
        <w:t>2</w:t>
      </w:r>
      <w:r>
        <w:t>Der Übergang kann nicht zum Nachteil des Gläubigers geltend gemacht werden.</w:t>
      </w:r>
    </w:p>
    <w:p>
      <w:pPr>
        <w:pStyle w:val="Heading3"/>
      </w:pPr>
      <w:bookmarkStart w:id="563" w:name="b552"/>
      <w:r>
        <w:t>§ 427 Gemeinschaftliche vertragliche Verpflichtung</w:t>
      </w:r>
      <w:r>
        <w:t xml:space="preserve"> </w:t>
      </w:r>
      <w:r>
        <w:rPr>
          <w:rStyle w:val="Suchmarke"/>
        </w:rPr>
        <w:t>#427#</w:t>
      </w:r>
      <w:bookmarkEnd w:id="563"/>
    </w:p>
    <w:p>
      <w:r>
        <w:t>Verpflichten sich mehrere durch Vertrag gemeinschaftlich zu einer teilbaren Leistung, so haften sie im Zweifel als Gesamtschuldner.</w:t>
      </w:r>
    </w:p>
    <w:p>
      <w:pPr>
        <w:pStyle w:val="Heading3"/>
      </w:pPr>
      <w:bookmarkStart w:id="564" w:name="b553"/>
      <w:r>
        <w:t>§ 428 Gesamtgläubiger</w:t>
      </w:r>
      <w:r>
        <w:t xml:space="preserve"> </w:t>
      </w:r>
      <w:r>
        <w:rPr>
          <w:rStyle w:val="Suchmarke"/>
        </w:rPr>
        <w:t>#428#</w:t>
      </w:r>
      <w:bookmarkEnd w:id="564"/>
    </w:p>
    <w:p>
      <w:r>
        <w:rPr>
          <w:rStyle w:val="Satznummer"/>
        </w:rPr>
        <w:t>1</w:t>
      </w:r>
      <w:r>
        <w:t xml:space="preserve">Sind mehrere eine Leistung in der Weise zu fordern berechtigt, dass jeder die ganze Leistung fordern kann, der Schuldner aber die Leistung nur einmal zu bewirken verpflichtet ist (Gesamtgläubiger), so kann der Schuldner nach seinem Belieben an jeden der Gläubiger leisten. </w:t>
      </w:r>
      <w:r>
        <w:rPr>
          <w:rStyle w:val="Satznummer"/>
        </w:rPr>
        <w:t>2</w:t>
      </w:r>
      <w:r>
        <w:t>Dies gilt auch dann, wenn einer der Gläubiger bereits Klage auf die Leistung erhoben hat.</w:t>
      </w:r>
    </w:p>
    <w:p>
      <w:pPr>
        <w:pStyle w:val="Heading3"/>
      </w:pPr>
      <w:bookmarkStart w:id="565" w:name="b554"/>
      <w:r>
        <w:t>§ 429 Wirkung von Veränderungen</w:t>
      </w:r>
      <w:r>
        <w:t xml:space="preserve"> </w:t>
      </w:r>
      <w:r>
        <w:rPr>
          <w:rStyle w:val="Suchmarke"/>
        </w:rPr>
        <w:t>#429#</w:t>
      </w:r>
      <w:bookmarkEnd w:id="565"/>
    </w:p>
    <w:p>
      <w:r>
        <w:t>(1) Der Verzug eines Gesamtgläubigers wirkt auch gegen die übrigen Gläubiger.</w:t>
      </w:r>
    </w:p>
    <w:p>
      <w:r>
        <w:t>(2) Vereinigen sich Forderung und Schuld in der Person eines Gesamtgläubigers, so erlöschen die Rechte der übrigen Gläubiger gegen den Schuldner.</w:t>
      </w:r>
    </w:p>
    <w:p>
      <w:r>
        <w:t xml:space="preserve">(3) </w:t>
      </w:r>
      <w:r>
        <w:rPr>
          <w:rStyle w:val="Satznummer"/>
        </w:rPr>
        <w:t>1</w:t>
      </w:r>
      <w:r>
        <w:t xml:space="preserve">Im Übrigen finden die Vorschriften der </w:t>
      </w:r>
      <w:hyperlink w:anchor="b547" w:history="1">
        <w:r>
          <w:rPr>
            <w:color w:val="0A3A8C"/>
            <w:u w:val="single"/>
          </w:rPr>
          <w:t xml:space="preserve">§§ 422</w:t>
        </w:r>
      </w:hyperlink>
      <w:r>
        <w:t xml:space="preserve">, </w:t>
      </w:r>
      <w:hyperlink w:anchor="b548" w:history="1">
        <w:r>
          <w:rPr>
            <w:color w:val="0A3A8C"/>
            <w:u w:val="single"/>
          </w:rPr>
          <w:t xml:space="preserve">423</w:t>
        </w:r>
      </w:hyperlink>
      <w:r>
        <w:t xml:space="preserve">, </w:t>
      </w:r>
      <w:hyperlink w:anchor="b550" w:history="1">
        <w:r>
          <w:rPr>
            <w:color w:val="0A3A8C"/>
            <w:u w:val="single"/>
          </w:rPr>
          <w:t xml:space="preserve">425</w:t>
        </w:r>
      </w:hyperlink>
      <w:r>
        <w:t xml:space="preserve"> entsprechende Anwendung. </w:t>
      </w:r>
      <w:r>
        <w:rPr>
          <w:rStyle w:val="Satznummer"/>
        </w:rPr>
        <w:t>2</w:t>
      </w:r>
      <w:r>
        <w:t>Insbesondere bleiben, wenn ein Gesamtgläubiger seine Forderung auf einen anderen überträgt, die Rechte der übrigen Gläubiger unberührt.</w:t>
      </w:r>
    </w:p>
    <w:p>
      <w:pPr>
        <w:pStyle w:val="Heading3"/>
      </w:pPr>
      <w:bookmarkStart w:id="566" w:name="b555"/>
      <w:r>
        <w:t>§ 430 Ausgleichungspflicht der Gesamtgläubiger</w:t>
      </w:r>
      <w:r>
        <w:t xml:space="preserve"> </w:t>
      </w:r>
      <w:r>
        <w:rPr>
          <w:rStyle w:val="Suchmarke"/>
        </w:rPr>
        <w:t>#430#</w:t>
      </w:r>
      <w:bookmarkEnd w:id="566"/>
    </w:p>
    <w:p>
      <w:r>
        <w:t>Die Gesamtgläubiger sind im Verhältnis zueinander zu gleichen Anteilen berechtigt, soweit nicht ein anderes bestimmt ist.</w:t>
      </w:r>
    </w:p>
    <w:p>
      <w:pPr>
        <w:pStyle w:val="Heading3"/>
      </w:pPr>
      <w:bookmarkStart w:id="567" w:name="b556"/>
      <w:r>
        <w:t>§ 431 Mehrere Schuldner einer unteilbaren Leistung</w:t>
      </w:r>
      <w:r>
        <w:t xml:space="preserve"> </w:t>
      </w:r>
      <w:r>
        <w:rPr>
          <w:rStyle w:val="Suchmarke"/>
        </w:rPr>
        <w:t>#431#</w:t>
      </w:r>
      <w:bookmarkEnd w:id="567"/>
    </w:p>
    <w:p>
      <w:r>
        <w:t>Schulden mehrere eine unteilbare Leistung, so haften sie als Gesamtschuldner.</w:t>
      </w:r>
    </w:p>
    <w:p>
      <w:pPr>
        <w:pStyle w:val="Heading3"/>
      </w:pPr>
      <w:bookmarkStart w:id="568" w:name="b557"/>
      <w:r>
        <w:t>§ 432 Mehrere Gläubiger einer unteilbaren Leistung</w:t>
      </w:r>
      <w:r>
        <w:t xml:space="preserve"> </w:t>
      </w:r>
      <w:r>
        <w:rPr>
          <w:rStyle w:val="Suchmarke"/>
        </w:rPr>
        <w:t>#432#</w:t>
      </w:r>
      <w:bookmarkEnd w:id="568"/>
    </w:p>
    <w:p>
      <w:r>
        <w:t xml:space="preserve">(1) </w:t>
      </w:r>
      <w:r>
        <w:rPr>
          <w:rStyle w:val="Satznummer"/>
        </w:rPr>
        <w:t>1</w:t>
      </w:r>
      <w:r>
        <w:t xml:space="preserve">Haben mehrere eine unteilbare Leistung zu fordern, so kann, sofern sie nicht Gesamtgläubiger sind, der Schuldner nur an alle gemeinschaftlich leisten und jeder Gläubiger nur die Leistung an alle fordern. </w:t>
      </w:r>
      <w:r>
        <w:rPr>
          <w:rStyle w:val="Satznummer"/>
        </w:rPr>
        <w:t>2</w:t>
      </w:r>
      <w:r>
        <w:t>Jeder Gläubiger kann verlangen, dass der Schuldner die geschuldete Sache für alle Gläubiger hinterlegt oder, wenn sie sich nicht zur Hinterlegung eignet, an einen gerichtlich zu bestellenden Verwahrer abliefert.</w:t>
      </w:r>
    </w:p>
    <w:p>
      <w:r>
        <w:t>(2) Im Übrigen wirkt eine Tatsache, die nur in der Person eines der Gläubiger eintritt, nicht für und gegen die übrigen Gläubiger.</w:t>
      </w:r>
    </w:p>
    <w:p>
      <w:pPr>
        <w:pStyle w:val="Heading2"/>
      </w:pPr>
      <w:bookmarkStart w:id="569" w:name="b558"/>
      <w:r>
        <w:t>Abschnitt 8 Einzelne Schuldverhältnisse</w:t>
      </w:r>
      <w:bookmarkEnd w:id="569"/>
    </w:p>
    <w:p>
      <w:pPr>
        <w:pStyle w:val="Heading3"/>
      </w:pPr>
      <w:bookmarkStart w:id="570" w:name="b559"/>
      <w:r>
        <w:t>Titel 1 Kauf, Tausch</w:t>
      </w:r>
      <w:bookmarkEnd w:id="570"/>
    </w:p>
    <w:p>
      <w:hyperlink w:anchor="f559_1" w:history="1">
        <w:r>
          <w:rPr>
            <w:rStyle w:val="Fussnotenmarke"/>
            <w:u w:val="single"/>
            <w:color w:val="0A3A8C"/>
          </w:rPr>
          <w:t>1</w:t>
        </w:r>
      </w:hyperlink>
    </w:p>
    <w:p>
      <w:pPr>
        <w:pStyle w:val="Fußnote"/>
      </w:pPr>
      <w:bookmarkStart w:id="571" w:name="f559_1"/>
      <w:r>
        <w:rPr>
          <w:rStyle w:val="Zusatz"/>
          <w:b/>
        </w:rPr>
        <w:t xml:space="preserve">Fußnote 1: </w:t>
      </w:r>
      <w:r>
        <w:rPr>
          <w:b/>
        </w:rPr>
        <w:t>Amtlicher Hinweis:</w:t>
      </w:r>
      <w:r>
        <w:br/>
      </w:r>
      <w:r>
        <w:t>Dieser Titel dient der Umsetzung der Richtlinie 1999/44/EG des Europäischen Parlaments und des Rates vom 25. Mai 1999 zu bestimmten Aspekten des Verbrauchsgüterkaufs und der Garantien für Verbrauchsgüter (ABl. EG Nr. L 171 S. 12).</w:t>
      </w:r>
      <w:bookmarkEnd w:id="571"/>
    </w:p>
    <w:p>
      <w:pPr>
        <w:pStyle w:val="Heading4"/>
      </w:pPr>
      <w:bookmarkStart w:id="572" w:name="b560"/>
      <w:r>
        <w:t>Untertitel 1 Allgemeine Vorschriften</w:t>
      </w:r>
      <w:bookmarkEnd w:id="572"/>
    </w:p>
    <w:p>
      <w:pPr>
        <w:pStyle w:val="Heading5"/>
      </w:pPr>
      <w:bookmarkStart w:id="573" w:name="b561"/>
      <w:r>
        <w:t>§ 433 Vertragstypische Pflichten beim Kaufvertrag</w:t>
      </w:r>
      <w:r>
        <w:t xml:space="preserve"> </w:t>
      </w:r>
      <w:r>
        <w:rPr>
          <w:rStyle w:val="Suchmarke"/>
        </w:rPr>
        <w:t>#433#</w:t>
      </w:r>
      <w:bookmarkEnd w:id="573"/>
    </w:p>
    <w:p>
      <w:r>
        <w:t xml:space="preserve">(1) </w:t>
      </w:r>
      <w:r>
        <w:rPr>
          <w:rStyle w:val="Satznummer"/>
        </w:rPr>
        <w:t>1</w:t>
      </w:r>
      <w:r>
        <w:t xml:space="preserve">Durch den Kaufvertrag wird der Verkäufer einer Sache verpflichtet, dem Käufer die Sache zu übergeben und das Eigentum an der Sache zu verschaffen. </w:t>
      </w:r>
      <w:r>
        <w:rPr>
          <w:rStyle w:val="Satznummer"/>
        </w:rPr>
        <w:t>2</w:t>
      </w:r>
      <w:r>
        <w:t>Der Verkäufer hat dem Käufer die Sache frei von Sach- und Rechtsmängeln zu verschaffen.</w:t>
      </w:r>
    </w:p>
    <w:p>
      <w:r>
        <w:t>(2) Der Käufer ist verpflichtet, dem Verkäufer den vereinbarten Kaufpreis zu zahlen und die gekaufte Sache abzunehmen.</w:t>
      </w:r>
    </w:p>
    <w:p>
      <w:pPr>
        <w:pStyle w:val="Heading5"/>
      </w:pPr>
      <w:bookmarkStart w:id="574" w:name="b562"/>
      <w:r>
        <w:t>§ 434 Sachmangel</w:t>
      </w:r>
      <w:r>
        <w:t xml:space="preserve"> </w:t>
      </w:r>
      <w:r>
        <w:rPr>
          <w:rStyle w:val="Suchmarke"/>
        </w:rPr>
        <w:t>#434#</w:t>
      </w:r>
      <w:bookmarkEnd w:id="574"/>
    </w:p>
    <w:p>
      <w:r>
        <w:t>(1) Die Sache ist frei von Sachmängeln, wenn sie bei Gefahrübergang den subjektiven Anforderungen, den objektiven Anforderungen und den Montageanforderungen dieser Vorschrift entspricht.</w:t>
      </w:r>
    </w:p>
    <w:p>
      <w:r>
        <w:t xml:space="preserve">(2) </w:t>
      </w:r>
      <w:r>
        <w:rPr>
          <w:rStyle w:val="Satznummer"/>
        </w:rPr>
        <w:t>1</w:t>
      </w:r>
      <w:r>
        <w:t>Die Sache entspricht den subjektiven Anforderungen, wenn sie</w:t>
      </w:r>
    </w:p>
    <w:p>
      <w:pPr>
        <w:tabs>
          <w:tab w:pos="567" w:val="left"/>
        </w:tabs>
        <w:ind w:left="567" w:hanging="567"/>
      </w:pPr>
      <w:r>
        <w:t>1.</w:t>
      </w:r>
      <w:r>
        <w:tab/>
      </w:r>
      <w:r>
        <w:t>die vereinbarte Beschaffenheit hat,</w:t>
      </w:r>
    </w:p>
    <w:p>
      <w:pPr>
        <w:tabs>
          <w:tab w:pos="567" w:val="left"/>
        </w:tabs>
        <w:ind w:left="567" w:hanging="567"/>
      </w:pPr>
      <w:r>
        <w:t>2.</w:t>
      </w:r>
      <w:r>
        <w:tab/>
      </w:r>
      <w:r>
        <w:t>sich für die nach dem Vertrag vorausgesetzte Verwendung eignet und</w:t>
      </w:r>
    </w:p>
    <w:p>
      <w:pPr>
        <w:tabs>
          <w:tab w:pos="567" w:val="left"/>
        </w:tabs>
        <w:ind w:left="567" w:hanging="567"/>
      </w:pPr>
      <w:r>
        <w:t>3.</w:t>
      </w:r>
      <w:r>
        <w:tab/>
      </w:r>
      <w:r>
        <w:t>mit dem vereinbarten Zubehör und den vereinbarten Anleitungen, einschließlich Montage- und Installationsanleitungen, übergeben wird.</w:t>
      </w:r>
    </w:p>
    <w:p>
      <w:r>
        <w:rPr>
          <w:rStyle w:val="Satznummer"/>
        </w:rPr>
        <w:t>2</w:t>
      </w:r>
      <w:r>
        <w:t>Zu der Beschaffenheit nach Satz 1 Nummer 1 gehören Art, Menge, Qualität, Funktionalität, Kompatibilität, Interoperabilität und sonstige Merkmale der Sache, für die die Parteien Anforderungen vereinbart haben.</w:t>
      </w:r>
    </w:p>
    <w:p>
      <w:r>
        <w:t xml:space="preserve">(3) </w:t>
      </w:r>
      <w:r>
        <w:rPr>
          <w:rStyle w:val="Satznummer"/>
        </w:rPr>
        <w:t>1</w:t>
      </w:r>
      <w:r>
        <w:t>Soweit nicht wirksam etwas anderes vereinbart wurde, entspricht die Sache den objektiven Anforderungen, wenn sie</w:t>
      </w:r>
    </w:p>
    <w:p>
      <w:pPr>
        <w:tabs>
          <w:tab w:pos="567" w:val="left"/>
        </w:tabs>
        <w:ind w:left="567" w:hanging="567"/>
      </w:pPr>
      <w:r>
        <w:t>1.</w:t>
      </w:r>
      <w:r>
        <w:tab/>
      </w:r>
      <w:r>
        <w:t>sich für die gewöhnliche Verwendung eignet,</w:t>
      </w:r>
    </w:p>
    <w:p>
      <w:pPr>
        <w:tabs>
          <w:tab w:pos="567" w:val="left"/>
        </w:tabs>
        <w:ind w:left="567" w:hanging="567"/>
      </w:pPr>
      <w:r>
        <w:t>2.</w:t>
      </w:r>
      <w:r>
        <w:tab/>
      </w:r>
      <w:r>
        <w:t>eine Beschaffenheit aufweist, die bei Sachen derselben Art üblich ist und die der Käufer erwarten kann unter Berücksichtigung</w:t>
      </w:r>
    </w:p>
    <w:p>
      <w:pPr>
        <w:tabs>
          <w:tab w:pos="1134" w:val="left"/>
        </w:tabs>
        <w:ind w:left="1134" w:hanging="567"/>
      </w:pPr>
      <w:r>
        <w:t>a)</w:t>
      </w:r>
      <w:r>
        <w:tab/>
      </w:r>
      <w:r>
        <w:t>der Art der Sache und</w:t>
      </w:r>
    </w:p>
    <w:p>
      <w:pPr>
        <w:tabs>
          <w:tab w:pos="1134" w:val="left"/>
        </w:tabs>
        <w:ind w:left="1134" w:hanging="567"/>
      </w:pPr>
      <w:r>
        <w:t>b)</w:t>
      </w:r>
      <w:r>
        <w:tab/>
      </w:r>
      <w:r>
        <w:t>der öffentlichen Äußerungen, die von dem Verkäufer oder einem anderen Glied der Vertragskette oder in deren Auftrag, insbesondere in der Werbung oder auf dem Etikett, abgegeben wurden,</w:t>
      </w:r>
    </w:p>
    <w:p>
      <w:pPr>
        <w:tabs>
          <w:tab w:pos="567" w:val="left"/>
        </w:tabs>
        <w:ind w:left="567" w:hanging="567"/>
      </w:pPr>
      <w:r>
        <w:t>3.</w:t>
      </w:r>
      <w:r>
        <w:tab/>
      </w:r>
      <w:r>
        <w:t>der Beschaffenheit einer Probe oder eines Musters entspricht, die oder das der Verkäufer dem Käufer vor Vertragsschluss zur Verfügung gestellt hat, und</w:t>
      </w:r>
    </w:p>
    <w:p>
      <w:pPr>
        <w:tabs>
          <w:tab w:pos="567" w:val="left"/>
        </w:tabs>
        <w:ind w:left="567" w:hanging="567"/>
      </w:pPr>
      <w:r>
        <w:t>4.</w:t>
      </w:r>
      <w:r>
        <w:tab/>
      </w:r>
      <w:r>
        <w:t>mit dem Zubehör einschließlich der Verpackung, der Montage- oder Installationsanleitung sowie anderen Anleitungen übergeben wird, deren Erhalt der Käufer erwarten kann.</w:t>
      </w:r>
    </w:p>
    <w:p>
      <w:r>
        <w:rPr>
          <w:rStyle w:val="Satznummer"/>
        </w:rPr>
        <w:t>2</w:t>
      </w:r>
      <w:r>
        <w:t xml:space="preserve">Zu der üblichen Beschaffenheit nach Satz 1 Nummer 2 gehören Menge, Qualität und sonstige Merkmale der Sache, einschließlich ihrer Haltbarkeit, Reparierbarkeit, Funktionalität, Kompatibilität und Sicherheit. </w:t>
      </w:r>
      <w:r>
        <w:rPr>
          <w:rStyle w:val="Satznummer"/>
        </w:rPr>
        <w:t>3</w:t>
      </w:r>
      <w:r>
        <w:t xml:space="preserve">Der Verkäufer ist durch die in Satz 1 Nummer 2 Buchstabe b genannten öffentlichen Äußerungen nicht gebunden, wenn er sie nicht kannte und auch nicht kennen konnte, wenn die Äußerung im Zeitpunkt des Vertragsschlusses in derselben oder in gleichwertiger Weise berichtigt war oder wenn die Äußerung die Kaufentscheidung nicht beeinflussen konnte. </w:t>
      </w:r>
      <w:r>
        <w:rPr>
          <w:rStyle w:val="Satznummer"/>
        </w:rPr>
        <w:t>4</w:t>
      </w:r>
      <w:r>
        <w:t>In einem Kaufvertrag zwischen Unternehmern oder in einem Kaufvertrag zwischen Verbrauchern können die Unternehmer oder Verbraucher vereinbaren, dass Menge, Qualität oder eines oder mehrere der in Satz 2 genannten sonstigen Merkmale nicht zu der üblichen Beschaffenheit der Sache gehören.</w:t>
      </w:r>
    </w:p>
    <w:p>
      <w:r>
        <w:t>(4) Soweit eine Montage durchzuführen ist, entspricht die Sache den Montageanforderungen, wenn die Montage</w:t>
      </w:r>
    </w:p>
    <w:p>
      <w:pPr>
        <w:tabs>
          <w:tab w:pos="567" w:val="left"/>
        </w:tabs>
        <w:ind w:left="567" w:hanging="567"/>
      </w:pPr>
      <w:r>
        <w:t>1.</w:t>
      </w:r>
      <w:r>
        <w:tab/>
      </w:r>
      <w:r>
        <w:t>sachgemäß durchgeführt worden ist oder</w:t>
      </w:r>
    </w:p>
    <w:p>
      <w:pPr>
        <w:tabs>
          <w:tab w:pos="567" w:val="left"/>
        </w:tabs>
        <w:ind w:left="567" w:hanging="567"/>
      </w:pPr>
      <w:r>
        <w:t>2.</w:t>
      </w:r>
      <w:r>
        <w:tab/>
      </w:r>
      <w:r>
        <w:t>zwar unsachgemäß durchgeführt worden ist, dies jedoch weder auf einer unsachgemäßen Montage durch den Verkäufer noch auf einem Mangel in der vom Verkäufer übergebenen Anleitung beruht.</w:t>
      </w:r>
    </w:p>
    <w:p>
      <w:r>
        <w:t>(5) Einem Sachmangel steht es gleich, wenn der Verkäufer eine andere Sache als die vertraglich geschuldete Sache liefert.</w:t>
      </w:r>
    </w:p>
    <w:p>
      <w:pPr>
        <w:pStyle w:val="Heading5"/>
      </w:pPr>
      <w:bookmarkStart w:id="575" w:name="b563"/>
      <w:r>
        <w:t>§ 435 Rechtsmangel</w:t>
      </w:r>
      <w:r>
        <w:t xml:space="preserve"> </w:t>
      </w:r>
      <w:r>
        <w:rPr>
          <w:rStyle w:val="Suchmarke"/>
        </w:rPr>
        <w:t>#435#</w:t>
      </w:r>
      <w:bookmarkEnd w:id="575"/>
    </w:p>
    <w:p>
      <w:r>
        <w:rPr>
          <w:rStyle w:val="Satznummer"/>
        </w:rPr>
        <w:t>1</w:t>
      </w:r>
      <w:r>
        <w:t xml:space="preserve">Die Sache ist frei von Rechtsmängeln, wenn Dritte in Bezug auf die Sache keine oder nur die im Kaufvertrag übernommenen Rechte gegen den Käufer geltend machen können. </w:t>
      </w:r>
      <w:r>
        <w:rPr>
          <w:rStyle w:val="Satznummer"/>
        </w:rPr>
        <w:t>2</w:t>
      </w:r>
      <w:r>
        <w:t>Einem Rechtsmangel steht es gleich, wenn im Grundbuch ein Recht eingetragen ist, das nicht besteht.</w:t>
      </w:r>
    </w:p>
    <w:p>
      <w:pPr>
        <w:pStyle w:val="Heading5"/>
      </w:pPr>
      <w:bookmarkStart w:id="576" w:name="b564"/>
      <w:r>
        <w:t>§ 436 Öffentliche Lasten von Grundstücken</w:t>
      </w:r>
      <w:r>
        <w:t xml:space="preserve"> </w:t>
      </w:r>
      <w:r>
        <w:rPr>
          <w:rStyle w:val="Suchmarke"/>
        </w:rPr>
        <w:t>#436#</w:t>
      </w:r>
      <w:bookmarkEnd w:id="576"/>
    </w:p>
    <w:p>
      <w:r>
        <w:t>(1) Soweit nicht anders vereinbart, ist der Verkäufer eines Grundstücks verpflichtet, Erschließungsbeiträge und sonstige Anliegerbeiträge für die Maßnahmen zu tragen, die bis zum Tage des Vertragsschlusses bautechnisch begonnen sind, unabhängig vom Zeitpunkt des Entstehens der Beitragsschuld.</w:t>
      </w:r>
    </w:p>
    <w:p>
      <w:r>
        <w:t>(2) Der Verkäufer eines Grundstücks haftet nicht für die Freiheit des Grundstücks von anderen öffentlichen Abgaben und von anderen öffentlichen Lasten, die zur Eintragung in das Grundbuch nicht geeignet sind.</w:t>
      </w:r>
    </w:p>
    <w:p>
      <w:pPr>
        <w:pStyle w:val="Heading5"/>
      </w:pPr>
      <w:bookmarkStart w:id="577" w:name="b565"/>
      <w:r>
        <w:t>§ 437 Rechte des Käufers bei Mängeln</w:t>
      </w:r>
      <w:r>
        <w:t xml:space="preserve"> </w:t>
      </w:r>
      <w:r>
        <w:rPr>
          <w:rStyle w:val="Suchmarke"/>
        </w:rPr>
        <w:t>#437#</w:t>
      </w:r>
      <w:bookmarkEnd w:id="577"/>
    </w:p>
    <w:p>
      <w:r>
        <w:t>Ist die Sache mangelhaft, kann der Käufer, wenn die Voraussetzungen der folgenden Vorschriften vorliegen und soweit nicht ein anderes bestimmt ist,</w:t>
      </w:r>
    </w:p>
    <w:p>
      <w:pPr>
        <w:tabs>
          <w:tab w:pos="567" w:val="left"/>
        </w:tabs>
        <w:ind w:left="567" w:hanging="567"/>
      </w:pPr>
      <w:r>
        <w:t>1.</w:t>
      </w:r>
      <w:r>
        <w:tab/>
      </w:r>
      <w:r>
        <w:t>nach § 439 Nacherfüllung verlangen,</w:t>
      </w:r>
    </w:p>
    <w:p>
      <w:pPr>
        <w:tabs>
          <w:tab w:pos="567" w:val="left"/>
        </w:tabs>
        <w:ind w:left="567" w:hanging="567"/>
      </w:pPr>
      <w:r>
        <w:t>2.</w:t>
      </w:r>
      <w:r>
        <w:tab/>
      </w:r>
      <w:r>
        <w:t>nach den §§ 440, 323 und 326 Abs. 5 von dem Vertrag zurücktreten oder nach § 441 den Kaufpreis mindern und</w:t>
      </w:r>
    </w:p>
    <w:p>
      <w:pPr>
        <w:tabs>
          <w:tab w:pos="567" w:val="left"/>
        </w:tabs>
        <w:ind w:left="567" w:hanging="567"/>
      </w:pPr>
      <w:r>
        <w:t>3.</w:t>
      </w:r>
      <w:r>
        <w:tab/>
      </w:r>
      <w:r>
        <w:t>nach den §§ 440, 280, 281, 283 und 311a Schadensersatz oder nach § 284 Ersatz vergeblicher Aufwendungen verlangen.</w:t>
      </w:r>
    </w:p>
    <w:p>
      <w:pPr>
        <w:pStyle w:val="Heading5"/>
      </w:pPr>
      <w:bookmarkStart w:id="578" w:name="b566"/>
      <w:r>
        <w:t>§ 438 Verjährung der Mängelansprüche</w:t>
      </w:r>
      <w:r>
        <w:t xml:space="preserve"> </w:t>
      </w:r>
      <w:r>
        <w:rPr>
          <w:rStyle w:val="Suchmarke"/>
        </w:rPr>
        <w:t>#438#</w:t>
      </w:r>
      <w:bookmarkEnd w:id="578"/>
    </w:p>
    <w:p>
      <w:r>
        <w:t xml:space="preserve">(1) Die in </w:t>
      </w:r>
      <w:hyperlink w:anchor="b565" w:history="1">
        <w:r>
          <w:rPr>
            <w:color w:val="0A3A8C"/>
            <w:u w:val="single"/>
          </w:rPr>
          <w:t xml:space="preserve">§ 437</w:t>
        </w:r>
      </w:hyperlink>
      <w:r>
        <w:t xml:space="preserve"> Nr. 1 und 3 bezeichneten Ansprüche verjähren</w:t>
      </w:r>
    </w:p>
    <w:p>
      <w:pPr>
        <w:tabs>
          <w:tab w:pos="567" w:val="left"/>
        </w:tabs>
        <w:ind w:left="567" w:hanging="567"/>
      </w:pPr>
      <w:r>
        <w:t>1.</w:t>
      </w:r>
      <w:r>
        <w:tab/>
      </w:r>
      <w:r>
        <w:t>in 30 Jahren, wenn der Mangel</w:t>
      </w:r>
    </w:p>
    <w:p>
      <w:pPr>
        <w:tabs>
          <w:tab w:pos="1134" w:val="left"/>
        </w:tabs>
        <w:ind w:left="1134" w:hanging="567"/>
      </w:pPr>
      <w:r>
        <w:t>a)</w:t>
      </w:r>
      <w:r>
        <w:tab/>
      </w:r>
      <w:r>
        <w:t>in einem dinglichen Recht eines Dritten, auf Grund dessen Herausgabe der Kaufsache verlangt werden kann, oder</w:t>
      </w:r>
    </w:p>
    <w:p>
      <w:pPr>
        <w:tabs>
          <w:tab w:pos="1134" w:val="left"/>
        </w:tabs>
        <w:ind w:left="1134" w:hanging="567"/>
      </w:pPr>
      <w:r>
        <w:t>b)</w:t>
      </w:r>
      <w:r>
        <w:tab/>
      </w:r>
      <w:r>
        <w:t>in einem sonstigen Recht, das im Grundbuch eingetragen ist,</w:t>
      </w:r>
    </w:p>
    <w:p>
      <w:pPr>
        <w:ind w:left="567"/>
      </w:pPr>
      <w:r>
        <w:t>besteht,</w:t>
      </w:r>
    </w:p>
    <w:p>
      <w:pPr>
        <w:tabs>
          <w:tab w:pos="567" w:val="left"/>
        </w:tabs>
        <w:ind w:left="567" w:hanging="567"/>
      </w:pPr>
      <w:r>
        <w:t>2.</w:t>
      </w:r>
      <w:r>
        <w:tab/>
      </w:r>
      <w:r>
        <w:t>in fünf Jahren</w:t>
      </w:r>
    </w:p>
    <w:p>
      <w:pPr>
        <w:tabs>
          <w:tab w:pos="1134" w:val="left"/>
        </w:tabs>
        <w:ind w:left="1134" w:hanging="567"/>
      </w:pPr>
      <w:r>
        <w:t>a)</w:t>
      </w:r>
      <w:r>
        <w:tab/>
      </w:r>
      <w:r>
        <w:t>bei einem Bauwerk und</w:t>
      </w:r>
    </w:p>
    <w:p>
      <w:pPr>
        <w:tabs>
          <w:tab w:pos="1134" w:val="left"/>
        </w:tabs>
        <w:ind w:left="1134" w:hanging="567"/>
      </w:pPr>
      <w:r>
        <w:t>b)</w:t>
      </w:r>
      <w:r>
        <w:tab/>
      </w:r>
      <w:r>
        <w:t>bei einer Sache, die entsprechend ihrer üblichen Verwendungsweise für ein Bauwerk verwendet worden ist und dessen Mangelhaftigkeit verursacht hat, und</w:t>
      </w:r>
    </w:p>
    <w:p>
      <w:pPr>
        <w:tabs>
          <w:tab w:pos="567" w:val="left"/>
        </w:tabs>
        <w:ind w:left="567" w:hanging="567"/>
      </w:pPr>
      <w:r>
        <w:t>3.</w:t>
      </w:r>
      <w:r>
        <w:tab/>
      </w:r>
      <w:r>
        <w:t>im Übrigen in zwei Jahren.</w:t>
      </w:r>
    </w:p>
    <w:p>
      <w:r>
        <w:t>(2) Die Verjährung beginnt bei Grundstücken mit der Übergabe, im Übrigen mit der Ablieferung der Sache.</w:t>
      </w:r>
    </w:p>
    <w:p>
      <w:r>
        <w:t xml:space="preserve">(3) </w:t>
      </w:r>
      <w:r>
        <w:rPr>
          <w:rStyle w:val="Satznummer"/>
        </w:rPr>
        <w:t>1</w:t>
      </w:r>
      <w:r>
        <w:t xml:space="preserve">Abweichend von Absatz 1 Nr. 2 und 3 und Absatz 2 verjähren die Ansprüche in der regelmäßigen Verjährungsfrist, wenn der Verkäufer den Mangel arglistig verschwiegen hat. </w:t>
      </w:r>
      <w:r>
        <w:rPr>
          <w:rStyle w:val="Satznummer"/>
        </w:rPr>
        <w:t>2</w:t>
      </w:r>
      <w:r>
        <w:t>Im Falle des Absatzes 1 Nr. 2 tritt die Verjährung jedoch nicht vor Ablauf der dort bestimmten Frist ein.</w:t>
      </w:r>
    </w:p>
    <w:p>
      <w:r>
        <w:t xml:space="preserve">(4) </w:t>
      </w:r>
      <w:r>
        <w:rPr>
          <w:rStyle w:val="Satznummer"/>
        </w:rPr>
        <w:t>1</w:t>
      </w:r>
      <w:r>
        <w:t xml:space="preserve">Für das in </w:t>
      </w:r>
      <w:hyperlink w:anchor="b565" w:history="1">
        <w:r>
          <w:rPr>
            <w:color w:val="0A3A8C"/>
            <w:u w:val="single"/>
          </w:rPr>
          <w:t xml:space="preserve">§ 437</w:t>
        </w:r>
      </w:hyperlink>
      <w:r>
        <w:t xml:space="preserve"> bezeichnete Rücktrittsrecht gilt </w:t>
      </w:r>
      <w:hyperlink w:anchor="b259" w:history="1">
        <w:r>
          <w:rPr>
            <w:color w:val="0A3A8C"/>
            <w:u w:val="single"/>
          </w:rPr>
          <w:t xml:space="preserve">§ 218</w:t>
        </w:r>
      </w:hyperlink>
      <w:r>
        <w:t xml:space="preserve">. </w:t>
      </w:r>
      <w:r>
        <w:rPr>
          <w:rStyle w:val="Satznummer"/>
        </w:rPr>
        <w:t>2</w:t>
      </w:r>
      <w:r>
        <w:t xml:space="preserve">Der Käufer kann trotz einer Unwirksamkeit des Rücktritts nach </w:t>
      </w:r>
      <w:hyperlink w:anchor="b259" w:history="1">
        <w:r>
          <w:rPr>
            <w:color w:val="0A3A8C"/>
            <w:u w:val="single"/>
          </w:rPr>
          <w:t xml:space="preserve">§ 218</w:t>
        </w:r>
      </w:hyperlink>
      <w:r>
        <w:t xml:space="preserve"> Abs. 1 die Zahlung des Kaufpreises insoweit verweigern, als er auf Grund des Rücktritts dazu berechtigt sein würde. </w:t>
      </w:r>
      <w:r>
        <w:rPr>
          <w:rStyle w:val="Satznummer"/>
        </w:rPr>
        <w:t>3</w:t>
      </w:r>
      <w:r>
        <w:t>Macht er von diesem Recht Gebrauch, kann der Verkäufer vom Vertrag zurücktreten.</w:t>
      </w:r>
    </w:p>
    <w:p>
      <w:r>
        <w:t xml:space="preserve">(5) Auf das in </w:t>
      </w:r>
      <w:hyperlink w:anchor="b565" w:history="1">
        <w:r>
          <w:rPr>
            <w:color w:val="0A3A8C"/>
            <w:u w:val="single"/>
          </w:rPr>
          <w:t xml:space="preserve">§ 437</w:t>
        </w:r>
      </w:hyperlink>
      <w:r>
        <w:t xml:space="preserve"> bezeichnete Minderungsrecht finden </w:t>
      </w:r>
      <w:hyperlink w:anchor="b259" w:history="1">
        <w:r>
          <w:rPr>
            <w:color w:val="0A3A8C"/>
            <w:u w:val="single"/>
          </w:rPr>
          <w:t xml:space="preserve">§ 218</w:t>
        </w:r>
      </w:hyperlink>
      <w:r>
        <w:t xml:space="preserve"> und Absatz 4 Satz 2 entsprechende Anwendung.</w:t>
      </w:r>
    </w:p>
    <w:p>
      <w:pPr>
        <w:pStyle w:val="Heading5"/>
      </w:pPr>
      <w:bookmarkStart w:id="579" w:name="b567"/>
      <w:r>
        <w:t>§ 439 Nacherfüllung</w:t>
      </w:r>
      <w:r>
        <w:t xml:space="preserve"> </w:t>
      </w:r>
      <w:r>
        <w:rPr>
          <w:rStyle w:val="Suchmarke"/>
        </w:rPr>
        <w:t>#439#</w:t>
      </w:r>
      <w:bookmarkEnd w:id="579"/>
    </w:p>
    <w:p>
      <w:r>
        <w:t>(1) Der Käufer kann als Nacherfüllung nach seiner Wahl die Beseitigung des Mangels oder die Lieferung einer mangelfreien Sache verlangen.</w:t>
      </w:r>
    </w:p>
    <w:p>
      <w:r>
        <w:t>(2) Der Verkäufer hat die zum Zwecke der Nacherfüllung erforderlichen Aufwendungen, insbesondere Transport-, Wege-, Arbeits- und Materialkosten zu tragen.</w:t>
      </w:r>
    </w:p>
    <w:p>
      <w:r>
        <w:t>(3) Hat der Käufer die mangelhafte Sache gemäß ihrer Art und ihrem Verwendungszweck in eine andere Sache eingebaut oder an eine andere Sache angebracht, bevor der Mangel offenbar wurde, ist der Verkäufer im Rahmen der Nacherfüllung verpflichtet, dem Käufer die erforderlichen Aufwendungen für das Entfernen der mangelhaften und den Einbau oder das Anbringen der nachgebesserten oder gelieferten mangelfreien Sache zu ersetzen.</w:t>
      </w:r>
    </w:p>
    <w:p>
      <w:r>
        <w:t xml:space="preserve">(4) </w:t>
      </w:r>
      <w:r>
        <w:rPr>
          <w:rStyle w:val="Satznummer"/>
        </w:rPr>
        <w:t>1</w:t>
      </w:r>
      <w:r>
        <w:t xml:space="preserve">Der Verkäufer kann die vom Käufer gewählte Art der Nacherfüllung unbeschadet des </w:t>
      </w:r>
      <w:hyperlink w:anchor="b319" w:history="1">
        <w:r>
          <w:rPr>
            <w:color w:val="0A3A8C"/>
            <w:u w:val="single"/>
          </w:rPr>
          <w:t xml:space="preserve">§ 275</w:t>
        </w:r>
      </w:hyperlink>
      <w:r>
        <w:t xml:space="preserve"> Abs. 2 und 3 verweigern, wenn sie nur mit unverhältnismäßigen Kosten möglich ist. </w:t>
      </w:r>
      <w:r>
        <w:rPr>
          <w:rStyle w:val="Satznummer"/>
        </w:rPr>
        <w:t>2</w:t>
      </w:r>
      <w:r>
        <w:t xml:space="preserve">Dabei sind insbesondere der Wert der Sache in mangelfreiem Zustand, die Bedeutung des Mangels und die Frage zu berücksichtigen, ob auf die andere Art der Nacherfüllung ohne erhebliche Nachteile für den Käufer zurückgegriffen werden könnte. </w:t>
      </w:r>
      <w:r>
        <w:rPr>
          <w:rStyle w:val="Satznummer"/>
        </w:rPr>
        <w:t>3</w:t>
      </w:r>
      <w:r>
        <w:t>Der Anspruch des Käufers beschränkt sich in diesem Fall auf die andere Art der Nacherfüllung; das Recht des Verkäufers, auch diese unter den Voraussetzungen des Satzes 1 zu verweigern, bleibt unberührt.</w:t>
      </w:r>
    </w:p>
    <w:p>
      <w:r>
        <w:t>(5) Der Käufer hat dem Verkäufer die Sache zum Zweck der Nacherfüllung zur Verfügung zu stellen.</w:t>
      </w:r>
    </w:p>
    <w:p>
      <w:r>
        <w:t xml:space="preserve">(6) </w:t>
      </w:r>
      <w:r>
        <w:rPr>
          <w:rStyle w:val="Satznummer"/>
        </w:rPr>
        <w:t>1</w:t>
      </w:r>
      <w:r>
        <w:t xml:space="preserve">Liefert der Verkäufer zum Zwecke der Nacherfüllung eine mangelfreie Sache, so kann er vom Käufer Rückgewähr der mangelhaften Sache nach Maßgabe der </w:t>
      </w:r>
      <w:hyperlink w:anchor="b451" w:history="1">
        <w:r>
          <w:rPr>
            <w:color w:val="0A3A8C"/>
            <w:u w:val="single"/>
          </w:rPr>
          <w:t xml:space="preserve">§§ 346</w:t>
        </w:r>
      </w:hyperlink>
      <w:r>
        <w:t xml:space="preserve"> bis </w:t>
      </w:r>
      <w:hyperlink w:anchor="b453" w:history="1">
        <w:r>
          <w:rPr>
            <w:color w:val="0A3A8C"/>
            <w:u w:val="single"/>
          </w:rPr>
          <w:t xml:space="preserve">348</w:t>
        </w:r>
      </w:hyperlink>
      <w:r>
        <w:t xml:space="preserve"> verlangen. </w:t>
      </w:r>
      <w:r>
        <w:rPr>
          <w:rStyle w:val="Satznummer"/>
        </w:rPr>
        <w:t>2</w:t>
      </w:r>
      <w:r>
        <w:t>Der Verkäufer hat die ersetzte Sache auf seine Kosten zurückzunehmen.</w:t>
      </w:r>
    </w:p>
    <w:p>
      <w:pPr>
        <w:pStyle w:val="Heading5"/>
      </w:pPr>
      <w:bookmarkStart w:id="580" w:name="b568"/>
      <w:r>
        <w:t>§ 440 Besondere Bestimmungen für Rücktritt und Schadensersatz</w:t>
      </w:r>
      <w:r>
        <w:t xml:space="preserve"> </w:t>
      </w:r>
      <w:r>
        <w:rPr>
          <w:rStyle w:val="Suchmarke"/>
        </w:rPr>
        <w:t>#440#</w:t>
      </w:r>
      <w:bookmarkEnd w:id="580"/>
    </w:p>
    <w:p>
      <w:r>
        <w:rPr>
          <w:rStyle w:val="Satznummer"/>
        </w:rPr>
        <w:t>1</w:t>
      </w:r>
      <w:r>
        <w:t xml:space="preserve">Außer in den Fällen des </w:t>
      </w:r>
      <w:hyperlink w:anchor="b325" w:history="1">
        <w:r>
          <w:rPr>
            <w:color w:val="0A3A8C"/>
            <w:u w:val="single"/>
          </w:rPr>
          <w:t xml:space="preserve">§ 281</w:t>
        </w:r>
      </w:hyperlink>
      <w:r>
        <w:t xml:space="preserve"> Absatz 2 und des </w:t>
      </w:r>
      <w:hyperlink w:anchor="b400" w:history="1">
        <w:r>
          <w:rPr>
            <w:color w:val="0A3A8C"/>
            <w:u w:val="single"/>
          </w:rPr>
          <w:t xml:space="preserve">§ 323</w:t>
        </w:r>
      </w:hyperlink>
      <w:r>
        <w:t xml:space="preserve"> Absatz 2 bedarf es der Fristsetzung auch dann nicht, wenn der Verkäufer beide Arten der Nacherfüllung gemäß </w:t>
      </w:r>
      <w:hyperlink w:anchor="b567" w:history="1">
        <w:r>
          <w:rPr>
            <w:color w:val="0A3A8C"/>
            <w:u w:val="single"/>
          </w:rPr>
          <w:t xml:space="preserve">§ 439</w:t>
        </w:r>
      </w:hyperlink>
      <w:r>
        <w:t xml:space="preserve"> Absatz 4 verweigert oder wenn die dem Käufer zustehende Art der Nacherfüllung fehlgeschlagen oder ihm unzumutbar ist. </w:t>
      </w:r>
      <w:r>
        <w:rPr>
          <w:rStyle w:val="Satznummer"/>
        </w:rPr>
        <w:t>2</w:t>
      </w:r>
      <w:r>
        <w:t>Eine Nachbesserung gilt nach dem erfolglosen zweiten Versuch als fehlgeschlagen, wenn sich nicht insbesondere aus der Art der Sache oder des Mangels oder den sonstigen Umständen etwas anderes ergibt.</w:t>
      </w:r>
    </w:p>
    <w:p>
      <w:pPr>
        <w:pStyle w:val="Heading5"/>
      </w:pPr>
      <w:bookmarkStart w:id="581" w:name="b569"/>
      <w:r>
        <w:t>§ 441 Minderung</w:t>
      </w:r>
      <w:r>
        <w:t xml:space="preserve"> </w:t>
      </w:r>
      <w:r>
        <w:rPr>
          <w:rStyle w:val="Suchmarke"/>
        </w:rPr>
        <w:t>#441#</w:t>
      </w:r>
      <w:bookmarkEnd w:id="581"/>
    </w:p>
    <w:p>
      <w:r>
        <w:t xml:space="preserve">(1) </w:t>
      </w:r>
      <w:r>
        <w:rPr>
          <w:rStyle w:val="Satznummer"/>
        </w:rPr>
        <w:t>1</w:t>
      </w:r>
      <w:r>
        <w:t xml:space="preserve">Statt zurückzutreten, kann der Käufer den Kaufpreis durch Erklärung gegenüber dem Verkäufer mindern. </w:t>
      </w:r>
      <w:r>
        <w:rPr>
          <w:rStyle w:val="Satznummer"/>
        </w:rPr>
        <w:t>2</w:t>
      </w:r>
      <w:r>
        <w:t xml:space="preserve">Der Ausschlussgrund des </w:t>
      </w:r>
      <w:hyperlink w:anchor="b400" w:history="1">
        <w:r>
          <w:rPr>
            <w:color w:val="0A3A8C"/>
            <w:u w:val="single"/>
          </w:rPr>
          <w:t xml:space="preserve">§ 323</w:t>
        </w:r>
      </w:hyperlink>
      <w:r>
        <w:t xml:space="preserve"> Abs. 5 Satz 2 findet keine Anwendung.</w:t>
      </w:r>
    </w:p>
    <w:p>
      <w:r>
        <w:t>(2) Sind auf der Seite des Käufers oder auf der Seite des Verkäufers mehrere beteiligt, so kann die Minderung nur von allen oder gegen alle erklärt werden.</w:t>
      </w:r>
    </w:p>
    <w:p>
      <w:r>
        <w:t xml:space="preserve">(3) </w:t>
      </w:r>
      <w:r>
        <w:rPr>
          <w:rStyle w:val="Satznummer"/>
        </w:rPr>
        <w:t>1</w:t>
      </w:r>
      <w:r>
        <w:t xml:space="preserve">Bei der Minderung ist der Kaufpreis in dem Verhältnis herabzusetzen, in welchem zur Zeit des Vertragsschlusses der Wert der Sache in mangelfreiem Zustand zu dem wirklichen Wert gestanden haben würde. </w:t>
      </w:r>
      <w:r>
        <w:rPr>
          <w:rStyle w:val="Satznummer"/>
        </w:rPr>
        <w:t>2</w:t>
      </w:r>
      <w:r>
        <w:t>Die Minderung ist, soweit erforderlich, durch Schätzung zu ermitteln.</w:t>
      </w:r>
    </w:p>
    <w:p>
      <w:r>
        <w:t xml:space="preserve">(4) </w:t>
      </w:r>
      <w:r>
        <w:rPr>
          <w:rStyle w:val="Satznummer"/>
        </w:rPr>
        <w:t>1</w:t>
      </w:r>
      <w:r>
        <w:t xml:space="preserve">Hat der Käufer mehr als den geminderten Kaufpreis gezahlt, so ist der Mehrbetrag vom Verkäufer zu erstatten. </w:t>
      </w:r>
      <w:r>
        <w:rPr>
          <w:rStyle w:val="Satznummer"/>
        </w:rPr>
        <w:t>2</w:t>
      </w:r>
      <w:hyperlink w:anchor="b451" w:history="1">
        <w:r>
          <w:rPr>
            <w:color w:val="0A3A8C"/>
            <w:u w:val="single"/>
          </w:rPr>
          <w:t xml:space="preserve">§ 346</w:t>
        </w:r>
      </w:hyperlink>
      <w:r>
        <w:t xml:space="preserve"> Abs. 1 und </w:t>
      </w:r>
      <w:hyperlink w:anchor="b452" w:history="1">
        <w:r>
          <w:rPr>
            <w:color w:val="0A3A8C"/>
            <w:u w:val="single"/>
          </w:rPr>
          <w:t xml:space="preserve">§ 347</w:t>
        </w:r>
      </w:hyperlink>
      <w:r>
        <w:t xml:space="preserve"> Abs. 1 finden entsprechende Anwendung.</w:t>
      </w:r>
    </w:p>
    <w:p>
      <w:pPr>
        <w:pStyle w:val="Heading5"/>
      </w:pPr>
      <w:bookmarkStart w:id="582" w:name="b570"/>
      <w:r>
        <w:t>§ 442 Kenntnis des Käufers</w:t>
      </w:r>
      <w:r>
        <w:t xml:space="preserve"> </w:t>
      </w:r>
      <w:r>
        <w:rPr>
          <w:rStyle w:val="Suchmarke"/>
        </w:rPr>
        <w:t>#442#</w:t>
      </w:r>
      <w:bookmarkEnd w:id="582"/>
    </w:p>
    <w:p>
      <w:r>
        <w:t xml:space="preserve">(1) </w:t>
      </w:r>
      <w:r>
        <w:rPr>
          <w:rStyle w:val="Satznummer"/>
        </w:rPr>
        <w:t>1</w:t>
      </w:r>
      <w:r>
        <w:t xml:space="preserve">Die Rechte des Käufers wegen eines Mangels sind ausgeschlossen, wenn er bei Vertragsschluss den Mangel kennt. </w:t>
      </w:r>
      <w:r>
        <w:rPr>
          <w:rStyle w:val="Satznummer"/>
        </w:rPr>
        <w:t>2</w:t>
      </w:r>
      <w:r>
        <w:t>Ist dem Käufer ein Mangel infolge grober Fahrlässigkeit unbekannt geblieben, kann der Käufer Rechte wegen dieses Mangels nur geltend machen, wenn der Verkäufer den Mangel arglistig verschwiegen oder eine Garantie für die Beschaffenheit der Sache übernommen hat.</w:t>
      </w:r>
    </w:p>
    <w:p>
      <w:r>
        <w:t>(2) Ein im Grundbuch eingetragenes Recht hat der Verkäufer zu beseitigen, auch wenn es der Käufer kennt.</w:t>
      </w:r>
    </w:p>
    <w:p>
      <w:pPr>
        <w:pStyle w:val="Heading5"/>
      </w:pPr>
      <w:bookmarkStart w:id="583" w:name="b571"/>
      <w:r>
        <w:t>§ 443 Garantie</w:t>
      </w:r>
      <w:r>
        <w:t xml:space="preserve"> </w:t>
      </w:r>
      <w:r>
        <w:rPr>
          <w:rStyle w:val="Suchmarke"/>
        </w:rPr>
        <w:t>#443#</w:t>
      </w:r>
      <w:bookmarkEnd w:id="583"/>
    </w:p>
    <w:p>
      <w:r>
        <w:t>(1) Geht der Verkäufer, der Hersteller oder ein sonstiger Dritter in einer Erklärung oder einschlägigen Werbung, die vor oder bei Abschluss des Kaufvertrags verfügbar war, zusätzlich zu der gesetzlichen Mängelhaftung insbesondere die Verpflichtung ein, den Kaufpreis zu erstatten, die Sache auszutauschen, nachzubessern oder in ihrem Zusammenhang Dienstleistungen zu erbringen, falls die Sache nicht diejenige Beschaffenheit aufweist oder andere als die Mängelfreiheit betreffende Anforderungen nicht erfüllt, die in der Erklärung oder einschlägigen Werbung beschrieben sind (Garantie), stehen dem Käufer im Garantiefall unbeschadet der gesetzlichen Ansprüche die Rechte aus der Garantie gegenüber demjenigen zu, der die Garantie gegeben hat (Garantiegeber).</w:t>
      </w:r>
    </w:p>
    <w:p>
      <w:r>
        <w:t>(2) Soweit der Garantiegeber eine Garantie dafür übernommen hat, dass die Sache für eine bestimmte Dauer eine bestimmte Beschaffenheit behält (Haltbarkeitsgarantie), wird vermutet, dass ein während ihrer Geltungsdauer auftretender Sachmangel die Rechte aus der Garantie begründet.</w:t>
      </w:r>
    </w:p>
    <w:p>
      <w:pPr>
        <w:pStyle w:val="Heading5"/>
      </w:pPr>
      <w:bookmarkStart w:id="584" w:name="b572"/>
      <w:r>
        <w:t>§ 444 Haftungsausschluss</w:t>
      </w:r>
      <w:r>
        <w:t xml:space="preserve"> </w:t>
      </w:r>
      <w:r>
        <w:rPr>
          <w:rStyle w:val="Suchmarke"/>
        </w:rPr>
        <w:t>#444#</w:t>
      </w:r>
      <w:bookmarkEnd w:id="584"/>
    </w:p>
    <w:p>
      <w:r>
        <w:t>Auf eine Vereinbarung, durch welche die Rechte des Käufers wegen eines Mangels ausgeschlossen oder beschränkt werden, kann sich der Verkäufer nicht berufen, soweit er den Mangel arglistig verschwiegen oder eine Garantie für die Beschaffenheit der Sache übernommen hat.</w:t>
      </w:r>
    </w:p>
    <w:p>
      <w:pPr>
        <w:pStyle w:val="Heading5"/>
      </w:pPr>
      <w:bookmarkStart w:id="585" w:name="b573"/>
      <w:r>
        <w:t>§ 445 Haftungsbegrenzung bei öffentlichen Versteigerungen</w:t>
      </w:r>
      <w:r>
        <w:t xml:space="preserve"> </w:t>
      </w:r>
      <w:r>
        <w:rPr>
          <w:rStyle w:val="Suchmarke"/>
        </w:rPr>
        <w:t>#445#</w:t>
      </w:r>
      <w:bookmarkEnd w:id="585"/>
    </w:p>
    <w:p>
      <w:r>
        <w:t>Wird eine Sache auf Grund eines Pfandrechts in einer öffentlichen Versteigerung unter der Bezeichnung als Pfand verkauft, so stehen dem Käufer Rechte wegen eines Mangels nur zu, wenn der Verkäufer den Mangel arglistig verschwiegen oder eine Garantie für die Beschaffenheit der Sache übernommen hat.</w:t>
      </w:r>
    </w:p>
    <w:p>
      <w:pPr>
        <w:pStyle w:val="Heading5"/>
      </w:pPr>
      <w:bookmarkStart w:id="586" w:name="b574"/>
      <w:r>
        <w:t>§ 445a Rückgriff des Verkäufers</w:t>
      </w:r>
      <w:r>
        <w:t xml:space="preserve"> </w:t>
      </w:r>
      <w:r>
        <w:rPr>
          <w:rStyle w:val="Suchmarke"/>
        </w:rPr>
        <w:t>#445a#</w:t>
      </w:r>
      <w:bookmarkEnd w:id="586"/>
    </w:p>
    <w:p>
      <w:r>
        <w:t xml:space="preserve">(1) Der Verkäufer kann beim Verkauf einer neu hergestellten Sache von dem Verkäufer, der ihm die Sache verkauft hatte (Lieferant), Ersatz der Aufwendungen verlangen, die er im Verhältnis zum Käufer nach </w:t>
      </w:r>
      <w:hyperlink w:anchor="b567" w:history="1">
        <w:r>
          <w:rPr>
            <w:color w:val="0A3A8C"/>
            <w:u w:val="single"/>
          </w:rPr>
          <w:t xml:space="preserve">§ 439</w:t>
        </w:r>
      </w:hyperlink>
      <w:r>
        <w:t xml:space="preserve"> Absatz 2, 3 und 6 Satz 2 sowie nach </w:t>
      </w:r>
      <w:hyperlink w:anchor="b611" w:history="1">
        <w:r>
          <w:rPr>
            <w:color w:val="0A3A8C"/>
            <w:u w:val="single"/>
          </w:rPr>
          <w:t xml:space="preserve">§ 475</w:t>
        </w:r>
      </w:hyperlink>
      <w:r>
        <w:t xml:space="preserve"> Absatz 5 zu tragen hatte, wenn der vom Käufer geltend gemachte Mangel bereits beim Übergang der Gefahr auf den Verkäufer vorhanden war oder auf einer Verletzung der Aktualisierungspflicht gemäß </w:t>
      </w:r>
      <w:hyperlink w:anchor="b613" w:history="1">
        <w:r>
          <w:rPr>
            <w:color w:val="0A3A8C"/>
            <w:u w:val="single"/>
          </w:rPr>
          <w:t xml:space="preserve">§ 475b</w:t>
        </w:r>
      </w:hyperlink>
      <w:r>
        <w:t xml:space="preserve"> Absatz 4 beruht.</w:t>
      </w:r>
    </w:p>
    <w:p>
      <w:r>
        <w:t xml:space="preserve">(2) Für die in </w:t>
      </w:r>
      <w:hyperlink w:anchor="b565" w:history="1">
        <w:r>
          <w:rPr>
            <w:color w:val="0A3A8C"/>
            <w:u w:val="single"/>
          </w:rPr>
          <w:t xml:space="preserve">§ 437</w:t>
        </w:r>
      </w:hyperlink>
      <w:r>
        <w:t xml:space="preserve"> bezeichneten Rechte des Verkäufers gegen seinen Lieferanten bedarf es wegen des vom Käufer geltend gemachten Mangels der sonst erforderlichen Fristsetzung nicht, wenn der Verkäufer die verkaufte neu hergestellte Sache als Folge ihrer Mangelhaftigkeit zurücknehmen musste oder der Käufer den Kaufpreis gemindert hat.</w:t>
      </w:r>
    </w:p>
    <w:p>
      <w:r>
        <w:t>(3) Die Absätze 1 und 2 finden auf die Ansprüche des Lieferanten und der übrigen Käufer in der Lieferkette gegen die jeweiligen Verkäufer entsprechende Anwendung, wenn die Schuldner Unternehmer sind.</w:t>
      </w:r>
    </w:p>
    <w:p>
      <w:r>
        <w:t>(4) § 377 des Handelsgesetzbuchs bleibt unberührt.</w:t>
      </w:r>
    </w:p>
    <w:p>
      <w:pPr>
        <w:pStyle w:val="Heading5"/>
      </w:pPr>
      <w:bookmarkStart w:id="587" w:name="b575"/>
      <w:r>
        <w:t>§ 445b Verjährung von Rückgriffsansprüchen</w:t>
      </w:r>
      <w:r>
        <w:t xml:space="preserve"> </w:t>
      </w:r>
      <w:r>
        <w:rPr>
          <w:rStyle w:val="Suchmarke"/>
        </w:rPr>
        <w:t>#445b#</w:t>
      </w:r>
      <w:bookmarkEnd w:id="587"/>
    </w:p>
    <w:p>
      <w:r>
        <w:t xml:space="preserve">(1) Die in </w:t>
      </w:r>
      <w:hyperlink w:anchor="b574" w:history="1">
        <w:r>
          <w:rPr>
            <w:color w:val="0A3A8C"/>
            <w:u w:val="single"/>
          </w:rPr>
          <w:t xml:space="preserve">§ 445a</w:t>
        </w:r>
      </w:hyperlink>
      <w:r>
        <w:t xml:space="preserve"> Absatz 1 bestimmten Aufwendungsersatzansprüche verjähren in zwei Jahren ab Ablieferung der Sache.</w:t>
      </w:r>
    </w:p>
    <w:p>
      <w:r>
        <w:t xml:space="preserve">(2) Die Verjährung der in den </w:t>
      </w:r>
      <w:hyperlink w:anchor="b565" w:history="1">
        <w:r>
          <w:rPr>
            <w:color w:val="0A3A8C"/>
            <w:u w:val="single"/>
          </w:rPr>
          <w:t xml:space="preserve">§§ 437</w:t>
        </w:r>
      </w:hyperlink>
      <w:r>
        <w:t xml:space="preserve"> und </w:t>
      </w:r>
      <w:hyperlink w:anchor="b574" w:history="1">
        <w:r>
          <w:rPr>
            <w:color w:val="0A3A8C"/>
            <w:u w:val="single"/>
          </w:rPr>
          <w:t xml:space="preserve">445a</w:t>
        </w:r>
      </w:hyperlink>
      <w:r>
        <w:t xml:space="preserve"> Absatz 1 bestimmten Ansprüche des Verkäufers gegen seinen Lieferanten wegen des Mangels einer verkauften neu hergestellten Sache tritt frühestens zwei Monate nach dem Zeitpunkt ein, in dem der Verkäufer die Ansprüche des Käufers erfüllt hat.</w:t>
      </w:r>
    </w:p>
    <w:p>
      <w:r>
        <w:t>(3) Die Absätze 1 und 2 finden auf die Ansprüche des Lieferanten und der übrigen Käufer in der Lieferkette gegen die jeweiligen Verkäufer entsprechende Anwendung, wenn die Schuldner Unternehmer sind.</w:t>
      </w:r>
    </w:p>
    <w:p>
      <w:pPr>
        <w:pStyle w:val="Heading5"/>
      </w:pPr>
      <w:bookmarkStart w:id="588" w:name="b576"/>
      <w:r>
        <w:t>§ 445c Rückgriff bei Verträgen über digitale Produkte</w:t>
      </w:r>
      <w:r>
        <w:t xml:space="preserve"> </w:t>
      </w:r>
      <w:r>
        <w:rPr>
          <w:rStyle w:val="Suchmarke"/>
        </w:rPr>
        <w:t>#445c#</w:t>
      </w:r>
      <w:bookmarkEnd w:id="588"/>
    </w:p>
    <w:p>
      <w:r>
        <w:rPr>
          <w:rStyle w:val="Satznummer"/>
        </w:rPr>
        <w:t>1</w:t>
      </w:r>
      <w:r>
        <w:t xml:space="preserve">Ist der letzte Vertrag in der Lieferkette ein Verbrauchervertrag über die Bereitstellung digitaler Produkte nach den </w:t>
      </w:r>
      <w:hyperlink w:anchor="b406" w:history="1">
        <w:r>
          <w:rPr>
            <w:color w:val="0A3A8C"/>
            <w:u w:val="single"/>
          </w:rPr>
          <w:t xml:space="preserve">§§ 327</w:t>
        </w:r>
      </w:hyperlink>
      <w:r>
        <w:t xml:space="preserve"> und </w:t>
      </w:r>
      <w:hyperlink w:anchor="b407" w:history="1">
        <w:r>
          <w:rPr>
            <w:color w:val="0A3A8C"/>
            <w:u w:val="single"/>
          </w:rPr>
          <w:t xml:space="preserve">327a</w:t>
        </w:r>
      </w:hyperlink>
      <w:r>
        <w:t xml:space="preserve">, so sind die </w:t>
      </w:r>
      <w:hyperlink w:anchor="b574" w:history="1">
        <w:r>
          <w:rPr>
            <w:color w:val="0A3A8C"/>
            <w:u w:val="single"/>
          </w:rPr>
          <w:t xml:space="preserve">§§ 445a</w:t>
        </w:r>
      </w:hyperlink>
      <w:r>
        <w:t xml:space="preserve">, </w:t>
      </w:r>
      <w:hyperlink w:anchor="b575" w:history="1">
        <w:r>
          <w:rPr>
            <w:color w:val="0A3A8C"/>
            <w:u w:val="single"/>
          </w:rPr>
          <w:t xml:space="preserve">445b</w:t>
        </w:r>
      </w:hyperlink>
      <w:r>
        <w:t xml:space="preserve"> und </w:t>
      </w:r>
      <w:hyperlink w:anchor="b619" w:history="1">
        <w:r>
          <w:rPr>
            <w:color w:val="0A3A8C"/>
            <w:u w:val="single"/>
          </w:rPr>
          <w:t xml:space="preserve">478</w:t>
        </w:r>
      </w:hyperlink>
      <w:r>
        <w:t xml:space="preserve"> nicht anzuwenden. </w:t>
      </w:r>
      <w:r>
        <w:rPr>
          <w:rStyle w:val="Satznummer"/>
        </w:rPr>
        <w:t>2</w:t>
      </w:r>
      <w:r>
        <w:t>An die Stelle der nach Satz 1 nicht anzuwendenden Vorschriften treten die Vorschriften des Abschnitts 3 Titel 2a Untertitel 2.</w:t>
      </w:r>
    </w:p>
    <w:p>
      <w:pPr>
        <w:pStyle w:val="Heading5"/>
      </w:pPr>
      <w:bookmarkStart w:id="589" w:name="b577"/>
      <w:r>
        <w:t>§ 446 Gefahr- und Lastenübergang</w:t>
      </w:r>
      <w:r>
        <w:t xml:space="preserve"> </w:t>
      </w:r>
      <w:r>
        <w:rPr>
          <w:rStyle w:val="Suchmarke"/>
        </w:rPr>
        <w:t>#446#</w:t>
      </w:r>
      <w:bookmarkEnd w:id="589"/>
    </w:p>
    <w:p>
      <w:r>
        <w:rPr>
          <w:rStyle w:val="Satznummer"/>
        </w:rPr>
        <w:t>1</w:t>
      </w:r>
      <w:r>
        <w:t xml:space="preserve">Mit der Übergabe der verkauften Sache geht die Gefahr des zufälligen Untergangs und der zufälligen Verschlechterung auf den Käufer über. </w:t>
      </w:r>
      <w:r>
        <w:rPr>
          <w:rStyle w:val="Satznummer"/>
        </w:rPr>
        <w:t>2</w:t>
      </w:r>
      <w:r>
        <w:t xml:space="preserve">Von der Übergabe an gebühren dem Käufer die Nutzungen und trägt er die Lasten der Sache. </w:t>
      </w:r>
      <w:r>
        <w:rPr>
          <w:rStyle w:val="Satznummer"/>
        </w:rPr>
        <w:t>3</w:t>
      </w:r>
      <w:r>
        <w:t>Der Übergabe steht es gleich, wenn der Käufer im Verzug der Annahme ist.</w:t>
      </w:r>
    </w:p>
    <w:p>
      <w:pPr>
        <w:pStyle w:val="Heading5"/>
      </w:pPr>
      <w:bookmarkStart w:id="590" w:name="b578"/>
      <w:r>
        <w:t>§ 447 Gefahrübergang beim Versendungskauf</w:t>
      </w:r>
      <w:r>
        <w:t xml:space="preserve"> </w:t>
      </w:r>
      <w:r>
        <w:rPr>
          <w:rStyle w:val="Suchmarke"/>
        </w:rPr>
        <w:t>#447#</w:t>
      </w:r>
      <w:bookmarkEnd w:id="590"/>
    </w:p>
    <w:p>
      <w:r>
        <w:t>(1) Versendet der Verkäufer auf Verlangen des Käufers die verkaufte Sache nach einem anderen Ort als dem Erfüllungsort, so geht die Gefahr auf den Käufer über, sobald der Verkäufer die Sache dem Spediteur, dem Frachtführer oder der sonst zur Ausführung der Versendung bestimmten Person oder Anstalt ausgeliefert hat.</w:t>
      </w:r>
    </w:p>
    <w:p>
      <w:r>
        <w:t>(2) Hat der Käufer eine besondere Anweisung über die Art der Versendung erteilt und weicht der Verkäufer ohne dringenden Grund von der Anweisung ab, so ist der Verkäufer dem Käufer für den daraus entstehenden Schaden verantwortlich.</w:t>
      </w:r>
    </w:p>
    <w:p>
      <w:pPr>
        <w:pStyle w:val="Heading5"/>
      </w:pPr>
      <w:bookmarkStart w:id="591" w:name="b579"/>
      <w:r>
        <w:t>§ 448 Kosten der Übergabe und vergleichbare Kosten</w:t>
      </w:r>
      <w:r>
        <w:t xml:space="preserve"> </w:t>
      </w:r>
      <w:r>
        <w:rPr>
          <w:rStyle w:val="Suchmarke"/>
        </w:rPr>
        <w:t>#448#</w:t>
      </w:r>
      <w:bookmarkEnd w:id="591"/>
    </w:p>
    <w:p>
      <w:r>
        <w:t>(1) Der Verkäufer trägt die Kosten der Übergabe der Sache, der Käufer die Kosten der Abnahme und der Versendung der Sache nach einem anderen Ort als dem Erfüllungsort.</w:t>
      </w:r>
    </w:p>
    <w:p>
      <w:r>
        <w:t>(2) Der Käufer eines Grundstücks trägt die Kosten der Beurkundung des Kaufvertrags und der Auflassung, der Eintragung ins Grundbuch und der zu der Eintragung erforderlichen Erklärungen.</w:t>
      </w:r>
    </w:p>
    <w:p>
      <w:pPr>
        <w:pStyle w:val="Heading5"/>
      </w:pPr>
      <w:bookmarkStart w:id="592" w:name="b580"/>
      <w:r>
        <w:t>§ 449 Eigentumsvorbehalt</w:t>
      </w:r>
      <w:r>
        <w:t xml:space="preserve"> </w:t>
      </w:r>
      <w:r>
        <w:rPr>
          <w:rStyle w:val="Suchmarke"/>
        </w:rPr>
        <w:t>#449#</w:t>
      </w:r>
      <w:bookmarkEnd w:id="592"/>
    </w:p>
    <w:p>
      <w:r>
        <w:t>(1) Hat sich der Verkäufer einer beweglichen Sache das Eigentum bis zur Zahlung des Kaufpreises vorbehalten, so ist im Zweifel anzunehmen, dass das Eigentum unter der aufschiebenden Bedingung vollständiger Zahlung des Kaufpreises übertragen wird (Eigentumsvorbehalt).</w:t>
      </w:r>
    </w:p>
    <w:p>
      <w:r>
        <w:t>(2) Auf Grund des Eigentumsvorbehalts kann der Verkäufer die Sache nur herausverlangen, wenn er vom Vertrag zurückgetreten ist.</w:t>
      </w:r>
    </w:p>
    <w:p>
      <w:r>
        <w:t>(3) Die Vereinbarung eines Eigentumsvorbehalts ist nichtig, soweit der Eigentumsübergang davon abhängig gemacht wird, dass der Käufer Forderungen eines Dritten, insbesondere eines mit dem Verkäufer verbundenen Unternehmens, erfüllt.</w:t>
      </w:r>
    </w:p>
    <w:p>
      <w:pPr>
        <w:pStyle w:val="Heading5"/>
      </w:pPr>
      <w:bookmarkStart w:id="593" w:name="b581"/>
      <w:r>
        <w:t>§ 450 Ausgeschlossene Käufer bei bestimmten Verkäufen</w:t>
      </w:r>
      <w:r>
        <w:t xml:space="preserve"> </w:t>
      </w:r>
      <w:r>
        <w:rPr>
          <w:rStyle w:val="Suchmarke"/>
        </w:rPr>
        <w:t>#450#</w:t>
      </w:r>
      <w:bookmarkEnd w:id="593"/>
    </w:p>
    <w:p>
      <w:r>
        <w:t>(1) Bei einem Verkauf im Wege der Zwangsvollstreckung dürfen der mit der Vornahme oder Leitung des Verkaufs Beauftragte und die von ihm zugezogenen Gehilfen einschließlich des Protokollführers den zu verkaufenden Gegenstand weder für sich persönlich oder durch einen anderen noch als Vertreter eines anderen kaufen.</w:t>
      </w:r>
    </w:p>
    <w:p>
      <w:r>
        <w:t xml:space="preserve">(2) Absatz 1 gilt auch bei einem Verkauf außerhalb der Zwangsvollstreckung, wenn der Auftrag zu dem Verkauf auf Grund einer gesetzlichen Vorschrift erteilt worden ist, die den Auftraggeber ermächtigt, den Gegenstand für Rechnung eines anderen verkaufen zu lassen, insbesondere in den Fällen des Pfandverkaufs und des in den </w:t>
      </w:r>
      <w:hyperlink w:anchor="b503" w:history="1">
        <w:r>
          <w:rPr>
            <w:color w:val="0A3A8C"/>
            <w:u w:val="single"/>
          </w:rPr>
          <w:t xml:space="preserve">§§ 383</w:t>
        </w:r>
      </w:hyperlink>
      <w:r>
        <w:t xml:space="preserve"> und </w:t>
      </w:r>
      <w:hyperlink w:anchor="b505" w:history="1">
        <w:r>
          <w:rPr>
            <w:color w:val="0A3A8C"/>
            <w:u w:val="single"/>
          </w:rPr>
          <w:t xml:space="preserve">385</w:t>
        </w:r>
      </w:hyperlink>
      <w:r>
        <w:t xml:space="preserve"> zugelassenen Verkaufs, sowie bei einem Verkauf aus einer Insolvenzmasse.</w:t>
      </w:r>
    </w:p>
    <w:p>
      <w:pPr>
        <w:pStyle w:val="Heading5"/>
      </w:pPr>
      <w:bookmarkStart w:id="594" w:name="b582"/>
      <w:r>
        <w:t>§ 451 Kauf durch ausgeschlossenen Käufer</w:t>
      </w:r>
      <w:r>
        <w:t xml:space="preserve"> </w:t>
      </w:r>
      <w:r>
        <w:rPr>
          <w:rStyle w:val="Suchmarke"/>
        </w:rPr>
        <w:t>#451#</w:t>
      </w:r>
      <w:bookmarkEnd w:id="594"/>
    </w:p>
    <w:p>
      <w:r>
        <w:t xml:space="preserve">(1) </w:t>
      </w:r>
      <w:r>
        <w:rPr>
          <w:rStyle w:val="Satznummer"/>
        </w:rPr>
        <w:t>1</w:t>
      </w:r>
      <w:r>
        <w:t xml:space="preserve">Die Wirksamkeit eines dem </w:t>
      </w:r>
      <w:hyperlink w:anchor="b581" w:history="1">
        <w:r>
          <w:rPr>
            <w:color w:val="0A3A8C"/>
            <w:u w:val="single"/>
          </w:rPr>
          <w:t xml:space="preserve">§ 450</w:t>
        </w:r>
      </w:hyperlink>
      <w:r>
        <w:t xml:space="preserve"> zuwider erfolgten Kaufs und der Übertragung des gekauften Gegenstandes hängt von der Zustimmung der bei dem Verkauf als Schuldner, Eigentümer oder Gläubiger Beteiligten ab. </w:t>
      </w:r>
      <w:r>
        <w:rPr>
          <w:rStyle w:val="Satznummer"/>
        </w:rPr>
        <w:t>2</w:t>
      </w:r>
      <w:r>
        <w:t xml:space="preserve">Fordert der Käufer einen Beteiligten zur Erklärung über die Genehmigung auf, so findet </w:t>
      </w:r>
      <w:hyperlink w:anchor="b211" w:history="1">
        <w:r>
          <w:rPr>
            <w:color w:val="0A3A8C"/>
            <w:u w:val="single"/>
          </w:rPr>
          <w:t xml:space="preserve">§ 177</w:t>
        </w:r>
      </w:hyperlink>
      <w:r>
        <w:t xml:space="preserve"> Abs. 2 entsprechende Anwendung.</w:t>
      </w:r>
    </w:p>
    <w:p>
      <w:r>
        <w:t>(2) Wird infolge der Verweigerung der Genehmigung ein neuer Verkauf vorgenommen, so hat der frühere Käufer für die Kosten des neuen Verkaufs sowie für einen Mindererlös aufzukommen.</w:t>
      </w:r>
    </w:p>
    <w:p>
      <w:pPr>
        <w:pStyle w:val="Heading5"/>
      </w:pPr>
      <w:bookmarkStart w:id="595" w:name="b583"/>
      <w:r>
        <w:t>§ 452 Schiffskauf</w:t>
      </w:r>
      <w:r>
        <w:t xml:space="preserve"> </w:t>
      </w:r>
      <w:r>
        <w:rPr>
          <w:rStyle w:val="Suchmarke"/>
        </w:rPr>
        <w:t>#452#</w:t>
      </w:r>
      <w:bookmarkEnd w:id="595"/>
    </w:p>
    <w:p>
      <w:r>
        <w:t>Die Vorschriften dieses Untertitels über den Kauf von Grundstücken finden auf den Kauf von eingetragenen Schiffen und Schiffsbauwerken entsprechende Anwendung.</w:t>
      </w:r>
    </w:p>
    <w:p>
      <w:pPr>
        <w:pStyle w:val="Heading5"/>
      </w:pPr>
      <w:bookmarkStart w:id="596" w:name="b584"/>
      <w:r>
        <w:t>§ 453 Rechtskauf; Verbrauchervertrag über den Kauf digitaler Inhalte</w:t>
      </w:r>
      <w:r>
        <w:t xml:space="preserve"> </w:t>
      </w:r>
      <w:r>
        <w:rPr>
          <w:rStyle w:val="Suchmarke"/>
        </w:rPr>
        <w:t>#453#</w:t>
      </w:r>
      <w:bookmarkEnd w:id="596"/>
    </w:p>
    <w:p>
      <w:r>
        <w:t xml:space="preserve">(1) </w:t>
      </w:r>
      <w:r>
        <w:rPr>
          <w:rStyle w:val="Satznummer"/>
        </w:rPr>
        <w:t>1</w:t>
      </w:r>
      <w:r>
        <w:t xml:space="preserve">Die Vorschriften über den Kauf von Sachen finden auf den Kauf von Rechten und sonstigen Gegenständen entsprechende Anwendung. </w:t>
      </w:r>
      <w:r>
        <w:rPr>
          <w:rStyle w:val="Satznummer"/>
        </w:rPr>
        <w:t>2</w:t>
      </w:r>
      <w:r>
        <w:t>Auf einen Verbrauchervertrag über den Verkauf digitaler Inhalte durch einen Unternehmer sind die folgenden Vorschriften nicht anzuwenden:</w:t>
      </w:r>
    </w:p>
    <w:p>
      <w:pPr>
        <w:tabs>
          <w:tab w:pos="567" w:val="left"/>
        </w:tabs>
        <w:ind w:left="567" w:hanging="567"/>
      </w:pPr>
      <w:r>
        <w:t>1.</w:t>
      </w:r>
      <w:r>
        <w:tab/>
      </w:r>
      <w:hyperlink w:anchor="b561" w:history="1">
        <w:r>
          <w:rPr>
            <w:color w:val="0A3A8C"/>
            <w:u w:val="single"/>
          </w:rPr>
          <w:t xml:space="preserve">§ 433</w:t>
        </w:r>
      </w:hyperlink>
      <w:r>
        <w:t xml:space="preserve"> Absatz 1 Satz 1 und </w:t>
      </w:r>
      <w:hyperlink w:anchor="b611" w:history="1">
        <w:r>
          <w:rPr>
            <w:color w:val="0A3A8C"/>
            <w:u w:val="single"/>
          </w:rPr>
          <w:t xml:space="preserve">§ 475</w:t>
        </w:r>
      </w:hyperlink>
      <w:r>
        <w:t xml:space="preserve"> Absatz 1 über die Übergabe der Kaufsache und die Leistungszeit sowie</w:t>
      </w:r>
    </w:p>
    <w:p>
      <w:pPr>
        <w:tabs>
          <w:tab w:pos="567" w:val="left"/>
        </w:tabs>
        <w:ind w:left="567" w:hanging="567"/>
      </w:pPr>
      <w:r>
        <w:t>2.</w:t>
      </w:r>
      <w:r>
        <w:tab/>
      </w:r>
      <w:hyperlink w:anchor="b561" w:history="1">
        <w:r>
          <w:rPr>
            <w:color w:val="0A3A8C"/>
            <w:u w:val="single"/>
          </w:rPr>
          <w:t xml:space="preserve">§ 433</w:t>
        </w:r>
      </w:hyperlink>
      <w:r>
        <w:t xml:space="preserve"> Absatz 1 Satz 2, die </w:t>
      </w:r>
      <w:hyperlink w:anchor="b562" w:history="1">
        <w:r>
          <w:rPr>
            <w:color w:val="0A3A8C"/>
            <w:u w:val="single"/>
          </w:rPr>
          <w:t xml:space="preserve">§§ 434</w:t>
        </w:r>
      </w:hyperlink>
      <w:r>
        <w:t xml:space="preserve"> bis </w:t>
      </w:r>
      <w:hyperlink w:anchor="b570" w:history="1">
        <w:r>
          <w:rPr>
            <w:color w:val="0A3A8C"/>
            <w:u w:val="single"/>
          </w:rPr>
          <w:t xml:space="preserve">442</w:t>
        </w:r>
      </w:hyperlink>
      <w:r>
        <w:t xml:space="preserve">, </w:t>
      </w:r>
      <w:hyperlink w:anchor="b611" w:history="1">
        <w:r>
          <w:rPr>
            <w:color w:val="0A3A8C"/>
            <w:u w:val="single"/>
          </w:rPr>
          <w:t xml:space="preserve">475</w:t>
        </w:r>
      </w:hyperlink>
      <w:r>
        <w:t xml:space="preserve"> Absatz 3 Satz 1 und Absatz 4 bis 7 sowie die </w:t>
      </w:r>
      <w:hyperlink w:anchor="b617" w:history="1">
        <w:r>
          <w:rPr>
            <w:color w:val="0A3A8C"/>
            <w:u w:val="single"/>
          </w:rPr>
          <w:t xml:space="preserve">§§ 476</w:t>
        </w:r>
      </w:hyperlink>
      <w:r>
        <w:t xml:space="preserve"> und </w:t>
      </w:r>
      <w:hyperlink w:anchor="b618" w:history="1">
        <w:r>
          <w:rPr>
            <w:color w:val="0A3A8C"/>
            <w:u w:val="single"/>
          </w:rPr>
          <w:t xml:space="preserve">477</w:t>
        </w:r>
      </w:hyperlink>
      <w:r>
        <w:t xml:space="preserve"> über die Rechte bei Mängeln.</w:t>
      </w:r>
    </w:p>
    <w:p>
      <w:r>
        <w:rPr>
          <w:rStyle w:val="Satznummer"/>
        </w:rPr>
        <w:t>3</w:t>
      </w:r>
      <w:r>
        <w:t>An die Stelle der nach Satz 2 nicht anzuwendenden Vorschriften treten die Vorschriften des Abschnitts 3 Titel 2a Untertitel 1.</w:t>
      </w:r>
    </w:p>
    <w:p>
      <w:r>
        <w:t>(2) Der Verkäufer trägt die Kosten der Begründung und Übertragung des Rechts.</w:t>
      </w:r>
    </w:p>
    <w:p>
      <w:r>
        <w:t>(3) Ist ein Recht verkauft, das zum Besitz einer Sache berechtigt, so ist der Verkäufer verpflichtet, dem Käufer die Sache frei von Sach- und Rechtsmängeln zu übergeben.</w:t>
      </w:r>
    </w:p>
    <w:p>
      <w:pPr>
        <w:pStyle w:val="Heading4"/>
      </w:pPr>
      <w:bookmarkStart w:id="597" w:name="b585"/>
      <w:r>
        <w:t>Untertitel 2 Besondere Arten des Kaufs</w:t>
      </w:r>
      <w:bookmarkEnd w:id="597"/>
    </w:p>
    <w:p>
      <w:pPr>
        <w:pStyle w:val="Heading5"/>
      </w:pPr>
      <w:bookmarkStart w:id="598" w:name="b586"/>
      <w:r>
        <w:t>Kapitel 1 Kauf auf Probe</w:t>
      </w:r>
      <w:bookmarkEnd w:id="598"/>
    </w:p>
    <w:p>
      <w:pPr>
        <w:pStyle w:val="Heading6"/>
      </w:pPr>
      <w:bookmarkStart w:id="599" w:name="b587"/>
      <w:r>
        <w:t>§ 454 Zustandekommen des Kaufvertrags</w:t>
      </w:r>
      <w:r>
        <w:t xml:space="preserve"> </w:t>
      </w:r>
      <w:r>
        <w:rPr>
          <w:rStyle w:val="Suchmarke"/>
        </w:rPr>
        <w:t>#454#</w:t>
      </w:r>
      <w:bookmarkEnd w:id="599"/>
    </w:p>
    <w:p>
      <w:r>
        <w:t xml:space="preserve">(1) </w:t>
      </w:r>
      <w:r>
        <w:rPr>
          <w:rStyle w:val="Satznummer"/>
        </w:rPr>
        <w:t>1</w:t>
      </w:r>
      <w:r>
        <w:t xml:space="preserve">Bei einem Kauf auf Probe oder auf Besichtigung steht die Billigung des gekauften Gegenstandes im Belieben des Käufers. </w:t>
      </w:r>
      <w:r>
        <w:rPr>
          <w:rStyle w:val="Satznummer"/>
        </w:rPr>
        <w:t>2</w:t>
      </w:r>
      <w:r>
        <w:t>Der Kauf ist im Zweifel unter der aufschiebenden Bedingung der Billigung geschlossen.</w:t>
      </w:r>
    </w:p>
    <w:p>
      <w:r>
        <w:t>(2) Der Verkäufer ist verpflichtet, dem Käufer die Untersuchung des Gegenstandes zu gestatten.</w:t>
      </w:r>
    </w:p>
    <w:p>
      <w:pPr>
        <w:pStyle w:val="Heading6"/>
      </w:pPr>
      <w:bookmarkStart w:id="600" w:name="b588"/>
      <w:r>
        <w:t>§ 455 Billigungsfrist</w:t>
      </w:r>
      <w:r>
        <w:t xml:space="preserve"> </w:t>
      </w:r>
      <w:r>
        <w:rPr>
          <w:rStyle w:val="Suchmarke"/>
        </w:rPr>
        <w:t>#455#</w:t>
      </w:r>
      <w:bookmarkEnd w:id="600"/>
    </w:p>
    <w:p>
      <w:r>
        <w:rPr>
          <w:rStyle w:val="Satznummer"/>
        </w:rPr>
        <w:t>1</w:t>
      </w:r>
      <w:r>
        <w:t xml:space="preserve">Die Billigung eines auf Probe oder auf Besichtigung gekauften Gegenstandes kann nur innerhalb der vereinbarten Frist und in Ermangelung einer solchen nur bis zum Ablauf einer dem Käufer von dem Verkäufer bestimmten angemessenen Frist erklärt werden. </w:t>
      </w:r>
      <w:r>
        <w:rPr>
          <w:rStyle w:val="Satznummer"/>
        </w:rPr>
        <w:t>2</w:t>
      </w:r>
      <w:r>
        <w:t>War die Sache dem Käufer zum Zwecke der Probe oder der Besichtigung übergeben, so gilt sein Schweigen als Billigung.</w:t>
      </w:r>
    </w:p>
    <w:p>
      <w:pPr>
        <w:pStyle w:val="Heading5"/>
      </w:pPr>
      <w:bookmarkStart w:id="601" w:name="b589"/>
      <w:r>
        <w:t>Kapitel 2 Wiederkauf</w:t>
      </w:r>
      <w:bookmarkEnd w:id="601"/>
    </w:p>
    <w:p>
      <w:pPr>
        <w:pStyle w:val="Heading6"/>
      </w:pPr>
      <w:bookmarkStart w:id="602" w:name="b590"/>
      <w:r>
        <w:t>§ 456 Zustandekommen des Wiederkaufs</w:t>
      </w:r>
      <w:r>
        <w:t xml:space="preserve"> </w:t>
      </w:r>
      <w:r>
        <w:rPr>
          <w:rStyle w:val="Suchmarke"/>
        </w:rPr>
        <w:t>#456#</w:t>
      </w:r>
      <w:bookmarkEnd w:id="602"/>
    </w:p>
    <w:p>
      <w:r>
        <w:t xml:space="preserve">(1) </w:t>
      </w:r>
      <w:r>
        <w:rPr>
          <w:rStyle w:val="Satznummer"/>
        </w:rPr>
        <w:t>1</w:t>
      </w:r>
      <w:r>
        <w:t xml:space="preserve">Hat sich der Verkäufer in dem Kaufvertrag das Recht des Wiederkaufs vorbehalten, so kommt der Wiederkauf mit der Erklärung des Verkäufers gegenüber dem Käufer, dass er das Wiederkaufsrecht ausübe, zustande. </w:t>
      </w:r>
      <w:r>
        <w:rPr>
          <w:rStyle w:val="Satznummer"/>
        </w:rPr>
        <w:t>2</w:t>
      </w:r>
      <w:r>
        <w:t>Die Erklärung bedarf nicht der für den Kaufvertrag bestimmten Form.</w:t>
      </w:r>
    </w:p>
    <w:p>
      <w:r>
        <w:t>(2) Der Preis, zu welchem verkauft worden ist, gilt im Zweifel auch für den Wiederkauf.</w:t>
      </w:r>
    </w:p>
    <w:p>
      <w:pPr>
        <w:pStyle w:val="Heading6"/>
      </w:pPr>
      <w:bookmarkStart w:id="603" w:name="b591"/>
      <w:r>
        <w:t>§ 457 Haftung des Wiederverkäufers</w:t>
      </w:r>
      <w:r>
        <w:t xml:space="preserve"> </w:t>
      </w:r>
      <w:r>
        <w:rPr>
          <w:rStyle w:val="Suchmarke"/>
        </w:rPr>
        <w:t>#457#</w:t>
      </w:r>
      <w:bookmarkEnd w:id="603"/>
    </w:p>
    <w:p>
      <w:r>
        <w:t>(1) Der Wiederverkäufer ist verpflichtet, dem Wiederkäufer den gekauften Gegenstand nebst Zubehör herauszugeben.</w:t>
      </w:r>
    </w:p>
    <w:p>
      <w:r>
        <w:t xml:space="preserve">(2) </w:t>
      </w:r>
      <w:r>
        <w:rPr>
          <w:rStyle w:val="Satznummer"/>
        </w:rPr>
        <w:t>1</w:t>
      </w:r>
      <w:r>
        <w:t xml:space="preserve">Hat der Wiederverkäufer vor der Ausübung des Wiederkaufsrechts eine Verschlechterung, den Untergang oder eine aus einem anderen Grund eingetretene Unmöglichkeit der Herausgabe des gekauften Gegenstandes verschuldet oder den Gegenstand wesentlich verändert, so ist er für den daraus entstehenden Schaden verantwortlich. </w:t>
      </w:r>
      <w:r>
        <w:rPr>
          <w:rStyle w:val="Satznummer"/>
        </w:rPr>
        <w:t>2</w:t>
      </w:r>
      <w:r>
        <w:t>Ist der Gegenstand ohne Verschulden des Wiederverkäufers verschlechtert oder ist er nur unwesentlich verändert, so kann der Wiederkäufer Minderung des Kaufpreises nicht verlangen.</w:t>
      </w:r>
    </w:p>
    <w:p>
      <w:pPr>
        <w:pStyle w:val="Heading6"/>
      </w:pPr>
      <w:bookmarkStart w:id="604" w:name="b592"/>
      <w:r>
        <w:t>§ 458 Beseitigung von Rechten Dritter</w:t>
      </w:r>
      <w:r>
        <w:t xml:space="preserve"> </w:t>
      </w:r>
      <w:r>
        <w:rPr>
          <w:rStyle w:val="Suchmarke"/>
        </w:rPr>
        <w:t>#458#</w:t>
      </w:r>
      <w:bookmarkEnd w:id="604"/>
    </w:p>
    <w:p>
      <w:r>
        <w:rPr>
          <w:rStyle w:val="Satznummer"/>
        </w:rPr>
        <w:t>1</w:t>
      </w:r>
      <w:r>
        <w:t xml:space="preserve">Hat der Wiederverkäufer vor der Ausübung des Wiederkaufsrechts über den gekauften Gegenstand verfügt, so ist er verpflichtet, die dadurch begründeten Rechte Dritter zu beseitigen. </w:t>
      </w:r>
      <w:r>
        <w:rPr>
          <w:rStyle w:val="Satznummer"/>
        </w:rPr>
        <w:t>2</w:t>
      </w:r>
      <w:r>
        <w:t>Einer Verfügung des Wiederverkäufers steht eine Verfügung gleich, die im Wege der Zwangsvollstreckung oder der Arrestvollziehung oder durch den Insolvenzverwalter erfolgt.</w:t>
      </w:r>
    </w:p>
    <w:p>
      <w:pPr>
        <w:pStyle w:val="Heading6"/>
      </w:pPr>
      <w:bookmarkStart w:id="605" w:name="b593"/>
      <w:r>
        <w:t>§ 459 Ersatz von Verwendungen</w:t>
      </w:r>
      <w:r>
        <w:t xml:space="preserve"> </w:t>
      </w:r>
      <w:r>
        <w:rPr>
          <w:rStyle w:val="Suchmarke"/>
        </w:rPr>
        <w:t>#459#</w:t>
      </w:r>
      <w:bookmarkEnd w:id="605"/>
    </w:p>
    <w:p>
      <w:r>
        <w:rPr>
          <w:rStyle w:val="Satznummer"/>
        </w:rPr>
        <w:t>1</w:t>
      </w:r>
      <w:r>
        <w:t xml:space="preserve">Der Wiederverkäufer kann für Verwendungen, die er auf den gekauften Gegenstand vor dem Wiederkauf gemacht hat, insoweit Ersatz verlangen, als der Wert des Gegenstandes durch die Verwendungen erhöht ist. </w:t>
      </w:r>
      <w:r>
        <w:rPr>
          <w:rStyle w:val="Satznummer"/>
        </w:rPr>
        <w:t>2</w:t>
      </w:r>
      <w:r>
        <w:t>Eine Einrichtung, mit der er die herauszugebende Sache versehen hat, kann er wegnehmen.</w:t>
      </w:r>
    </w:p>
    <w:p>
      <w:pPr>
        <w:pStyle w:val="Heading6"/>
      </w:pPr>
      <w:bookmarkStart w:id="606" w:name="b594"/>
      <w:r>
        <w:t>§ 460 Wiederkauf zum Schätzungswert</w:t>
      </w:r>
      <w:r>
        <w:t xml:space="preserve"> </w:t>
      </w:r>
      <w:r>
        <w:rPr>
          <w:rStyle w:val="Suchmarke"/>
        </w:rPr>
        <w:t>#460#</w:t>
      </w:r>
      <w:bookmarkEnd w:id="606"/>
    </w:p>
    <w:p>
      <w:r>
        <w:t>Ist als Wiederkaufpreis der Schätzungswert vereinbart, den der gekaufte Gegenstand zur Zeit des Wiederkaufs hat, so ist der Wiederverkäufer für eine Verschlechterung, den Untergang oder die aus einem anderen Grund eingetretene Unmöglichkeit der Herausgabe des Gegenstandes nicht verantwortlich, der Wiederkäufer zum Ersatz von Verwendungen nicht verpflichtet.</w:t>
      </w:r>
    </w:p>
    <w:p>
      <w:pPr>
        <w:pStyle w:val="Heading6"/>
      </w:pPr>
      <w:bookmarkStart w:id="607" w:name="b595"/>
      <w:r>
        <w:t>§ 461 Mehrere Wiederkaufsberechtigte</w:t>
      </w:r>
      <w:r>
        <w:t xml:space="preserve"> </w:t>
      </w:r>
      <w:r>
        <w:rPr>
          <w:rStyle w:val="Suchmarke"/>
        </w:rPr>
        <w:t>#461#</w:t>
      </w:r>
      <w:bookmarkEnd w:id="607"/>
    </w:p>
    <w:p>
      <w:r>
        <w:rPr>
          <w:rStyle w:val="Satznummer"/>
        </w:rPr>
        <w:t>1</w:t>
      </w:r>
      <w:r>
        <w:t xml:space="preserve">Steht das Wiederkaufsrecht mehreren gemeinschaftlich zu, so kann es nur im Ganzen ausgeübt werden. </w:t>
      </w:r>
      <w:r>
        <w:rPr>
          <w:rStyle w:val="Satznummer"/>
        </w:rPr>
        <w:t>2</w:t>
      </w:r>
      <w:r>
        <w:t>Ist es für einen der Berechtigten erloschen oder übt einer von ihnen sein Recht nicht aus, so sind die übrigen berechtigt, das Wiederkaufsrecht im Ganzen auszuüben.</w:t>
      </w:r>
    </w:p>
    <w:p>
      <w:pPr>
        <w:pStyle w:val="Heading6"/>
      </w:pPr>
      <w:bookmarkStart w:id="608" w:name="b596"/>
      <w:r>
        <w:t>§ 462 Ausschlussfrist</w:t>
      </w:r>
      <w:r>
        <w:t xml:space="preserve"> </w:t>
      </w:r>
      <w:r>
        <w:rPr>
          <w:rStyle w:val="Suchmarke"/>
        </w:rPr>
        <w:t>#462#</w:t>
      </w:r>
      <w:bookmarkEnd w:id="608"/>
    </w:p>
    <w:p>
      <w:r>
        <w:rPr>
          <w:rStyle w:val="Satznummer"/>
        </w:rPr>
        <w:t>1</w:t>
      </w:r>
      <w:r>
        <w:t xml:space="preserve">Das Wiederkaufsrecht kann bei Grundstücken nur bis zum Ablauf von 30, bei anderen Gegenständen nur bis zum Ablauf von drei Jahren nach der Vereinbarung des Vorbehalts ausgeübt werden. </w:t>
      </w:r>
      <w:r>
        <w:rPr>
          <w:rStyle w:val="Satznummer"/>
        </w:rPr>
        <w:t>2</w:t>
      </w:r>
      <w:r>
        <w:t>Ist für die Ausübung eine Frist bestimmt, so tritt diese an die Stelle der gesetzlichen Frist.</w:t>
      </w:r>
    </w:p>
    <w:p>
      <w:pPr>
        <w:pStyle w:val="Heading5"/>
      </w:pPr>
      <w:bookmarkStart w:id="609" w:name="b597"/>
      <w:r>
        <w:t>Kapitel 3 Vorkauf</w:t>
      </w:r>
      <w:bookmarkEnd w:id="609"/>
    </w:p>
    <w:p>
      <w:pPr>
        <w:pStyle w:val="Heading6"/>
      </w:pPr>
      <w:bookmarkStart w:id="610" w:name="b598"/>
      <w:r>
        <w:t>§ 463 Voraussetzungen der Ausübung</w:t>
      </w:r>
      <w:r>
        <w:t xml:space="preserve"> </w:t>
      </w:r>
      <w:r>
        <w:rPr>
          <w:rStyle w:val="Suchmarke"/>
        </w:rPr>
        <w:t>#463#</w:t>
      </w:r>
      <w:bookmarkEnd w:id="610"/>
    </w:p>
    <w:p>
      <w:r>
        <w:t>Wer in Ansehung eines Gegenstandes zum Vorkauf berechtigt ist, kann das Vorkaufsrecht ausüben, sobald der Verpflichtete mit einem Dritten einen Kaufvertrag über den Gegenstand geschlossen hat.</w:t>
      </w:r>
    </w:p>
    <w:p>
      <w:pPr>
        <w:pStyle w:val="Heading6"/>
      </w:pPr>
      <w:bookmarkStart w:id="611" w:name="b599"/>
      <w:r>
        <w:t>§ 464 Ausübung des Vorkaufsrechts</w:t>
      </w:r>
      <w:r>
        <w:t xml:space="preserve"> </w:t>
      </w:r>
      <w:r>
        <w:rPr>
          <w:rStyle w:val="Suchmarke"/>
        </w:rPr>
        <w:t>#464#</w:t>
      </w:r>
      <w:bookmarkEnd w:id="611"/>
    </w:p>
    <w:p>
      <w:r>
        <w:t xml:space="preserve">(1) </w:t>
      </w:r>
      <w:r>
        <w:rPr>
          <w:rStyle w:val="Satznummer"/>
        </w:rPr>
        <w:t>1</w:t>
      </w:r>
      <w:r>
        <w:t xml:space="preserve">Die Ausübung des Vorkaufsrechts erfolgt durch Erklärung gegenüber dem Verpflichteten. </w:t>
      </w:r>
      <w:r>
        <w:rPr>
          <w:rStyle w:val="Satznummer"/>
        </w:rPr>
        <w:t>2</w:t>
      </w:r>
      <w:r>
        <w:t>Die Erklärung bedarf nicht der für den Kaufvertrag bestimmten Form.</w:t>
      </w:r>
    </w:p>
    <w:p>
      <w:r>
        <w:t>(2) Mit der Ausübung des Vorkaufsrechts kommt der Kauf zwischen dem Berechtigten und dem Verpflichteten unter den Bestimmungen zustande, welche der Verpflichtete mit dem Dritten vereinbart hat.</w:t>
      </w:r>
    </w:p>
    <w:p>
      <w:pPr>
        <w:pStyle w:val="Heading6"/>
      </w:pPr>
      <w:bookmarkStart w:id="612" w:name="b600"/>
      <w:r>
        <w:t>§ 465 Unwirksame Vereinbarungen</w:t>
      </w:r>
      <w:r>
        <w:t xml:space="preserve"> </w:t>
      </w:r>
      <w:r>
        <w:rPr>
          <w:rStyle w:val="Suchmarke"/>
        </w:rPr>
        <w:t>#465#</w:t>
      </w:r>
      <w:bookmarkEnd w:id="612"/>
    </w:p>
    <w:p>
      <w:r>
        <w:t>Eine Vereinbarung des Verpflichteten mit dem Dritten, durch welche der Kauf von der Nichtausübung des Vorkaufsrechts abhängig gemacht oder dem Verpflichteten für den Fall der Ausübung des Vorkaufsrechts der Rücktritt vorbehalten wird, ist dem Vorkaufsberechtigten gegenüber unwirksam.</w:t>
      </w:r>
    </w:p>
    <w:p>
      <w:pPr>
        <w:pStyle w:val="Heading6"/>
      </w:pPr>
      <w:bookmarkStart w:id="613" w:name="b601"/>
      <w:r>
        <w:t>§ 466 Nebenleistungen</w:t>
      </w:r>
      <w:r>
        <w:t xml:space="preserve"> </w:t>
      </w:r>
      <w:r>
        <w:rPr>
          <w:rStyle w:val="Suchmarke"/>
        </w:rPr>
        <w:t>#466#</w:t>
      </w:r>
      <w:bookmarkEnd w:id="613"/>
    </w:p>
    <w:p>
      <w:r>
        <w:rPr>
          <w:rStyle w:val="Satznummer"/>
        </w:rPr>
        <w:t>1</w:t>
      </w:r>
      <w:r>
        <w:t xml:space="preserve">Hat sich der Dritte in dem Vertrag zu einer Nebenleistung verpflichtet, die der Vorkaufsberechtigte zu bewirken außerstande ist, so hat der Vorkaufsberechtigte statt der Nebenleistung ihren Wert zu entrichten. </w:t>
      </w:r>
      <w:r>
        <w:rPr>
          <w:rStyle w:val="Satznummer"/>
        </w:rPr>
        <w:t>2</w:t>
      </w:r>
      <w:r>
        <w:t>Lässt sich die Nebenleistung nicht in Geld schätzen, so ist die Ausübung des Vorkaufsrechts ausgeschlossen; die Vereinbarung der Nebenleistung kommt jedoch nicht in Betracht, wenn der Vertrag mit dem Dritten auch ohne sie geschlossen sein würde.</w:t>
      </w:r>
    </w:p>
    <w:p>
      <w:pPr>
        <w:pStyle w:val="Heading6"/>
      </w:pPr>
      <w:bookmarkStart w:id="614" w:name="b602"/>
      <w:r>
        <w:t>§ 467 Gesamtpreis</w:t>
      </w:r>
      <w:r>
        <w:t xml:space="preserve"> </w:t>
      </w:r>
      <w:r>
        <w:rPr>
          <w:rStyle w:val="Suchmarke"/>
        </w:rPr>
        <w:t>#467#</w:t>
      </w:r>
      <w:bookmarkEnd w:id="614"/>
    </w:p>
    <w:p>
      <w:r>
        <w:rPr>
          <w:rStyle w:val="Satznummer"/>
        </w:rPr>
        <w:t>1</w:t>
      </w:r>
      <w:r>
        <w:t xml:space="preserve">Hat der Dritte den Gegenstand, auf den sich das Vorkaufsrecht bezieht, mit anderen Gegenständen zu einem Gesamtpreis gekauft, so hat der Vorkaufsberechtigte einen verhältnismäßigen Teil des Gesamtpreises zu entrichten. </w:t>
      </w:r>
      <w:r>
        <w:rPr>
          <w:rStyle w:val="Satznummer"/>
        </w:rPr>
        <w:t>2</w:t>
      </w:r>
      <w:r>
        <w:t>Der Verpflichtete kann verlangen, dass der Vorkauf auf alle Sachen erstreckt wird, die nicht ohne Nachteil für ihn getrennt werden können.</w:t>
      </w:r>
    </w:p>
    <w:p>
      <w:pPr>
        <w:pStyle w:val="Heading6"/>
      </w:pPr>
      <w:bookmarkStart w:id="615" w:name="b603"/>
      <w:r>
        <w:t>§ 468 Stundung des Kaufpreises</w:t>
      </w:r>
      <w:r>
        <w:t xml:space="preserve"> </w:t>
      </w:r>
      <w:r>
        <w:rPr>
          <w:rStyle w:val="Suchmarke"/>
        </w:rPr>
        <w:t>#468#</w:t>
      </w:r>
      <w:bookmarkEnd w:id="615"/>
    </w:p>
    <w:p>
      <w:r>
        <w:t>(1) Ist dem Dritten in dem Vertrag der Kaufpreis gestundet worden, so kann der Vorkaufsberechtigte die Stundung nur in Anspruch nehmen, wenn er für den gestundeten Betrag Sicherheit leistet.</w:t>
      </w:r>
    </w:p>
    <w:p>
      <w:r>
        <w:t xml:space="preserve">(2) </w:t>
      </w:r>
      <w:r>
        <w:rPr>
          <w:rStyle w:val="Satznummer"/>
        </w:rPr>
        <w:t>1</w:t>
      </w:r>
      <w:r>
        <w:t xml:space="preserve">Ist ein Grundstück Gegenstand des Vorkaufs, so bedarf es der Sicherheitsleistung insoweit nicht, als für den gestundeten Kaufpreis die Bestellung einer Hypothek an dem Grundstück vereinbart oder in Anrechnung auf den Kaufpreis eine Schuld, für die eine Hypothek an dem Grundstück besteht, übernommen worden ist. </w:t>
      </w:r>
      <w:r>
        <w:rPr>
          <w:rStyle w:val="Satznummer"/>
        </w:rPr>
        <w:t>2</w:t>
      </w:r>
      <w:r>
        <w:t>Entsprechendes gilt, wenn ein eingetragenes Schiff oder Schiffsbauwerk Gegenstand des Vorkaufs ist.</w:t>
      </w:r>
    </w:p>
    <w:p>
      <w:pPr>
        <w:pStyle w:val="Heading6"/>
      </w:pPr>
      <w:bookmarkStart w:id="616" w:name="b604"/>
      <w:r>
        <w:t>§ 469 Mitteilungspflicht, Ausübungsfrist</w:t>
      </w:r>
      <w:r>
        <w:t xml:space="preserve"> </w:t>
      </w:r>
      <w:r>
        <w:rPr>
          <w:rStyle w:val="Suchmarke"/>
        </w:rPr>
        <w:t>#469#</w:t>
      </w:r>
      <w:bookmarkEnd w:id="616"/>
    </w:p>
    <w:p>
      <w:r>
        <w:t xml:space="preserve">(1) </w:t>
      </w:r>
      <w:r>
        <w:rPr>
          <w:rStyle w:val="Satznummer"/>
        </w:rPr>
        <w:t>1</w:t>
      </w:r>
      <w:r>
        <w:t xml:space="preserve">Der Verpflichtete hat dem Vorkaufsberechtigten den Inhalt des mit dem Dritten geschlossenen Vertrags unverzüglich mitzuteilen. </w:t>
      </w:r>
      <w:r>
        <w:rPr>
          <w:rStyle w:val="Satznummer"/>
        </w:rPr>
        <w:t>2</w:t>
      </w:r>
      <w:r>
        <w:t>Die Mitteilung des Verpflichteten wird durch die Mitteilung des Dritten ersetzt.</w:t>
      </w:r>
    </w:p>
    <w:p>
      <w:r>
        <w:t xml:space="preserve">(2) </w:t>
      </w:r>
      <w:r>
        <w:rPr>
          <w:rStyle w:val="Satznummer"/>
        </w:rPr>
        <w:t>1</w:t>
      </w:r>
      <w:r>
        <w:t xml:space="preserve">Das Vorkaufsrecht kann bei Grundstücken nur bis zum Ablauf von zwei Monaten, bei anderen Gegenständen nur bis zum Ablauf einer Woche nach dem Empfang der Mitteilung ausgeübt werden. </w:t>
      </w:r>
      <w:r>
        <w:rPr>
          <w:rStyle w:val="Satznummer"/>
        </w:rPr>
        <w:t>2</w:t>
      </w:r>
      <w:r>
        <w:t>Ist für die Ausübung eine Frist bestimmt, so tritt diese an die Stelle der gesetzlichen Frist.</w:t>
      </w:r>
    </w:p>
    <w:p>
      <w:pPr>
        <w:pStyle w:val="Heading6"/>
      </w:pPr>
      <w:bookmarkStart w:id="617" w:name="b605"/>
      <w:r>
        <w:t>§ 470 Verkauf an gesetzlichen Erben</w:t>
      </w:r>
      <w:r>
        <w:t xml:space="preserve"> </w:t>
      </w:r>
      <w:r>
        <w:rPr>
          <w:rStyle w:val="Suchmarke"/>
        </w:rPr>
        <w:t>#470#</w:t>
      </w:r>
      <w:bookmarkEnd w:id="617"/>
    </w:p>
    <w:p>
      <w:r>
        <w:t>Das Vorkaufsrecht erstreckt sich im Zweifel nicht auf einen Verkauf, der mit Rücksicht auf ein künftiges Erbrecht an einen gesetzlichen Erben erfolgt.</w:t>
      </w:r>
    </w:p>
    <w:p>
      <w:pPr>
        <w:pStyle w:val="Heading6"/>
      </w:pPr>
      <w:bookmarkStart w:id="618" w:name="b606"/>
      <w:r>
        <w:t>§ 471 Verkauf bei Zwangsvollstreckung oder Insolvenz</w:t>
      </w:r>
      <w:r>
        <w:t xml:space="preserve"> </w:t>
      </w:r>
      <w:r>
        <w:rPr>
          <w:rStyle w:val="Suchmarke"/>
        </w:rPr>
        <w:t>#471#</w:t>
      </w:r>
      <w:bookmarkEnd w:id="618"/>
    </w:p>
    <w:p>
      <w:r>
        <w:t>Das Vorkaufsrecht ist ausgeschlossen, wenn der Verkauf im Wege der Zwangsvollstreckung oder aus einer Insolvenzmasse erfolgt.</w:t>
      </w:r>
    </w:p>
    <w:p>
      <w:pPr>
        <w:pStyle w:val="Heading6"/>
      </w:pPr>
      <w:bookmarkStart w:id="619" w:name="b607"/>
      <w:r>
        <w:t>§ 472 Mehrere Vorkaufsberechtigte</w:t>
      </w:r>
      <w:r>
        <w:t xml:space="preserve"> </w:t>
      </w:r>
      <w:r>
        <w:rPr>
          <w:rStyle w:val="Suchmarke"/>
        </w:rPr>
        <w:t>#472#</w:t>
      </w:r>
      <w:bookmarkEnd w:id="619"/>
    </w:p>
    <w:p>
      <w:r>
        <w:rPr>
          <w:rStyle w:val="Satznummer"/>
        </w:rPr>
        <w:t>1</w:t>
      </w:r>
      <w:r>
        <w:t xml:space="preserve">Steht das Vorkaufsrecht mehreren gemeinschaftlich zu, so kann es nur im Ganzen ausgeübt werden. </w:t>
      </w:r>
      <w:r>
        <w:rPr>
          <w:rStyle w:val="Satznummer"/>
        </w:rPr>
        <w:t>2</w:t>
      </w:r>
      <w:r>
        <w:t>Ist es für einen der Berechtigten erloschen oder übt einer von ihnen sein Recht nicht aus, so sind die übrigen berechtigt, das Vorkaufsrecht im Ganzen auszuüben.</w:t>
      </w:r>
    </w:p>
    <w:p>
      <w:pPr>
        <w:pStyle w:val="Heading6"/>
      </w:pPr>
      <w:bookmarkStart w:id="620" w:name="b608"/>
      <w:r>
        <w:t>§ 473 Unübertragbarkeit</w:t>
      </w:r>
      <w:r>
        <w:t xml:space="preserve"> </w:t>
      </w:r>
      <w:r>
        <w:rPr>
          <w:rStyle w:val="Suchmarke"/>
        </w:rPr>
        <w:t>#473#</w:t>
      </w:r>
      <w:bookmarkEnd w:id="620"/>
    </w:p>
    <w:p>
      <w:r>
        <w:rPr>
          <w:rStyle w:val="Satznummer"/>
        </w:rPr>
        <w:t>1</w:t>
      </w:r>
      <w:r>
        <w:t xml:space="preserve">Das Vorkaufsrecht ist nicht übertragbar und geht nicht auf die Erben des Berechtigten über, sofern nicht ein anderes bestimmt ist. </w:t>
      </w:r>
      <w:r>
        <w:rPr>
          <w:rStyle w:val="Satznummer"/>
        </w:rPr>
        <w:t>2</w:t>
      </w:r>
      <w:r>
        <w:t>Ist das Recht auf eine bestimmte Zeit beschränkt, so ist es im Zweifel vererblich.</w:t>
      </w:r>
    </w:p>
    <w:p>
      <w:pPr>
        <w:pStyle w:val="Heading4"/>
      </w:pPr>
      <w:bookmarkStart w:id="621" w:name="b609"/>
      <w:r>
        <w:t>Untertitel 3 Verbrauchsgüterkauf</w:t>
      </w:r>
      <w:bookmarkEnd w:id="621"/>
    </w:p>
    <w:p>
      <w:pPr>
        <w:pStyle w:val="Heading5"/>
      </w:pPr>
      <w:bookmarkStart w:id="622" w:name="b610"/>
      <w:r>
        <w:t>§ 474 Verbrauchsgüterkauf</w:t>
      </w:r>
      <w:r>
        <w:t xml:space="preserve"> </w:t>
      </w:r>
      <w:r>
        <w:rPr>
          <w:rStyle w:val="Suchmarke"/>
        </w:rPr>
        <w:t>#474#</w:t>
      </w:r>
      <w:bookmarkEnd w:id="622"/>
    </w:p>
    <w:p>
      <w:r>
        <w:t xml:space="preserve">(1) </w:t>
      </w:r>
      <w:r>
        <w:rPr>
          <w:rStyle w:val="Satznummer"/>
        </w:rPr>
        <w:t>1</w:t>
      </w:r>
      <w:r>
        <w:t>Verbrauchsgüterkäufe sind Verträge, durch die ein Verbraucher von einem Unternehmer eine Ware (</w:t>
      </w:r>
      <w:hyperlink w:anchor="b283" w:history="1">
        <w:r>
          <w:rPr>
            <w:color w:val="0A3A8C"/>
            <w:u w:val="single"/>
          </w:rPr>
          <w:t xml:space="preserve">§ 241a</w:t>
        </w:r>
      </w:hyperlink>
      <w:r>
        <w:t xml:space="preserve"> Absatz 1) kauft. </w:t>
      </w:r>
      <w:r>
        <w:rPr>
          <w:rStyle w:val="Satznummer"/>
        </w:rPr>
        <w:t>2</w:t>
      </w:r>
      <w:r>
        <w:t>Um einen Verbrauchsgüterkauf handelt es sich auch bei einem Vertrag, der neben dem Verkauf einer Ware die Erbringung einer Dienstleistung durch den Unternehmer zum Gegenstand hat.</w:t>
      </w:r>
    </w:p>
    <w:p>
      <w:r>
        <w:t xml:space="preserve">(2) </w:t>
      </w:r>
      <w:r>
        <w:rPr>
          <w:rStyle w:val="Satznummer"/>
        </w:rPr>
        <w:t>1</w:t>
      </w:r>
      <w:r>
        <w:t xml:space="preserve">Für den Verbrauchsgüterkauf gelten ergänzend die folgenden Vorschriften dieses Untertitels. </w:t>
      </w:r>
      <w:r>
        <w:rPr>
          <w:rStyle w:val="Satznummer"/>
        </w:rPr>
        <w:t>2</w:t>
      </w:r>
      <w:r>
        <w:t>Für gebrauchte Waren, die in einer öffentlich zugänglichen Versteigerung (</w:t>
      </w:r>
      <w:hyperlink w:anchor="b378" w:history="1">
        <w:r>
          <w:rPr>
            <w:color w:val="0A3A8C"/>
            <w:u w:val="single"/>
          </w:rPr>
          <w:t xml:space="preserve">§ 312g</w:t>
        </w:r>
      </w:hyperlink>
      <w:r>
        <w:t xml:space="preserve"> Absatz 2 Nummer 10) verkauft werden, gilt dies nicht, wenn dem Verbraucher klare und umfassende Informationen darüber, dass die Vorschriften dieses Untertitels nicht gelten, leicht verfügbar gemacht wurden.</w:t>
      </w:r>
    </w:p>
    <w:p>
      <w:pPr>
        <w:pStyle w:val="Heading5"/>
      </w:pPr>
      <w:bookmarkStart w:id="623" w:name="b611"/>
      <w:r>
        <w:t>§ 475 Anwendbare Vorschriften</w:t>
      </w:r>
      <w:r>
        <w:t xml:space="preserve"> </w:t>
      </w:r>
      <w:r>
        <w:rPr>
          <w:rStyle w:val="Suchmarke"/>
        </w:rPr>
        <w:t>#475#</w:t>
      </w:r>
      <w:bookmarkEnd w:id="623"/>
    </w:p>
    <w:p>
      <w:r>
        <w:t xml:space="preserve">(1) </w:t>
      </w:r>
      <w:r>
        <w:rPr>
          <w:rStyle w:val="Satznummer"/>
        </w:rPr>
        <w:t>1</w:t>
      </w:r>
      <w:r>
        <w:t xml:space="preserve">Ist eine Zeit für die nach </w:t>
      </w:r>
      <w:hyperlink w:anchor="b561" w:history="1">
        <w:r>
          <w:rPr>
            <w:color w:val="0A3A8C"/>
            <w:u w:val="single"/>
          </w:rPr>
          <w:t xml:space="preserve">§ 433</w:t>
        </w:r>
      </w:hyperlink>
      <w:r>
        <w:t xml:space="preserve"> zu erbringenden Leistungen weder bestimmt noch aus den Umständen zu entnehmen, so kann der Gläubiger diese Leistungen abweichend von </w:t>
      </w:r>
      <w:hyperlink w:anchor="b314" w:history="1">
        <w:r>
          <w:rPr>
            <w:color w:val="0A3A8C"/>
            <w:u w:val="single"/>
          </w:rPr>
          <w:t xml:space="preserve">§ 271</w:t>
        </w:r>
      </w:hyperlink>
      <w:r>
        <w:t xml:space="preserve"> Absatz 1 nur unverzüglich verlangen. </w:t>
      </w:r>
      <w:r>
        <w:rPr>
          <w:rStyle w:val="Satznummer"/>
        </w:rPr>
        <w:t>2</w:t>
      </w:r>
      <w:r>
        <w:t xml:space="preserve">Der Unternehmer muss die Ware in diesem Fall spätestens 30 Tage nach Vertragsschluss übergeben. </w:t>
      </w:r>
      <w:r>
        <w:rPr>
          <w:rStyle w:val="Satznummer"/>
        </w:rPr>
        <w:t>3</w:t>
      </w:r>
      <w:r>
        <w:t>Die Vertragsparteien können die Leistungen sofort bewirken.</w:t>
      </w:r>
    </w:p>
    <w:p>
      <w:r>
        <w:t xml:space="preserve">(2) </w:t>
      </w:r>
      <w:hyperlink w:anchor="b578" w:history="1">
        <w:r>
          <w:rPr>
            <w:color w:val="0A3A8C"/>
            <w:u w:val="single"/>
          </w:rPr>
          <w:t xml:space="preserve">§ 447</w:t>
        </w:r>
      </w:hyperlink>
      <w:r>
        <w:t xml:space="preserve"> Absatz 1 gilt mit der Maßgabe, dass die Gefahr des zufälligen Untergangs und der zufälligen Verschlechterung nur dann auf den Käufer übergeht, wenn der Käufer den Spediteur, den Frachtführer oder die sonst zur Ausführung der Versendung bestimmte Person oder Anstalt mit der Ausführung beauftragt hat und der Unternehmer dem Käufer diese Person oder Anstalt nicht zuvor benannt hat.</w:t>
      </w:r>
    </w:p>
    <w:p>
      <w:r>
        <w:t xml:space="preserve">(3) </w:t>
      </w:r>
      <w:r>
        <w:rPr>
          <w:rStyle w:val="Satznummer"/>
        </w:rPr>
        <w:t>1</w:t>
      </w:r>
      <w:hyperlink w:anchor="b567" w:history="1">
        <w:r>
          <w:rPr>
            <w:color w:val="0A3A8C"/>
            <w:u w:val="single"/>
          </w:rPr>
          <w:t xml:space="preserve">§ 439</w:t>
        </w:r>
      </w:hyperlink>
      <w:r>
        <w:t xml:space="preserve"> Absatz 6 ist mit der Maßgabe anzuwenden, dass Nutzungen nicht herauszugeben oder durch ihren Wert zu ersetzen sind. </w:t>
      </w:r>
      <w:r>
        <w:rPr>
          <w:rStyle w:val="Satznummer"/>
        </w:rPr>
        <w:t>2</w:t>
      </w:r>
      <w:r>
        <w:t xml:space="preserve">Die </w:t>
      </w:r>
      <w:hyperlink w:anchor="b570" w:history="1">
        <w:r>
          <w:rPr>
            <w:color w:val="0A3A8C"/>
            <w:u w:val="single"/>
          </w:rPr>
          <w:t xml:space="preserve">§§ 442</w:t>
        </w:r>
      </w:hyperlink>
      <w:r>
        <w:t xml:space="preserve">, </w:t>
      </w:r>
      <w:hyperlink w:anchor="b573" w:history="1">
        <w:r>
          <w:rPr>
            <w:color w:val="0A3A8C"/>
            <w:u w:val="single"/>
          </w:rPr>
          <w:t xml:space="preserve">445</w:t>
        </w:r>
      </w:hyperlink>
      <w:r>
        <w:t xml:space="preserve"> und </w:t>
      </w:r>
      <w:hyperlink w:anchor="b578" w:history="1">
        <w:r>
          <w:rPr>
            <w:color w:val="0A3A8C"/>
            <w:u w:val="single"/>
          </w:rPr>
          <w:t xml:space="preserve">447</w:t>
        </w:r>
      </w:hyperlink>
      <w:r>
        <w:t xml:space="preserve"> Absatz 2 sind nicht anzuwenden.</w:t>
      </w:r>
    </w:p>
    <w:p>
      <w:r>
        <w:t xml:space="preserve">(4) Bevor der Unternehmer die Nacherfüllung gemäß </w:t>
      </w:r>
      <w:hyperlink w:anchor="b567" w:history="1">
        <w:r>
          <w:rPr>
            <w:color w:val="0A3A8C"/>
            <w:u w:val="single"/>
          </w:rPr>
          <w:t xml:space="preserve">§ 439</w:t>
        </w:r>
      </w:hyperlink>
      <w:r>
        <w:t xml:space="preserve"> durchführt, hat er den Verbraucher darüber zu informieren,</w:t>
      </w:r>
    </w:p>
    <w:p>
      <w:pPr>
        <w:tabs>
          <w:tab w:pos="567" w:val="left"/>
        </w:tabs>
        <w:ind w:left="567" w:hanging="567"/>
      </w:pPr>
      <w:r>
        <w:t>1.</w:t>
      </w:r>
      <w:r>
        <w:tab/>
      </w:r>
      <w:r>
        <w:t xml:space="preserve">dass er das Wahlrecht nach </w:t>
      </w:r>
      <w:hyperlink w:anchor="b567" w:history="1">
        <w:r>
          <w:rPr>
            <w:color w:val="0A3A8C"/>
            <w:u w:val="single"/>
          </w:rPr>
          <w:t xml:space="preserve">§ 439</w:t>
        </w:r>
      </w:hyperlink>
      <w:r>
        <w:t xml:space="preserve"> Absatz 1 hat und</w:t>
      </w:r>
    </w:p>
    <w:p>
      <w:pPr>
        <w:tabs>
          <w:tab w:pos="567" w:val="left"/>
        </w:tabs>
        <w:ind w:left="567" w:hanging="567"/>
      </w:pPr>
      <w:r>
        <w:t>2.</w:t>
      </w:r>
      <w:r>
        <w:tab/>
      </w:r>
      <w:r>
        <w:t xml:space="preserve">dass sich bei einer Nacherfüllung durch Nachbesserung die ursprüngliche Verjährungsfrist von Ansprüchen wegen eines Mangels nach </w:t>
      </w:r>
      <w:hyperlink w:anchor="b616" w:history="1">
        <w:r>
          <w:rPr>
            <w:color w:val="0A3A8C"/>
            <w:u w:val="single"/>
          </w:rPr>
          <w:t xml:space="preserve">§ 475e</w:t>
        </w:r>
      </w:hyperlink>
      <w:r>
        <w:t xml:space="preserve"> Absatz 5 einmalig um zwölf Monate verlängert.</w:t>
      </w:r>
    </w:p>
    <w:p>
      <w:r>
        <w:t xml:space="preserve">(5) Der Verbraucher kann von dem Unternehmer für Aufwendungen, die ihm im Rahmen der Nacherfüllung gemäß </w:t>
      </w:r>
      <w:hyperlink w:anchor="b567" w:history="1">
        <w:r>
          <w:rPr>
            <w:color w:val="0A3A8C"/>
            <w:u w:val="single"/>
          </w:rPr>
          <w:t xml:space="preserve">§ 439</w:t>
        </w:r>
      </w:hyperlink>
      <w:r>
        <w:t xml:space="preserve"> Absatz 2 und 3 entstehen und die vom Unternehmer zu tragen sind, Vorschuss verlangen.</w:t>
      </w:r>
    </w:p>
    <w:p>
      <w:r>
        <w:t xml:space="preserve">(6) </w:t>
      </w:r>
      <w:r>
        <w:rPr>
          <w:rStyle w:val="Satznummer"/>
        </w:rPr>
        <w:t>1</w:t>
      </w:r>
      <w:r>
        <w:t xml:space="preserve">Der Unternehmer hat die Nacherfüllung innerhalb einer angemessenen Frist ab dem Zeitpunkt, zu dem der Verbraucher ihn über den Mangel unterrichtet hat, und ohne erhebliche Unannehmlichkeiten für den Verbraucher durchzuführen, wobei die Art der Ware sowie der Zweck, für den der Verbraucher die Ware benötigt, zu berücksichtigen sind. </w:t>
      </w:r>
      <w:r>
        <w:rPr>
          <w:rStyle w:val="Satznummer"/>
        </w:rPr>
        <w:t>2</w:t>
      </w:r>
      <w:r>
        <w:t xml:space="preserve">Der Unternehmer kann dem Verbraucher für die Dauer der Nachbesserung unentgeltlich eine Ersatzware zur Verfügung stellen. </w:t>
      </w:r>
      <w:r>
        <w:rPr>
          <w:rStyle w:val="Satznummer"/>
        </w:rPr>
        <w:t>3</w:t>
      </w:r>
      <w:r>
        <w:t xml:space="preserve">Dabei kann es sich auch um eine überholte Ware handeln. </w:t>
      </w:r>
      <w:r>
        <w:rPr>
          <w:rStyle w:val="Satznummer"/>
        </w:rPr>
        <w:t>4</w:t>
      </w:r>
      <w:r>
        <w:t>Bei der Nachlieferung darf der Unternehmer eine überholte Ware liefern, wenn der Verbraucher dies ausdrücklich verlangt hat.</w:t>
      </w:r>
    </w:p>
    <w:p>
      <w:r>
        <w:t xml:space="preserve">(7) </w:t>
      </w:r>
      <w:r>
        <w:rPr>
          <w:rStyle w:val="Satznummer"/>
        </w:rPr>
        <w:t>1</w:t>
      </w:r>
      <w:r>
        <w:t xml:space="preserve">Im Fall des Rücktritts oder des Schadensersatzes statt der ganzen Leistung wegen eines Mangels der Ware ist </w:t>
      </w:r>
      <w:hyperlink w:anchor="b451" w:history="1">
        <w:r>
          <w:rPr>
            <w:color w:val="0A3A8C"/>
            <w:u w:val="single"/>
          </w:rPr>
          <w:t xml:space="preserve">§ 346</w:t>
        </w:r>
      </w:hyperlink>
      <w:r>
        <w:t xml:space="preserve"> mit der Maßgabe anzuwenden, dass der Unternehmer die Kosten der Rückgabe der Ware trägt. </w:t>
      </w:r>
      <w:r>
        <w:rPr>
          <w:rStyle w:val="Satznummer"/>
        </w:rPr>
        <w:t>2</w:t>
      </w:r>
      <w:hyperlink w:anchor="b453" w:history="1">
        <w:r>
          <w:rPr>
            <w:color w:val="0A3A8C"/>
            <w:u w:val="single"/>
          </w:rPr>
          <w:t xml:space="preserve">§ 348</w:t>
        </w:r>
      </w:hyperlink>
      <w:r>
        <w:t xml:space="preserve"> ist mit der Maßgabe anzuwenden, dass der Nachweis des Verbrauchers über die Rücksendung der Rückgewähr der Ware gleichsteht.</w:t>
      </w:r>
    </w:p>
    <w:p>
      <w:pPr>
        <w:pStyle w:val="Heading5"/>
      </w:pPr>
      <w:bookmarkStart w:id="624" w:name="b612"/>
      <w:r>
        <w:t>§ 475a Verbrauchsgüterkaufvertrag über digitale Produkte</w:t>
      </w:r>
      <w:r>
        <w:t xml:space="preserve"> </w:t>
      </w:r>
      <w:r>
        <w:rPr>
          <w:rStyle w:val="Suchmarke"/>
        </w:rPr>
        <w:t>#475a#</w:t>
      </w:r>
      <w:bookmarkEnd w:id="624"/>
    </w:p>
    <w:p>
      <w:r>
        <w:t xml:space="preserve">(1) </w:t>
      </w:r>
      <w:r>
        <w:rPr>
          <w:rStyle w:val="Satznummer"/>
        </w:rPr>
        <w:t>1</w:t>
      </w:r>
      <w:r>
        <w:t xml:space="preserve">Auf einen Verbrauchsgüterkaufvertrag, welcher einen körperlichen Datenträger zum Gegenstand hat, der ausschließlich als Träger digitaler Inhalte dient, sind </w:t>
      </w:r>
      <w:hyperlink w:anchor="b561" w:history="1">
        <w:r>
          <w:rPr>
            <w:color w:val="0A3A8C"/>
            <w:u w:val="single"/>
          </w:rPr>
          <w:t xml:space="preserve">§ 433</w:t>
        </w:r>
      </w:hyperlink>
      <w:r>
        <w:t xml:space="preserve"> Absatz 1 Satz 2, die </w:t>
      </w:r>
      <w:hyperlink w:anchor="b562" w:history="1">
        <w:r>
          <w:rPr>
            <w:color w:val="0A3A8C"/>
            <w:u w:val="single"/>
          </w:rPr>
          <w:t xml:space="preserve">§§ 434</w:t>
        </w:r>
      </w:hyperlink>
      <w:r>
        <w:t xml:space="preserve"> bis </w:t>
      </w:r>
      <w:hyperlink w:anchor="b570" w:history="1">
        <w:r>
          <w:rPr>
            <w:color w:val="0A3A8C"/>
            <w:u w:val="single"/>
          </w:rPr>
          <w:t xml:space="preserve">442</w:t>
        </w:r>
      </w:hyperlink>
      <w:r>
        <w:t xml:space="preserve">, </w:t>
      </w:r>
      <w:hyperlink w:anchor="b611" w:history="1">
        <w:r>
          <w:rPr>
            <w:color w:val="0A3A8C"/>
            <w:u w:val="single"/>
          </w:rPr>
          <w:t xml:space="preserve">475</w:t>
        </w:r>
      </w:hyperlink>
      <w:r>
        <w:t xml:space="preserve"> Absatz 3 Satz 1, Absatz 4 bis 7 und die </w:t>
      </w:r>
      <w:hyperlink w:anchor="b613" w:history="1">
        <w:r>
          <w:rPr>
            <w:color w:val="0A3A8C"/>
            <w:u w:val="single"/>
          </w:rPr>
          <w:t xml:space="preserve">§§ 475b</w:t>
        </w:r>
      </w:hyperlink>
      <w:r>
        <w:t xml:space="preserve"> bis </w:t>
      </w:r>
      <w:hyperlink w:anchor="b616" w:history="1">
        <w:r>
          <w:rPr>
            <w:color w:val="0A3A8C"/>
            <w:u w:val="single"/>
          </w:rPr>
          <w:t xml:space="preserve">475e</w:t>
        </w:r>
      </w:hyperlink>
      <w:r>
        <w:t xml:space="preserve">, </w:t>
      </w:r>
      <w:hyperlink w:anchor="b617" w:history="1">
        <w:r>
          <w:rPr>
            <w:color w:val="0A3A8C"/>
            <w:u w:val="single"/>
          </w:rPr>
          <w:t xml:space="preserve">476</w:t>
        </w:r>
      </w:hyperlink>
      <w:r>
        <w:t xml:space="preserve"> und </w:t>
      </w:r>
      <w:hyperlink w:anchor="b618" w:history="1">
        <w:r>
          <w:rPr>
            <w:color w:val="0A3A8C"/>
            <w:u w:val="single"/>
          </w:rPr>
          <w:t xml:space="preserve">477</w:t>
        </w:r>
      </w:hyperlink>
      <w:r>
        <w:t xml:space="preserve"> über die Rechte bei Mängeln nicht anzuwenden. </w:t>
      </w:r>
      <w:r>
        <w:rPr>
          <w:rStyle w:val="Satznummer"/>
        </w:rPr>
        <w:t>2</w:t>
      </w:r>
      <w:r>
        <w:t>An die Stelle der nach Satz 1 nicht anzuwendenden Vorschriften treten die Vorschriften des Abschnitts 3 Titel 2a Untertitel 1.</w:t>
      </w:r>
    </w:p>
    <w:p>
      <w:r>
        <w:t xml:space="preserve">(2) </w:t>
      </w:r>
      <w:r>
        <w:rPr>
          <w:rStyle w:val="Satznummer"/>
        </w:rPr>
        <w:t>1</w:t>
      </w:r>
      <w:r>
        <w:t>Auf einen Verbrauchsgüterkaufvertrag über eine Ware, die in einer Weise digitale Produkte enthält oder mit digitalen Produkten verbunden ist, dass die Ware ihre Funktionen auch ohne diese digitalen Produkte erfüllen kann, sind im Hinblick auf diejenigen Bestandteile des Vertrags, welche die digitalen Produkte betreffen, die folgenden Vorschriften nicht anzuwenden:</w:t>
      </w:r>
    </w:p>
    <w:p>
      <w:pPr>
        <w:tabs>
          <w:tab w:pos="567" w:val="left"/>
        </w:tabs>
        <w:ind w:left="567" w:hanging="567"/>
      </w:pPr>
      <w:r>
        <w:t>1.</w:t>
      </w:r>
      <w:r>
        <w:tab/>
      </w:r>
      <w:hyperlink w:anchor="b561" w:history="1">
        <w:r>
          <w:rPr>
            <w:color w:val="0A3A8C"/>
            <w:u w:val="single"/>
          </w:rPr>
          <w:t xml:space="preserve">§ 433</w:t>
        </w:r>
      </w:hyperlink>
      <w:r>
        <w:t xml:space="preserve"> Absatz 1 Satz 1 und </w:t>
      </w:r>
      <w:hyperlink w:anchor="b611" w:history="1">
        <w:r>
          <w:rPr>
            <w:color w:val="0A3A8C"/>
            <w:u w:val="single"/>
          </w:rPr>
          <w:t xml:space="preserve">§ 475</w:t>
        </w:r>
      </w:hyperlink>
      <w:r>
        <w:t xml:space="preserve"> Absatz 1 über die Übergabe der Kaufsache und die Leistungszeit sowie</w:t>
      </w:r>
    </w:p>
    <w:p>
      <w:pPr>
        <w:tabs>
          <w:tab w:pos="567" w:val="left"/>
        </w:tabs>
        <w:ind w:left="567" w:hanging="567"/>
      </w:pPr>
      <w:r>
        <w:t>2.</w:t>
      </w:r>
      <w:r>
        <w:tab/>
      </w:r>
      <w:hyperlink w:anchor="b561" w:history="1">
        <w:r>
          <w:rPr>
            <w:color w:val="0A3A8C"/>
            <w:u w:val="single"/>
          </w:rPr>
          <w:t xml:space="preserve">§ 433</w:t>
        </w:r>
      </w:hyperlink>
      <w:r>
        <w:t xml:space="preserve"> Absatz 1 Satz 2, die </w:t>
      </w:r>
      <w:hyperlink w:anchor="b562" w:history="1">
        <w:r>
          <w:rPr>
            <w:color w:val="0A3A8C"/>
            <w:u w:val="single"/>
          </w:rPr>
          <w:t xml:space="preserve">§§ 434</w:t>
        </w:r>
      </w:hyperlink>
      <w:r>
        <w:t xml:space="preserve"> bis </w:t>
      </w:r>
      <w:hyperlink w:anchor="b570" w:history="1">
        <w:r>
          <w:rPr>
            <w:color w:val="0A3A8C"/>
            <w:u w:val="single"/>
          </w:rPr>
          <w:t xml:space="preserve">442</w:t>
        </w:r>
      </w:hyperlink>
      <w:r>
        <w:t xml:space="preserve">, </w:t>
      </w:r>
      <w:hyperlink w:anchor="b611" w:history="1">
        <w:r>
          <w:rPr>
            <w:color w:val="0A3A8C"/>
            <w:u w:val="single"/>
          </w:rPr>
          <w:t xml:space="preserve">475</w:t>
        </w:r>
      </w:hyperlink>
      <w:r>
        <w:t xml:space="preserve"> Absatz 3 Satz 1, Absatz 4 bis 7 und die </w:t>
      </w:r>
      <w:hyperlink w:anchor="b613" w:history="1">
        <w:r>
          <w:rPr>
            <w:color w:val="0A3A8C"/>
            <w:u w:val="single"/>
          </w:rPr>
          <w:t xml:space="preserve">§§ 475b</w:t>
        </w:r>
      </w:hyperlink>
      <w:r>
        <w:t xml:space="preserve"> bis </w:t>
      </w:r>
      <w:hyperlink w:anchor="b616" w:history="1">
        <w:r>
          <w:rPr>
            <w:color w:val="0A3A8C"/>
            <w:u w:val="single"/>
          </w:rPr>
          <w:t xml:space="preserve">475e</w:t>
        </w:r>
      </w:hyperlink>
      <w:r>
        <w:t xml:space="preserve">, </w:t>
      </w:r>
      <w:hyperlink w:anchor="b617" w:history="1">
        <w:r>
          <w:rPr>
            <w:color w:val="0A3A8C"/>
            <w:u w:val="single"/>
          </w:rPr>
          <w:t xml:space="preserve">476</w:t>
        </w:r>
      </w:hyperlink>
      <w:r>
        <w:t xml:space="preserve"> und </w:t>
      </w:r>
      <w:hyperlink w:anchor="b618" w:history="1">
        <w:r>
          <w:rPr>
            <w:color w:val="0A3A8C"/>
            <w:u w:val="single"/>
          </w:rPr>
          <w:t xml:space="preserve">477</w:t>
        </w:r>
      </w:hyperlink>
      <w:r>
        <w:t xml:space="preserve"> über die Rechte bei Mängeln.</w:t>
      </w:r>
    </w:p>
    <w:p>
      <w:r>
        <w:rPr>
          <w:rStyle w:val="Satznummer"/>
        </w:rPr>
        <w:t>2</w:t>
      </w:r>
      <w:r>
        <w:t>An die Stelle der nach Satz 1 nicht anzuwendenden Vorschriften treten die Vorschriften des Abschnitts 3 Titel 2a Untertitel 1.</w:t>
      </w:r>
    </w:p>
    <w:p>
      <w:pPr>
        <w:pStyle w:val="Heading5"/>
      </w:pPr>
      <w:bookmarkStart w:id="625" w:name="b613"/>
      <w:r>
        <w:t>§ 475b Sachmangel einer Ware mit digitalen Elementen</w:t>
      </w:r>
      <w:r>
        <w:t xml:space="preserve"> </w:t>
      </w:r>
      <w:r>
        <w:rPr>
          <w:rStyle w:val="Suchmarke"/>
        </w:rPr>
        <w:t>#475b#</w:t>
      </w:r>
      <w:bookmarkEnd w:id="625"/>
    </w:p>
    <w:p>
      <w:r>
        <w:t xml:space="preserve">(1) </w:t>
      </w:r>
      <w:r>
        <w:rPr>
          <w:rStyle w:val="Satznummer"/>
        </w:rPr>
        <w:t>1</w:t>
      </w:r>
      <w:r>
        <w:t>Für den Kauf einer Ware mit digitalen Elementen (</w:t>
      </w:r>
      <w:hyperlink w:anchor="b407" w:history="1">
        <w:r>
          <w:rPr>
            <w:color w:val="0A3A8C"/>
            <w:u w:val="single"/>
          </w:rPr>
          <w:t xml:space="preserve">§ 327a</w:t>
        </w:r>
      </w:hyperlink>
      <w:r>
        <w:t xml:space="preserve"> Absatz 3 Satz 1), bei dem sich der Unternehmer verpflichtet, dass er oder ein Dritter die digitalen Elemente bereitstellt, gelten ergänzend die Regelungen dieser Vorschrift. </w:t>
      </w:r>
      <w:r>
        <w:rPr>
          <w:rStyle w:val="Satznummer"/>
        </w:rPr>
        <w:t>2</w:t>
      </w:r>
      <w:r>
        <w:t xml:space="preserve">Hinsichtlich der Frage, ob die Verpflichtung des Unternehmers die Bereitstellung der digitalen Inhalte oder digitalen Dienstleistungen umfasst, gilt </w:t>
      </w:r>
      <w:hyperlink w:anchor="b407" w:history="1">
        <w:r>
          <w:rPr>
            <w:color w:val="0A3A8C"/>
            <w:u w:val="single"/>
          </w:rPr>
          <w:t xml:space="preserve">§ 327a</w:t>
        </w:r>
      </w:hyperlink>
      <w:r>
        <w:t xml:space="preserve"> Absatz 3 Satz 2.</w:t>
      </w:r>
    </w:p>
    <w:p>
      <w:r>
        <w:t>(2) Eine Ware mit digitalen Elementen ist frei von Sachmängeln, wenn sie bei Gefahrübergang und in Bezug auf eine Aktualisierungspflicht auch während des Zeitraums nach Absatz 3 Nummer 2 und Absatz 4 Nummer 2 den subjektiven Anforderungen, den objektiven Anforderungen, den Montageanforderungen und den Installationsanforderungen entspricht.</w:t>
      </w:r>
    </w:p>
    <w:p>
      <w:r>
        <w:t>(3) Eine Ware mit digitalen Elementen entspricht den subjektiven Anforderungen, wenn</w:t>
      </w:r>
    </w:p>
    <w:p>
      <w:pPr>
        <w:tabs>
          <w:tab w:pos="567" w:val="left"/>
        </w:tabs>
        <w:ind w:left="567" w:hanging="567"/>
      </w:pPr>
      <w:r>
        <w:t>1.</w:t>
      </w:r>
      <w:r>
        <w:tab/>
      </w:r>
      <w:r>
        <w:t xml:space="preserve">sie den Anforderungen des </w:t>
      </w:r>
      <w:hyperlink w:anchor="b562" w:history="1">
        <w:r>
          <w:rPr>
            <w:color w:val="0A3A8C"/>
            <w:u w:val="single"/>
          </w:rPr>
          <w:t xml:space="preserve">§ 434</w:t>
        </w:r>
      </w:hyperlink>
      <w:r>
        <w:t xml:space="preserve"> Absatz 2 entspricht und</w:t>
      </w:r>
    </w:p>
    <w:p>
      <w:pPr>
        <w:tabs>
          <w:tab w:pos="567" w:val="left"/>
        </w:tabs>
        <w:ind w:left="567" w:hanging="567"/>
      </w:pPr>
      <w:r>
        <w:t>2.</w:t>
      </w:r>
      <w:r>
        <w:tab/>
      </w:r>
      <w:r>
        <w:t>für die digitalen Elemente die im Kaufvertrag vereinbarten Aktualisierungen während des nach dem Vertrag maßgeblichen Zeitraums bereitgestellt werden.</w:t>
      </w:r>
    </w:p>
    <w:p>
      <w:r>
        <w:t>(4) Eine Ware mit digitalen Elementen entspricht den objektiven Anforderungen, wenn</w:t>
      </w:r>
    </w:p>
    <w:p>
      <w:pPr>
        <w:tabs>
          <w:tab w:pos="567" w:val="left"/>
        </w:tabs>
        <w:ind w:left="567" w:hanging="567"/>
      </w:pPr>
      <w:r>
        <w:t>1.</w:t>
      </w:r>
      <w:r>
        <w:tab/>
      </w:r>
      <w:r>
        <w:t xml:space="preserve">sie den Anforderungen des </w:t>
      </w:r>
      <w:hyperlink w:anchor="b562" w:history="1">
        <w:r>
          <w:rPr>
            <w:color w:val="0A3A8C"/>
            <w:u w:val="single"/>
          </w:rPr>
          <w:t xml:space="preserve">§ 434</w:t>
        </w:r>
      </w:hyperlink>
      <w:r>
        <w:t xml:space="preserve"> Absatz 3 entspricht und</w:t>
      </w:r>
    </w:p>
    <w:p>
      <w:pPr>
        <w:tabs>
          <w:tab w:pos="567" w:val="left"/>
        </w:tabs>
        <w:ind w:left="567" w:hanging="567"/>
      </w:pPr>
      <w:r>
        <w:t>2.</w:t>
      </w:r>
      <w:r>
        <w:tab/>
      </w:r>
      <w:r>
        <w:t>dem Verbraucher während des Zeitraums, den er aufgrund der Art und des Zwecks der Ware und ihrer digitalen Elemente sowie unter Berücksichtigung der Umstände und der Art des Vertrags erwarten kann, Aktualisierungen bereitgestellt werden, die für den Erhalt der Vertragsmäßigkeit der Ware erforderlich sind, und der Verbraucher über diese Aktualisierungen informiert wird.</w:t>
      </w:r>
    </w:p>
    <w:p>
      <w:r>
        <w:t>(5) Unterlässt es der Verbraucher, eine Aktualisierung, die ihm gemäß Absatz 4 bereitgestellt worden ist, innerhalb einer angemessenen Frist zu installieren, so haftet der Unternehmer nicht für einen Sachmangel, der allein auf das Fehlen dieser Aktualisierung zurückzuführen ist, wenn</w:t>
      </w:r>
    </w:p>
    <w:p>
      <w:pPr>
        <w:tabs>
          <w:tab w:pos="567" w:val="left"/>
        </w:tabs>
        <w:ind w:left="567" w:hanging="567"/>
      </w:pPr>
      <w:r>
        <w:t>1.</w:t>
      </w:r>
      <w:r>
        <w:tab/>
      </w:r>
      <w:r>
        <w:t>der Unternehmer den Verbraucher über die Verfügbarkeit der Aktualisierung und die Folgen einer unterlassenen Installation informiert hat und</w:t>
      </w:r>
    </w:p>
    <w:p>
      <w:pPr>
        <w:tabs>
          <w:tab w:pos="567" w:val="left"/>
        </w:tabs>
        <w:ind w:left="567" w:hanging="567"/>
      </w:pPr>
      <w:r>
        <w:t>2.</w:t>
      </w:r>
      <w:r>
        <w:tab/>
      </w:r>
      <w:r>
        <w:t>die Tatsache, dass der Verbraucher die Aktualisierung nicht oder unsachgemäß installiert hat, nicht auf eine dem Verbraucher bereitgestellte mangelhafte Installationsanleitung zurückzuführen ist.</w:t>
      </w:r>
    </w:p>
    <w:p>
      <w:r>
        <w:t>(6) Soweit eine Montage oder eine Installation durchzuführen ist, entspricht eine Ware mit digitalen Elementen</w:t>
      </w:r>
    </w:p>
    <w:p>
      <w:pPr>
        <w:tabs>
          <w:tab w:pos="567" w:val="left"/>
        </w:tabs>
        <w:ind w:left="567" w:hanging="567"/>
      </w:pPr>
      <w:r>
        <w:t>1.</w:t>
      </w:r>
      <w:r>
        <w:tab/>
      </w:r>
      <w:r>
        <w:t xml:space="preserve">den Montageanforderungen, wenn sie den Anforderungen des </w:t>
      </w:r>
      <w:hyperlink w:anchor="b562" w:history="1">
        <w:r>
          <w:rPr>
            <w:color w:val="0A3A8C"/>
            <w:u w:val="single"/>
          </w:rPr>
          <w:t xml:space="preserve">§ 434</w:t>
        </w:r>
      </w:hyperlink>
      <w:r>
        <w:t xml:space="preserve"> Absatz 4 entspricht, und</w:t>
      </w:r>
    </w:p>
    <w:p>
      <w:pPr>
        <w:tabs>
          <w:tab w:pos="567" w:val="left"/>
        </w:tabs>
        <w:ind w:left="567" w:hanging="567"/>
      </w:pPr>
      <w:r>
        <w:t>2.</w:t>
      </w:r>
      <w:r>
        <w:tab/>
      </w:r>
      <w:r>
        <w:t>den Installationsanforderungen, wenn die Installation</w:t>
      </w:r>
    </w:p>
    <w:p>
      <w:pPr>
        <w:tabs>
          <w:tab w:pos="1134" w:val="left"/>
        </w:tabs>
        <w:ind w:left="1134" w:hanging="567"/>
      </w:pPr>
      <w:r>
        <w:t>a)</w:t>
      </w:r>
      <w:r>
        <w:tab/>
      </w:r>
      <w:r>
        <w:t>der digitalen Elemente sachgemäß durchgeführt worden ist oder</w:t>
      </w:r>
    </w:p>
    <w:p>
      <w:pPr>
        <w:tabs>
          <w:tab w:pos="1134" w:val="left"/>
        </w:tabs>
        <w:ind w:left="1134" w:hanging="567"/>
      </w:pPr>
      <w:r>
        <w:t>b)</w:t>
      </w:r>
      <w:r>
        <w:tab/>
      </w:r>
      <w:r>
        <w:t>zwar unsachgemäß durchgeführt worden ist, dies jedoch weder auf einer unsachgemäßen Installation durch den Unternehmer noch auf einem Mangel der Anleitung beruht, die der Unternehmer oder derjenige übergeben hat, der die digitalen Elemente bereitgestellt hat.</w:t>
      </w:r>
    </w:p>
    <w:p>
      <w:pPr>
        <w:pStyle w:val="Heading5"/>
      </w:pPr>
      <w:bookmarkStart w:id="626" w:name="b614"/>
      <w:r>
        <w:t>§ 475c Sachmangel einer Ware mit digitalen Elementen bei dauerhafter Bereitstellung der digitalen Elemente</w:t>
      </w:r>
      <w:r>
        <w:t xml:space="preserve"> </w:t>
      </w:r>
      <w:r>
        <w:rPr>
          <w:rStyle w:val="Suchmarke"/>
        </w:rPr>
        <w:t>#475c#</w:t>
      </w:r>
      <w:bookmarkEnd w:id="626"/>
    </w:p>
    <w:p>
      <w:r>
        <w:t xml:space="preserve">(1) </w:t>
      </w:r>
      <w:r>
        <w:rPr>
          <w:rStyle w:val="Satznummer"/>
        </w:rPr>
        <w:t>1</w:t>
      </w:r>
      <w:r>
        <w:t xml:space="preserve">Ist beim Kauf einer Ware mit digitalen Elementen eine dauerhafte Bereitstellung für die digitalen Elemente vereinbart, so gelten ergänzend die Regelungen dieser Vorschrift. </w:t>
      </w:r>
      <w:r>
        <w:rPr>
          <w:rStyle w:val="Satznummer"/>
        </w:rPr>
        <w:t>2</w:t>
      </w:r>
      <w:r>
        <w:t xml:space="preserve">Haben die Parteien nicht bestimmt, wie lange die Bereitstellung andauern soll, so ist </w:t>
      </w:r>
      <w:hyperlink w:anchor="b613" w:history="1">
        <w:r>
          <w:rPr>
            <w:color w:val="0A3A8C"/>
            <w:u w:val="single"/>
          </w:rPr>
          <w:t xml:space="preserve">§ 475b</w:t>
        </w:r>
      </w:hyperlink>
      <w:r>
        <w:t xml:space="preserve"> Absatz 4 Nummer 2 entsprechend anzuwenden.</w:t>
      </w:r>
    </w:p>
    <w:p>
      <w:r>
        <w:t xml:space="preserve">(2) Der Unternehmer haftet über die </w:t>
      </w:r>
      <w:hyperlink w:anchor="b562" w:history="1">
        <w:r>
          <w:rPr>
            <w:color w:val="0A3A8C"/>
            <w:u w:val="single"/>
          </w:rPr>
          <w:t xml:space="preserve">§§ 434</w:t>
        </w:r>
      </w:hyperlink>
      <w:r>
        <w:t xml:space="preserve"> und </w:t>
      </w:r>
      <w:hyperlink w:anchor="b613" w:history="1">
        <w:r>
          <w:rPr>
            <w:color w:val="0A3A8C"/>
            <w:u w:val="single"/>
          </w:rPr>
          <w:t xml:space="preserve">475b</w:t>
        </w:r>
      </w:hyperlink>
      <w:r>
        <w:t xml:space="preserve"> hinaus auch dafür, dass die digitalen Elemente während des Bereitstellungszeitraums, mindestens aber für einen Zeitraum von zwei Jahren ab der Ablieferung der Ware, den Anforderungen des </w:t>
      </w:r>
      <w:hyperlink w:anchor="b613" w:history="1">
        <w:r>
          <w:rPr>
            <w:color w:val="0A3A8C"/>
            <w:u w:val="single"/>
          </w:rPr>
          <w:t xml:space="preserve">§ 475b</w:t>
        </w:r>
      </w:hyperlink>
      <w:r>
        <w:t xml:space="preserve"> Absatz 2 entsprechen.</w:t>
      </w:r>
    </w:p>
    <w:p>
      <w:pPr>
        <w:pStyle w:val="Heading5"/>
      </w:pPr>
      <w:bookmarkStart w:id="627" w:name="b615"/>
      <w:r>
        <w:t>§ 475d Sonderbestimmungen für Rücktritt und Schadensersatz</w:t>
      </w:r>
      <w:r>
        <w:t xml:space="preserve"> </w:t>
      </w:r>
      <w:r>
        <w:rPr>
          <w:rStyle w:val="Suchmarke"/>
        </w:rPr>
        <w:t>#475d#</w:t>
      </w:r>
      <w:bookmarkEnd w:id="627"/>
    </w:p>
    <w:p>
      <w:r>
        <w:t xml:space="preserve">(1) Für einen Rücktritt wegen eines Mangels der Ware bedarf es der in </w:t>
      </w:r>
      <w:hyperlink w:anchor="b400" w:history="1">
        <w:r>
          <w:rPr>
            <w:color w:val="0A3A8C"/>
            <w:u w:val="single"/>
          </w:rPr>
          <w:t xml:space="preserve">§ 323</w:t>
        </w:r>
      </w:hyperlink>
      <w:r>
        <w:t xml:space="preserve"> Absatz 1 bestimmten Fristsetzung zur Nacherfüllung abweichend von </w:t>
      </w:r>
      <w:hyperlink w:anchor="b400" w:history="1">
        <w:r>
          <w:rPr>
            <w:color w:val="0A3A8C"/>
            <w:u w:val="single"/>
          </w:rPr>
          <w:t xml:space="preserve">§ 323</w:t>
        </w:r>
      </w:hyperlink>
      <w:r>
        <w:t xml:space="preserve"> Absatz 2 und </w:t>
      </w:r>
      <w:hyperlink w:anchor="b568" w:history="1">
        <w:r>
          <w:rPr>
            <w:color w:val="0A3A8C"/>
            <w:u w:val="single"/>
          </w:rPr>
          <w:t xml:space="preserve">§ 440</w:t>
        </w:r>
      </w:hyperlink>
      <w:r>
        <w:t xml:space="preserve"> nicht, wenn</w:t>
      </w:r>
    </w:p>
    <w:p>
      <w:pPr>
        <w:tabs>
          <w:tab w:pos="567" w:val="left"/>
        </w:tabs>
        <w:ind w:left="567" w:hanging="567"/>
      </w:pPr>
      <w:r>
        <w:t>1.</w:t>
      </w:r>
      <w:r>
        <w:tab/>
      </w:r>
      <w:r>
        <w:t>der Unternehmer die Nacherfüllung trotz Ablaufs einer angemessenen Frist ab dem Zeitpunkt, zu dem der Verbraucher ihn über den Mangel unterrichtet hat, nicht vorgenommen hat,</w:t>
      </w:r>
    </w:p>
    <w:p>
      <w:pPr>
        <w:tabs>
          <w:tab w:pos="567" w:val="left"/>
        </w:tabs>
        <w:ind w:left="567" w:hanging="567"/>
      </w:pPr>
      <w:r>
        <w:t>2.</w:t>
      </w:r>
      <w:r>
        <w:tab/>
      </w:r>
      <w:r>
        <w:t>sich trotz der vom Unternehmer versuchten Nacherfüllung ein Mangel zeigt,</w:t>
      </w:r>
    </w:p>
    <w:p>
      <w:pPr>
        <w:tabs>
          <w:tab w:pos="567" w:val="left"/>
        </w:tabs>
        <w:ind w:left="567" w:hanging="567"/>
      </w:pPr>
      <w:r>
        <w:t>3.</w:t>
      </w:r>
      <w:r>
        <w:tab/>
      </w:r>
      <w:r>
        <w:t>der Mangel derart schwerwiegend ist, dass der sofortige Rücktritt gerechtfertigt ist,</w:t>
      </w:r>
    </w:p>
    <w:p>
      <w:pPr>
        <w:tabs>
          <w:tab w:pos="567" w:val="left"/>
        </w:tabs>
        <w:ind w:left="567" w:hanging="567"/>
      </w:pPr>
      <w:r>
        <w:t>4.</w:t>
      </w:r>
      <w:r>
        <w:tab/>
      </w:r>
      <w:r>
        <w:t xml:space="preserve">der Unternehmer die gemäß </w:t>
      </w:r>
      <w:hyperlink w:anchor="b567" w:history="1">
        <w:r>
          <w:rPr>
            <w:color w:val="0A3A8C"/>
            <w:u w:val="single"/>
          </w:rPr>
          <w:t xml:space="preserve">§ 439</w:t>
        </w:r>
      </w:hyperlink>
      <w:r>
        <w:t xml:space="preserve"> Absatz 1 oder 2 oder </w:t>
      </w:r>
      <w:hyperlink w:anchor="b611" w:history="1">
        <w:r>
          <w:rPr>
            <w:color w:val="0A3A8C"/>
            <w:u w:val="single"/>
          </w:rPr>
          <w:t xml:space="preserve">§ 475</w:t>
        </w:r>
      </w:hyperlink>
      <w:r>
        <w:t xml:space="preserve"> Absatz 6 ordnungsgemäße Nacherfüllung verweigert hat oder</w:t>
      </w:r>
    </w:p>
    <w:p>
      <w:pPr>
        <w:tabs>
          <w:tab w:pos="567" w:val="left"/>
        </w:tabs>
        <w:ind w:left="567" w:hanging="567"/>
      </w:pPr>
      <w:r>
        <w:t>5.</w:t>
      </w:r>
      <w:r>
        <w:tab/>
      </w:r>
      <w:r>
        <w:t xml:space="preserve">es nach den Umständen offensichtlich ist, dass der Unternehmer nicht gemäß </w:t>
      </w:r>
      <w:hyperlink w:anchor="b567" w:history="1">
        <w:r>
          <w:rPr>
            <w:color w:val="0A3A8C"/>
            <w:u w:val="single"/>
          </w:rPr>
          <w:t xml:space="preserve">§ 439</w:t>
        </w:r>
      </w:hyperlink>
      <w:r>
        <w:t xml:space="preserve"> Absatz 1 oder 2 oder </w:t>
      </w:r>
      <w:hyperlink w:anchor="b611" w:history="1">
        <w:r>
          <w:rPr>
            <w:color w:val="0A3A8C"/>
            <w:u w:val="single"/>
          </w:rPr>
          <w:t xml:space="preserve">§ 475</w:t>
        </w:r>
      </w:hyperlink>
      <w:r>
        <w:t xml:space="preserve"> Absatz 6 ordnungsgemäß nacherfüllen wird.</w:t>
      </w:r>
    </w:p>
    <w:p>
      <w:r>
        <w:t xml:space="preserve">(2) </w:t>
      </w:r>
      <w:r>
        <w:rPr>
          <w:rStyle w:val="Satznummer"/>
        </w:rPr>
        <w:t>1</w:t>
      </w:r>
      <w:r>
        <w:t xml:space="preserve">Für einen Anspruch auf Schadensersatz wegen eines Mangels der Ware bedarf es der in </w:t>
      </w:r>
      <w:hyperlink w:anchor="b325" w:history="1">
        <w:r>
          <w:rPr>
            <w:color w:val="0A3A8C"/>
            <w:u w:val="single"/>
          </w:rPr>
          <w:t xml:space="preserve">§ 281</w:t>
        </w:r>
      </w:hyperlink>
      <w:r>
        <w:t xml:space="preserve"> Absatz 1 bestimmten Fristsetzung in den in Absatz 1 bestimmten Fällen nicht. </w:t>
      </w:r>
      <w:r>
        <w:rPr>
          <w:rStyle w:val="Satznummer"/>
        </w:rPr>
        <w:t>2</w:t>
      </w:r>
      <w:hyperlink w:anchor="b325" w:history="1">
        <w:r>
          <w:rPr>
            <w:color w:val="0A3A8C"/>
            <w:u w:val="single"/>
          </w:rPr>
          <w:t xml:space="preserve">§ 281</w:t>
        </w:r>
      </w:hyperlink>
      <w:r>
        <w:t xml:space="preserve"> Absatz 2 und </w:t>
      </w:r>
      <w:hyperlink w:anchor="b568" w:history="1">
        <w:r>
          <w:rPr>
            <w:color w:val="0A3A8C"/>
            <w:u w:val="single"/>
          </w:rPr>
          <w:t xml:space="preserve">§ 440</w:t>
        </w:r>
      </w:hyperlink>
      <w:r>
        <w:t xml:space="preserve"> sind nicht anzuwenden.</w:t>
      </w:r>
    </w:p>
    <w:p>
      <w:pPr>
        <w:pStyle w:val="Heading5"/>
      </w:pPr>
      <w:bookmarkStart w:id="628" w:name="b616"/>
      <w:r>
        <w:t>§ 475e Sonderbestimmungen für die Verjährung</w:t>
      </w:r>
      <w:r>
        <w:t xml:space="preserve"> </w:t>
      </w:r>
      <w:r>
        <w:rPr>
          <w:rStyle w:val="Suchmarke"/>
        </w:rPr>
        <w:t>#475e#</w:t>
      </w:r>
      <w:bookmarkEnd w:id="628"/>
    </w:p>
    <w:p>
      <w:r>
        <w:t xml:space="preserve">(1) Im Fall der dauerhaften Bereitstellung digitaler Elemente nach </w:t>
      </w:r>
      <w:hyperlink w:anchor="b614" w:history="1">
        <w:r>
          <w:rPr>
            <w:color w:val="0A3A8C"/>
            <w:u w:val="single"/>
          </w:rPr>
          <w:t xml:space="preserve">§ 475c</w:t>
        </w:r>
      </w:hyperlink>
      <w:r>
        <w:t xml:space="preserve"> Absatz 1 Satz 1 verjähren Ansprüche wegen eines Mangels an den digitalen Elementen nicht vor dem Ablauf von zwölf Monaten nach dem Ende des Bereitstellungszeitraums.</w:t>
      </w:r>
    </w:p>
    <w:p>
      <w:r>
        <w:t xml:space="preserve">(2) Ansprüche wegen einer Verletzung der Aktualisierungspflicht nach </w:t>
      </w:r>
      <w:hyperlink w:anchor="b613" w:history="1">
        <w:r>
          <w:rPr>
            <w:color w:val="0A3A8C"/>
            <w:u w:val="single"/>
          </w:rPr>
          <w:t xml:space="preserve">§ 475b</w:t>
        </w:r>
      </w:hyperlink>
      <w:r>
        <w:t xml:space="preserve"> Absatz 3 oder 4 verjähren nicht vor dem Ablauf von zwölf Monaten nach dem Ende des Zeitraums der Aktualisierungspflicht.</w:t>
      </w:r>
    </w:p>
    <w:p>
      <w:r>
        <w:t>(3) Hat sich ein Mangel innerhalb der Verjährungsfrist gezeigt, so tritt die Verjährung nicht vor dem Ablauf von vier Monaten nach dem Zeitpunkt ein, in dem sich der Mangel erstmals gezeigt hat.</w:t>
      </w:r>
    </w:p>
    <w:p>
      <w:r>
        <w:t>(4) Hat der Verbraucher zur Nacherfüllung oder zur Erfüllung von Ansprüchen aus einer Garantie die Ware dem Unternehmer oder auf Veranlassung des Unternehmers einem Dritten übergeben, so tritt die Verjährung von Ansprüchen wegen des geltend gemachten Mangels nicht vor dem Ablauf von zwei Monaten nach dem Zeitpunkt ein, in dem die nachgebesserte oder ersetzte Ware dem Verbraucher übergeben wurde.</w:t>
      </w:r>
    </w:p>
    <w:p>
      <w:r>
        <w:t xml:space="preserve">(5) Wird Nacherfüllung gemäß </w:t>
      </w:r>
      <w:hyperlink w:anchor="b567" w:history="1">
        <w:r>
          <w:rPr>
            <w:color w:val="0A3A8C"/>
            <w:u w:val="single"/>
          </w:rPr>
          <w:t xml:space="preserve">§ 439</w:t>
        </w:r>
      </w:hyperlink>
      <w:r>
        <w:t xml:space="preserve"> durch Nachbesserung geleistet, verlängert sich die ursprüngliche Verjährungsfrist von Ansprüchen wegen eines Mangels einmalig um zwölf Monate.</w:t>
      </w:r>
    </w:p>
    <w:p>
      <w:pPr>
        <w:pStyle w:val="Heading5"/>
      </w:pPr>
      <w:bookmarkStart w:id="629" w:name="b617"/>
      <w:r>
        <w:t>§ 476 Abweichende Vereinbarungen</w:t>
      </w:r>
      <w:r>
        <w:t xml:space="preserve"> </w:t>
      </w:r>
      <w:r>
        <w:rPr>
          <w:rStyle w:val="Suchmarke"/>
        </w:rPr>
        <w:t>#476#</w:t>
      </w:r>
      <w:bookmarkEnd w:id="629"/>
    </w:p>
    <w:p>
      <w:r>
        <w:t xml:space="preserve">(1) </w:t>
      </w:r>
      <w:r>
        <w:rPr>
          <w:rStyle w:val="Satznummer"/>
        </w:rPr>
        <w:t>1</w:t>
      </w:r>
      <w:r>
        <w:t xml:space="preserve">Auf eine vor Mitteilung eines Mangels an den Unternehmer getroffene Vereinbarung, die zum Nachteil des Verbrauchers von den </w:t>
      </w:r>
      <w:hyperlink w:anchor="b561" w:history="1">
        <w:r>
          <w:rPr>
            <w:color w:val="0A3A8C"/>
            <w:u w:val="single"/>
          </w:rPr>
          <w:t xml:space="preserve">§§ 433</w:t>
        </w:r>
      </w:hyperlink>
      <w:r>
        <w:t xml:space="preserve"> bis </w:t>
      </w:r>
      <w:hyperlink w:anchor="b563" w:history="1">
        <w:r>
          <w:rPr>
            <w:color w:val="0A3A8C"/>
            <w:u w:val="single"/>
          </w:rPr>
          <w:t xml:space="preserve">435</w:t>
        </w:r>
      </w:hyperlink>
      <w:r>
        <w:t xml:space="preserve">, </w:t>
      </w:r>
      <w:hyperlink w:anchor="b565" w:history="1">
        <w:r>
          <w:rPr>
            <w:color w:val="0A3A8C"/>
            <w:u w:val="single"/>
          </w:rPr>
          <w:t xml:space="preserve">437</w:t>
        </w:r>
      </w:hyperlink>
      <w:r>
        <w:t xml:space="preserve">, </w:t>
      </w:r>
      <w:hyperlink w:anchor="b567" w:history="1">
        <w:r>
          <w:rPr>
            <w:color w:val="0A3A8C"/>
            <w:u w:val="single"/>
          </w:rPr>
          <w:t xml:space="preserve">439</w:t>
        </w:r>
      </w:hyperlink>
      <w:r>
        <w:t xml:space="preserve"> bis </w:t>
      </w:r>
      <w:hyperlink w:anchor="b569" w:history="1">
        <w:r>
          <w:rPr>
            <w:color w:val="0A3A8C"/>
            <w:u w:val="single"/>
          </w:rPr>
          <w:t xml:space="preserve">441</w:t>
        </w:r>
      </w:hyperlink>
      <w:r>
        <w:t xml:space="preserve"> und </w:t>
      </w:r>
      <w:hyperlink w:anchor="b571" w:history="1">
        <w:r>
          <w:rPr>
            <w:color w:val="0A3A8C"/>
            <w:u w:val="single"/>
          </w:rPr>
          <w:t xml:space="preserve">443</w:t>
        </w:r>
      </w:hyperlink>
      <w:r>
        <w:t xml:space="preserve"> sowie von den Vorschriften dieses Untertitels abweicht, kann der Unternehmer sich nicht berufen. </w:t>
      </w:r>
      <w:r>
        <w:rPr>
          <w:rStyle w:val="Satznummer"/>
        </w:rPr>
        <w:t>2</w:t>
      </w:r>
      <w:r>
        <w:t xml:space="preserve">Von den Anforderungen nach </w:t>
      </w:r>
      <w:hyperlink w:anchor="b562" w:history="1">
        <w:r>
          <w:rPr>
            <w:color w:val="0A3A8C"/>
            <w:u w:val="single"/>
          </w:rPr>
          <w:t xml:space="preserve">§ 434</w:t>
        </w:r>
      </w:hyperlink>
      <w:r>
        <w:t xml:space="preserve"> Absatz 3 oder </w:t>
      </w:r>
      <w:hyperlink w:anchor="b613" w:history="1">
        <w:r>
          <w:rPr>
            <w:color w:val="0A3A8C"/>
            <w:u w:val="single"/>
          </w:rPr>
          <w:t xml:space="preserve">§ 475b</w:t>
        </w:r>
      </w:hyperlink>
      <w:r>
        <w:t xml:space="preserve"> Absatz 4 kann vor Mitteilung eines Mangels an den Unternehmer durch Vertrag abgewichen werden, wenn</w:t>
      </w:r>
    </w:p>
    <w:p>
      <w:pPr>
        <w:tabs>
          <w:tab w:pos="567" w:val="left"/>
        </w:tabs>
        <w:ind w:left="567" w:hanging="567"/>
      </w:pPr>
      <w:r>
        <w:t>1.</w:t>
      </w:r>
      <w:r>
        <w:tab/>
      </w:r>
      <w:r>
        <w:t>der Verbraucher vor der Abgabe seiner Vertragserklärung eigens davon in Kenntnis gesetzt wurde, dass ein bestimmtes Merkmal der Ware von den objektiven Anforderungen abweicht, und</w:t>
      </w:r>
    </w:p>
    <w:p>
      <w:pPr>
        <w:tabs>
          <w:tab w:pos="567" w:val="left"/>
        </w:tabs>
        <w:ind w:left="567" w:hanging="567"/>
      </w:pPr>
      <w:r>
        <w:t>2.</w:t>
      </w:r>
      <w:r>
        <w:tab/>
      </w:r>
      <w:r>
        <w:t>die Abweichung im Sinne der Nummer 1 im Vertrag ausdrücklich und gesondert vereinbart wurde.</w:t>
      </w:r>
    </w:p>
    <w:p>
      <w:r>
        <w:t xml:space="preserve">(2) </w:t>
      </w:r>
      <w:r>
        <w:rPr>
          <w:rStyle w:val="Satznummer"/>
        </w:rPr>
        <w:t>1</w:t>
      </w:r>
      <w:r>
        <w:t xml:space="preserve">Die Verjährung der in </w:t>
      </w:r>
      <w:hyperlink w:anchor="b565" w:history="1">
        <w:r>
          <w:rPr>
            <w:color w:val="0A3A8C"/>
            <w:u w:val="single"/>
          </w:rPr>
          <w:t xml:space="preserve">§ 437</w:t>
        </w:r>
      </w:hyperlink>
      <w:r>
        <w:t xml:space="preserve"> bezeichneten Ansprüche kann vor Mitteilung eines Mangels an den Unternehmer nicht durch Rechtsgeschäft erleichtert werden, wenn die Vereinbarung zu einer Verjährungsfrist ab dem gesetzlichen Verjährungsbeginn von weniger als zwei Jahren, bei gebrauchten Waren von weniger als einem Jahr führt. </w:t>
      </w:r>
      <w:r>
        <w:rPr>
          <w:rStyle w:val="Satznummer"/>
        </w:rPr>
        <w:t>2</w:t>
      </w:r>
      <w:r>
        <w:t>Die Vereinbarung ist nur wirksam, wenn</w:t>
      </w:r>
    </w:p>
    <w:p>
      <w:pPr>
        <w:tabs>
          <w:tab w:pos="567" w:val="left"/>
        </w:tabs>
        <w:ind w:left="567" w:hanging="567"/>
      </w:pPr>
      <w:r>
        <w:t>1.</w:t>
      </w:r>
      <w:r>
        <w:tab/>
      </w:r>
      <w:r>
        <w:t>der Verbraucher vor der Abgabe seiner Vertragserklärung von der Verkürzung der Verjährungsfrist eigens in Kenntnis gesetzt wurde und</w:t>
      </w:r>
    </w:p>
    <w:p>
      <w:pPr>
        <w:tabs>
          <w:tab w:pos="567" w:val="left"/>
        </w:tabs>
        <w:ind w:left="567" w:hanging="567"/>
      </w:pPr>
      <w:r>
        <w:t>2.</w:t>
      </w:r>
      <w:r>
        <w:tab/>
      </w:r>
      <w:r>
        <w:t>die Verkürzung der Verjährungsfrist im Vertrag ausdrücklich und gesondert vereinbart wurde.</w:t>
      </w:r>
    </w:p>
    <w:p>
      <w:r>
        <w:t xml:space="preserve">(3) Die Absätze 1 und 2 gelten unbeschadet der </w:t>
      </w:r>
      <w:hyperlink w:anchor="b357" w:history="1">
        <w:r>
          <w:rPr>
            <w:color w:val="0A3A8C"/>
            <w:u w:val="single"/>
          </w:rPr>
          <w:t xml:space="preserve">§§ 307</w:t>
        </w:r>
      </w:hyperlink>
      <w:r>
        <w:t xml:space="preserve"> bis </w:t>
      </w:r>
      <w:hyperlink w:anchor="b359" w:history="1">
        <w:r>
          <w:rPr>
            <w:color w:val="0A3A8C"/>
            <w:u w:val="single"/>
          </w:rPr>
          <w:t xml:space="preserve">309</w:t>
        </w:r>
      </w:hyperlink>
      <w:r>
        <w:t xml:space="preserve"> nicht für den Ausschluss oder die Beschränkung des Anspruchs auf Schadensersatz.</w:t>
      </w:r>
    </w:p>
    <w:p>
      <w:r>
        <w:t>(4) Die Regelungen der Absätze 1 und 2 sind auch anzuwenden, wenn sie durch anderweitige Gestaltungen umgangen werden.</w:t>
      </w:r>
    </w:p>
    <w:p>
      <w:pPr>
        <w:pStyle w:val="Heading5"/>
      </w:pPr>
      <w:bookmarkStart w:id="630" w:name="b618"/>
      <w:r>
        <w:t>§ 477 Beweislastumkehr</w:t>
      </w:r>
      <w:r>
        <w:t xml:space="preserve"> </w:t>
      </w:r>
      <w:r>
        <w:rPr>
          <w:rStyle w:val="Suchmarke"/>
        </w:rPr>
        <w:t>#477#</w:t>
      </w:r>
      <w:bookmarkEnd w:id="630"/>
    </w:p>
    <w:p>
      <w:r>
        <w:t xml:space="preserve">(1) </w:t>
      </w:r>
      <w:r>
        <w:rPr>
          <w:rStyle w:val="Satznummer"/>
        </w:rPr>
        <w:t>1</w:t>
      </w:r>
      <w:r>
        <w:t xml:space="preserve">Zeigt sich innerhalb eines Jahres seit Gefahrübergang ein von den Anforderungen nach </w:t>
      </w:r>
      <w:hyperlink w:anchor="b562" w:history="1">
        <w:r>
          <w:rPr>
            <w:color w:val="0A3A8C"/>
            <w:u w:val="single"/>
          </w:rPr>
          <w:t xml:space="preserve">§ 434</w:t>
        </w:r>
      </w:hyperlink>
      <w:r>
        <w:t xml:space="preserve"> oder </w:t>
      </w:r>
      <w:hyperlink w:anchor="b613" w:history="1">
        <w:r>
          <w:rPr>
            <w:color w:val="0A3A8C"/>
            <w:u w:val="single"/>
          </w:rPr>
          <w:t xml:space="preserve">§ 475b</w:t>
        </w:r>
      </w:hyperlink>
      <w:r>
        <w:t xml:space="preserve"> abweichender Zustand der Ware, so wird vermutet, dass die Ware bereits bei Gefahrübergang mangelhaft war, es sei denn, diese Vermutung ist mit der Art der Ware oder des mangelhaften Zustands unvereinbar. </w:t>
      </w:r>
      <w:r>
        <w:rPr>
          <w:rStyle w:val="Satznummer"/>
        </w:rPr>
        <w:t>2</w:t>
      </w:r>
      <w:r>
        <w:t>Beim Kauf eines lebenden Tieres gilt diese Vermutung für einen Zeitraum von sechs Monaten seit Gefahrübergang.</w:t>
      </w:r>
    </w:p>
    <w:p>
      <w:r>
        <w:t xml:space="preserve">(2) Ist bei Waren mit digitalen Elementen die dauerhafte Bereitstellung der digitalen Elemente im Kaufvertrag vereinbart und zeigt sich ein von den vertraglichen Anforderungen nach </w:t>
      </w:r>
      <w:hyperlink w:anchor="b562" w:history="1">
        <w:r>
          <w:rPr>
            <w:color w:val="0A3A8C"/>
            <w:u w:val="single"/>
          </w:rPr>
          <w:t xml:space="preserve">§ 434</w:t>
        </w:r>
      </w:hyperlink>
      <w:r>
        <w:t xml:space="preserve"> oder </w:t>
      </w:r>
      <w:hyperlink w:anchor="b613" w:history="1">
        <w:r>
          <w:rPr>
            <w:color w:val="0A3A8C"/>
            <w:u w:val="single"/>
          </w:rPr>
          <w:t xml:space="preserve">§ 475b</w:t>
        </w:r>
      </w:hyperlink>
      <w:r>
        <w:t xml:space="preserve"> abweichender Zustand der digitalen Elemente während der Dauer der Bereitstellung oder innerhalb eines Zeitraums von zwei Jahren seit Gefahrübergang, so wird vermutet, dass die digitalen Elemente während der bisherigen Dauer der Bereitstellung mangelhaft waren.</w:t>
      </w:r>
    </w:p>
    <w:p>
      <w:pPr>
        <w:pStyle w:val="Heading5"/>
      </w:pPr>
      <w:bookmarkStart w:id="631" w:name="b619"/>
      <w:r>
        <w:t>§ 478 Sonderbestimmungen für den Rückgriff des Unternehmers</w:t>
      </w:r>
      <w:r>
        <w:t xml:space="preserve"> </w:t>
      </w:r>
      <w:r>
        <w:rPr>
          <w:rStyle w:val="Suchmarke"/>
        </w:rPr>
        <w:t>#478#</w:t>
      </w:r>
      <w:bookmarkEnd w:id="631"/>
    </w:p>
    <w:p>
      <w:r>
        <w:t>(1) Ist der letzte Vertrag in der Lieferkette ein Verbrauchsgüterkauf (</w:t>
      </w:r>
      <w:hyperlink w:anchor="b610" w:history="1">
        <w:r>
          <w:rPr>
            <w:color w:val="0A3A8C"/>
            <w:u w:val="single"/>
          </w:rPr>
          <w:t xml:space="preserve">§ 474</w:t>
        </w:r>
      </w:hyperlink>
      <w:r>
        <w:t xml:space="preserve">), findet § 477 in den Fällen des </w:t>
      </w:r>
      <w:hyperlink w:anchor="b574" w:history="1">
        <w:r>
          <w:rPr>
            <w:color w:val="0A3A8C"/>
            <w:u w:val="single"/>
          </w:rPr>
          <w:t xml:space="preserve">§ 445a</w:t>
        </w:r>
      </w:hyperlink>
      <w:r>
        <w:t xml:space="preserve"> Absatz 1 und 2 mit der Maßgabe Anwendung, dass die Frist mit dem Übergang der Gefahr auf den Verbraucher beginnt.</w:t>
      </w:r>
    </w:p>
    <w:p>
      <w:r>
        <w:t xml:space="preserve">(2) </w:t>
      </w:r>
      <w:r>
        <w:rPr>
          <w:rStyle w:val="Satznummer"/>
        </w:rPr>
        <w:t>1</w:t>
      </w:r>
      <w:r>
        <w:t xml:space="preserve">Auf eine vor Mitteilung eines Mangels an den Lieferanten getroffene Vereinbarung, die zum Nachteil des Unternehmers von Absatz 1 sowie von den </w:t>
      </w:r>
      <w:hyperlink w:anchor="b561" w:history="1">
        <w:r>
          <w:rPr>
            <w:color w:val="0A3A8C"/>
            <w:u w:val="single"/>
          </w:rPr>
          <w:t xml:space="preserve">§§ 433</w:t>
        </w:r>
      </w:hyperlink>
      <w:r>
        <w:t xml:space="preserve"> bis </w:t>
      </w:r>
      <w:hyperlink w:anchor="b563" w:history="1">
        <w:r>
          <w:rPr>
            <w:color w:val="0A3A8C"/>
            <w:u w:val="single"/>
          </w:rPr>
          <w:t xml:space="preserve">435</w:t>
        </w:r>
      </w:hyperlink>
      <w:r>
        <w:t xml:space="preserve">, </w:t>
      </w:r>
      <w:hyperlink w:anchor="b565" w:history="1">
        <w:r>
          <w:rPr>
            <w:color w:val="0A3A8C"/>
            <w:u w:val="single"/>
          </w:rPr>
          <w:t xml:space="preserve">437</w:t>
        </w:r>
      </w:hyperlink>
      <w:r>
        <w:t xml:space="preserve">, </w:t>
      </w:r>
      <w:hyperlink w:anchor="b567" w:history="1">
        <w:r>
          <w:rPr>
            <w:color w:val="0A3A8C"/>
            <w:u w:val="single"/>
          </w:rPr>
          <w:t xml:space="preserve">439</w:t>
        </w:r>
      </w:hyperlink>
      <w:r>
        <w:t xml:space="preserve"> bis </w:t>
      </w:r>
      <w:hyperlink w:anchor="b571" w:history="1">
        <w:r>
          <w:rPr>
            <w:color w:val="0A3A8C"/>
            <w:u w:val="single"/>
          </w:rPr>
          <w:t xml:space="preserve">443</w:t>
        </w:r>
      </w:hyperlink>
      <w:r>
        <w:t xml:space="preserve">, </w:t>
      </w:r>
      <w:hyperlink w:anchor="b574" w:history="1">
        <w:r>
          <w:rPr>
            <w:color w:val="0A3A8C"/>
            <w:u w:val="single"/>
          </w:rPr>
          <w:t xml:space="preserve">445a</w:t>
        </w:r>
      </w:hyperlink>
      <w:r>
        <w:t xml:space="preserve"> Absatz 1 und 2 sowie den </w:t>
      </w:r>
      <w:hyperlink w:anchor="b575" w:history="1">
        <w:r>
          <w:rPr>
            <w:color w:val="0A3A8C"/>
            <w:u w:val="single"/>
          </w:rPr>
          <w:t xml:space="preserve">§§ 445b</w:t>
        </w:r>
      </w:hyperlink>
      <w:r>
        <w:t xml:space="preserve">, </w:t>
      </w:r>
      <w:hyperlink w:anchor="b613" w:history="1">
        <w:r>
          <w:rPr>
            <w:color w:val="0A3A8C"/>
            <w:u w:val="single"/>
          </w:rPr>
          <w:t xml:space="preserve">475b</w:t>
        </w:r>
      </w:hyperlink>
      <w:r>
        <w:t xml:space="preserve"> und </w:t>
      </w:r>
      <w:hyperlink w:anchor="b614" w:history="1">
        <w:r>
          <w:rPr>
            <w:color w:val="0A3A8C"/>
            <w:u w:val="single"/>
          </w:rPr>
          <w:t xml:space="preserve">475c</w:t>
        </w:r>
      </w:hyperlink>
      <w:r>
        <w:t xml:space="preserve"> abweicht, kann sich der Lieferant nicht berufen, wenn dem Rückgriffsgläubiger kein gleichwertiger Ausgleich eingeräumt wird. </w:t>
      </w:r>
      <w:r>
        <w:rPr>
          <w:rStyle w:val="Satznummer"/>
        </w:rPr>
        <w:t>2</w:t>
      </w:r>
      <w:r>
        <w:t xml:space="preserve">Satz 1 gilt unbeschadet des </w:t>
      </w:r>
      <w:hyperlink w:anchor="b357" w:history="1">
        <w:r>
          <w:rPr>
            <w:color w:val="0A3A8C"/>
            <w:u w:val="single"/>
          </w:rPr>
          <w:t xml:space="preserve">§ 307</w:t>
        </w:r>
      </w:hyperlink>
      <w:r>
        <w:t xml:space="preserve"> nicht für den Ausschluss oder die Beschränkung des Anspruchs auf Schadensersatz. </w:t>
      </w:r>
      <w:r>
        <w:rPr>
          <w:rStyle w:val="Satznummer"/>
        </w:rPr>
        <w:t>3</w:t>
      </w:r>
      <w:r>
        <w:t>Die in Satz 1 bezeichneten Vorschriften finden auch Anwendung, wenn sie durch anderweitige Gestaltungen umgangen werden.</w:t>
      </w:r>
    </w:p>
    <w:p>
      <w:r>
        <w:t>(3) Die Absätze 1 und 2 finden auf die Ansprüche des Lieferanten und der übrigen Käufer in der Lieferkette gegen die jeweiligen Verkäufer entsprechende Anwendung, wenn die Schuldner Unternehmer sind.</w:t>
      </w:r>
    </w:p>
    <w:p>
      <w:pPr>
        <w:pStyle w:val="Heading5"/>
      </w:pPr>
      <w:bookmarkStart w:id="632" w:name="b620"/>
      <w:r>
        <w:t>§ 479 Sonderbestimmungen für Garantien</w:t>
      </w:r>
      <w:r>
        <w:t xml:space="preserve"> </w:t>
      </w:r>
      <w:r>
        <w:rPr>
          <w:rStyle w:val="Suchmarke"/>
        </w:rPr>
        <w:t>#479#</w:t>
      </w:r>
      <w:bookmarkEnd w:id="632"/>
    </w:p>
    <w:p>
      <w:r>
        <w:t xml:space="preserve">(1) </w:t>
      </w:r>
      <w:r>
        <w:rPr>
          <w:rStyle w:val="Satznummer"/>
        </w:rPr>
        <w:t>1</w:t>
      </w:r>
      <w:r>
        <w:t>Eine Garantieerklärung (</w:t>
      </w:r>
      <w:hyperlink w:anchor="b571" w:history="1">
        <w:r>
          <w:rPr>
            <w:color w:val="0A3A8C"/>
            <w:u w:val="single"/>
          </w:rPr>
          <w:t xml:space="preserve">§ 443</w:t>
        </w:r>
      </w:hyperlink>
      <w:r>
        <w:t xml:space="preserve">) muss einfach und verständlich abgefasst sein. </w:t>
      </w:r>
      <w:r>
        <w:rPr>
          <w:rStyle w:val="Satznummer"/>
        </w:rPr>
        <w:t>2</w:t>
      </w:r>
      <w:r>
        <w:t>Sie muss Folgendes enthalten:</w:t>
      </w:r>
    </w:p>
    <w:p>
      <w:pPr>
        <w:tabs>
          <w:tab w:pos="567" w:val="left"/>
        </w:tabs>
        <w:ind w:left="567" w:hanging="567"/>
      </w:pPr>
      <w:r>
        <w:t>1.</w:t>
      </w:r>
      <w:r>
        <w:tab/>
      </w:r>
      <w:r>
        <w:t>den Hinweis auf die gesetzlichen Rechte des Verbrauchers bei Mängeln, darauf, dass die Inanspruchnahme dieser Rechte unentgeltlich ist sowie darauf, dass diese Rechte durch die Garantie nicht eingeschränkt werden,</w:t>
      </w:r>
    </w:p>
    <w:p>
      <w:pPr>
        <w:tabs>
          <w:tab w:pos="567" w:val="left"/>
        </w:tabs>
        <w:ind w:left="567" w:hanging="567"/>
      </w:pPr>
      <w:r>
        <w:t>2.</w:t>
      </w:r>
      <w:r>
        <w:tab/>
      </w:r>
      <w:r>
        <w:t>den Namen und die Anschrift des Garantiegebers,</w:t>
      </w:r>
    </w:p>
    <w:p>
      <w:pPr>
        <w:tabs>
          <w:tab w:pos="567" w:val="left"/>
        </w:tabs>
        <w:ind w:left="567" w:hanging="567"/>
      </w:pPr>
      <w:r>
        <w:t>3.</w:t>
      </w:r>
      <w:r>
        <w:tab/>
      </w:r>
      <w:r>
        <w:t>das vom Verbraucher einzuhaltende Verfahren für die Geltendmachung der Garantie,</w:t>
      </w:r>
    </w:p>
    <w:p>
      <w:pPr>
        <w:tabs>
          <w:tab w:pos="567" w:val="left"/>
        </w:tabs>
        <w:ind w:left="567" w:hanging="567"/>
      </w:pPr>
      <w:r>
        <w:t>4.</w:t>
      </w:r>
      <w:r>
        <w:tab/>
      </w:r>
      <w:r>
        <w:t>die Nennung der Ware, auf die sich die Garantie bezieht, und</w:t>
      </w:r>
    </w:p>
    <w:p>
      <w:pPr>
        <w:tabs>
          <w:tab w:pos="567" w:val="left"/>
        </w:tabs>
        <w:ind w:left="567" w:hanging="567"/>
      </w:pPr>
      <w:r>
        <w:t>5.</w:t>
      </w:r>
      <w:r>
        <w:tab/>
      </w:r>
      <w:r>
        <w:t>die Bestimmungen der Garantie, insbesondere die Dauer und den räumlichen Geltungsbereich des Garantieschutzes.</w:t>
      </w:r>
    </w:p>
    <w:p>
      <w:r>
        <w:t>(2) Die Garantieerklärung ist dem Verbraucher spätestens zum Zeitpunkt der Lieferung der Ware auf einem dauerhaften Datenträger zur Verfügung zu stellen.</w:t>
      </w:r>
    </w:p>
    <w:p>
      <w:r>
        <w:t xml:space="preserve">(3) Hat der Hersteller gegenüber dem Verbraucher eine Haltbarkeitsgarantie übernommen, so hat der Verbraucher gegen den Hersteller während des Zeitraums der Garantie mindestens einen Anspruch auf Nacherfüllung gemäß </w:t>
      </w:r>
      <w:hyperlink w:anchor="b567" w:history="1">
        <w:r>
          <w:rPr>
            <w:color w:val="0A3A8C"/>
            <w:u w:val="single"/>
          </w:rPr>
          <w:t xml:space="preserve">§ 439</w:t>
        </w:r>
      </w:hyperlink>
      <w:r>
        <w:t xml:space="preserve"> Absatz 2, 3, 5 und 6 Satz 2 und </w:t>
      </w:r>
      <w:hyperlink w:anchor="b611" w:history="1">
        <w:r>
          <w:rPr>
            <w:color w:val="0A3A8C"/>
            <w:u w:val="single"/>
          </w:rPr>
          <w:t xml:space="preserve">§ 475</w:t>
        </w:r>
      </w:hyperlink>
      <w:r>
        <w:t xml:space="preserve"> Absatz 3 Satz 1 und Absatz 6.</w:t>
      </w:r>
    </w:p>
    <w:p>
      <w:r>
        <w:t>(4) Die Wirksamkeit der Garantieverpflichtung wird nicht dadurch berührt, dass eine der vorstehenden Anforderungen nicht erfüllt wird.</w:t>
      </w:r>
    </w:p>
    <w:p>
      <w:pPr>
        <w:pStyle w:val="Heading4"/>
      </w:pPr>
      <w:bookmarkStart w:id="633" w:name="b621"/>
      <w:r>
        <w:t>Untertitel 4 Reparaturverpflichtung des Herstellers</w:t>
      </w:r>
      <w:bookmarkEnd w:id="633"/>
    </w:p>
    <w:p>
      <w:pPr>
        <w:pStyle w:val="Heading5"/>
      </w:pPr>
      <w:bookmarkStart w:id="634" w:name="b622"/>
      <w:r>
        <w:t>§ 479a Anwendungsbereich</w:t>
      </w:r>
      <w:r>
        <w:t xml:space="preserve"> </w:t>
      </w:r>
      <w:r>
        <w:rPr>
          <w:rStyle w:val="Suchmarke"/>
        </w:rPr>
        <w:t>#479a#</w:t>
      </w:r>
      <w:bookmarkEnd w:id="634"/>
    </w:p>
    <w:p>
      <w:r>
        <w:t>Die Vorschriften dieses Untertitels gelten für Waren,</w:t>
      </w:r>
    </w:p>
    <w:p>
      <w:pPr>
        <w:tabs>
          <w:tab w:pos="567" w:val="left"/>
        </w:tabs>
        <w:ind w:left="567" w:hanging="567"/>
      </w:pPr>
      <w:r>
        <w:t>1.</w:t>
      </w:r>
      <w:r>
        <w:tab/>
      </w:r>
      <w:r>
        <w:t>die Produktgruppen angehören, die in Anhang II der Richtlinie (EU) 2024/1799 aufgeführt sind,</w:t>
      </w:r>
    </w:p>
    <w:p>
      <w:pPr>
        <w:tabs>
          <w:tab w:pos="567" w:val="left"/>
        </w:tabs>
        <w:ind w:left="567" w:hanging="567"/>
      </w:pPr>
      <w:r>
        <w:t>2.</w:t>
      </w:r>
      <w:r>
        <w:tab/>
      </w:r>
      <w:r>
        <w:t>die ein Verbraucher gekauft hat und</w:t>
      </w:r>
    </w:p>
    <w:p>
      <w:pPr>
        <w:tabs>
          <w:tab w:pos="567" w:val="left"/>
        </w:tabs>
        <w:ind w:left="567" w:hanging="567"/>
      </w:pPr>
      <w:r>
        <w:t>3.</w:t>
      </w:r>
      <w:r>
        <w:tab/>
      </w:r>
      <w:r>
        <w:t xml:space="preserve">für die dem Verbraucher die in </w:t>
      </w:r>
      <w:hyperlink w:anchor="b565" w:history="1">
        <w:r>
          <w:rPr>
            <w:color w:val="0A3A8C"/>
            <w:u w:val="single"/>
          </w:rPr>
          <w:t xml:space="preserve">§ 437</w:t>
        </w:r>
      </w:hyperlink>
      <w:r>
        <w:t xml:space="preserve"> genannten Rechte nicht zustehen.</w:t>
      </w:r>
    </w:p>
    <w:p>
      <w:pPr>
        <w:pStyle w:val="Heading5"/>
      </w:pPr>
      <w:bookmarkStart w:id="635" w:name="b623"/>
      <w:r>
        <w:t>§ 479b Reparaturverpflichtung</w:t>
      </w:r>
      <w:r>
        <w:t xml:space="preserve"> </w:t>
      </w:r>
      <w:r>
        <w:rPr>
          <w:rStyle w:val="Suchmarke"/>
        </w:rPr>
        <w:t>#479b#</w:t>
      </w:r>
      <w:bookmarkEnd w:id="635"/>
    </w:p>
    <w:p>
      <w:r>
        <w:t xml:space="preserve">(1) </w:t>
      </w:r>
      <w:r>
        <w:rPr>
          <w:rStyle w:val="Satznummer"/>
        </w:rPr>
        <w:t>1</w:t>
      </w:r>
      <w:r>
        <w:t xml:space="preserve">Der Hersteller einer Ware, die in den Anwendungsbereich des </w:t>
      </w:r>
      <w:hyperlink w:anchor="b622" w:history="1">
        <w:r>
          <w:rPr>
            <w:color w:val="0A3A8C"/>
            <w:u w:val="single"/>
          </w:rPr>
          <w:t xml:space="preserve">§ 479a</w:t>
        </w:r>
      </w:hyperlink>
      <w:r>
        <w:t xml:space="preserve"> fällt, ist verpflichtet, die Ware auf Verlangen eines Verbrauchers zu reparieren. </w:t>
      </w:r>
      <w:r>
        <w:rPr>
          <w:rStyle w:val="Satznummer"/>
        </w:rPr>
        <w:t>2</w:t>
      </w:r>
      <w:r>
        <w:t>Der Hersteller hat die Reparatur gemäß Artikel 2 Nummer 20 der Verordnung (EU) 2024/1781 in der Fassung vom 13. Juni 2024 innerhalb eines angemessenen Zeitraums durchzuführen, sobald sich die Ware in seinem Besitz befindet oder er Zugang zu der Ware hat, und die Ware in einen Zustand zurückzuversetzen, in dem der vorgesehene Verwendungszweck erfüllt wird.</w:t>
      </w:r>
    </w:p>
    <w:p>
      <w:r>
        <w:t xml:space="preserve">(2) </w:t>
      </w:r>
      <w:r>
        <w:rPr>
          <w:rStyle w:val="Satznummer"/>
        </w:rPr>
        <w:t>1</w:t>
      </w:r>
      <w:r>
        <w:t xml:space="preserve">Der Anspruch nach Absatz 1 besteht, solange und soweit der Hersteller die Reparierbarkeit der Waren, einschließlich der Verfügbarkeit von Ersatzteilen, nach den in Anhang II der Richtlinie (EU) 2024/1799 aufgeführten Rechtsakten der Europäischen Union gewährleisten muss. </w:t>
      </w:r>
      <w:r>
        <w:rPr>
          <w:rStyle w:val="Satznummer"/>
        </w:rPr>
        <w:t>2</w:t>
      </w:r>
      <w:r>
        <w:t xml:space="preserve">Er besteht nicht, wenn die Reparatur tatsächlich oder rechtlich unmöglich ist. </w:t>
      </w:r>
      <w:r>
        <w:rPr>
          <w:rStyle w:val="Satznummer"/>
        </w:rPr>
        <w:t>3</w:t>
      </w:r>
      <w:r>
        <w:t>Der Hersteller darf die Reparatur nicht allein deshalb ablehnen, weil eine frühere Reparatur von anderen Reparaturbetrieben oder anderen Personen vorgenommen wurde.</w:t>
      </w:r>
    </w:p>
    <w:p>
      <w:r>
        <w:t xml:space="preserve">(3) </w:t>
      </w:r>
      <w:r>
        <w:rPr>
          <w:rStyle w:val="Satznummer"/>
        </w:rPr>
        <w:t>1</w:t>
      </w:r>
      <w:r>
        <w:t xml:space="preserve">Die Reparatur erfolgt entweder unentgeltlich oder gegen ein angemessenes Entgelt. </w:t>
      </w:r>
      <w:r>
        <w:rPr>
          <w:rStyle w:val="Satznummer"/>
        </w:rPr>
        <w:t>2</w:t>
      </w:r>
      <w:r>
        <w:t xml:space="preserve">Erfolgt die Reparatur entgeltlich, ist der Verbraucher verpflichtet, die reparierte Ware abzunehmen; die </w:t>
      </w:r>
      <w:hyperlink w:anchor="b939" w:history="1">
        <w:r>
          <w:rPr>
            <w:color w:val="0A3A8C"/>
            <w:u w:val="single"/>
          </w:rPr>
          <w:t xml:space="preserve">§§ 640</w:t>
        </w:r>
      </w:hyperlink>
      <w:r>
        <w:t xml:space="preserve"> bis </w:t>
      </w:r>
      <w:hyperlink w:anchor="b942" w:history="1">
        <w:r>
          <w:rPr>
            <w:color w:val="0A3A8C"/>
            <w:u w:val="single"/>
          </w:rPr>
          <w:t xml:space="preserve">642</w:t>
        </w:r>
      </w:hyperlink>
      <w:r>
        <w:t xml:space="preserve">, </w:t>
      </w:r>
      <w:hyperlink w:anchor="b944" w:history="1">
        <w:r>
          <w:rPr>
            <w:color w:val="0A3A8C"/>
            <w:u w:val="single"/>
          </w:rPr>
          <w:t xml:space="preserve">644</w:t>
        </w:r>
      </w:hyperlink>
      <w:r>
        <w:t xml:space="preserve"> und </w:t>
      </w:r>
      <w:hyperlink w:anchor="b945" w:history="1">
        <w:r>
          <w:rPr>
            <w:color w:val="0A3A8C"/>
            <w:u w:val="single"/>
          </w:rPr>
          <w:t xml:space="preserve">645</w:t>
        </w:r>
      </w:hyperlink>
      <w:r>
        <w:t xml:space="preserve"> sind entsprechend anzuwenden.</w:t>
      </w:r>
    </w:p>
    <w:p>
      <w:r>
        <w:t xml:space="preserve">(4) </w:t>
      </w:r>
      <w:r>
        <w:rPr>
          <w:rStyle w:val="Satznummer"/>
        </w:rPr>
        <w:t>1</w:t>
      </w:r>
      <w:r>
        <w:t>Ist die Ware bei einer entgeltlichen Reparatur nach Erbringung der Reparaturleistung nicht in einen Zustand zurückversetzt, in dem der vorgesehene Verwendungszweck erfüllt wird, so kann der Verbraucher, wenn die Voraussetzungen der folgenden Vorschriften vorliegen und soweit nicht etwas anderes bestimmt ist,</w:t>
      </w:r>
    </w:p>
    <w:p>
      <w:pPr>
        <w:tabs>
          <w:tab w:pos="567" w:val="left"/>
        </w:tabs>
        <w:ind w:left="567" w:hanging="567"/>
      </w:pPr>
      <w:r>
        <w:t>1.</w:t>
      </w:r>
      <w:r>
        <w:tab/>
      </w:r>
      <w:r>
        <w:t>entsprechend § 635 Nacherfüllung verlangen,</w:t>
      </w:r>
    </w:p>
    <w:p>
      <w:pPr>
        <w:tabs>
          <w:tab w:pos="567" w:val="left"/>
        </w:tabs>
        <w:ind w:left="567" w:hanging="567"/>
      </w:pPr>
      <w:r>
        <w:t>2.</w:t>
      </w:r>
      <w:r>
        <w:tab/>
      </w:r>
      <w:r>
        <w:t xml:space="preserve">entsprechend </w:t>
      </w:r>
      <w:hyperlink w:anchor="b936" w:history="1">
        <w:r>
          <w:rPr>
            <w:color w:val="0A3A8C"/>
            <w:u w:val="single"/>
          </w:rPr>
          <w:t xml:space="preserve">§ 637</w:t>
        </w:r>
      </w:hyperlink>
      <w:r>
        <w:t xml:space="preserve"> die Reparatur selbst durchführen und Ersatz der erforderlichen Aufwendungen verlangen,</w:t>
      </w:r>
    </w:p>
    <w:p>
      <w:pPr>
        <w:tabs>
          <w:tab w:pos="567" w:val="left"/>
        </w:tabs>
        <w:ind w:left="567" w:hanging="567"/>
      </w:pPr>
      <w:r>
        <w:t>3.</w:t>
      </w:r>
      <w:r>
        <w:tab/>
      </w:r>
      <w:r>
        <w:t xml:space="preserve">entsprechend </w:t>
      </w:r>
      <w:hyperlink w:anchor="b937" w:history="1">
        <w:r>
          <w:rPr>
            <w:color w:val="0A3A8C"/>
            <w:u w:val="single"/>
          </w:rPr>
          <w:t xml:space="preserve">§ 638</w:t>
        </w:r>
      </w:hyperlink>
      <w:r>
        <w:t xml:space="preserve"> das Entgelt mindern und</w:t>
      </w:r>
    </w:p>
    <w:p>
      <w:pPr>
        <w:tabs>
          <w:tab w:pos="567" w:val="left"/>
        </w:tabs>
        <w:ind w:left="567" w:hanging="567"/>
      </w:pPr>
      <w:r>
        <w:t>4.</w:t>
      </w:r>
      <w:r>
        <w:tab/>
      </w:r>
      <w:r>
        <w:t>nach den §§ 280 und 281 Schadensersatz oder nach § 284 Ersatz vergeblicher Aufwendungen verlangen.</w:t>
      </w:r>
    </w:p>
    <w:p>
      <w:r>
        <w:rPr>
          <w:rStyle w:val="Satznummer"/>
        </w:rPr>
        <w:t>2</w:t>
      </w:r>
      <w:r>
        <w:t xml:space="preserve">In den Fällen des Satzes 1 Nummer 4 findet </w:t>
      </w:r>
      <w:hyperlink w:anchor="b935" w:history="1">
        <w:r>
          <w:rPr>
            <w:color w:val="0A3A8C"/>
            <w:u w:val="single"/>
          </w:rPr>
          <w:t xml:space="preserve">§ 636</w:t>
        </w:r>
      </w:hyperlink>
      <w:r>
        <w:t xml:space="preserve"> entsprechende Anwendung.</w:t>
      </w:r>
    </w:p>
    <w:p>
      <w:pPr>
        <w:pStyle w:val="Heading5"/>
      </w:pPr>
      <w:bookmarkStart w:id="636" w:name="b624"/>
      <w:r>
        <w:t>§ 479c Ersatzteile und Werkzeuge</w:t>
      </w:r>
      <w:r>
        <w:t xml:space="preserve"> </w:t>
      </w:r>
      <w:r>
        <w:rPr>
          <w:rStyle w:val="Suchmarke"/>
        </w:rPr>
        <w:t>#479c#</w:t>
      </w:r>
      <w:bookmarkEnd w:id="636"/>
    </w:p>
    <w:p>
      <w:r>
        <w:t>Der Hersteller hat die Ersatzteile und reparaturbezogenen Werkzeuge für die Reparatur seiner Waren zu einem angemessenen Preis anzubieten, der nicht von der Reparatur abschreckt.</w:t>
      </w:r>
    </w:p>
    <w:p>
      <w:pPr>
        <w:pStyle w:val="Heading5"/>
      </w:pPr>
      <w:bookmarkStart w:id="637" w:name="b625"/>
      <w:r>
        <w:t>§ 479d Information über die Reparaturverpflichtung und Angaben über Richtpreise</w:t>
      </w:r>
      <w:r>
        <w:t xml:space="preserve"> </w:t>
      </w:r>
      <w:r>
        <w:rPr>
          <w:rStyle w:val="Suchmarke"/>
        </w:rPr>
        <w:t>#479d#</w:t>
      </w:r>
      <w:bookmarkEnd w:id="637"/>
    </w:p>
    <w:p>
      <w:r>
        <w:t>(1) Solange Hersteller nach § 479b Absatz 1 zur Reparatur verpflichtet sind, haben sie Informationen über diese Reparaturleistungen in leicht zugänglicher, klarer und verständlicher Weise kostenlos bereitzustellen.</w:t>
      </w:r>
    </w:p>
    <w:p>
      <w:r>
        <w:t xml:space="preserve">(2) </w:t>
      </w:r>
      <w:r>
        <w:rPr>
          <w:rStyle w:val="Satznummer"/>
        </w:rPr>
        <w:t>1</w:t>
      </w:r>
      <w:r>
        <w:t xml:space="preserve">Hersteller sind verpflichtet, Verbrauchern auf einer frei zugänglichen Webseite Informationen über die Richtpreise zur Verfügung zu stellen, die für typische Reparaturen von Waren, die in den Anwendungsbereich des </w:t>
      </w:r>
      <w:hyperlink w:anchor="b622" w:history="1">
        <w:r>
          <w:rPr>
            <w:color w:val="0A3A8C"/>
            <w:u w:val="single"/>
          </w:rPr>
          <w:t xml:space="preserve">§ 479a</w:t>
        </w:r>
      </w:hyperlink>
      <w:r>
        <w:t xml:space="preserve"> fallen, kalkuliert wurden. </w:t>
      </w:r>
      <w:r>
        <w:rPr>
          <w:rStyle w:val="Satznummer"/>
        </w:rPr>
        <w:t>2</w:t>
      </w:r>
      <w:r>
        <w:t>Die Geltung der Preisangabenverordnung bleibt von der Regelung in Satz 1 unberührt.</w:t>
      </w:r>
    </w:p>
    <w:p>
      <w:pPr>
        <w:pStyle w:val="Heading5"/>
      </w:pPr>
      <w:bookmarkStart w:id="638" w:name="b626"/>
      <w:r>
        <w:t>§ 479e Unzulässige Handlungen</w:t>
      </w:r>
      <w:r>
        <w:t xml:space="preserve"> </w:t>
      </w:r>
      <w:r>
        <w:rPr>
          <w:rStyle w:val="Suchmarke"/>
        </w:rPr>
        <w:t>#479e#</w:t>
      </w:r>
      <w:bookmarkEnd w:id="638"/>
    </w:p>
    <w:p>
      <w:r>
        <w:rPr>
          <w:rStyle w:val="Satznummer"/>
        </w:rPr>
        <w:t>1</w:t>
      </w:r>
      <w:r>
        <w:t xml:space="preserve">Die Hersteller dürfen keine Hardware- oder Softwaretechniken einsetzen, die die Reparatur von Waren, die in den Anwendungsbereich des </w:t>
      </w:r>
      <w:hyperlink w:anchor="b622" w:history="1">
        <w:r>
          <w:rPr>
            <w:color w:val="0A3A8C"/>
            <w:u w:val="single"/>
          </w:rPr>
          <w:t xml:space="preserve">§ 479a</w:t>
        </w:r>
      </w:hyperlink>
      <w:r>
        <w:t xml:space="preserve"> fallen, behindern, es sei denn, dies ist durch legitime und objektive Faktoren wie den Schutz der Rechte des geistigen Eigentums gerechtfertigt. </w:t>
      </w:r>
      <w:r>
        <w:rPr>
          <w:rStyle w:val="Satznummer"/>
        </w:rPr>
        <w:t>2</w:t>
      </w:r>
      <w:r>
        <w:t>Die Hersteller dürfen insbesondere die Verwendung von Originalersatzteilen, gebrauchten Ersatzteilen, kompatiblen Ersatzteilen oder Ersatzteilen, die mittels 3-D-Druck hergestellt wurden, durch unabhängige Reparaturbetriebe nicht behindern, wenn diese Ersatzteile im Einklang mit der Rechtsordnung, beispielsweise mit den Anforderungen an die Produktsicherheit oder mit den Rechten des geistigen Eigentums, stehen.</w:t>
      </w:r>
    </w:p>
    <w:p>
      <w:pPr>
        <w:pStyle w:val="Heading5"/>
      </w:pPr>
      <w:bookmarkStart w:id="639" w:name="b627"/>
      <w:r>
        <w:t>§ 479f Hersteller mit Sitz außerhalb der Europäischen Union</w:t>
      </w:r>
      <w:r>
        <w:t xml:space="preserve"> </w:t>
      </w:r>
      <w:r>
        <w:rPr>
          <w:rStyle w:val="Suchmarke"/>
        </w:rPr>
        <w:t>#479f#</w:t>
      </w:r>
      <w:bookmarkEnd w:id="639"/>
    </w:p>
    <w:p>
      <w:r>
        <w:rPr>
          <w:rStyle w:val="Satznummer"/>
        </w:rPr>
        <w:t>1</w:t>
      </w:r>
      <w:r>
        <w:t xml:space="preserve">Hat der gemäß § 479b Absatz 1 zur Reparatur verpflichtete Hersteller seinen Sitz außerhalb der Europäischen Union, so treffen seinen Beauftragten in der Europäischen Union die Pflichten des Herstellers nach diesem Untertitel. </w:t>
      </w:r>
      <w:r>
        <w:rPr>
          <w:rStyle w:val="Satznummer"/>
        </w:rPr>
        <w:t>2</w:t>
      </w:r>
      <w:r>
        <w:t xml:space="preserve">Hat der Hersteller in der Europäischen Union keinen Beauftragten, so treffen den Importeur der betreffenden Ware diese Pflichten. </w:t>
      </w:r>
      <w:r>
        <w:rPr>
          <w:rStyle w:val="Satznummer"/>
        </w:rPr>
        <w:t>3</w:t>
      </w:r>
      <w:r>
        <w:t>Gibt es keinen Importeur, so treffen den Vertreiber der betreffenden Ware die Pflichten des Herstellers nach diesem Untertitel.</w:t>
      </w:r>
    </w:p>
    <w:p>
      <w:pPr>
        <w:pStyle w:val="Heading5"/>
      </w:pPr>
      <w:bookmarkStart w:id="640" w:name="b628"/>
      <w:r>
        <w:t>§ 479g Abweichende Vereinbarungen</w:t>
      </w:r>
      <w:r>
        <w:t xml:space="preserve"> </w:t>
      </w:r>
      <w:r>
        <w:rPr>
          <w:rStyle w:val="Suchmarke"/>
        </w:rPr>
        <w:t>#479g#</w:t>
      </w:r>
      <w:bookmarkEnd w:id="640"/>
    </w:p>
    <w:p>
      <w:r>
        <w:rPr>
          <w:rStyle w:val="Satznummer"/>
        </w:rPr>
        <w:t>1</w:t>
      </w:r>
      <w:r>
        <w:t xml:space="preserve">Auf eine Vereinbarung, die zum Nachteil des Verbrauchers von den Vorschriften dieses Untertitels abweicht, kann sich der Hersteller oder der nach § 479f Verpflichtete nicht berufen. </w:t>
      </w:r>
      <w:r>
        <w:rPr>
          <w:rStyle w:val="Satznummer"/>
        </w:rPr>
        <w:t>2</w:t>
      </w:r>
      <w:r>
        <w:t>Die Vorschriften dieses Untertitels sind auch anzuwenden, wenn sie durch anderweitige Gestaltungen umgangen werden.</w:t>
      </w:r>
    </w:p>
    <w:p>
      <w:pPr>
        <w:pStyle w:val="Heading4"/>
      </w:pPr>
      <w:bookmarkStart w:id="641" w:name="b629"/>
      <w:r>
        <w:t>Untertitel 5 Tausch</w:t>
      </w:r>
      <w:bookmarkEnd w:id="641"/>
    </w:p>
    <w:p>
      <w:pPr>
        <w:pStyle w:val="Heading5"/>
      </w:pPr>
      <w:bookmarkStart w:id="642" w:name="b630"/>
      <w:r>
        <w:t>§ 480 Tausch</w:t>
      </w:r>
      <w:r>
        <w:t xml:space="preserve"> </w:t>
      </w:r>
      <w:r>
        <w:rPr>
          <w:rStyle w:val="Suchmarke"/>
        </w:rPr>
        <w:t>#480#</w:t>
      </w:r>
      <w:bookmarkEnd w:id="642"/>
    </w:p>
    <w:p>
      <w:r>
        <w:t>Auf den Tausch finden die Vorschriften über den Kauf entsprechende Anwendung.</w:t>
      </w:r>
    </w:p>
    <w:p>
      <w:pPr>
        <w:pStyle w:val="Heading3"/>
      </w:pPr>
      <w:bookmarkStart w:id="643" w:name="b631"/>
      <w:r>
        <w:t>Titel 2 Teilzeit-Wohnrechteverträge, Verträge über langfristige Urlaubsprodukte, Vermittlungsverträge und Tauschsystemverträge</w:t>
      </w:r>
      <w:bookmarkEnd w:id="643"/>
    </w:p>
    <w:p>
      <w:pPr>
        <w:pStyle w:val="Heading4"/>
      </w:pPr>
      <w:bookmarkStart w:id="644" w:name="b632"/>
      <w:r>
        <w:t>§ 481 Teilzeit-Wohnrechtevertrag</w:t>
      </w:r>
      <w:r>
        <w:t xml:space="preserve"> </w:t>
      </w:r>
      <w:r>
        <w:rPr>
          <w:rStyle w:val="Suchmarke"/>
        </w:rPr>
        <w:t>#481#</w:t>
      </w:r>
      <w:bookmarkEnd w:id="644"/>
    </w:p>
    <w:p>
      <w:r>
        <w:t xml:space="preserve">(1) </w:t>
      </w:r>
      <w:r>
        <w:rPr>
          <w:rStyle w:val="Satznummer"/>
        </w:rPr>
        <w:t>1</w:t>
      </w:r>
      <w:r>
        <w:t xml:space="preserve">Ein Teilzeit-Wohnrechtevertrag ist ein Vertrag, durch den ein Unternehmer einem Verbraucher gegen Zahlung eines Gesamtpreises das Recht verschafft oder zu verschaffen verspricht, für die Dauer von mehr als einem Jahr ein Wohngebäude mehrfach für einen bestimmten oder zu bestimmenden Zeitraum zu Übernachtungszwecken zu nutzen. </w:t>
      </w:r>
      <w:r>
        <w:rPr>
          <w:rStyle w:val="Satznummer"/>
        </w:rPr>
        <w:t>2</w:t>
      </w:r>
      <w:r>
        <w:t>Bei der Berechnung der Vertragsdauer sind sämtliche im Vertrag vorgesehenen Verlängerungsmöglichkeiten zu berücksichtigen.</w:t>
      </w:r>
    </w:p>
    <w:p>
      <w:r>
        <w:t xml:space="preserve">(2) </w:t>
      </w:r>
      <w:r>
        <w:rPr>
          <w:rStyle w:val="Satznummer"/>
        </w:rPr>
        <w:t>1</w:t>
      </w:r>
      <w:r>
        <w:t xml:space="preserve">Das Recht kann ein dingliches oder anderes Recht sein und insbesondere auch durch eine Mitgliedschaft in einem Verein oder einen Anteil an einer Gesellschaft eingeräumt werden. </w:t>
      </w:r>
      <w:r>
        <w:rPr>
          <w:rStyle w:val="Satznummer"/>
        </w:rPr>
        <w:t>2</w:t>
      </w:r>
      <w:r>
        <w:t>Das Recht kann auch darin bestehen, aus einem Bestand von Wohngebäuden ein Wohngebäude zur Nutzung zu wählen.</w:t>
      </w:r>
    </w:p>
    <w:p>
      <w:r>
        <w:t>(3) Einem Wohngebäude steht ein Teil eines Wohngebäudes gleich, ebenso eine bewegliche, als Übernachtungsunterkunft gedachte Sache oder ein Teil derselben.</w:t>
      </w:r>
    </w:p>
    <w:p>
      <w:pPr>
        <w:pStyle w:val="Heading4"/>
      </w:pPr>
      <w:bookmarkStart w:id="645" w:name="b633"/>
      <w:r>
        <w:t>§ 481a Vertrag über ein langfristiges Urlaubsprodukt</w:t>
      </w:r>
      <w:r>
        <w:t xml:space="preserve"> </w:t>
      </w:r>
      <w:r>
        <w:rPr>
          <w:rStyle w:val="Suchmarke"/>
        </w:rPr>
        <w:t>#481a#</w:t>
      </w:r>
      <w:bookmarkEnd w:id="645"/>
    </w:p>
    <w:p>
      <w:r>
        <w:rPr>
          <w:rStyle w:val="Satznummer"/>
        </w:rPr>
        <w:t>1</w:t>
      </w:r>
      <w:r>
        <w:t xml:space="preserve">Ein Vertrag über ein langfristiges Urlaubsprodukt ist ein Vertrag für die Dauer von mehr als einem Jahr, durch den ein Unternehmer einem Verbraucher gegen Zahlung eines Gesamtpreises das Recht verschafft oder zu verschaffen verspricht, Preisnachlässe oder sonstige Vergünstigungen in Bezug auf eine Unterkunft zu erwerben. </w:t>
      </w:r>
      <w:r>
        <w:rPr>
          <w:rStyle w:val="Satznummer"/>
        </w:rPr>
        <w:t>2</w:t>
      </w:r>
      <w:hyperlink w:anchor="b632" w:history="1">
        <w:r>
          <w:rPr>
            <w:color w:val="0A3A8C"/>
            <w:u w:val="single"/>
          </w:rPr>
          <w:t xml:space="preserve">§ 481</w:t>
        </w:r>
      </w:hyperlink>
      <w:r>
        <w:t xml:space="preserve"> Absatz 1 Satz 2 gilt entsprechend.</w:t>
      </w:r>
    </w:p>
    <w:p>
      <w:pPr>
        <w:pStyle w:val="Heading4"/>
      </w:pPr>
      <w:bookmarkStart w:id="646" w:name="b634"/>
      <w:r>
        <w:t>§ 481b Vermittlungsvertrag, Tauschsystemvertrag</w:t>
      </w:r>
      <w:r>
        <w:t xml:space="preserve"> </w:t>
      </w:r>
      <w:r>
        <w:rPr>
          <w:rStyle w:val="Suchmarke"/>
        </w:rPr>
        <w:t>#481b#</w:t>
      </w:r>
      <w:bookmarkEnd w:id="646"/>
    </w:p>
    <w:p>
      <w:r>
        <w:t>(1) Ein Vermittlungsvertrag ist ein Vertrag, durch den sich ein Unternehmer von einem Verbraucher ein Entgelt versprechen lässt für den Nachweis der Gelegenheit zum Abschluss eines Vertrags oder für die Vermittlung eines Vertrags, durch den die Rechte des Verbrauchers aus einem Teilzeit-Wohnrechtevertrag oder einem Vertrag über ein langfristiges Urlaubsprodukt erworben oder veräußert werden sollen.</w:t>
      </w:r>
    </w:p>
    <w:p>
      <w:r>
        <w:t>(2) Ein Tauschsystemvertrag ist ein Vertrag, durch den sich ein Unternehmer von einem Verbraucher ein Entgelt versprechen lässt für den Nachweis der Gelegenheit zum Abschluss eines Vertrags oder für die Vermittlung eines Vertrags, durch den einzelne Rechte des Verbrauchers aus einem Teilzeit-Wohnrechtevertrag oder einem Vertrag über ein langfristiges Urlaubsprodukt getauscht oder auf andere Weise erworben oder veräußert werden sollen.</w:t>
      </w:r>
    </w:p>
    <w:p>
      <w:pPr>
        <w:pStyle w:val="Heading4"/>
      </w:pPr>
      <w:bookmarkStart w:id="647" w:name="b635"/>
      <w:r>
        <w:t>§ 482 Vorvertragliche Informationen, Werbung und Verbot des Verkaufs als Geldanlage</w:t>
      </w:r>
      <w:r>
        <w:t xml:space="preserve"> </w:t>
      </w:r>
      <w:r>
        <w:rPr>
          <w:rStyle w:val="Suchmarke"/>
        </w:rPr>
        <w:t>#482#</w:t>
      </w:r>
      <w:bookmarkEnd w:id="647"/>
    </w:p>
    <w:p>
      <w:r>
        <w:t xml:space="preserve">(1) </w:t>
      </w:r>
      <w:r>
        <w:rPr>
          <w:rStyle w:val="Satznummer"/>
        </w:rPr>
        <w:t>1</w:t>
      </w:r>
      <w:r>
        <w:t xml:space="preserve">Der Unternehmer hat dem Verbraucher rechtzeitig vor Abgabe von dessen Vertragserklärung zum Abschluss eines Teilzeit-Wohnrechtevertrags, eines Vertrags über ein langfristiges Urlaubsprodukt, eines Vermittlungsvertrags oder eines Tauschsystemvertrags vorvertragliche Informationen nach Artikel 242 § 1 des Einführungsgesetzes zum Bürgerlichen Gesetzbuche in Textform zur Verfügung zu stellen. </w:t>
      </w:r>
      <w:r>
        <w:rPr>
          <w:rStyle w:val="Satznummer"/>
        </w:rPr>
        <w:t>2</w:t>
      </w:r>
      <w:r>
        <w:t>Diese müssen klar und verständlich sein.</w:t>
      </w:r>
    </w:p>
    <w:p>
      <w:r>
        <w:t xml:space="preserve">(2) </w:t>
      </w:r>
      <w:r>
        <w:rPr>
          <w:rStyle w:val="Satznummer"/>
        </w:rPr>
        <w:t>1</w:t>
      </w:r>
      <w:r>
        <w:t xml:space="preserve">In jeder Werbung für solche Verträge ist anzugeben, dass vorvertragliche Informationen erhältlich sind und wo diese angefordert werden können. </w:t>
      </w:r>
      <w:r>
        <w:rPr>
          <w:rStyle w:val="Satznummer"/>
        </w:rPr>
        <w:t>2</w:t>
      </w:r>
      <w:r>
        <w:t xml:space="preserve">Der Unternehmer hat bei der Einladung zu Werbe- oder Verkaufsveranstaltungen deutlich auf den gewerblichen Charakter der Veranstaltung hinzuweisen. </w:t>
      </w:r>
      <w:r>
        <w:rPr>
          <w:rStyle w:val="Satznummer"/>
        </w:rPr>
        <w:t>3</w:t>
      </w:r>
      <w:r>
        <w:t>Dem Verbraucher sind auf solchen Veranstaltungen die vorvertraglichen Informationen jederzeit zugänglich zu machen.</w:t>
      </w:r>
    </w:p>
    <w:p>
      <w:r>
        <w:t>(3) Ein Teilzeit-Wohnrecht oder ein Recht aus einem Vertrag über ein langfristiges Urlaubsprodukt darf nicht als Geldanlage beworben oder verkauft werden.</w:t>
      </w:r>
    </w:p>
    <w:p>
      <w:pPr>
        <w:pStyle w:val="Heading4"/>
      </w:pPr>
      <w:bookmarkStart w:id="648" w:name="b636"/>
      <w:r>
        <w:t>§ 482a Widerrufsbelehrung</w:t>
      </w:r>
      <w:r>
        <w:t xml:space="preserve"> </w:t>
      </w:r>
      <w:r>
        <w:rPr>
          <w:rStyle w:val="Suchmarke"/>
        </w:rPr>
        <w:t>#482a#</w:t>
      </w:r>
      <w:bookmarkEnd w:id="648"/>
    </w:p>
    <w:p>
      <w:r>
        <w:rPr>
          <w:rStyle w:val="Satznummer"/>
        </w:rPr>
        <w:t>1</w:t>
      </w:r>
      <w:r>
        <w:t xml:space="preserve">Der Unternehmer muss den Verbraucher vor Vertragsschluss in Textform auf das Widerrufsrecht einschließlich der Widerrufsfrist sowie auf das Anzahlungsverbot nach </w:t>
      </w:r>
      <w:hyperlink w:anchor="b640" w:history="1">
        <w:r>
          <w:rPr>
            <w:color w:val="0A3A8C"/>
            <w:u w:val="single"/>
          </w:rPr>
          <w:t xml:space="preserve">§ 486</w:t>
        </w:r>
      </w:hyperlink>
      <w:r>
        <w:t xml:space="preserve"> hinweisen. </w:t>
      </w:r>
      <w:r>
        <w:rPr>
          <w:rStyle w:val="Satznummer"/>
        </w:rPr>
        <w:t>2</w:t>
      </w:r>
      <w:r>
        <w:t xml:space="preserve">Der Erhalt der entsprechenden Vertragsbestimmungen ist vom Verbraucher schriftlich zu bestätigen. </w:t>
      </w:r>
      <w:r>
        <w:rPr>
          <w:rStyle w:val="Satznummer"/>
        </w:rPr>
        <w:t>3</w:t>
      </w:r>
      <w:r>
        <w:t>Die Einzelheiten sind in Artikel 242 § 2 des Einführungsgesetzes zum Bürgerlichen Gesetzbuche geregelt.</w:t>
      </w:r>
    </w:p>
    <w:p>
      <w:pPr>
        <w:pStyle w:val="Heading4"/>
      </w:pPr>
      <w:bookmarkStart w:id="649" w:name="b637"/>
      <w:r>
        <w:t>§ 483 Sprache des Vertrags und der vorvertraglichen Informationen</w:t>
      </w:r>
      <w:r>
        <w:t xml:space="preserve"> </w:t>
      </w:r>
      <w:r>
        <w:rPr>
          <w:rStyle w:val="Suchmarke"/>
        </w:rPr>
        <w:t>#483#</w:t>
      </w:r>
      <w:bookmarkEnd w:id="649"/>
    </w:p>
    <w:p>
      <w:r>
        <w:t xml:space="preserve">(1) </w:t>
      </w:r>
      <w:r>
        <w:rPr>
          <w:rStyle w:val="Satznummer"/>
        </w:rPr>
        <w:t>1</w:t>
      </w:r>
      <w:r>
        <w:t xml:space="preserve">Der Teilzeit-Wohnrechtevertrag, der Vertrag über ein langfristiges Urlaubsprodukt, der Vermittlungsvertrag oder der Tauschsystemvertrag ist in der Amtssprache oder, wenn es dort mehrere Amtssprachen gibt, in der vom Verbraucher gewählten Amtssprache des Mitgliedstaats der Europäischen Union oder des Vertragsstaats des Abkommens über den Europäischen Wirtschaftsraum abzufassen, in dem der Verbraucher seinen Wohnsitz hat. </w:t>
      </w:r>
      <w:r>
        <w:rPr>
          <w:rStyle w:val="Satznummer"/>
        </w:rPr>
        <w:t>2</w:t>
      </w:r>
      <w:r>
        <w:t xml:space="preserve">Ist der Verbraucher Angehöriger eines anderen Mitgliedstaats, so kann er statt der Sprache seines Wohnsitzstaats auch die oder eine der Amtssprachen des Staats, dem er angehört, wählen. </w:t>
      </w:r>
      <w:r>
        <w:rPr>
          <w:rStyle w:val="Satznummer"/>
        </w:rPr>
        <w:t>3</w:t>
      </w:r>
      <w:r>
        <w:t>Die Sätze 1 und 2 gelten auch für die vorvertraglichen Informationen und für die Widerrufsbelehrung.</w:t>
      </w:r>
    </w:p>
    <w:p>
      <w:r>
        <w:t>(2) Ist der Vertrag von einem deutschen Notar zu beurkunden, so gelten die §§ 5 und 16 des Beurkundungsgesetzes mit der Maßgabe, dass dem Verbraucher eine beglaubigte Übersetzung des Vertrags in der von ihm nach Absatz 1 gewählten Sprache auszuhändigen ist.</w:t>
      </w:r>
    </w:p>
    <w:p>
      <w:r>
        <w:t>(3) Verträge, die Absatz 1 Satz 1 und 2 oder Absatz 2 nicht entsprechen, sind nichtig.</w:t>
      </w:r>
    </w:p>
    <w:p>
      <w:pPr>
        <w:pStyle w:val="Heading4"/>
      </w:pPr>
      <w:bookmarkStart w:id="650" w:name="b638"/>
      <w:r>
        <w:t>§ 484 Form und Inhalt des Vertrags</w:t>
      </w:r>
      <w:r>
        <w:t xml:space="preserve"> </w:t>
      </w:r>
      <w:r>
        <w:rPr>
          <w:rStyle w:val="Suchmarke"/>
        </w:rPr>
        <w:t>#484#</w:t>
      </w:r>
      <w:bookmarkEnd w:id="650"/>
    </w:p>
    <w:p>
      <w:r>
        <w:t>(1) Der Teilzeit-Wohnrechtevertrag, der Vertrag über ein langfristiges Urlaubsprodukt, der Vermittlungsvertrag oder der Tauschsystemvertrag bedarf der schriftlichen Form, soweit nicht in anderen Vorschriften eine strengere Form vorgeschrieben ist.</w:t>
      </w:r>
    </w:p>
    <w:p>
      <w:r>
        <w:t xml:space="preserve">(2) </w:t>
      </w:r>
      <w:r>
        <w:rPr>
          <w:rStyle w:val="Satznummer"/>
        </w:rPr>
        <w:t>1</w:t>
      </w:r>
      <w:r>
        <w:t xml:space="preserve">Die dem Verbraucher nach § 482 Absatz 1 zur Verfügung gestellten vorvertraglichen Informationen werden Inhalt des Vertrags, soweit sie nicht einvernehmlich oder einseitig durch den Unternehmer geändert wurden. </w:t>
      </w:r>
      <w:r>
        <w:rPr>
          <w:rStyle w:val="Satznummer"/>
        </w:rPr>
        <w:t>2</w:t>
      </w:r>
      <w:r>
        <w:t xml:space="preserve">Der Unternehmer darf die vorvertraglichen Informationen nur einseitig ändern, um sie an Veränderungen anzupassen, die durch höhere Gewalt verursacht wurden. </w:t>
      </w:r>
      <w:r>
        <w:rPr>
          <w:rStyle w:val="Satznummer"/>
        </w:rPr>
        <w:t>3</w:t>
      </w:r>
      <w:r>
        <w:t xml:space="preserve">Die Änderungen nach Satz 1 müssen dem Verbraucher vor Abschluss des Vertrags in Textform mitgeteilt werden. </w:t>
      </w:r>
      <w:r>
        <w:rPr>
          <w:rStyle w:val="Satznummer"/>
        </w:rPr>
        <w:t>4</w:t>
      </w:r>
      <w:r>
        <w:t xml:space="preserve">Sie werden nur wirksam, wenn sie in die Vertragsdokumente mit dem Hinweis aufgenommen werden, dass sie von den nach § 482 Absatz 1 zur Verfügung gestellten vorvertraglichen Informationen abweichen. </w:t>
      </w:r>
      <w:r>
        <w:rPr>
          <w:rStyle w:val="Satznummer"/>
        </w:rPr>
        <w:t>5</w:t>
      </w:r>
      <w:r>
        <w:t>In die Vertragsdokumente sind aufzunehmen:</w:t>
      </w:r>
    </w:p>
    <w:p>
      <w:pPr>
        <w:tabs>
          <w:tab w:pos="567" w:val="left"/>
        </w:tabs>
        <w:ind w:left="567" w:hanging="567"/>
      </w:pPr>
      <w:r>
        <w:t>1.</w:t>
      </w:r>
      <w:r>
        <w:tab/>
      </w:r>
      <w:r>
        <w:t xml:space="preserve">die vorvertraglichen Informationen nach </w:t>
      </w:r>
      <w:hyperlink w:anchor="b635" w:history="1">
        <w:r>
          <w:rPr>
            <w:color w:val="0A3A8C"/>
            <w:u w:val="single"/>
          </w:rPr>
          <w:t xml:space="preserve">§ 482</w:t>
        </w:r>
      </w:hyperlink>
      <w:r>
        <w:t xml:space="preserve"> Absatz 1 unbeschadet ihrer Geltung nach Satz 1,</w:t>
      </w:r>
    </w:p>
    <w:p>
      <w:pPr>
        <w:tabs>
          <w:tab w:pos="567" w:val="left"/>
        </w:tabs>
        <w:ind w:left="567" w:hanging="567"/>
      </w:pPr>
      <w:r>
        <w:t>2.</w:t>
      </w:r>
      <w:r>
        <w:tab/>
      </w:r>
      <w:r>
        <w:t>die Namen und ladungsfähigen Anschriften beider Parteien sowie</w:t>
      </w:r>
    </w:p>
    <w:p>
      <w:pPr>
        <w:tabs>
          <w:tab w:pos="567" w:val="left"/>
        </w:tabs>
        <w:ind w:left="567" w:hanging="567"/>
      </w:pPr>
      <w:r>
        <w:t>3.</w:t>
      </w:r>
      <w:r>
        <w:tab/>
      </w:r>
      <w:r>
        <w:t>Datum und Ort der Abgabe der darin enthaltenen Vertragserklärungen.</w:t>
      </w:r>
    </w:p>
    <w:p>
      <w:r>
        <w:t xml:space="preserve">(3) </w:t>
      </w:r>
      <w:r>
        <w:rPr>
          <w:rStyle w:val="Satznummer"/>
        </w:rPr>
        <w:t>1</w:t>
      </w:r>
      <w:r>
        <w:t xml:space="preserve">Der Unternehmer hat dem Verbraucher die Vertragsurkunde oder eine Abschrift des Vertrags zu überlassen. </w:t>
      </w:r>
      <w:r>
        <w:rPr>
          <w:rStyle w:val="Satznummer"/>
        </w:rPr>
        <w:t>2</w:t>
      </w:r>
      <w:r>
        <w:t xml:space="preserve">Bei einem Teilzeit-Wohnrechtevertrag hat er, wenn die Vertragssprache und die Amtssprache des Mitgliedstaats der Europäischen Union oder des Vertragsstaats des Abkommens über den Europäischen Wirtschaftsraum, in dem sich das Wohngebäude befindet, verschieden sind, eine beglaubigte Übersetzung des Vertrags in einer Amtssprache des Staats beizufügen, in dem sich das Wohngebäude befindet. </w:t>
      </w:r>
      <w:r>
        <w:rPr>
          <w:rStyle w:val="Satznummer"/>
        </w:rPr>
        <w:t>3</w:t>
      </w:r>
      <w:r>
        <w:t>Die Pflicht zur Beifügung einer beglaubigten Übersetzung entfällt, wenn sich der Teilzeit-Wohnrechtevertrag auf einen Bestand von Wohngebäuden bezieht, die sich in verschiedenen Staaten befinden.</w:t>
      </w:r>
    </w:p>
    <w:p>
      <w:pPr>
        <w:pStyle w:val="Heading4"/>
      </w:pPr>
      <w:bookmarkStart w:id="651" w:name="b639"/>
      <w:r>
        <w:t>§ 485 Widerrufsrecht</w:t>
      </w:r>
      <w:r>
        <w:t xml:space="preserve"> </w:t>
      </w:r>
      <w:r>
        <w:rPr>
          <w:rStyle w:val="Suchmarke"/>
        </w:rPr>
        <w:t>#485#</w:t>
      </w:r>
      <w:bookmarkEnd w:id="651"/>
    </w:p>
    <w:p>
      <w:r>
        <w:t xml:space="preserve">Dem Verbraucher steht bei einem Teilzeit-Wohnrechtevertrag, einem Vertrag über ein langfristiges Urlaubsprodukt, einem Vermittlungsvertrag oder einem Tauschsystemvertrag ein Widerrufsrecht nach </w:t>
      </w:r>
      <w:hyperlink w:anchor="b461" w:history="1">
        <w:r>
          <w:rPr>
            <w:color w:val="0A3A8C"/>
            <w:u w:val="single"/>
          </w:rPr>
          <w:t xml:space="preserve">§ 355</w:t>
        </w:r>
      </w:hyperlink>
      <w:r>
        <w:t xml:space="preserve"> zu.</w:t>
      </w:r>
    </w:p>
    <w:p>
      <w:pPr>
        <w:pStyle w:val="Heading4"/>
      </w:pPr>
      <w:bookmarkStart w:id="652" w:name="b640"/>
      <w:r>
        <w:t>§ 486 Anzahlungsverbot</w:t>
      </w:r>
      <w:r>
        <w:t xml:space="preserve"> </w:t>
      </w:r>
      <w:r>
        <w:rPr>
          <w:rStyle w:val="Suchmarke"/>
        </w:rPr>
        <w:t>#486#</w:t>
      </w:r>
      <w:bookmarkEnd w:id="652"/>
    </w:p>
    <w:p>
      <w:r>
        <w:t>(1) Der Unternehmer darf Zahlungen des Verbrauchers vor Ablauf der Widerrufsfrist nicht fordern oder annehmen.</w:t>
      </w:r>
    </w:p>
    <w:p>
      <w:r>
        <w:t>(2) Es dürfen keine Zahlungen des Verbrauchers im Zusammenhang mit einem Vermittlungsvertrag gefordert oder angenommen werden, bis der Unternehmer seine Pflichten aus dem Vermittlungsvertrag erfüllt hat oder diese Vertragsbeziehung beendet ist.</w:t>
      </w:r>
    </w:p>
    <w:p>
      <w:pPr>
        <w:pStyle w:val="Heading4"/>
      </w:pPr>
      <w:bookmarkStart w:id="653" w:name="b641"/>
      <w:r>
        <w:t>§ 486a Besondere Vorschriften für Verträge über langfristige Urlaubsprodukte</w:t>
      </w:r>
      <w:r>
        <w:t xml:space="preserve"> </w:t>
      </w:r>
      <w:r>
        <w:rPr>
          <w:rStyle w:val="Suchmarke"/>
        </w:rPr>
        <w:t>#486a#</w:t>
      </w:r>
      <w:bookmarkEnd w:id="653"/>
    </w:p>
    <w:p>
      <w:r>
        <w:t xml:space="preserve">(1) </w:t>
      </w:r>
      <w:r>
        <w:rPr>
          <w:rStyle w:val="Satznummer"/>
        </w:rPr>
        <w:t>1</w:t>
      </w:r>
      <w:r>
        <w:t xml:space="preserve">Bei einem Vertrag über ein langfristiges Urlaubsprodukt enthält das in Artikel 242 § 1 Absatz 2 des Einführungsgesetzes zum Bürgerlichen Gesetzbuche bezeichnete Formblatt einen Ratenzahlungsplan. </w:t>
      </w:r>
      <w:r>
        <w:rPr>
          <w:rStyle w:val="Satznummer"/>
        </w:rPr>
        <w:t>2</w:t>
      </w:r>
      <w:r>
        <w:t xml:space="preserve">Der Unternehmer darf von den dort genannten Zahlungsmodalitäten nicht abweichen. </w:t>
      </w:r>
      <w:r>
        <w:rPr>
          <w:rStyle w:val="Satznummer"/>
        </w:rPr>
        <w:t>3</w:t>
      </w:r>
      <w:r>
        <w:t xml:space="preserve">Er darf den laut Formblatt fälligen jährlichen Teilbetrag vom Verbraucher nur fordern oder annehmen, wenn er den Verbraucher zuvor in Textform zur Zahlung dieses Teilbetrags aufgefordert hat. </w:t>
      </w:r>
      <w:r>
        <w:rPr>
          <w:rStyle w:val="Satznummer"/>
        </w:rPr>
        <w:t>4</w:t>
      </w:r>
      <w:r>
        <w:t>Die Zahlungsaufforderung muss dem Verbraucher mindestens zwei Wochen vor Fälligkeit des jährlichen Teilbetrags zugehen.</w:t>
      </w:r>
    </w:p>
    <w:p>
      <w:r>
        <w:t>(2) Ab dem Zeitpunkt, der nach Absatz 1 für die Zahlung des zweiten Teilbetrags vorgesehen ist, kann der Verbraucher den Vertrag innerhalb von zwei Wochen ab Zugang der Zahlungsaufforderung zum Fälligkeitstermin gemäß Absatz 1 kündigen.</w:t>
      </w:r>
    </w:p>
    <w:p>
      <w:pPr>
        <w:pStyle w:val="Heading4"/>
      </w:pPr>
      <w:bookmarkStart w:id="654" w:name="b642"/>
      <w:r>
        <w:t>§ 487 Abweichende Vereinbarungen</w:t>
      </w:r>
      <w:r>
        <w:t xml:space="preserve"> </w:t>
      </w:r>
      <w:r>
        <w:rPr>
          <w:rStyle w:val="Suchmarke"/>
        </w:rPr>
        <w:t>#487#</w:t>
      </w:r>
      <w:bookmarkEnd w:id="654"/>
    </w:p>
    <w:p>
      <w:r>
        <w:rPr>
          <w:rStyle w:val="Satznummer"/>
        </w:rPr>
        <w:t>1</w:t>
      </w:r>
      <w:r>
        <w:t xml:space="preserve">Von den Vorschriften dieses Titels darf nicht zum Nachteil des Verbrauchers abgewichen werden. </w:t>
      </w:r>
      <w:r>
        <w:rPr>
          <w:rStyle w:val="Satznummer"/>
        </w:rPr>
        <w:t>2</w:t>
      </w:r>
      <w:r>
        <w:t>Die Vorschriften dieses Titels finden, soweit nicht ein anderes bestimmt ist, auch Anwendung, wenn sie durch anderweitige Gestaltungen umgangen werden.</w:t>
      </w:r>
    </w:p>
    <w:p>
      <w:pPr>
        <w:pStyle w:val="Heading3"/>
      </w:pPr>
      <w:bookmarkStart w:id="655" w:name="b643"/>
      <w:r>
        <w:t>Titel 3 Darlehensvertrag; Finanzierungshilfen und Ratenlieferungsverträge zwischen einem Unternehmer und einem Verbraucher</w:t>
      </w:r>
      <w:bookmarkEnd w:id="655"/>
    </w:p>
    <w:p>
      <w:hyperlink w:anchor="f643_1" w:history="1">
        <w:r>
          <w:rPr>
            <w:rStyle w:val="Fussnotenmarke"/>
            <w:u w:val="single"/>
            <w:color w:val="0A3A8C"/>
          </w:rPr>
          <w:t>1</w:t>
        </w:r>
      </w:hyperlink>
    </w:p>
    <w:p>
      <w:pPr>
        <w:pStyle w:val="Fußnote"/>
      </w:pPr>
      <w:bookmarkStart w:id="656" w:name="f643_1"/>
      <w:r>
        <w:rPr>
          <w:rStyle w:val="Zusatz"/>
          <w:b/>
        </w:rPr>
        <w:t xml:space="preserve">Fußnote 1: </w:t>
      </w:r>
      <w:r>
        <w:rPr>
          <w:b/>
        </w:rPr>
        <w:t>Amtlicher Hinweis:</w:t>
      </w:r>
      <w:r>
        <w:br/>
      </w:r>
      <w:r>
        <w:t>Dieser Titel dient der Umsetzung der Richtlinie 87/102/EWG des Rates zur Angleichung der Rechts- und Verwaltungsvorschriften der Mitgliedstaaten über den Verbraucherkredit (ABl. EG Nr. L 42 S. 48), zuletzt geändert durch die Richtlinie 98/7/EG des Europäischen Parlaments und des Rates vom 16. Februar 1998 zur Änderung der Richtlinie 87/102/EWG zur Angleichung der Rechts- und Verwaltungsvorschriften der Mitgliedstaaten über den Verbraucherkredit (ABl. EG Nr. L 101 S. 17).</w:t>
      </w:r>
      <w:bookmarkEnd w:id="656"/>
    </w:p>
    <w:p>
      <w:pPr>
        <w:pStyle w:val="Heading4"/>
      </w:pPr>
      <w:bookmarkStart w:id="657" w:name="b644"/>
      <w:r>
        <w:t>Untertitel 1 Darlehensvertrag</w:t>
      </w:r>
      <w:bookmarkEnd w:id="657"/>
    </w:p>
    <w:p>
      <w:pPr>
        <w:pStyle w:val="Heading5"/>
      </w:pPr>
      <w:bookmarkStart w:id="658" w:name="b645"/>
      <w:r>
        <w:t>Kapitel 1 Allgemeine Vorschriften</w:t>
      </w:r>
      <w:bookmarkEnd w:id="658"/>
    </w:p>
    <w:p>
      <w:pPr>
        <w:pStyle w:val="Heading6"/>
      </w:pPr>
      <w:bookmarkStart w:id="659" w:name="b646"/>
      <w:r>
        <w:t>§ 488 Vertragstypische Pflichten beim Darlehensvertrag</w:t>
      </w:r>
      <w:r>
        <w:t xml:space="preserve"> </w:t>
      </w:r>
      <w:r>
        <w:rPr>
          <w:rStyle w:val="Suchmarke"/>
        </w:rPr>
        <w:t>#488#</w:t>
      </w:r>
      <w:bookmarkEnd w:id="659"/>
    </w:p>
    <w:p>
      <w:r>
        <w:t xml:space="preserve">(1) </w:t>
      </w:r>
      <w:r>
        <w:rPr>
          <w:rStyle w:val="Satznummer"/>
        </w:rPr>
        <w:t>1</w:t>
      </w:r>
      <w:r>
        <w:t xml:space="preserve">Durch den Darlehensvertrag wird der Darlehensgeber verpflichtet, dem Darlehensnehmer einen Geldbetrag in der vereinbarten Höhe zur Verfügung zu stellen. </w:t>
      </w:r>
      <w:r>
        <w:rPr>
          <w:rStyle w:val="Satznummer"/>
        </w:rPr>
        <w:t>2</w:t>
      </w:r>
      <w:r>
        <w:t>Der Darlehensnehmer ist verpflichtet, einen geschuldeten Zins zu zahlen und bei Fälligkeit das zur Verfügung gestellte Darlehen zurückzuzahlen.</w:t>
      </w:r>
    </w:p>
    <w:p>
      <w:r>
        <w:t>(2) Die vereinbarten Zinsen sind, soweit nicht ein anderes bestimmt ist, nach dem Ablauf je eines Jahres und, wenn das Darlehen vor dem Ablauf eines Jahres zurückzuzahlen ist, bei der Rückzahlung zu entrichten.</w:t>
      </w:r>
    </w:p>
    <w:p>
      <w:r>
        <w:t xml:space="preserve">(3) </w:t>
      </w:r>
      <w:r>
        <w:rPr>
          <w:rStyle w:val="Satznummer"/>
        </w:rPr>
        <w:t>1</w:t>
      </w:r>
      <w:r>
        <w:t xml:space="preserve">Ist für die Rückzahlung des Darlehens eine Zeit nicht bestimmt, so hängt die Fälligkeit davon ab, dass der Darlehensgeber oder der Darlehensnehmer kündigt. </w:t>
      </w:r>
      <w:r>
        <w:rPr>
          <w:rStyle w:val="Satznummer"/>
        </w:rPr>
        <w:t>2</w:t>
      </w:r>
      <w:r>
        <w:t xml:space="preserve">Die Kündigungsfrist beträgt drei Monate. </w:t>
      </w:r>
      <w:r>
        <w:rPr>
          <w:rStyle w:val="Satznummer"/>
        </w:rPr>
        <w:t>3</w:t>
      </w:r>
      <w:r>
        <w:t>Sind Zinsen nicht geschuldet, so ist der Darlehensnehmer auch ohne Kündigung zur Rückzahlung berechtigt.</w:t>
      </w:r>
    </w:p>
    <w:p>
      <w:pPr>
        <w:pStyle w:val="Heading6"/>
      </w:pPr>
      <w:bookmarkStart w:id="660" w:name="b647"/>
      <w:r>
        <w:t>§ 489 Ordentliches Kündigungsrecht des Darlehensnehmers</w:t>
      </w:r>
      <w:r>
        <w:t xml:space="preserve"> </w:t>
      </w:r>
      <w:r>
        <w:rPr>
          <w:rStyle w:val="Suchmarke"/>
        </w:rPr>
        <w:t>#489#</w:t>
      </w:r>
      <w:bookmarkEnd w:id="660"/>
    </w:p>
    <w:p>
      <w:r>
        <w:t>(1) Der Darlehensnehmer kann einen Darlehensvertrag mit gebundenem Sollzinssatz ganz oder teilweise kündigen,</w:t>
      </w:r>
    </w:p>
    <w:p>
      <w:pPr>
        <w:tabs>
          <w:tab w:pos="567" w:val="left"/>
        </w:tabs>
        <w:ind w:left="567" w:hanging="567"/>
      </w:pPr>
      <w:r>
        <w:t>1.</w:t>
      </w:r>
      <w:r>
        <w:tab/>
      </w:r>
      <w:r>
        <w:t>wenn die Sollzinsbindung vor der für die Rückzahlung bestimmten Zeit endet und keine neue Vereinbarung über den Sollzinssatz getroffen ist, unter Einhaltung einer Kündigungsfrist von einem Monat frühestens für den Ablauf des Tages, an dem die Sollzinsbindung endet; ist eine Anpassung des Sollzinssatzes in bestimmten Zeiträumen bis zu einem Jahr vereinbart, so kann der Darlehensnehmer jeweils nur für den Ablauf des Tages, an dem die Sollzinsbindung endet, kündigen;</w:t>
      </w:r>
    </w:p>
    <w:p>
      <w:pPr>
        <w:tabs>
          <w:tab w:pos="567" w:val="left"/>
        </w:tabs>
        <w:ind w:left="567" w:hanging="567"/>
      </w:pPr>
      <w:r>
        <w:t>2.</w:t>
      </w:r>
      <w:r>
        <w:tab/>
      </w:r>
      <w:r>
        <w:t>in jedem Fall nach Ablauf von zehn Jahren nach dem vollständigen Empfang unter Einhaltung einer Kündigungsfrist von sechs Monaten; wird nach dem Empfang des Darlehens eine neue Vereinbarung über die Zeit der Rückzahlung oder den Sollzinssatz getroffen, so tritt der Zeitpunkt dieser Vereinbarung an die Stelle des Zeitpunkts des Empfangs.</w:t>
      </w:r>
    </w:p>
    <w:p>
      <w:r>
        <w:t>(2) Der Darlehensnehmer kann einen Darlehensvertrag mit veränderlichem Zinssatz jederzeit unter Einhaltung einer Kündigungsfrist von drei Monaten kündigen.</w:t>
      </w:r>
    </w:p>
    <w:p>
      <w:r>
        <w:t>(3) Eine Kündigung des Darlehensnehmers gilt als nicht erfolgt, wenn er den geschuldeten Betrag nicht binnen zwei Wochen nach Wirksamwerden der Kündigung zurückzahlt.</w:t>
      </w:r>
    </w:p>
    <w:p>
      <w:r>
        <w:t xml:space="preserve">(4) </w:t>
      </w:r>
      <w:r>
        <w:rPr>
          <w:rStyle w:val="Satznummer"/>
        </w:rPr>
        <w:t>1</w:t>
      </w:r>
      <w:r>
        <w:t xml:space="preserve">Das Kündigungsrecht des Darlehensnehmers nach den Absätzen 1 und 2 kann nicht durch Vertrag ausgeschlossen oder erschwert werden. </w:t>
      </w:r>
      <w:r>
        <w:rPr>
          <w:rStyle w:val="Satznummer"/>
        </w:rPr>
        <w:t>2</w:t>
      </w:r>
      <w:r>
        <w:t>Dies gilt nicht bei Darlehen an den Bund, ein Sondervermögen des Bundes, ein Land, eine Gemeinde, einen Gemeindeverband, die Europäischen Gemeinschaften oder ausländische Gebietskörperschaften.</w:t>
      </w:r>
    </w:p>
    <w:p>
      <w:r>
        <w:t xml:space="preserve">(5) </w:t>
      </w:r>
      <w:r>
        <w:rPr>
          <w:rStyle w:val="Satznummer"/>
        </w:rPr>
        <w:t>1</w:t>
      </w:r>
      <w:r>
        <w:t xml:space="preserve">Sollzinssatz ist der gebundene oder veränderliche periodische Prozentsatz, der pro Jahr auf das in Anspruch genommene Darlehen angewendet wird. </w:t>
      </w:r>
      <w:r>
        <w:rPr>
          <w:rStyle w:val="Satznummer"/>
        </w:rPr>
        <w:t>2</w:t>
      </w:r>
      <w:r>
        <w:t xml:space="preserve">Der Sollzinssatz ist gebunden, wenn für die gesamte Vertragslaufzeit ein Sollzinssatz oder mehrere Sollzinssätze vereinbart sind, die als feststehende Prozentzahl ausgedrückt werden. </w:t>
      </w:r>
      <w:r>
        <w:rPr>
          <w:rStyle w:val="Satznummer"/>
        </w:rPr>
        <w:t>3</w:t>
      </w:r>
      <w:r>
        <w:t>Ist für die gesamte Vertragslaufzeit keine Sollzinsbindung vereinbart, gilt der Sollzinssatz nur für diejenigen Zeiträume als gebunden, für die er durch eine feste Prozentzahl bestimmt ist.</w:t>
      </w:r>
    </w:p>
    <w:p>
      <w:pPr>
        <w:pStyle w:val="Heading6"/>
      </w:pPr>
      <w:bookmarkStart w:id="661" w:name="b648"/>
      <w:r>
        <w:t>§ 490 Außerordentliches Kündigungsrecht</w:t>
      </w:r>
      <w:r>
        <w:t xml:space="preserve"> </w:t>
      </w:r>
      <w:r>
        <w:rPr>
          <w:rStyle w:val="Suchmarke"/>
        </w:rPr>
        <w:t>#490#</w:t>
      </w:r>
      <w:bookmarkEnd w:id="661"/>
    </w:p>
    <w:p>
      <w:r>
        <w:t>(1) Wenn in den Vermögensverhältnissen des Darlehensnehmers oder in der Werthaltigkeit einer für das Darlehen gestellten Sicherheit eine wesentliche Verschlechterung eintritt oder einzutreten droht, durch die die Rückzahlung des Darlehens, auch unter Verwertung der Sicherheit, gefährdet wird, kann der Darlehensgeber den Darlehensvertrag vor Auszahlung des Darlehens im Zweifel stets, nach Auszahlung nur in der Regel fristlos kündigen.</w:t>
      </w:r>
    </w:p>
    <w:p>
      <w:r>
        <w:t xml:space="preserve">(2) </w:t>
      </w:r>
      <w:r>
        <w:rPr>
          <w:rStyle w:val="Satznummer"/>
        </w:rPr>
        <w:t>1</w:t>
      </w:r>
      <w:r>
        <w:t xml:space="preserve">Der Darlehensnehmer kann einen Darlehensvertrag, bei dem der Sollzinssatz gebunden und das Darlehen durch ein Grund- oder Schiffspfandrecht gesichert ist, unter Einhaltung der Fristen des </w:t>
      </w:r>
      <w:hyperlink w:anchor="b646" w:history="1">
        <w:r>
          <w:rPr>
            <w:color w:val="0A3A8C"/>
            <w:u w:val="single"/>
          </w:rPr>
          <w:t xml:space="preserve">§ 488</w:t>
        </w:r>
      </w:hyperlink>
      <w:r>
        <w:t xml:space="preserve"> Abs. 3 Satz 2 vorzeitig kündigen, wenn seine berechtigten Interessen dies gebieten und seit dem vollständigen Empfang des Darlehens sechs Monate abgelaufen sind. </w:t>
      </w:r>
      <w:r>
        <w:rPr>
          <w:rStyle w:val="Satznummer"/>
        </w:rPr>
        <w:t>2</w:t>
      </w:r>
      <w:r>
        <w:t xml:space="preserve">Ein solches Interesse liegt insbesondere vor, wenn der Darlehensnehmer ein Bedürfnis nach einer anderweitigen Verwertung der zur Sicherung des Darlehens beliehenen Sache hat. </w:t>
      </w:r>
      <w:r>
        <w:rPr>
          <w:rStyle w:val="Satznummer"/>
        </w:rPr>
        <w:t>3</w:t>
      </w:r>
      <w:r>
        <w:t>Der Darlehensnehmer hat dem Darlehensgeber denjenigen Schaden zu ersetzen, der diesem aus der vorzeitigen Kündigung entsteht (Vorfälligkeitsentschädigung).</w:t>
      </w:r>
    </w:p>
    <w:p>
      <w:r>
        <w:t xml:space="preserve">(3) Die Vorschriften der </w:t>
      </w:r>
      <w:hyperlink w:anchor="b388" w:history="1">
        <w:r>
          <w:rPr>
            <w:color w:val="0A3A8C"/>
            <w:u w:val="single"/>
          </w:rPr>
          <w:t xml:space="preserve">§§ 313</w:t>
        </w:r>
      </w:hyperlink>
      <w:r>
        <w:t xml:space="preserve"> und </w:t>
      </w:r>
      <w:hyperlink w:anchor="b389" w:history="1">
        <w:r>
          <w:rPr>
            <w:color w:val="0A3A8C"/>
            <w:u w:val="single"/>
          </w:rPr>
          <w:t xml:space="preserve">314</w:t>
        </w:r>
      </w:hyperlink>
      <w:r>
        <w:t xml:space="preserve"> bleiben unberührt.</w:t>
      </w:r>
    </w:p>
    <w:p>
      <w:pPr>
        <w:pStyle w:val="Heading5"/>
      </w:pPr>
      <w:bookmarkStart w:id="662" w:name="b649"/>
      <w:r>
        <w:t>Kapitel 2 Besondere Vorschriften für Verbraucherdarlehensverträge</w:t>
      </w:r>
      <w:bookmarkEnd w:id="662"/>
    </w:p>
    <w:p>
      <w:pPr>
        <w:pStyle w:val="Heading6"/>
      </w:pPr>
      <w:bookmarkStart w:id="663" w:name="b650"/>
      <w:r>
        <w:t>§ 491 Verbraucherdarlehensvertrag</w:t>
      </w:r>
      <w:r>
        <w:t xml:space="preserve"> </w:t>
      </w:r>
      <w:r>
        <w:rPr>
          <w:rStyle w:val="Suchmarke"/>
        </w:rPr>
        <w:t>#491#</w:t>
      </w:r>
      <w:bookmarkEnd w:id="663"/>
    </w:p>
    <w:p>
      <w:r>
        <w:t xml:space="preserve">(1) </w:t>
      </w:r>
      <w:r>
        <w:rPr>
          <w:rStyle w:val="Satznummer"/>
        </w:rPr>
        <w:t>1</w:t>
      </w:r>
      <w:r>
        <w:t xml:space="preserve">Die Vorschriften dieses Kapitels gelten für Verbraucherdarlehensverträge, soweit nichts anderes bestimmt ist. </w:t>
      </w:r>
      <w:r>
        <w:rPr>
          <w:rStyle w:val="Satznummer"/>
        </w:rPr>
        <w:t>2</w:t>
      </w:r>
      <w:r>
        <w:t>Verbraucherdarlehensverträge sind Allgemein-Verbraucherdarlehensverträge und Immobiliar-Verbraucherdarlehensverträge.</w:t>
      </w:r>
    </w:p>
    <w:p>
      <w:r>
        <w:t xml:space="preserve">(2) </w:t>
      </w:r>
      <w:r>
        <w:rPr>
          <w:rStyle w:val="Satznummer"/>
        </w:rPr>
        <w:t>1</w:t>
      </w:r>
      <w:r>
        <w:t xml:space="preserve">Allgemein-Verbraucherdarlehensverträge sind entgeltliche Darlehensverträge zwischen einem Unternehmer als Darlehensgeber und einem Verbraucher als Darlehensnehmer. </w:t>
      </w:r>
      <w:r>
        <w:rPr>
          <w:rStyle w:val="Satznummer"/>
        </w:rPr>
        <w:t>2</w:t>
      </w:r>
      <w:r>
        <w:t>Keine Allgemein-Verbraucherdarlehensverträge sind Verträge,</w:t>
      </w:r>
    </w:p>
    <w:p>
      <w:pPr>
        <w:tabs>
          <w:tab w:pos="567" w:val="left"/>
        </w:tabs>
        <w:ind w:left="567" w:hanging="567"/>
      </w:pPr>
      <w:r>
        <w:t>1.</w:t>
      </w:r>
      <w:r>
        <w:tab/>
      </w:r>
      <w:r>
        <w:t>bei denen der Nettodarlehensbetrag (Artikel 247 § 3 Abs. 2 des Einführungsgesetzes zum Bürgerlichen Gesetzbuche) weniger als 200 Euro beträgt,</w:t>
      </w:r>
    </w:p>
    <w:p>
      <w:pPr>
        <w:tabs>
          <w:tab w:pos="567" w:val="left"/>
        </w:tabs>
        <w:ind w:left="567" w:hanging="567"/>
      </w:pPr>
      <w:r>
        <w:t>2.</w:t>
      </w:r>
      <w:r>
        <w:tab/>
      </w:r>
      <w:r>
        <w:t>bei denen sich die Haftung des Darlehensnehmers auf eine dem Darlehensgeber zum Pfand übergebene Sache beschränkt,</w:t>
      </w:r>
    </w:p>
    <w:p>
      <w:pPr>
        <w:tabs>
          <w:tab w:pos="567" w:val="left"/>
        </w:tabs>
        <w:ind w:left="567" w:hanging="567"/>
      </w:pPr>
      <w:r>
        <w:t>3.</w:t>
      </w:r>
      <w:r>
        <w:tab/>
      </w:r>
      <w:r>
        <w:t>bei denen der Darlehensnehmer das Darlehen binnen drei Monaten zurückzuzahlen hat und nur geringe Kosten vereinbart sind,</w:t>
      </w:r>
    </w:p>
    <w:p>
      <w:pPr>
        <w:tabs>
          <w:tab w:pos="567" w:val="left"/>
        </w:tabs>
        <w:ind w:left="567" w:hanging="567"/>
      </w:pPr>
      <w:r>
        <w:t>4.</w:t>
      </w:r>
      <w:r>
        <w:tab/>
      </w:r>
      <w:r>
        <w:t>die von Arbeitgebern mit ihren Arbeitnehmern als Nebenleistung zum Arbeitsvertrag zu einem niedrigeren als dem marktüblichen effektiven Jahreszins (§ 16 der Preisangabenverordnung) abgeschlossen werden und anderen Personen nicht angeboten werden,</w:t>
      </w:r>
    </w:p>
    <w:p>
      <w:pPr>
        <w:tabs>
          <w:tab w:pos="567" w:val="left"/>
        </w:tabs>
        <w:ind w:left="567" w:hanging="567"/>
      </w:pPr>
      <w:r>
        <w:t>5.</w:t>
      </w:r>
      <w:r>
        <w:tab/>
      </w:r>
      <w:r>
        <w:t>die nur mit einem begrenzten Personenkreis auf Grund von Rechtsvorschriften in öffentlichem Interesse abgeschlossen werden, wenn im Vertrag für den Darlehensnehmer günstigere als marktübliche Bedingungen und höchstens der marktübliche Sollzinssatz vereinbart sind,</w:t>
      </w:r>
    </w:p>
    <w:p>
      <w:pPr>
        <w:tabs>
          <w:tab w:pos="567" w:val="left"/>
        </w:tabs>
        <w:ind w:left="567" w:hanging="567"/>
      </w:pPr>
      <w:r>
        <w:t>6.</w:t>
      </w:r>
      <w:r>
        <w:tab/>
      </w:r>
      <w:r>
        <w:t>bei denen es sich um Immobiliar-Verbraucherdarlehensverträge oder Immobilienverzehrkreditverträge gemäß Absatz 3 handelt.</w:t>
      </w:r>
    </w:p>
    <w:p>
      <w:r>
        <w:t xml:space="preserve">(3) </w:t>
      </w:r>
      <w:r>
        <w:rPr>
          <w:rStyle w:val="Satznummer"/>
        </w:rPr>
        <w:t>1</w:t>
      </w:r>
      <w:r>
        <w:t>Immobiliar-Verbraucherdarlehensverträge sind entgeltliche Darlehensverträge zwischen einem Unternehmer als Darlehensgeber und einem Verbraucher als Darlehensnehmer, die</w:t>
      </w:r>
    </w:p>
    <w:p>
      <w:pPr>
        <w:tabs>
          <w:tab w:pos="567" w:val="left"/>
        </w:tabs>
        <w:ind w:left="567" w:hanging="567"/>
      </w:pPr>
      <w:r>
        <w:t>1.</w:t>
      </w:r>
      <w:r>
        <w:tab/>
      </w:r>
      <w:r>
        <w:t>durch ein Grundpfandrecht oder eine Reallast besichert sind oder</w:t>
      </w:r>
    </w:p>
    <w:p>
      <w:pPr>
        <w:tabs>
          <w:tab w:pos="567" w:val="left"/>
        </w:tabs>
        <w:ind w:left="567" w:hanging="567"/>
      </w:pPr>
      <w:r>
        <w:t>2.</w:t>
      </w:r>
      <w:r>
        <w:tab/>
      </w:r>
      <w:r>
        <w:t>für den Erwerb oder die Erhaltung des Eigentumsrechts an Grundstücken, an bestehenden oder zu errichtenden Gebäuden oder für den Erwerb oder die Erhaltung von grundstücksgleichen Rechten bestimmt sind.</w:t>
      </w:r>
    </w:p>
    <w:p>
      <w:r>
        <w:rPr>
          <w:rStyle w:val="Satznummer"/>
        </w:rPr>
        <w:t>2</w:t>
      </w:r>
      <w:r>
        <w:t xml:space="preserve">Keine Immobiliar-Verbraucherdarlehensverträge sind Verträge gemäß Absatz 2 Satz 2 Nummer 4. </w:t>
      </w:r>
      <w:r>
        <w:rPr>
          <w:rStyle w:val="Satznummer"/>
        </w:rPr>
        <w:t>3</w:t>
      </w:r>
      <w:r>
        <w:t xml:space="preserve">Auf Immobiliar-Verbraucherdarlehensverträge gemäß Absatz 2 Satz 2 Nummer 5 sind nur </w:t>
      </w:r>
      <w:hyperlink w:anchor="b651" w:history="1">
        <w:r>
          <w:rPr>
            <w:color w:val="0A3A8C"/>
            <w:u w:val="single"/>
          </w:rPr>
          <w:t xml:space="preserve">§ 491a</w:t>
        </w:r>
      </w:hyperlink>
      <w:r>
        <w:t xml:space="preserve"> Absatz 4 und </w:t>
      </w:r>
      <w:hyperlink w:anchor="b657" w:history="1">
        <w:r>
          <w:rPr>
            <w:color w:val="0A3A8C"/>
            <w:u w:val="single"/>
          </w:rPr>
          <w:t xml:space="preserve">§ 495</w:t>
        </w:r>
      </w:hyperlink>
      <w:r>
        <w:t xml:space="preserve"> Absatz 4 anwendbar. </w:t>
      </w:r>
      <w:r>
        <w:rPr>
          <w:rStyle w:val="Satznummer"/>
        </w:rPr>
        <w:t>4</w:t>
      </w:r>
      <w:r>
        <w:t>Keine Immobiliar-Verbraucherdarlehensverträge sind Immobilienverzehrkreditverträge, bei denen der Kreditgeber</w:t>
      </w:r>
    </w:p>
    <w:p>
      <w:pPr>
        <w:tabs>
          <w:tab w:pos="567" w:val="left"/>
        </w:tabs>
        <w:ind w:left="567" w:hanging="567"/>
      </w:pPr>
      <w:r>
        <w:t>1.</w:t>
      </w:r>
      <w:r>
        <w:tab/>
      </w:r>
      <w:r>
        <w:t>pauschale oder regelmäßige Zahlungen leistet oder andere Formen der Kreditauszahlung vornimmt und im Gegenzug nur einen Betrag aus dem künftigen Erlös des Verkaufs einer Wohnimmobilie erhält oder ein Recht an einer Wohnimmobilie erwirbt und</w:t>
      </w:r>
    </w:p>
    <w:p>
      <w:pPr>
        <w:tabs>
          <w:tab w:pos="567" w:val="left"/>
        </w:tabs>
        <w:ind w:left="567" w:hanging="567"/>
      </w:pPr>
      <w:r>
        <w:t>2.</w:t>
      </w:r>
      <w:r>
        <w:tab/>
      </w:r>
      <w:r>
        <w:t>erst nach dem Tod des Verbrauchers eine Rückzahlung fordert, außer der Verbraucher verstößt gegen die Vertragsbestimmungen, was dem Kreditgeber erlaubt, den Vertrag zu kündigen.</w:t>
      </w:r>
    </w:p>
    <w:p>
      <w:r>
        <w:t xml:space="preserve">(4) </w:t>
      </w:r>
      <w:hyperlink w:anchor="b475" w:history="1">
        <w:r>
          <w:rPr>
            <w:color w:val="0A3A8C"/>
            <w:u w:val="single"/>
          </w:rPr>
          <w:t xml:space="preserve">§ 358</w:t>
        </w:r>
      </w:hyperlink>
      <w:r>
        <w:t xml:space="preserve"> Abs. 2 und 4 sowie die </w:t>
      </w:r>
      <w:hyperlink w:anchor="b651" w:history="1">
        <w:r>
          <w:rPr>
            <w:color w:val="0A3A8C"/>
            <w:u w:val="single"/>
          </w:rPr>
          <w:t xml:space="preserve">§§ 491a</w:t>
        </w:r>
      </w:hyperlink>
      <w:r>
        <w:t xml:space="preserve"> bis </w:t>
      </w:r>
      <w:hyperlink w:anchor="b657" w:history="1">
        <w:r>
          <w:rPr>
            <w:color w:val="0A3A8C"/>
            <w:u w:val="single"/>
          </w:rPr>
          <w:t xml:space="preserve">495</w:t>
        </w:r>
      </w:hyperlink>
      <w:r>
        <w:t xml:space="preserve"> und </w:t>
      </w:r>
      <w:hyperlink w:anchor="b669" w:history="1">
        <w:r>
          <w:rPr>
            <w:color w:val="0A3A8C"/>
            <w:u w:val="single"/>
          </w:rPr>
          <w:t xml:space="preserve">505a</w:t>
        </w:r>
      </w:hyperlink>
      <w:r>
        <w:t xml:space="preserve"> bis </w:t>
      </w:r>
      <w:hyperlink w:anchor="b673" w:history="1">
        <w:r>
          <w:rPr>
            <w:color w:val="0A3A8C"/>
            <w:u w:val="single"/>
          </w:rPr>
          <w:t xml:space="preserve">505e</w:t>
        </w:r>
      </w:hyperlink>
      <w:r>
        <w:t xml:space="preserve"> sind nicht auf Darlehensverträge anzuwenden, die in ein nach den Vorschriften der Zivilprozessordnung errichtetes gerichtliches Protokoll aufgenommen oder durch einen gerichtlichen Beschluss über das Zustandekommen und den Inhalt eines zwischen den Parteien geschlossenen Vergleichs festgestellt sind, wenn in das Protokoll oder den Beschluss der Sollzinssatz, die bei Abschluss des Vertrags in Rechnung gestellten Kosten des Darlehens sowie die Voraussetzungen aufgenommen worden sind, unter denen der Sollzinssatz oder die Kosten angepasst werden können.</w:t>
      </w:r>
    </w:p>
    <w:p>
      <w:pPr>
        <w:pStyle w:val="Heading6"/>
      </w:pPr>
      <w:bookmarkStart w:id="664" w:name="b651"/>
      <w:r>
        <w:t>§ 491a Vorvertragliche Informationspflichten bei Verbraucherdarlehensverträgen</w:t>
      </w:r>
      <w:r>
        <w:t xml:space="preserve"> </w:t>
      </w:r>
      <w:r>
        <w:rPr>
          <w:rStyle w:val="Suchmarke"/>
        </w:rPr>
        <w:t>#491a#</w:t>
      </w:r>
      <w:bookmarkEnd w:id="664"/>
    </w:p>
    <w:p>
      <w:r>
        <w:t>(1) Der Darlehensgeber ist verpflichtet, den Darlehensnehmer nach Maßgabe des Artikels 247 des Einführungsgesetzes zum Bürgerlichen Gesetzbuche zu informieren.</w:t>
      </w:r>
    </w:p>
    <w:p>
      <w:r>
        <w:t xml:space="preserve">(2) </w:t>
      </w:r>
      <w:r>
        <w:rPr>
          <w:rStyle w:val="Satznummer"/>
        </w:rPr>
        <w:t>1</w:t>
      </w:r>
      <w:r>
        <w:t xml:space="preserve">Der Darlehensnehmer kann vom Darlehensgeber einen Entwurf des Verbraucherdarlehensvertrags verlangen. </w:t>
      </w:r>
      <w:r>
        <w:rPr>
          <w:rStyle w:val="Satznummer"/>
        </w:rPr>
        <w:t>2</w:t>
      </w:r>
      <w:r>
        <w:t xml:space="preserve">Dies gilt nicht, solange der Darlehensgeber zum Vertragsabschluss nicht bereit ist. </w:t>
      </w:r>
      <w:r>
        <w:rPr>
          <w:rStyle w:val="Satznummer"/>
        </w:rPr>
        <w:t>3</w:t>
      </w:r>
      <w:r>
        <w:t xml:space="preserve">Unterbreitet der Darlehensgeber bei einem Immobiliar-Verbraucherdarlehensvertrag dem Darlehensnehmer ein Angebot oder einen bindenden Vorschlag für bestimmte Vertragsbestimmungen, so muss er dem Darlehensnehmer anbieten, einen Vertragsentwurf auszuhändigen oder zu übermitteln; besteht kein Widerrufsrecht nach </w:t>
      </w:r>
      <w:hyperlink w:anchor="b657" w:history="1">
        <w:r>
          <w:rPr>
            <w:color w:val="0A3A8C"/>
            <w:u w:val="single"/>
          </w:rPr>
          <w:t xml:space="preserve">§ 495</w:t>
        </w:r>
      </w:hyperlink>
      <w:r>
        <w:t>, ist der Darlehensgeber dazu verpflichtet, dem Darlehensnehmer einen Vertragsentwurf auszuhändigen oder zu übermitteln.</w:t>
      </w:r>
    </w:p>
    <w:p>
      <w:r>
        <w:t xml:space="preserve">(3) </w:t>
      </w:r>
      <w:r>
        <w:rPr>
          <w:rStyle w:val="Satznummer"/>
        </w:rPr>
        <w:t>1</w:t>
      </w:r>
      <w:r>
        <w:t xml:space="preserve">Der Darlehensgeber ist verpflichtet, dem Darlehensnehmer vor Abschluss eines Verbraucherdarlehensvertrags angemessene Erläuterungen zu geben, damit der Darlehensnehmer in die Lage versetzt wird, zu beurteilen, ob der Vertrag dem von ihm verfolgten Zweck und seinen Vermögensverhältnissen gerecht wird. </w:t>
      </w:r>
      <w:r>
        <w:rPr>
          <w:rStyle w:val="Satznummer"/>
        </w:rPr>
        <w:t>2</w:t>
      </w:r>
      <w:r>
        <w:t xml:space="preserve">Hierzu sind gegebenenfalls die vorvertraglichen Informationen gemäß Absatz 1, die Hauptmerkmale der vom Darlehensgeber angebotenen Verträge sowie ihre vertragstypischen Auswirkungen auf den Darlehensnehmer, einschließlich der Folgen bei Zahlungsverzug, zu erläutern. </w:t>
      </w:r>
      <w:r>
        <w:rPr>
          <w:rStyle w:val="Satznummer"/>
        </w:rPr>
        <w:t>3</w:t>
      </w:r>
      <w:r>
        <w:t>Werden mit einem Immobiliar-Verbraucherdarlehensvertrag Finanzprodukte oder -dienstleistungen im Paket angeboten, so muss dem Darlehensnehmer erläutert werden, ob sie gesondert gekündigt werden können und welche Folgen die Kündigung hat.</w:t>
      </w:r>
    </w:p>
    <w:p>
      <w:r>
        <w:t xml:space="preserve">(4) Bei einem Immobiliar-Verbraucherdarlehensvertrag entsprechend </w:t>
      </w:r>
      <w:hyperlink w:anchor="b650" w:history="1">
        <w:r>
          <w:rPr>
            <w:color w:val="0A3A8C"/>
            <w:u w:val="single"/>
          </w:rPr>
          <w:t xml:space="preserve">§ 491</w:t>
        </w:r>
      </w:hyperlink>
      <w:r>
        <w:t xml:space="preserve"> Absatz 2 Satz 2 Nummer 5 ist der Darlehensgeber verpflichtet, den Darlehensnehmer rechtzeitig vor Abgabe von dessen Vertragserklärung auf einem dauerhaften Datenträger über die Merkmale gemäß den Abschnitten 3, 4 und 13 des in Artikel 247 § 1 Absatz 2 Satz 2 des Einführungsgesetzes zum Bürgerlichen Gesetzbuche genannten Musters zu informieren.</w:t>
      </w:r>
    </w:p>
    <w:p>
      <w:pPr>
        <w:pStyle w:val="Heading6"/>
      </w:pPr>
      <w:bookmarkStart w:id="665" w:name="b652"/>
      <w:r>
        <w:t>§ 492 Schriftform, Vertragsinhalt</w:t>
      </w:r>
      <w:r>
        <w:t xml:space="preserve"> </w:t>
      </w:r>
      <w:r>
        <w:rPr>
          <w:rStyle w:val="Suchmarke"/>
        </w:rPr>
        <w:t>#492#</w:t>
      </w:r>
      <w:bookmarkEnd w:id="665"/>
    </w:p>
    <w:p>
      <w:r>
        <w:t xml:space="preserve">(1) </w:t>
      </w:r>
      <w:r>
        <w:rPr>
          <w:rStyle w:val="Satznummer"/>
        </w:rPr>
        <w:t>1</w:t>
      </w:r>
      <w:r>
        <w:t xml:space="preserve">Verbraucherdarlehensverträge sind, soweit nicht eine strengere Form vorgeschrieben ist, schriftlich abzuschließen. </w:t>
      </w:r>
      <w:r>
        <w:rPr>
          <w:rStyle w:val="Satznummer"/>
        </w:rPr>
        <w:t>2</w:t>
      </w:r>
      <w:r>
        <w:t xml:space="preserve">Der Schriftform ist genügt, wenn Antrag und Annahme durch die Vertragsparteien jeweils getrennt schriftlich erklärt werden. </w:t>
      </w:r>
      <w:r>
        <w:rPr>
          <w:rStyle w:val="Satznummer"/>
        </w:rPr>
        <w:t>3</w:t>
      </w:r>
      <w:r>
        <w:t>Die Erklärung des Darlehensgebers bedarf keiner Unterzeichnung, wenn sie mit Hilfe einer automatischen Einrichtung erstellt wird.</w:t>
      </w:r>
    </w:p>
    <w:p>
      <w:r>
        <w:t>(2) Der Vertrag muss die für den Verbraucherdarlehensvertrag vorgeschriebenen Angaben nach Artikel 247 §§ 6 bis 13 des Einführungsgesetzes zum Bürgerlichen Gesetzbuche enthalten.</w:t>
      </w:r>
    </w:p>
    <w:p>
      <w:r>
        <w:t xml:space="preserve">(3) </w:t>
      </w:r>
      <w:r>
        <w:rPr>
          <w:rStyle w:val="Satznummer"/>
        </w:rPr>
        <w:t>1</w:t>
      </w:r>
      <w:r>
        <w:t xml:space="preserve">Nach Vertragsschluss stellt der Darlehensgeber dem Darlehensnehmer eine Abschrift des Vertrags zur Verfügung. </w:t>
      </w:r>
      <w:r>
        <w:rPr>
          <w:rStyle w:val="Satznummer"/>
        </w:rPr>
        <w:t>2</w:t>
      </w:r>
      <w:r>
        <w:t>Ist ein Zeitpunkt für die Rückzahlung des Darlehens bestimmt, kann der Darlehensnehmer vom Darlehensgeber jederzeit einen Tilgungsplan nach Artikel 247 § 14 des Einführungsgesetzes zum Bürgerlichen Gesetzbuche verlangen.</w:t>
      </w:r>
    </w:p>
    <w:p>
      <w:r>
        <w:t xml:space="preserve">(4) </w:t>
      </w:r>
      <w:r>
        <w:rPr>
          <w:rStyle w:val="Satznummer"/>
        </w:rPr>
        <w:t>1</w:t>
      </w:r>
      <w:r>
        <w:t xml:space="preserve">Die Absätze 1 und 2 gelten auch für die Vollmacht, die ein Darlehensnehmer zum Abschluss eines Verbraucherdarlehensvertrags erteilt. </w:t>
      </w:r>
      <w:r>
        <w:rPr>
          <w:rStyle w:val="Satznummer"/>
        </w:rPr>
        <w:t>2</w:t>
      </w:r>
      <w:r>
        <w:t>Satz 1 gilt nicht für die Prozessvollmacht und eine Vollmacht, die notariell beurkundet ist.</w:t>
      </w:r>
    </w:p>
    <w:p>
      <w:r>
        <w:t>(5) Erklärungen des Darlehensgebers, die dem Darlehensnehmer gegenüber nach Vertragsabschluss abzugeben sind, müssen auf einem dauerhaften Datenträger erfolgen.</w:t>
      </w:r>
    </w:p>
    <w:p>
      <w:r>
        <w:t xml:space="preserve">(6) </w:t>
      </w:r>
      <w:r>
        <w:rPr>
          <w:rStyle w:val="Satznummer"/>
        </w:rPr>
        <w:t>1</w:t>
      </w:r>
      <w:r>
        <w:t xml:space="preserve">Enthält der Vertrag die Angaben nach Absatz 2 nicht oder nicht vollständig, können sie nach wirksamem Vertragsschluss oder in den Fällen des </w:t>
      </w:r>
      <w:hyperlink w:anchor="b656" w:history="1">
        <w:r>
          <w:rPr>
            <w:color w:val="0A3A8C"/>
            <w:u w:val="single"/>
          </w:rPr>
          <w:t xml:space="preserve">§ 494</w:t>
        </w:r>
      </w:hyperlink>
      <w:r>
        <w:t xml:space="preserve"> Absatz 2 Satz 1 nach Gültigwerden des Vertrags auf einem dauerhaften Datenträger nachgeholt werden. </w:t>
      </w:r>
      <w:r>
        <w:rPr>
          <w:rStyle w:val="Satznummer"/>
        </w:rPr>
        <w:t>2</w:t>
      </w:r>
      <w:r>
        <w:t xml:space="preserve">Hat das Fehlen von Angaben nach Absatz 2 zu Änderungen der Vertragsbedingungen gemäß </w:t>
      </w:r>
      <w:hyperlink w:anchor="b656" w:history="1">
        <w:r>
          <w:rPr>
            <w:color w:val="0A3A8C"/>
            <w:u w:val="single"/>
          </w:rPr>
          <w:t xml:space="preserve">§ 494</w:t>
        </w:r>
      </w:hyperlink>
      <w:r>
        <w:t xml:space="preserve"> Absatz 2 Satz 2 bis Absatz 6 geführt, kann die Nachholung der Angaben nur dadurch erfolgen, dass der Darlehensnehmer die nach </w:t>
      </w:r>
      <w:hyperlink w:anchor="b656" w:history="1">
        <w:r>
          <w:rPr>
            <w:color w:val="0A3A8C"/>
            <w:u w:val="single"/>
          </w:rPr>
          <w:t xml:space="preserve">§ 494</w:t>
        </w:r>
      </w:hyperlink>
      <w:r>
        <w:t xml:space="preserve"> Absatz 7 erforderliche Abschrift des Vertrags erhält. </w:t>
      </w:r>
      <w:r>
        <w:rPr>
          <w:rStyle w:val="Satznummer"/>
        </w:rPr>
        <w:t>3</w:t>
      </w:r>
      <w:r>
        <w:t xml:space="preserve">In den sonstigen Fällen muss der Darlehensnehmer spätestens im Zeitpunkt der Nachholung der Angaben eine der in </w:t>
      </w:r>
      <w:hyperlink w:anchor="b464" w:history="1">
        <w:r>
          <w:rPr>
            <w:color w:val="0A3A8C"/>
            <w:u w:val="single"/>
          </w:rPr>
          <w:t xml:space="preserve">§ 356b</w:t>
        </w:r>
      </w:hyperlink>
      <w:r>
        <w:t xml:space="preserve"> Absatz 1 genannten Unterlagen erhalten. </w:t>
      </w:r>
      <w:r>
        <w:rPr>
          <w:rStyle w:val="Satznummer"/>
        </w:rPr>
        <w:t>4</w:t>
      </w:r>
      <w:r>
        <w:t>Mit der Nachholung der Angaben nach Absatz 2 ist der Darlehensnehmer auf einem dauerhaften Datenträger darauf hinzuweisen, dass die Widerrufsfrist von einem Monat nach Erhalt der nachgeholten Angaben beginnt.</w:t>
      </w:r>
    </w:p>
    <w:p>
      <w:r>
        <w:t>(7) Die Vereinbarung eines veränderlichen Sollzinssatzes, der sich nach einem Index oder Referenzzinssatz richtet, ist nur wirksam, wenn der Index oder Referenzzinssatz objektiv, eindeutig bestimmt und für Darlehensgeber und Darlehensnehmer verfügbar und überprüfbar ist.</w:t>
      </w:r>
    </w:p>
    <w:p>
      <w:pPr>
        <w:pStyle w:val="Heading6"/>
      </w:pPr>
      <w:bookmarkStart w:id="666" w:name="b653"/>
      <w:r>
        <w:t>§ 492a Kopplungsgeschäfte</w:t>
      </w:r>
      <w:r>
        <w:t xml:space="preserve"> </w:t>
      </w:r>
      <w:r>
        <w:rPr>
          <w:rStyle w:val="Suchmarke"/>
        </w:rPr>
        <w:t>#492a#</w:t>
      </w:r>
      <w:bookmarkEnd w:id="666"/>
    </w:p>
    <w:p>
      <w:r>
        <w:t xml:space="preserve">(1) </w:t>
      </w:r>
      <w:r>
        <w:rPr>
          <w:rStyle w:val="Satznummer"/>
        </w:rPr>
        <w:t>1</w:t>
      </w:r>
      <w:r>
        <w:t xml:space="preserve">Der Darlehensgeber darf den Abschluss eines Immobiliar-Verbraucherdarlehenvertrags unbeschadet des </w:t>
      </w:r>
      <w:hyperlink w:anchor="b654" w:history="1">
        <w:r>
          <w:rPr>
            <w:color w:val="0A3A8C"/>
            <w:u w:val="single"/>
          </w:rPr>
          <w:t xml:space="preserve">§ 492b</w:t>
        </w:r>
      </w:hyperlink>
      <w:r>
        <w:t xml:space="preserve"> nicht davon abhängig machen, dass der Darlehensnehmer oder ein Dritter weitere Finanzprodukte oder -dienstleistungen erwirbt (Kopplungsgeschäft). </w:t>
      </w:r>
      <w:r>
        <w:rPr>
          <w:rStyle w:val="Satznummer"/>
        </w:rPr>
        <w:t>2</w:t>
      </w:r>
      <w:r>
        <w:t>Ist der Darlehensgeber zum Abschluss des Immobiliar-Verbraucherdarlehensvertrags bereit, ohne dass der Verbraucher weitere Finanzprodukte oder -dienstleistungen erwirbt, liegt ein Kopplungsgeschäft auch dann nicht vor, wenn die Bedingungen für den Immobiliar-Verbraucherdarlehensvertrag von denen abweichen, zu denen er zusammen mit den weiteren Finanzprodukten oder -dienstleistungen angeboten wird.</w:t>
      </w:r>
    </w:p>
    <w:p>
      <w:r>
        <w:t xml:space="preserve">(1a) </w:t>
      </w:r>
      <w:r>
        <w:rPr>
          <w:rStyle w:val="Satznummer"/>
        </w:rPr>
        <w:t>1</w:t>
      </w:r>
      <w:r>
        <w:t xml:space="preserve">Der Darlehensgeber darf den Abschluss eines Allgemein-Verbraucherdarlehensvertrags nicht davon abhängig machen, dass der Darlehensnehmer oder ein Dritter eine Restschuldversicherung abschließt. </w:t>
      </w:r>
      <w:r>
        <w:rPr>
          <w:rStyle w:val="Satznummer"/>
        </w:rPr>
        <w:t>2</w:t>
      </w:r>
      <w:r>
        <w:t>Ist der Darlehensgeber zum Abschluss des Allgemein-Verbraucherdarlehensvertrags bereit, ohne dass der Verbraucher eine Restschuldversicherung abschließt, liegt ein Kopplungsgeschäft auch dann nicht vor, wenn die Bedingungen für den Allgemein-Verbraucherdarlehensvertrag von denen abweichen, zu denen er zusammen mit der Restschuldversicherung angeboten wird.</w:t>
      </w:r>
    </w:p>
    <w:p>
      <w:r>
        <w:t>(2) Soweit ein Kopplungsgeschäft nach Absatz 1 oder Absatz 1a unzulässig ist, sind die mit dem Verbraucherdarlehensvertrag gekoppelten Geschäfte nichtig; die Wirksamkeit des Verbraucherdarlehensvertrags bleibt davon unberührt.</w:t>
      </w:r>
    </w:p>
    <w:p>
      <w:pPr>
        <w:pStyle w:val="Heading6"/>
      </w:pPr>
      <w:bookmarkStart w:id="667" w:name="b654"/>
      <w:r>
        <w:t>§ 492b Zulässige Kopplungsgeschäfte</w:t>
      </w:r>
      <w:r>
        <w:t xml:space="preserve"> </w:t>
      </w:r>
      <w:r>
        <w:rPr>
          <w:rStyle w:val="Suchmarke"/>
        </w:rPr>
        <w:t>#492b#</w:t>
      </w:r>
      <w:bookmarkEnd w:id="667"/>
    </w:p>
    <w:p>
      <w:r>
        <w:t>(1) Ein Kopplungsgeschäft ist zulässig, wenn der Darlehensgeber den Abschluss eines Immobiliar-Verbraucherdarlehensvertrags davon abhängig macht, dass der Darlehensnehmer, ein Familienangehöriger des Darlehensnehmers oder beide zusammen</w:t>
      </w:r>
    </w:p>
    <w:p>
      <w:pPr>
        <w:tabs>
          <w:tab w:pos="567" w:val="left"/>
        </w:tabs>
        <w:ind w:left="567" w:hanging="567"/>
      </w:pPr>
      <w:r>
        <w:t>1.</w:t>
      </w:r>
      <w:r>
        <w:tab/>
      </w:r>
      <w:r>
        <w:t>ein Zahlungs- oder ein Sparkonto eröffnen, dessen einziger Zweck die Ansammlung von Kapital ist, um</w:t>
      </w:r>
    </w:p>
    <w:p>
      <w:pPr>
        <w:tabs>
          <w:tab w:pos="1134" w:val="left"/>
        </w:tabs>
        <w:ind w:left="1134" w:hanging="567"/>
      </w:pPr>
      <w:r>
        <w:t>a)</w:t>
      </w:r>
      <w:r>
        <w:tab/>
      </w:r>
      <w:r>
        <w:t>das Immobiliar-Verbraucherdarlehen zurückzuzahlen oder zu bedienen,</w:t>
      </w:r>
    </w:p>
    <w:p>
      <w:pPr>
        <w:tabs>
          <w:tab w:pos="1134" w:val="left"/>
        </w:tabs>
        <w:ind w:left="1134" w:hanging="567"/>
      </w:pPr>
      <w:r>
        <w:t>b)</w:t>
      </w:r>
      <w:r>
        <w:tab/>
      </w:r>
      <w:r>
        <w:t>die erforderlichen Mittel für die Gewährung des Darlehens bereitzustellen oder</w:t>
      </w:r>
    </w:p>
    <w:p>
      <w:pPr>
        <w:tabs>
          <w:tab w:pos="1134" w:val="left"/>
        </w:tabs>
        <w:ind w:left="1134" w:hanging="567"/>
      </w:pPr>
      <w:r>
        <w:t>c)</w:t>
      </w:r>
      <w:r>
        <w:tab/>
      </w:r>
      <w:r>
        <w:t>als zusätzliche Sicherheit für den Darlehensgeber für den Fall eines Zahlungsausfalls zu dienen;</w:t>
      </w:r>
    </w:p>
    <w:p>
      <w:pPr>
        <w:tabs>
          <w:tab w:pos="567" w:val="left"/>
        </w:tabs>
        <w:ind w:left="567" w:hanging="567"/>
      </w:pPr>
      <w:r>
        <w:t>2.</w:t>
      </w:r>
      <w:r>
        <w:tab/>
      </w:r>
      <w:r>
        <w:t>ein Anlageprodukt oder ein privates Rentenprodukt erwerben oder behalten, das</w:t>
      </w:r>
    </w:p>
    <w:p>
      <w:pPr>
        <w:tabs>
          <w:tab w:pos="1134" w:val="left"/>
        </w:tabs>
        <w:ind w:left="1134" w:hanging="567"/>
      </w:pPr>
      <w:r>
        <w:t>a)</w:t>
      </w:r>
      <w:r>
        <w:tab/>
      </w:r>
      <w:r>
        <w:t>in erster Linie als Ruhestandseinkommen dient und</w:t>
      </w:r>
    </w:p>
    <w:p>
      <w:pPr>
        <w:tabs>
          <w:tab w:pos="1134" w:val="left"/>
        </w:tabs>
        <w:ind w:left="1134" w:hanging="567"/>
      </w:pPr>
      <w:r>
        <w:t>b)</w:t>
      </w:r>
      <w:r>
        <w:tab/>
      </w:r>
      <w:r>
        <w:t>bei Zahlungsausfall als zusätzliche Sicherheit für den Darlehensgeber dient oder das der Ansammlung von Kapital dient, um damit das Immobiliar-Verbraucherdarlehen zurückzuzahlen oder zu bedienen oder um damit die erforderlichen Mittel für die Gewährung des Darlehens bereitzustellen;</w:t>
      </w:r>
    </w:p>
    <w:p>
      <w:pPr>
        <w:tabs>
          <w:tab w:pos="567" w:val="left"/>
        </w:tabs>
        <w:ind w:left="567" w:hanging="567"/>
      </w:pPr>
      <w:r>
        <w:t>3.</w:t>
      </w:r>
      <w:r>
        <w:tab/>
      </w:r>
      <w:r>
        <w:t>einen weiteren Darlehensvertrag abschließen, bei dem das zurückzuzahlende Kapital auf einem vertraglich festgelegten Prozentsatz des Werts der Immobilie beruht, die diese zum Zeitpunkt der Rückzahlung oder Rückzahlungen des Kapitals (Darlehensvertrag mit Wertbeteiligung) hat.</w:t>
      </w:r>
    </w:p>
    <w:p>
      <w:r>
        <w:t>(2) Ein Kopplungsgeschäft ist zulässig, wenn der Darlehensgeber den Abschluss eines Immobiliar-Verbraucherdarlehensvertrags davon abhängig macht, dass der Darlehensnehmer im Zusammenhang mit dem Immobiliar-Verbraucherdarlehensvertrag eine einschlägige Versicherung abschließt und dem Darlehensnehmer gestattet ist, diese Versicherung auch bei einem anderen als bei dem vom Darlehensgeber bevorzugten Anbieter abzuschließen.</w:t>
      </w:r>
    </w:p>
    <w:p>
      <w:r>
        <w:t>(3) Ein Kopplungsgeschäft ist zulässig, wenn die für den Darlehensgeber zuständige Aufsichtsbehörde die weiteren Finanzprodukte oder -dienstleistungen sowie deren Kopplung mit dem Immobiliar-Verbraucherdarlehensvertrag nach § 18a Absatz 8a des Kreditwesengesetzes genehmigt hat.</w:t>
      </w:r>
    </w:p>
    <w:p>
      <w:pPr>
        <w:pStyle w:val="Heading6"/>
      </w:pPr>
      <w:bookmarkStart w:id="668" w:name="b655"/>
      <w:r>
        <w:t>§ 493 Informationen während des Vertragsverhältnisses</w:t>
      </w:r>
      <w:r>
        <w:t xml:space="preserve"> </w:t>
      </w:r>
      <w:r>
        <w:rPr>
          <w:rStyle w:val="Suchmarke"/>
        </w:rPr>
        <w:t>#493#</w:t>
      </w:r>
      <w:bookmarkEnd w:id="668"/>
    </w:p>
    <w:p>
      <w:r>
        <w:t xml:space="preserve">(1) </w:t>
      </w:r>
      <w:r>
        <w:rPr>
          <w:rStyle w:val="Satznummer"/>
        </w:rPr>
        <w:t>1</w:t>
      </w:r>
      <w:r>
        <w:t xml:space="preserve">Ist in einem Verbraucherdarlehensvertrag der Sollzinssatz gebunden und endet die Sollzinsbindung vor der für die Rückzahlung bestimmten Zeit, unterrichtet der Darlehensgeber den Darlehensnehmer spätestens drei Monate vor Ende der Sollzinsbindung darüber, ob er zu einer neuen Sollzinsbindungsabrede bereit ist. </w:t>
      </w:r>
      <w:r>
        <w:rPr>
          <w:rStyle w:val="Satznummer"/>
        </w:rPr>
        <w:t>2</w:t>
      </w:r>
      <w:r>
        <w:t>Erklärt sich der Darlehensgeber hierzu bereit, muss die Unterrichtung den zum Zeitpunkt der Unterrichtung vom Darlehensgeber angebotenen Sollzinssatz enthalten.</w:t>
      </w:r>
    </w:p>
    <w:p>
      <w:r>
        <w:t xml:space="preserve">(2) </w:t>
      </w:r>
      <w:r>
        <w:rPr>
          <w:rStyle w:val="Satznummer"/>
        </w:rPr>
        <w:t>1</w:t>
      </w:r>
      <w:r>
        <w:t xml:space="preserve">Der Darlehensgeber unterrichtet den Darlehensnehmer spätestens drei Monate vor Beendigung eines Verbraucherdarlehensvertrags darüber, ob er zur Fortführung des Darlehensverhältnisses bereit ist. </w:t>
      </w:r>
      <w:r>
        <w:rPr>
          <w:rStyle w:val="Satznummer"/>
        </w:rPr>
        <w:t>2</w:t>
      </w:r>
      <w:r>
        <w:t xml:space="preserve">Erklärt sich der Darlehensgeber zur Fortführung bereit, muss die Unterrichtung die zum Zeitpunkt der Unterrichtung gültigen Pflichtangaben gemäß </w:t>
      </w:r>
      <w:hyperlink w:anchor="b651" w:history="1">
        <w:r>
          <w:rPr>
            <w:color w:val="0A3A8C"/>
            <w:u w:val="single"/>
          </w:rPr>
          <w:t xml:space="preserve">§ 491a</w:t>
        </w:r>
      </w:hyperlink>
      <w:r>
        <w:t xml:space="preserve"> Abs. 1 enthalten.</w:t>
      </w:r>
    </w:p>
    <w:p>
      <w:r>
        <w:t xml:space="preserve">(3) </w:t>
      </w:r>
      <w:r>
        <w:rPr>
          <w:rStyle w:val="Satznummer"/>
        </w:rPr>
        <w:t>1</w:t>
      </w:r>
      <w:r>
        <w:t xml:space="preserve">Die Anpassung des Sollzinssatzes eines Verbraucherdarlehensvertrags mit veränderlichem Sollzinssatz wird erst wirksam, nachdem der Darlehensgeber den Darlehensnehmer über die Einzelheiten unterrichtet hat, die sich aus Artikel 247 § 15 des Einführungsgesetzes zum Bürgerlichen Gesetzbuche ergeben. </w:t>
      </w:r>
      <w:r>
        <w:rPr>
          <w:rStyle w:val="Satznummer"/>
        </w:rPr>
        <w:t>2</w:t>
      </w:r>
      <w:r>
        <w:t>Abweichende Vereinbarungen über die Wirksamkeit sind im Rahmen des Artikels 247 § 15 Absatz 2 und 3 des Einführungsgesetzes zum Bürgerlichen Gesetzbuche zulässig.</w:t>
      </w:r>
    </w:p>
    <w:p>
      <w:r>
        <w:t xml:space="preserve">(4) </w:t>
      </w:r>
      <w:r>
        <w:rPr>
          <w:rStyle w:val="Satznummer"/>
        </w:rPr>
        <w:t>1</w:t>
      </w:r>
      <w:r>
        <w:t xml:space="preserve">Bei einem Vertrag über ein Immobiliar-Verbraucherdarlehen in Fremdwährung gemäß </w:t>
      </w:r>
      <w:hyperlink w:anchor="b665" w:history="1">
        <w:r>
          <w:rPr>
            <w:color w:val="0A3A8C"/>
            <w:u w:val="single"/>
          </w:rPr>
          <w:t xml:space="preserve">§ 503</w:t>
        </w:r>
      </w:hyperlink>
      <w:r>
        <w:t xml:space="preserve"> Absatz 1 Satz 1, auch in Verbindung mit Satz 3, hat der Darlehensgeber den Darlehensnehmer unverzüglich zu informieren, wenn der Wert des noch zu zahlenden Restbetrags oder der Wert der regelmäßigen Raten in der Landeswährung des Darlehensnehmers um mehr als 20 Prozent gegenüber dem Wert steigt, der bei Zugrundelegung des Wechselkurses bei Vertragsabschluss gegeben wäre. </w:t>
      </w:r>
      <w:r>
        <w:rPr>
          <w:rStyle w:val="Satznummer"/>
        </w:rPr>
        <w:t>2</w:t>
      </w:r>
      <w:r>
        <w:t>Die Information</w:t>
      </w:r>
    </w:p>
    <w:p>
      <w:pPr>
        <w:tabs>
          <w:tab w:pos="567" w:val="left"/>
        </w:tabs>
        <w:ind w:left="567" w:hanging="567"/>
      </w:pPr>
      <w:r>
        <w:t>1.</w:t>
      </w:r>
      <w:r>
        <w:tab/>
      </w:r>
      <w:r>
        <w:t>ist auf einem dauerhaften Datenträger zu übermitteln,</w:t>
      </w:r>
    </w:p>
    <w:p>
      <w:pPr>
        <w:tabs>
          <w:tab w:pos="567" w:val="left"/>
        </w:tabs>
        <w:ind w:left="567" w:hanging="567"/>
      </w:pPr>
      <w:r>
        <w:t>2.</w:t>
      </w:r>
      <w:r>
        <w:tab/>
      </w:r>
      <w:r>
        <w:t>hat die Angabe über die Veränderung des Restbetrags in der Landeswährung des Darlehensnehmers zu enthalten,</w:t>
      </w:r>
    </w:p>
    <w:p>
      <w:pPr>
        <w:tabs>
          <w:tab w:pos="567" w:val="left"/>
        </w:tabs>
        <w:ind w:left="567" w:hanging="567"/>
      </w:pPr>
      <w:r>
        <w:t>3.</w:t>
      </w:r>
      <w:r>
        <w:tab/>
      </w:r>
      <w:r>
        <w:t xml:space="preserve">hat den Hinweis auf die Möglichkeit einer Währungsumstellung aufgrund des </w:t>
      </w:r>
      <w:hyperlink w:anchor="b665" w:history="1">
        <w:r>
          <w:rPr>
            <w:color w:val="0A3A8C"/>
            <w:u w:val="single"/>
          </w:rPr>
          <w:t xml:space="preserve">§ 503</w:t>
        </w:r>
      </w:hyperlink>
      <w:r>
        <w:t xml:space="preserve"> und die hierfür geltenden Bedingungen und gegebenenfalls die Erläuterung weiterer Möglichkeiten zur Begrenzung des Wechselkursrisikos zu enthalten und</w:t>
      </w:r>
    </w:p>
    <w:p>
      <w:pPr>
        <w:tabs>
          <w:tab w:pos="567" w:val="left"/>
        </w:tabs>
        <w:ind w:left="567" w:hanging="567"/>
      </w:pPr>
      <w:r>
        <w:t>4.</w:t>
      </w:r>
      <w:r>
        <w:tab/>
      </w:r>
      <w:r>
        <w:t>ist so lange in regelmäßigen Abständen zu erteilen, bis die Differenz von 20 Prozent wieder unterschritten wird.</w:t>
      </w:r>
    </w:p>
    <w:p>
      <w:r>
        <w:rPr>
          <w:rStyle w:val="Satznummer"/>
        </w:rPr>
        <w:t>3</w:t>
      </w:r>
      <w:r>
        <w:t>Die Sätze 1 und 2 sind entsprechend anzuwenden, wenn ein Immobiliar-Verbraucherdarlehensvertrag in der Währung des Mitgliedstaats der Europäischen Union, in dem der Darlehensnehmer bei Vertragsschluss seinen Wohnsitz hat, geschlossen wurde und der Darlehensnehmer zum Zeitpunkt der maßgeblichen Kreditwürdigkeitsprüfung in einer anderen Währung überwiegend sein Einkommen bezieht oder Vermögenswerte hält, aus denen das Darlehen zurückgezahlt werden soll.</w:t>
      </w:r>
    </w:p>
    <w:p>
      <w:r>
        <w:t xml:space="preserve">(5) </w:t>
      </w:r>
      <w:r>
        <w:rPr>
          <w:rStyle w:val="Satznummer"/>
        </w:rPr>
        <w:t>1</w:t>
      </w:r>
      <w:r>
        <w:t xml:space="preserve">Wenn der Darlehensnehmer eines Immobiliar-Verbraucherdarlehensvertrags dem Darlehensgeber mitteilt, dass er eine vorzeitige Rückzahlung des Darlehens beabsichtigt, ist der Darlehensgeber verpflichtet, ihm unverzüglich die für die Prüfung dieser Möglichkeit erforderlichen Informationen auf einem dauerhaften Datenträger zu übermitteln. </w:t>
      </w:r>
      <w:r>
        <w:rPr>
          <w:rStyle w:val="Satznummer"/>
        </w:rPr>
        <w:t>2</w:t>
      </w:r>
      <w:r>
        <w:t>Diese Informationen müssen insbesondere folgende Angaben enthalten:</w:t>
      </w:r>
    </w:p>
    <w:p>
      <w:pPr>
        <w:tabs>
          <w:tab w:pos="567" w:val="left"/>
        </w:tabs>
        <w:ind w:left="567" w:hanging="567"/>
      </w:pPr>
      <w:r>
        <w:t>1.</w:t>
      </w:r>
      <w:r>
        <w:tab/>
      </w:r>
      <w:r>
        <w:t>Auskunft über die Zulässigkeit der vorzeitigen Rückzahlung,</w:t>
      </w:r>
    </w:p>
    <w:p>
      <w:pPr>
        <w:tabs>
          <w:tab w:pos="567" w:val="left"/>
        </w:tabs>
        <w:ind w:left="567" w:hanging="567"/>
      </w:pPr>
      <w:r>
        <w:t>2.</w:t>
      </w:r>
      <w:r>
        <w:tab/>
      </w:r>
      <w:r>
        <w:t>im Fall der Zulässigkeit die Höhe des zurückzuzahlenden Betrags und</w:t>
      </w:r>
    </w:p>
    <w:p>
      <w:pPr>
        <w:tabs>
          <w:tab w:pos="567" w:val="left"/>
        </w:tabs>
        <w:ind w:left="567" w:hanging="567"/>
      </w:pPr>
      <w:r>
        <w:t>3.</w:t>
      </w:r>
      <w:r>
        <w:tab/>
      </w:r>
      <w:r>
        <w:t>gegebenenfalls die Höhe einer Vorfälligkeitsentschädigung.</w:t>
      </w:r>
    </w:p>
    <w:p>
      <w:r>
        <w:rPr>
          <w:rStyle w:val="Satznummer"/>
        </w:rPr>
        <w:t>3</w:t>
      </w:r>
      <w:r>
        <w:t>Soweit sich die Informationen auf Annahmen stützen, müssen diese nachvollziehbar und sachlich gerechtfertigt sein und als solche dem Darlehensnehmer gegenüber offengelegt werden.</w:t>
      </w:r>
    </w:p>
    <w:p>
      <w:r>
        <w:t>(6) Wurden Forderungen aus dem Darlehensvertrag abgetreten, treffen die Pflichten aus den Absätzen 1 bis 5 auch den neuen Gläubiger, wenn nicht der bisherige Darlehensgeber mit dem neuen Gläubiger vereinbart hat, dass im Verhältnis zum Darlehensnehmer weiterhin allein der bisherige Darlehensgeber auftritt.</w:t>
      </w:r>
    </w:p>
    <w:p>
      <w:r>
        <w:t xml:space="preserve">(7) </w:t>
      </w:r>
      <w:r>
        <w:rPr>
          <w:rStyle w:val="Satznummer"/>
        </w:rPr>
        <w:t>1</w:t>
      </w:r>
      <w:r>
        <w:t>Der Darlehensgeber übermittelt dem Darlehensnehmer vor der Änderung der Bestimmungen des Verbraucherdarlehensvertrags die folgenden Informationen:</w:t>
      </w:r>
    </w:p>
    <w:p>
      <w:pPr>
        <w:tabs>
          <w:tab w:pos="567" w:val="left"/>
        </w:tabs>
        <w:ind w:left="567" w:hanging="567"/>
      </w:pPr>
      <w:r>
        <w:t>1.</w:t>
      </w:r>
      <w:r>
        <w:tab/>
      </w:r>
      <w:r>
        <w:t>eine klare Beschreibung</w:t>
      </w:r>
    </w:p>
    <w:p>
      <w:pPr>
        <w:tabs>
          <w:tab w:pos="1134" w:val="left"/>
        </w:tabs>
        <w:ind w:left="1134" w:hanging="567"/>
      </w:pPr>
      <w:r>
        <w:t>a)</w:t>
      </w:r>
      <w:r>
        <w:tab/>
      </w:r>
      <w:r>
        <w:t>der vorgeschlagenen Änderungen,</w:t>
      </w:r>
    </w:p>
    <w:p>
      <w:pPr>
        <w:tabs>
          <w:tab w:pos="1134" w:val="left"/>
        </w:tabs>
        <w:ind w:left="1134" w:hanging="567"/>
      </w:pPr>
      <w:r>
        <w:t>b)</w:t>
      </w:r>
      <w:r>
        <w:tab/>
      </w:r>
      <w:r>
        <w:t>soweit zutreffend, der Notwendigkeit der Zustimmung des Darlehensnehmers zu den Änderungen nach Buchstabe a und</w:t>
      </w:r>
    </w:p>
    <w:p>
      <w:pPr>
        <w:tabs>
          <w:tab w:pos="1134" w:val="left"/>
        </w:tabs>
        <w:ind w:left="1134" w:hanging="567"/>
      </w:pPr>
      <w:r>
        <w:t>c)</w:t>
      </w:r>
      <w:r>
        <w:tab/>
      </w:r>
      <w:r>
        <w:t>soweit zutreffend, der gesetzlich eingeführten Änderungen, die den Änderungen nach Buchstabe a zugrunde liegen,</w:t>
      </w:r>
    </w:p>
    <w:p>
      <w:pPr>
        <w:tabs>
          <w:tab w:pos="567" w:val="left"/>
        </w:tabs>
        <w:ind w:left="567" w:hanging="567"/>
      </w:pPr>
      <w:r>
        <w:t>2.</w:t>
      </w:r>
      <w:r>
        <w:tab/>
      </w:r>
      <w:r>
        <w:t>den zeitlichen Rahmen, der für die Umsetzung der Änderungen nach Nummer 1 Buchstabe a vorgesehen ist, und</w:t>
      </w:r>
    </w:p>
    <w:p>
      <w:pPr>
        <w:tabs>
          <w:tab w:pos="567" w:val="left"/>
        </w:tabs>
        <w:ind w:left="567" w:hanging="567"/>
      </w:pPr>
      <w:r>
        <w:t>3.</w:t>
      </w:r>
      <w:r>
        <w:tab/>
      </w:r>
      <w:r>
        <w:t>die Möglichkeiten, die dem Darlehensnehmer zur Verfügung stehen, um gegen die Änderungen nach Nummer 1 Buchstabe a Beschwerde einzulegen, die Frist für die Einlegung der Beschwerde sowie die Bezeichnung und Anschrift der zuständigen Behörde, bei der die Beschwerde eingereicht werden kann.</w:t>
      </w:r>
    </w:p>
    <w:p>
      <w:r>
        <w:rPr>
          <w:rStyle w:val="Satznummer"/>
        </w:rPr>
        <w:t>2</w:t>
      </w:r>
      <w:hyperlink w:anchor="b652" w:history="1">
        <w:r>
          <w:rPr>
            <w:color w:val="0A3A8C"/>
            <w:u w:val="single"/>
          </w:rPr>
          <w:t xml:space="preserve">§ 492</w:t>
        </w:r>
      </w:hyperlink>
      <w:r>
        <w:t xml:space="preserve"> Absatz 5 ist nicht anzuwenden.</w:t>
      </w:r>
    </w:p>
    <w:p>
      <w:pPr>
        <w:pStyle w:val="Heading6"/>
      </w:pPr>
      <w:bookmarkStart w:id="669" w:name="b656"/>
      <w:r>
        <w:t>§ 494 Rechtsfolgen von Formmängeln</w:t>
      </w:r>
      <w:r>
        <w:t xml:space="preserve"> </w:t>
      </w:r>
      <w:r>
        <w:rPr>
          <w:rStyle w:val="Suchmarke"/>
        </w:rPr>
        <w:t>#494#</w:t>
      </w:r>
      <w:bookmarkEnd w:id="669"/>
    </w:p>
    <w:p>
      <w:r>
        <w:t>(1) Der Verbraucherdarlehensvertrag und die auf Abschluss eines solchen Vertrags vom Verbraucher erteilte Vollmacht sind nichtig, wenn die Schriftform insgesamt nicht eingehalten ist oder wenn eine der in Artikel 247 §§ 6 und 10 bis 13 des Einführungsgesetzes zum Bürgerlichen Gesetzbuche für den Verbraucherdarlehensvertrag vorgeschriebenen Angaben fehlt.</w:t>
      </w:r>
    </w:p>
    <w:p>
      <w:r>
        <w:t xml:space="preserve">(2) </w:t>
      </w:r>
      <w:r>
        <w:rPr>
          <w:rStyle w:val="Satznummer"/>
        </w:rPr>
        <w:t>1</w:t>
      </w:r>
      <w:r>
        <w:t xml:space="preserve">Ungeachtet eines Mangels nach Absatz 1 wird der Verbraucherdarlehensvertrag gültig, soweit der Darlehensnehmer das Darlehen empfängt oder in Anspruch nimmt. </w:t>
      </w:r>
      <w:r>
        <w:rPr>
          <w:rStyle w:val="Satznummer"/>
        </w:rPr>
        <w:t>2</w:t>
      </w:r>
      <w:r>
        <w:t>Jedoch ermäßigt sich der dem Verbraucherdarlehensvertrag zugrunde gelegte Sollzinssatz auf den gesetzlichen Zinssatz, wenn die Angabe des Sollzinssatzes, des effektiven Jahreszinses oder des Gesamtbetrags fehlt.</w:t>
      </w:r>
    </w:p>
    <w:p>
      <w:r>
        <w:t>(3) Ist der effektive Jahreszins zu niedrig angegeben, so vermindert sich der dem Verbraucherdarlehensvertrag zugrunde gelegte Sollzinssatz um den Prozentsatz, um den der effektive Jahreszins zu niedrig angegeben ist.</w:t>
      </w:r>
    </w:p>
    <w:p>
      <w:r>
        <w:t xml:space="preserve">(4) </w:t>
      </w:r>
      <w:r>
        <w:rPr>
          <w:rStyle w:val="Satznummer"/>
        </w:rPr>
        <w:t>1</w:t>
      </w:r>
      <w:r>
        <w:t xml:space="preserve">Nicht angegebene Kosten werden vom Darlehensnehmer nicht geschuldet. </w:t>
      </w:r>
      <w:r>
        <w:rPr>
          <w:rStyle w:val="Satznummer"/>
        </w:rPr>
        <w:t>2</w:t>
      </w:r>
      <w:r>
        <w:t>Ist im Vertrag nicht angegeben, unter welchen Voraussetzungen Kosten oder Zinsen angepasst werden können, so entfällt die Möglichkeit, diese zum Nachteil des Darlehensnehmers anzupassen.</w:t>
      </w:r>
    </w:p>
    <w:p>
      <w:r>
        <w:t>(5) Wurden Teilzahlungen vereinbart, ist deren Höhe vom Darlehensgeber unter Berücksichtigung der verminderten Zinsen oder Kosten neu zu berechnen.</w:t>
      </w:r>
    </w:p>
    <w:p>
      <w:r>
        <w:t xml:space="preserve">(6) </w:t>
      </w:r>
      <w:r>
        <w:rPr>
          <w:rStyle w:val="Satznummer"/>
        </w:rPr>
        <w:t>1</w:t>
      </w:r>
      <w:r>
        <w:t xml:space="preserve">Fehlen im Vertrag Angaben zur Laufzeit oder zum Kündigungsrecht, ist der Darlehensnehmer jederzeit zur Kündigung berechtigt. </w:t>
      </w:r>
      <w:r>
        <w:rPr>
          <w:rStyle w:val="Satznummer"/>
        </w:rPr>
        <w:t>2</w:t>
      </w:r>
      <w:r>
        <w:t xml:space="preserve">Fehlen Angaben zu Sicherheiten, so können Sicherheiten nicht gefordert werden; dies gilt nicht bei Allgemein-Verbraucherdarlehensverträgen, wenn der Nettodarlehensbetrag 75 000 Euro übersteigt. </w:t>
      </w:r>
      <w:r>
        <w:rPr>
          <w:rStyle w:val="Satznummer"/>
        </w:rPr>
        <w:t>3</w:t>
      </w:r>
      <w:r>
        <w:t>Fehlen Angaben zum Umwandlungsrecht bei Immobiliar-Verbraucherdarlehen in Fremdwährung, so kann das Umwandlungsrecht jederzeit ausgeübt werden.</w:t>
      </w:r>
    </w:p>
    <w:p>
      <w:r>
        <w:t>(7) Der Darlehensgeber stellt dem Darlehensnehmer eine Abschrift des Vertrags zur Verfügung, in der die Vertragsänderungen berücksichtigt sind, die sich aus den Absätzen 2 bis 6 ergeben.</w:t>
      </w:r>
    </w:p>
    <w:p>
      <w:pPr>
        <w:pStyle w:val="Heading6"/>
      </w:pPr>
      <w:bookmarkStart w:id="670" w:name="b657"/>
      <w:r>
        <w:t>§ 495 Widerrufsrecht; Bedenkzeit</w:t>
      </w:r>
      <w:r>
        <w:t xml:space="preserve"> </w:t>
      </w:r>
      <w:r>
        <w:rPr>
          <w:rStyle w:val="Suchmarke"/>
        </w:rPr>
        <w:t>#495#</w:t>
      </w:r>
      <w:bookmarkEnd w:id="670"/>
    </w:p>
    <w:p>
      <w:r>
        <w:t xml:space="preserve">(1) Dem Darlehensnehmer steht bei einem Verbraucherdarlehensvertrag ein Widerrufsrecht nach </w:t>
      </w:r>
      <w:hyperlink w:anchor="b461" w:history="1">
        <w:r>
          <w:rPr>
            <w:color w:val="0A3A8C"/>
            <w:u w:val="single"/>
          </w:rPr>
          <w:t xml:space="preserve">§ 355</w:t>
        </w:r>
      </w:hyperlink>
      <w:r>
        <w:t xml:space="preserve"> zu.</w:t>
      </w:r>
    </w:p>
    <w:p>
      <w:r>
        <w:t>(2) Ein Widerrufsrecht besteht nicht bei Darlehensverträgen,</w:t>
      </w:r>
    </w:p>
    <w:p>
      <w:pPr>
        <w:tabs>
          <w:tab w:pos="567" w:val="left"/>
        </w:tabs>
        <w:ind w:left="567" w:hanging="567"/>
      </w:pPr>
      <w:r>
        <w:t>1.</w:t>
      </w:r>
      <w:r>
        <w:tab/>
      </w:r>
      <w:r>
        <w:t>die einen Darlehensvertrag, zu dessen Kündigung der Darlehensgeber wegen Zahlungsverzugs des Darlehensnehmers berechtigt ist, durch Rückzahlungsvereinbarungen ergänzen oder ersetzen, wenn dadurch ein gerichtliches Verfahren vermieden wird und wenn der Gesamtbetrag (Artikel 247 § 3 des Einführungsgesetzes zum Bürgerlichen Gesetzbuche) geringer ist als die Restschuld des ursprünglichen Vertrags,</w:t>
      </w:r>
    </w:p>
    <w:p>
      <w:pPr>
        <w:tabs>
          <w:tab w:pos="567" w:val="left"/>
        </w:tabs>
        <w:ind w:left="567" w:hanging="567"/>
      </w:pPr>
      <w:r>
        <w:t>2.</w:t>
      </w:r>
      <w:r>
        <w:tab/>
      </w:r>
      <w:r>
        <w:t xml:space="preserve">die notariell zu beurkunden sind, wenn der Notar bestätigt, dass die Rechte des Darlehensnehmers aus den </w:t>
      </w:r>
      <w:hyperlink w:anchor="b651" w:history="1">
        <w:r>
          <w:rPr>
            <w:color w:val="0A3A8C"/>
            <w:u w:val="single"/>
          </w:rPr>
          <w:t xml:space="preserve">§§ 491a</w:t>
        </w:r>
      </w:hyperlink>
      <w:r>
        <w:t xml:space="preserve"> und </w:t>
      </w:r>
      <w:hyperlink w:anchor="b652" w:history="1">
        <w:r>
          <w:rPr>
            <w:color w:val="0A3A8C"/>
            <w:u w:val="single"/>
          </w:rPr>
          <w:t xml:space="preserve">492</w:t>
        </w:r>
      </w:hyperlink>
      <w:r>
        <w:t xml:space="preserve"> gewahrt sind, oder</w:t>
      </w:r>
    </w:p>
    <w:p>
      <w:pPr>
        <w:tabs>
          <w:tab w:pos="567" w:val="left"/>
        </w:tabs>
        <w:ind w:left="567" w:hanging="567"/>
      </w:pPr>
      <w:r>
        <w:t>3.</w:t>
      </w:r>
      <w:r>
        <w:tab/>
      </w:r>
      <w:r>
        <w:t xml:space="preserve">die </w:t>
      </w:r>
      <w:hyperlink w:anchor="b666" w:history="1">
        <w:r>
          <w:rPr>
            <w:color w:val="0A3A8C"/>
            <w:u w:val="single"/>
          </w:rPr>
          <w:t xml:space="preserve">§ 504</w:t>
        </w:r>
      </w:hyperlink>
      <w:r>
        <w:t xml:space="preserve"> Abs. 2 oder </w:t>
      </w:r>
      <w:hyperlink w:anchor="b668" w:history="1">
        <w:r>
          <w:rPr>
            <w:color w:val="0A3A8C"/>
            <w:u w:val="single"/>
          </w:rPr>
          <w:t xml:space="preserve">§ 505</w:t>
        </w:r>
      </w:hyperlink>
      <w:r>
        <w:t xml:space="preserve"> entsprechen.</w:t>
      </w:r>
    </w:p>
    <w:p>
      <w:r>
        <w:t xml:space="preserve">(3) </w:t>
      </w:r>
      <w:r>
        <w:rPr>
          <w:rStyle w:val="Satznummer"/>
        </w:rPr>
        <w:t>1</w:t>
      </w:r>
      <w:r>
        <w:t xml:space="preserve">Bei Immobiliar-Verbraucherdarlehensverträgen ist dem Darlehensnehmer in den Fällen des Absatzes 2 vor Vertragsschluss eine Bedenkzeit von zumindest sieben Tagen einzuräumen. </w:t>
      </w:r>
      <w:r>
        <w:rPr>
          <w:rStyle w:val="Satznummer"/>
        </w:rPr>
        <w:t>2</w:t>
      </w:r>
      <w:r>
        <w:t xml:space="preserve">Während des Laufs der Frist ist der Darlehensgeber an sein Angebot gebunden. </w:t>
      </w:r>
      <w:r>
        <w:rPr>
          <w:rStyle w:val="Satznummer"/>
        </w:rPr>
        <w:t>3</w:t>
      </w:r>
      <w:r>
        <w:t>Die Bedenkzeit beginnt mit der Aushändigung des Vertragsangebots an den Darlehensnehmer.</w:t>
      </w:r>
    </w:p>
    <w:p>
      <w:r>
        <w:t xml:space="preserve">(4) </w:t>
      </w:r>
      <w:r>
        <w:rPr>
          <w:rStyle w:val="Satznummer"/>
        </w:rPr>
        <w:t>1</w:t>
      </w:r>
      <w:r>
        <w:t xml:space="preserve">Bei Immobiliar-Verbraucherdarlehensverträgen entsprechend </w:t>
      </w:r>
      <w:hyperlink w:anchor="b650" w:history="1">
        <w:r>
          <w:rPr>
            <w:color w:val="0A3A8C"/>
            <w:u w:val="single"/>
          </w:rPr>
          <w:t xml:space="preserve">§ 491</w:t>
        </w:r>
      </w:hyperlink>
      <w:r>
        <w:t xml:space="preserve"> Absatz 2 Satz 2 Nummer 5, die im Fernabsatz oder außerhalb von Geschäftsräumen abgeschlossen werden, richtet sich das Widerrufsrecht nach </w:t>
      </w:r>
      <w:hyperlink w:anchor="b378" w:history="1">
        <w:r>
          <w:rPr>
            <w:color w:val="0A3A8C"/>
            <w:u w:val="single"/>
          </w:rPr>
          <w:t xml:space="preserve">§ 312g</w:t>
        </w:r>
      </w:hyperlink>
      <w:r>
        <w:t xml:space="preserve">. </w:t>
      </w:r>
      <w:r>
        <w:rPr>
          <w:rStyle w:val="Satznummer"/>
        </w:rPr>
        <w:t>2</w:t>
      </w:r>
      <w:r>
        <w:t>Die Widerrufsfrist beginnt nicht, bevor der Unternehmer den Verbraucher über die Merkmale gemäß den Abschnitten 3, 4 und 13 des in Artikel 247 § 1 Absatz 2 Satz 2 des Einführungsgesetzes zum Bürgerlichen Gesetzbuche genannten Musters und entsprechend Artikel 246b § 1 Absatz 1 Nummer 16 des Einführungsgesetzes zum Bürgerlichen Gesetzbuche unterrichtet hat.</w:t>
      </w:r>
    </w:p>
    <w:p>
      <w:pPr>
        <w:pStyle w:val="Heading6"/>
      </w:pPr>
      <w:bookmarkStart w:id="671" w:name="b658"/>
      <w:r>
        <w:t>§ 496 Einwendungsverzicht, Wechsel- und Scheckverbot</w:t>
      </w:r>
      <w:r>
        <w:t xml:space="preserve"> </w:t>
      </w:r>
      <w:r>
        <w:rPr>
          <w:rStyle w:val="Suchmarke"/>
        </w:rPr>
        <w:t>#496#</w:t>
      </w:r>
      <w:bookmarkEnd w:id="671"/>
    </w:p>
    <w:p>
      <w:r>
        <w:t xml:space="preserve">(1) Eine Vereinbarung, durch die der Darlehensnehmer auf das Recht verzichtet, Einwendungen, die ihm gegenüber dem Darlehensgeber zustehen, gemäß </w:t>
      </w:r>
      <w:hyperlink w:anchor="b527" w:history="1">
        <w:r>
          <w:rPr>
            <w:color w:val="0A3A8C"/>
            <w:u w:val="single"/>
          </w:rPr>
          <w:t xml:space="preserve">§ 404</w:t>
        </w:r>
      </w:hyperlink>
      <w:r>
        <w:t xml:space="preserve"> einem Abtretungsgläubiger entgegenzusetzen oder eine ihm gegen den Darlehensgeber zustehende Forderung gemäß </w:t>
      </w:r>
      <w:hyperlink w:anchor="b529" w:history="1">
        <w:r>
          <w:rPr>
            <w:color w:val="0A3A8C"/>
            <w:u w:val="single"/>
          </w:rPr>
          <w:t xml:space="preserve">§ 406</w:t>
        </w:r>
      </w:hyperlink>
      <w:r>
        <w:t xml:space="preserve"> auch dem Abtretungsgläubiger gegenüber aufzurechnen, ist unwirksam.</w:t>
      </w:r>
    </w:p>
    <w:p>
      <w:r>
        <w:t xml:space="preserve">(2) </w:t>
      </w:r>
      <w:r>
        <w:rPr>
          <w:rStyle w:val="Satznummer"/>
        </w:rPr>
        <w:t>1</w:t>
      </w:r>
      <w:r>
        <w:t xml:space="preserve">Wird eine Forderung des Darlehensgebers aus einem Verbraucherdarlehensvertrag an einen Dritten abgetreten oder findet in der Person des Darlehensgebers ein Wechsel statt, ist der Darlehensnehmer unverzüglich darüber sowie über die Kontaktdaten des neuen Gläubigers nach Artikel 246b § 1 Absatz 1 Nummer 1, 2 und 4 des Einführungsgesetzes zum Bürgerlichen Gesetzbuche zu unterrichten. </w:t>
      </w:r>
      <w:r>
        <w:rPr>
          <w:rStyle w:val="Satznummer"/>
        </w:rPr>
        <w:t>2</w:t>
      </w:r>
      <w:r>
        <w:t xml:space="preserve">Die Unterrichtung ist bei Abtretungen entbehrlich, wenn der bisherige Darlehensgeber mit dem neuen Gläubiger vereinbart hat, dass im Verhältnis zum Darlehensnehmer weiterhin allein der bisherige Darlehensgeber auftritt. </w:t>
      </w:r>
      <w:r>
        <w:rPr>
          <w:rStyle w:val="Satznummer"/>
        </w:rPr>
        <w:t>3</w:t>
      </w:r>
      <w:r>
        <w:t>Fallen die Voraussetzungen des Satzes 2 fort, ist die Unterrichtung unverzüglich nachzuholen.</w:t>
      </w:r>
    </w:p>
    <w:p>
      <w:r>
        <w:t xml:space="preserve">(3) </w:t>
      </w:r>
      <w:r>
        <w:rPr>
          <w:rStyle w:val="Satznummer"/>
        </w:rPr>
        <w:t>1</w:t>
      </w:r>
      <w:r>
        <w:t xml:space="preserve">Der Darlehensnehmer darf nicht verpflichtet werden, für die Ansprüche des Darlehensgebers aus dem Verbraucherdarlehensvertrag eine Wechselverbindlichkeit einzugehen. </w:t>
      </w:r>
      <w:r>
        <w:rPr>
          <w:rStyle w:val="Satznummer"/>
        </w:rPr>
        <w:t>2</w:t>
      </w:r>
      <w:r>
        <w:t xml:space="preserve">Der Darlehensgeber darf vom Darlehensnehmer zur Sicherung seiner Ansprüche aus dem Verbraucherdarlehensvertrag einen Scheck nicht entgegennehmen. </w:t>
      </w:r>
      <w:r>
        <w:rPr>
          <w:rStyle w:val="Satznummer"/>
        </w:rPr>
        <w:t>3</w:t>
      </w:r>
      <w:r>
        <w:t xml:space="preserve">Der Darlehensnehmer kann vom Darlehensgeber jederzeit die Herausgabe eines Wechsels oder Schecks, der entgegen Satz 1 oder 2 begeben worden ist, verlangen. </w:t>
      </w:r>
      <w:r>
        <w:rPr>
          <w:rStyle w:val="Satznummer"/>
        </w:rPr>
        <w:t>4</w:t>
      </w:r>
      <w:r>
        <w:t>Der Darlehensgeber haftet für jeden Schaden, der dem Darlehensnehmer aus einer solchen Wechsel- oder Scheckbegebung entsteht.</w:t>
      </w:r>
    </w:p>
    <w:p>
      <w:pPr>
        <w:pStyle w:val="Heading6"/>
      </w:pPr>
      <w:bookmarkStart w:id="672" w:name="b659"/>
      <w:r>
        <w:t>§ 497 Verzug des Darlehensnehmers</w:t>
      </w:r>
      <w:r>
        <w:t xml:space="preserve"> </w:t>
      </w:r>
      <w:r>
        <w:rPr>
          <w:rStyle w:val="Suchmarke"/>
        </w:rPr>
        <w:t>#497#</w:t>
      </w:r>
      <w:bookmarkEnd w:id="672"/>
    </w:p>
    <w:p>
      <w:r>
        <w:t xml:space="preserve">(1) </w:t>
      </w:r>
      <w:r>
        <w:rPr>
          <w:rStyle w:val="Satznummer"/>
        </w:rPr>
        <w:t>1</w:t>
      </w:r>
      <w:r>
        <w:t xml:space="preserve">Soweit der Darlehensnehmer mit Zahlungen, die er auf Grund des Verbraucherdarlehensvertrags schuldet, in Verzug kommt, hat er den geschuldeten Betrag nach </w:t>
      </w:r>
      <w:hyperlink w:anchor="b332" w:history="1">
        <w:r>
          <w:rPr>
            <w:color w:val="0A3A8C"/>
            <w:u w:val="single"/>
          </w:rPr>
          <w:t xml:space="preserve">§ 288</w:t>
        </w:r>
      </w:hyperlink>
      <w:r>
        <w:t xml:space="preserve"> Abs. 1 zu verzinsen. </w:t>
      </w:r>
      <w:r>
        <w:rPr>
          <w:rStyle w:val="Satznummer"/>
        </w:rPr>
        <w:t>2</w:t>
      </w:r>
      <w:r>
        <w:t>Im Einzelfall kann der Darlehensgeber einen höheren oder der Darlehensnehmer einen niedrigeren Schaden nachweisen.</w:t>
      </w:r>
    </w:p>
    <w:p>
      <w:r>
        <w:t xml:space="preserve">(2) </w:t>
      </w:r>
      <w:r>
        <w:rPr>
          <w:rStyle w:val="Satznummer"/>
        </w:rPr>
        <w:t>1</w:t>
      </w:r>
      <w:r>
        <w:t xml:space="preserve">Die nach Eintritt des Verzugs anfallenden Zinsen sind auf einem gesonderten Konto zu verbuchen und dürfen nicht in ein Kontokorrent mit dem geschuldeten Betrag oder anderen Forderungen des Darlehensgebers eingestellt werden. </w:t>
      </w:r>
      <w:r>
        <w:rPr>
          <w:rStyle w:val="Satznummer"/>
        </w:rPr>
        <w:t>2</w:t>
      </w:r>
      <w:r>
        <w:t xml:space="preserve">Hinsichtlich dieser Zinsen gilt </w:t>
      </w:r>
      <w:hyperlink w:anchor="b333" w:history="1">
        <w:r>
          <w:rPr>
            <w:color w:val="0A3A8C"/>
            <w:u w:val="single"/>
          </w:rPr>
          <w:t xml:space="preserve">§ 289</w:t>
        </w:r>
      </w:hyperlink>
      <w:r>
        <w:t xml:space="preserve"> Satz 2 mit der Maßgabe, dass der Darlehensgeber Schadensersatz nur bis zur Höhe des gesetzlichen Zinssatzes (</w:t>
      </w:r>
      <w:hyperlink w:anchor="b288" w:history="1">
        <w:r>
          <w:rPr>
            <w:color w:val="0A3A8C"/>
            <w:u w:val="single"/>
          </w:rPr>
          <w:t xml:space="preserve">§ 246</w:t>
        </w:r>
      </w:hyperlink>
      <w:r>
        <w:t>) verlangen kann.</w:t>
      </w:r>
    </w:p>
    <w:p>
      <w:r>
        <w:t xml:space="preserve">(3) </w:t>
      </w:r>
      <w:r>
        <w:rPr>
          <w:rStyle w:val="Satznummer"/>
        </w:rPr>
        <w:t>1</w:t>
      </w:r>
      <w:r>
        <w:t xml:space="preserve">Zahlungen des Darlehensnehmers, die zur Tilgung der gesamten fälligen Schuld nicht ausreichen, werden abweichend von </w:t>
      </w:r>
      <w:hyperlink w:anchor="b486" w:history="1">
        <w:r>
          <w:rPr>
            <w:color w:val="0A3A8C"/>
            <w:u w:val="single"/>
          </w:rPr>
          <w:t xml:space="preserve">§ 367</w:t>
        </w:r>
      </w:hyperlink>
      <w:r>
        <w:t xml:space="preserve"> Abs. 1 zunächst auf die Kosten der Rechtsverfolgung, dann auf den übrigen geschuldeten Betrag (Absatz 1) und zuletzt auf die Zinsen (Absatz 2) angerechnet. </w:t>
      </w:r>
      <w:r>
        <w:rPr>
          <w:rStyle w:val="Satznummer"/>
        </w:rPr>
        <w:t>2</w:t>
      </w:r>
      <w:r>
        <w:t xml:space="preserve">Der Darlehensgeber darf Teilzahlungen nicht zurückweisen. </w:t>
      </w:r>
      <w:r>
        <w:rPr>
          <w:rStyle w:val="Satznummer"/>
        </w:rPr>
        <w:t>3</w:t>
      </w:r>
      <w:r>
        <w:t xml:space="preserve">Die Verjährung der Ansprüche auf Darlehensrückzahlung und Zinsen ist vom Eintritt des Verzugs nach Absatz 1 an bis zu ihrer Feststellung in einer in </w:t>
      </w:r>
      <w:hyperlink w:anchor="b235" w:history="1">
        <w:r>
          <w:rPr>
            <w:color w:val="0A3A8C"/>
            <w:u w:val="single"/>
          </w:rPr>
          <w:t xml:space="preserve">§ 197</w:t>
        </w:r>
      </w:hyperlink>
      <w:r>
        <w:t xml:space="preserve"> Abs. 1 Nr. 3 bis 5 bezeichneten Art gehemmt, jedoch nicht länger als zehn Jahre von ihrer Entstehung an. </w:t>
      </w:r>
      <w:r>
        <w:rPr>
          <w:rStyle w:val="Satznummer"/>
        </w:rPr>
        <w:t>4</w:t>
      </w:r>
      <w:r>
        <w:t xml:space="preserve">Auf die Ansprüche auf Zinsen findet </w:t>
      </w:r>
      <w:hyperlink w:anchor="b235" w:history="1">
        <w:r>
          <w:rPr>
            <w:color w:val="0A3A8C"/>
            <w:u w:val="single"/>
          </w:rPr>
          <w:t xml:space="preserve">§ 197</w:t>
        </w:r>
      </w:hyperlink>
      <w:r>
        <w:t xml:space="preserve"> Abs. 2 keine Anwendung. </w:t>
      </w:r>
      <w:r>
        <w:rPr>
          <w:rStyle w:val="Satznummer"/>
        </w:rPr>
        <w:t>5</w:t>
      </w:r>
      <w:r>
        <w:t>Die Sätze 1 bis 4 finden keine Anwendung, soweit Zahlungen auf Vollstreckungstitel geleistet werden, deren Hauptforderung auf Zinsen lautet.</w:t>
      </w:r>
    </w:p>
    <w:p>
      <w:r>
        <w:t xml:space="preserve">(4) </w:t>
      </w:r>
      <w:r>
        <w:rPr>
          <w:rStyle w:val="Satznummer"/>
        </w:rPr>
        <w:t>1</w:t>
      </w:r>
      <w:r>
        <w:t xml:space="preserve">Bei Immobiliar-Verbraucherdarlehensverträgen beträgt der Verzugszinssatz abweichend von Absatz 1 für das Jahr 2,5 Prozentpunkte über dem Basiszinssatz. </w:t>
      </w:r>
      <w:r>
        <w:rPr>
          <w:rStyle w:val="Satznummer"/>
        </w:rPr>
        <w:t>2</w:t>
      </w:r>
      <w:r>
        <w:t>Die Absätze 2 und 3 Satz 1, 2, 4 und 5 sind auf Immobiliar-Verbraucherdarlehensverträge nicht anzuwenden.</w:t>
      </w:r>
    </w:p>
    <w:p>
      <w:pPr>
        <w:pStyle w:val="Heading6"/>
      </w:pPr>
      <w:bookmarkStart w:id="673" w:name="b660"/>
      <w:r>
        <w:t>§ 498 Gesamtfälligstellung bei Teilzahlungsdarlehen</w:t>
      </w:r>
      <w:r>
        <w:t xml:space="preserve"> </w:t>
      </w:r>
      <w:r>
        <w:rPr>
          <w:rStyle w:val="Suchmarke"/>
        </w:rPr>
        <w:t>#498#</w:t>
      </w:r>
      <w:bookmarkEnd w:id="673"/>
    </w:p>
    <w:p>
      <w:r>
        <w:t xml:space="preserve">(1) </w:t>
      </w:r>
      <w:r>
        <w:rPr>
          <w:rStyle w:val="Satznummer"/>
        </w:rPr>
        <w:t>1</w:t>
      </w:r>
      <w:r>
        <w:t>Der Darlehensgeber kann den Verbraucherdarlehensvertrag bei einem Darlehen, das in Teilzahlungen zu tilgen ist, wegen Zahlungsverzugs des Darlehensnehmers nur dann kündigen, wenn</w:t>
      </w:r>
    </w:p>
    <w:p>
      <w:pPr>
        <w:tabs>
          <w:tab w:pos="567" w:val="left"/>
        </w:tabs>
        <w:ind w:left="567" w:hanging="567"/>
      </w:pPr>
      <w:r>
        <w:t>1.</w:t>
      </w:r>
      <w:r>
        <w:tab/>
      </w:r>
      <w:r>
        <w:t>der Darlehensnehmer</w:t>
      </w:r>
    </w:p>
    <w:p>
      <w:pPr>
        <w:tabs>
          <w:tab w:pos="1134" w:val="left"/>
        </w:tabs>
        <w:ind w:left="1134" w:hanging="567"/>
      </w:pPr>
      <w:r>
        <w:t>a)</w:t>
      </w:r>
      <w:r>
        <w:tab/>
      </w:r>
      <w:r>
        <w:t>mit mindestens zwei aufeinander folgenden Teilzahlungen ganz oder teilweise in Verzug ist,</w:t>
      </w:r>
    </w:p>
    <w:p>
      <w:pPr>
        <w:tabs>
          <w:tab w:pos="1134" w:val="left"/>
        </w:tabs>
        <w:ind w:left="1134" w:hanging="567"/>
      </w:pPr>
      <w:r>
        <w:t>b)</w:t>
      </w:r>
      <w:r>
        <w:tab/>
      </w:r>
      <w:r>
        <w:t>bei einer Vertragslaufzeit bis zu drei Jahren mit mindestens 10 Prozent oder bei einer Vertragslaufzeit von mehr als drei Jahren mit mindestens 5 Prozent des Nennbetrags des Darlehens in Verzug ist und</w:t>
      </w:r>
    </w:p>
    <w:p>
      <w:pPr>
        <w:tabs>
          <w:tab w:pos="567" w:val="left"/>
        </w:tabs>
        <w:ind w:left="567" w:hanging="567"/>
      </w:pPr>
      <w:r>
        <w:t>2.</w:t>
      </w:r>
      <w:r>
        <w:tab/>
      </w:r>
      <w:r>
        <w:t>der Darlehensgeber dem Darlehensnehmer erfolglos eine zweiwöchige Frist zur Zahlung des rückständigen Betrags mit der Erklärung gesetzt hat, dass er bei Nichtzahlung innerhalb der Frist die gesamte Restschuld verlange.</w:t>
      </w:r>
    </w:p>
    <w:p>
      <w:r>
        <w:rPr>
          <w:rStyle w:val="Satznummer"/>
        </w:rPr>
        <w:t>2</w:t>
      </w:r>
      <w:r>
        <w:t>Der Darlehensgeber soll dem Darlehensnehmer spätestens mit der Fristsetzung ein Gespräch über die Möglichkeiten einer einverständlichen Regelung anbieten.</w:t>
      </w:r>
    </w:p>
    <w:p>
      <w:r>
        <w:t>(2) Bei einem Immobiliar-Verbraucherdarlehensvertrag muss der Darlehensnehmer abweichend von Absatz 1 Satz 1 Nummer 1 Buchstabe b mit mindestens 2,5 Prozent des Nennbetrags des Darlehens in Verzug sein.</w:t>
      </w:r>
    </w:p>
    <w:p>
      <w:pPr>
        <w:pStyle w:val="Heading6"/>
      </w:pPr>
      <w:bookmarkStart w:id="674" w:name="b661"/>
      <w:r>
        <w:t>§ 499 Kündigungsrecht des Darlehensgebers; Leistungsverweigerung</w:t>
      </w:r>
      <w:r>
        <w:t xml:space="preserve"> </w:t>
      </w:r>
      <w:r>
        <w:rPr>
          <w:rStyle w:val="Suchmarke"/>
        </w:rPr>
        <w:t>#499#</w:t>
      </w:r>
      <w:bookmarkEnd w:id="674"/>
    </w:p>
    <w:p>
      <w:r>
        <w:t>(1) In einem Allgemein-Verbraucherdarlehensvertrag ist eine Vereinbarung über ein Kündigungsrecht des Darlehensgebers unwirksam, wenn eine bestimmte Vertragslaufzeit vereinbart wurde oder die Kündigungsfrist zwei Monate unterschreitet.</w:t>
      </w:r>
    </w:p>
    <w:p>
      <w:r>
        <w:t xml:space="preserve">(2) </w:t>
      </w:r>
      <w:r>
        <w:rPr>
          <w:rStyle w:val="Satznummer"/>
        </w:rPr>
        <w:t>1</w:t>
      </w:r>
      <w:r>
        <w:t xml:space="preserve">Der Darlehensgeber ist bei entsprechender Vereinbarung berechtigt, die Auszahlung eines Allgemein-Verbraucherdarlehens, bei dem eine Zeit für die Rückzahlung nicht bestimmt ist, aus einem sachlichen Grund zu verweigern. </w:t>
      </w:r>
      <w:r>
        <w:rPr>
          <w:rStyle w:val="Satznummer"/>
        </w:rPr>
        <w:t>2</w:t>
      </w:r>
      <w:r>
        <w:t xml:space="preserve">Beabsichtigt der Darlehensgeber dieses Recht auszuüben, hat er dies dem Darlehensnehmer unverzüglich mitzuteilen und ihn über die Gründe möglichst vor, spätestens jedoch unverzüglich nach der Rechtsausübung zu unterrichten. </w:t>
      </w:r>
      <w:r>
        <w:rPr>
          <w:rStyle w:val="Satznummer"/>
        </w:rPr>
        <w:t>3</w:t>
      </w:r>
      <w:r>
        <w:t>Die Unterrichtung über die Gründe unterbleibt, soweit hierdurch die öffentliche Sicherheit oder Ordnung gefährdet würde.</w:t>
      </w:r>
    </w:p>
    <w:p>
      <w:r>
        <w:t xml:space="preserve">(3) </w:t>
      </w:r>
      <w:r>
        <w:rPr>
          <w:rStyle w:val="Satznummer"/>
        </w:rPr>
        <w:t>1</w:t>
      </w:r>
      <w:r>
        <w:t xml:space="preserve">Der Darlehensgeber kann einen Verbraucherdarlehensvertrag nicht allein deshalb kündigen, auf andere Weise beenden oder seine Änderung verlangen, weil die vom Darlehensnehmer vor Vertragsschluss gemachten Angaben unvollständig waren oder weil die Kreditwürdigkeitsprüfung des Darlehensnehmers nicht ordnungsgemäß durchgeführt wurde. </w:t>
      </w:r>
      <w:r>
        <w:rPr>
          <w:rStyle w:val="Satznummer"/>
        </w:rPr>
        <w:t>2</w:t>
      </w:r>
      <w:r>
        <w:t>Satz 1 findet keine Anwendung, soweit der Mangel der Kreditwürdigkeitsprüfung darauf beruht, dass der Darlehensnehmer dem Darlehensgeber für die Kreditwürdigkeitsprüfung relevante Informationen wissentlich vorenthalten oder diese gefälscht hat.</w:t>
      </w:r>
    </w:p>
    <w:p>
      <w:pPr>
        <w:pStyle w:val="Heading6"/>
      </w:pPr>
      <w:bookmarkStart w:id="675" w:name="b662"/>
      <w:r>
        <w:t>§ 500 Kündigungsrecht des Darlehensnehmers; vorzeitige Rückzahlung</w:t>
      </w:r>
      <w:r>
        <w:t xml:space="preserve"> </w:t>
      </w:r>
      <w:r>
        <w:rPr>
          <w:rStyle w:val="Suchmarke"/>
        </w:rPr>
        <w:t>#500#</w:t>
      </w:r>
      <w:bookmarkEnd w:id="675"/>
    </w:p>
    <w:p>
      <w:r>
        <w:t xml:space="preserve">(1) </w:t>
      </w:r>
      <w:r>
        <w:rPr>
          <w:rStyle w:val="Satznummer"/>
        </w:rPr>
        <w:t>1</w:t>
      </w:r>
      <w:r>
        <w:t xml:space="preserve">Der Darlehensnehmer kann einen Allgemein-Verbraucherdarlehensvertrag, bei dem eine Zeit für die Rückzahlung nicht bestimmt ist, ganz oder teilweise kündigen, ohne eine Frist einzuhalten. </w:t>
      </w:r>
      <w:r>
        <w:rPr>
          <w:rStyle w:val="Satznummer"/>
        </w:rPr>
        <w:t>2</w:t>
      </w:r>
      <w:r>
        <w:t>Eine Vereinbarung über eine Kündigungsfrist von mehr als einem Monat ist unwirksam.</w:t>
      </w:r>
    </w:p>
    <w:p>
      <w:r>
        <w:t xml:space="preserve">(2) </w:t>
      </w:r>
      <w:r>
        <w:rPr>
          <w:rStyle w:val="Satznummer"/>
        </w:rPr>
        <w:t>1</w:t>
      </w:r>
      <w:r>
        <w:t xml:space="preserve">Der Darlehensnehmer kann seine Verbindlichkeiten aus einem Verbraucherdarlehensvertrag jederzeit ganz oder teilweise vorzeitig erfüllen. </w:t>
      </w:r>
      <w:r>
        <w:rPr>
          <w:rStyle w:val="Satznummer"/>
        </w:rPr>
        <w:t>2</w:t>
      </w:r>
      <w:r>
        <w:t xml:space="preserve">Abweichend von Satz 1 kann der Darlehensnehmer eines Immobiliar-Verbraucherdarlehensvertrags, für den ein gebundener Sollzinssatz vereinbart wurde, seine Verbindlichkeiten im Zeitraum der Sollzinsbindung nur dann ganz oder teilweise vorzeitig erfüllen, wenn hierfür ein berechtigtes Interesse des Darlehensnehmers besteht. </w:t>
      </w:r>
      <w:r>
        <w:rPr>
          <w:rStyle w:val="Satznummer"/>
        </w:rPr>
        <w:t>3</w:t>
      </w:r>
      <w:r>
        <w:t xml:space="preserve">Liegen die Voraussetzungen für die vorzeitige Rückzahlung vor, findet </w:t>
      </w:r>
      <w:hyperlink w:anchor="b648" w:history="1">
        <w:r>
          <w:rPr>
            <w:color w:val="0A3A8C"/>
            <w:u w:val="single"/>
          </w:rPr>
          <w:t xml:space="preserve">§ 490</w:t>
        </w:r>
      </w:hyperlink>
      <w:r>
        <w:t xml:space="preserve"> Absatz 2 keine Anwendung.</w:t>
      </w:r>
    </w:p>
    <w:p>
      <w:pPr>
        <w:pStyle w:val="Heading6"/>
      </w:pPr>
      <w:bookmarkStart w:id="676" w:name="b663"/>
      <w:r>
        <w:t>§ 501 Kostenermäßigung bei vorzeitiger Rückzahlung und bei Kündigung</w:t>
      </w:r>
      <w:r>
        <w:t xml:space="preserve"> </w:t>
      </w:r>
      <w:r>
        <w:rPr>
          <w:rStyle w:val="Suchmarke"/>
        </w:rPr>
        <w:t>#501#</w:t>
      </w:r>
      <w:bookmarkEnd w:id="676"/>
    </w:p>
    <w:p>
      <w:r>
        <w:t xml:space="preserve">(1) Soweit der Darlehensnehmer seine Verbindlichkeiten aus einem Verbraucherdarlehensvertrag nach </w:t>
      </w:r>
      <w:hyperlink w:anchor="b662" w:history="1">
        <w:r>
          <w:rPr>
            <w:color w:val="0A3A8C"/>
            <w:u w:val="single"/>
          </w:rPr>
          <w:t xml:space="preserve">§ 500</w:t>
        </w:r>
      </w:hyperlink>
      <w:r>
        <w:t xml:space="preserve"> Absatz 2 vorzeitig erfüllt, ermäßigen sich die Gesamtkosten des Kredits um die Zinsen und die Kosten entsprechend der verbleibenden Laufzeit des Vertrags.</w:t>
      </w:r>
    </w:p>
    <w:p>
      <w:r>
        <w:t>(2) Soweit die Restschuld eines Verbraucherdarlehens vor der vereinbarten Zeit durch Kündigung fällig wird, ermäßigen sich die Gesamtkosten des Kredits um die Zinsen und die sonstigen laufzeitabhängigen Kosten, die bei gestaffelter Berechnung auf die Zeit nach der Fälligkeit entfallen.</w:t>
      </w:r>
    </w:p>
    <w:p>
      <w:pPr>
        <w:pStyle w:val="Heading6"/>
      </w:pPr>
      <w:bookmarkStart w:id="677" w:name="b664"/>
      <w:r>
        <w:t>§ 502 Vorfälligkeitsentschädigung</w:t>
      </w:r>
      <w:r>
        <w:t xml:space="preserve"> </w:t>
      </w:r>
      <w:r>
        <w:rPr>
          <w:rStyle w:val="Suchmarke"/>
        </w:rPr>
        <w:t>#502#</w:t>
      </w:r>
      <w:bookmarkEnd w:id="677"/>
    </w:p>
    <w:p>
      <w:r>
        <w:t xml:space="preserve">(1) </w:t>
      </w:r>
      <w:r>
        <w:rPr>
          <w:rStyle w:val="Satznummer"/>
        </w:rPr>
        <w:t>1</w:t>
      </w:r>
      <w:r>
        <w:t xml:space="preserve">Der Darlehensgeber kann im Fall der vorzeitigen Rückzahlung eine angemessene Vorfälligkeitsentschädigung für den unmittelbar mit der vorzeitigen Rückzahlung zusammenhängenden Schaden verlangen, wenn der Darlehensnehmer zum Zeitpunkt der Rückzahlung Zinsen zu einem gebundenen Sollzinssatz schuldet. </w:t>
      </w:r>
      <w:r>
        <w:rPr>
          <w:rStyle w:val="Satznummer"/>
        </w:rPr>
        <w:t>2</w:t>
      </w:r>
      <w:r>
        <w:t>Bei Allgemein-Verbraucherdarlehensverträgen gilt Satz 1 nur, wenn der gebundene Sollzinssatz bei Vertragsabschluss vereinbart wurde.</w:t>
      </w:r>
    </w:p>
    <w:p>
      <w:r>
        <w:t>(2) Der Anspruch auf Vorfälligkeitsentschädigung ist ausgeschlossen, wenn</w:t>
      </w:r>
    </w:p>
    <w:p>
      <w:pPr>
        <w:tabs>
          <w:tab w:pos="567" w:val="left"/>
        </w:tabs>
        <w:ind w:left="567" w:hanging="567"/>
      </w:pPr>
      <w:r>
        <w:t>1.</w:t>
      </w:r>
      <w:r>
        <w:tab/>
      </w:r>
      <w:r>
        <w:t>die Rückzahlung aus den Mitteln einer Versicherung bewirkt wird, die auf Grund einer entsprechenden Verpflichtung im Darlehensvertrag abgeschlossen wurde, um die Rückzahlung zu sichern, oder</w:t>
      </w:r>
    </w:p>
    <w:p>
      <w:pPr>
        <w:tabs>
          <w:tab w:pos="567" w:val="left"/>
        </w:tabs>
        <w:ind w:left="567" w:hanging="567"/>
      </w:pPr>
      <w:r>
        <w:t>2.</w:t>
      </w:r>
      <w:r>
        <w:tab/>
      </w:r>
      <w:r>
        <w:t>im Vertrag die Angaben über die Laufzeit des Vertrags, das Kündigungsrecht des Darlehensnehmers oder die Berechnung der Vorfälligkeitsentschädigung unzureichend sind.</w:t>
      </w:r>
    </w:p>
    <w:p>
      <w:r>
        <w:t>(3) Bei Allgemein-Verbraucherdarlehensverträgen darf die Vorfälligkeitsentschädigung folgende Beträge jeweils nicht überschreiten:</w:t>
      </w:r>
    </w:p>
    <w:p>
      <w:pPr>
        <w:tabs>
          <w:tab w:pos="567" w:val="left"/>
        </w:tabs>
        <w:ind w:left="567" w:hanging="567"/>
      </w:pPr>
      <w:r>
        <w:t>1.</w:t>
      </w:r>
      <w:r>
        <w:tab/>
      </w:r>
      <w:r>
        <w:t>1 Prozent des vorzeitig zurückgezahlten Betrags oder, wenn der Zeitraum zwischen der vorzeitigen und der vereinbarten Rückzahlung ein Jahr nicht überschreitet, 0,5 Prozent des vorzeitig zurückgezahlten Betrags,</w:t>
      </w:r>
    </w:p>
    <w:p>
      <w:pPr>
        <w:tabs>
          <w:tab w:pos="567" w:val="left"/>
        </w:tabs>
        <w:ind w:left="567" w:hanging="567"/>
      </w:pPr>
      <w:r>
        <w:t>2.</w:t>
      </w:r>
      <w:r>
        <w:tab/>
      </w:r>
      <w:r>
        <w:t>den Betrag der Sollzinsen, den der Darlehensnehmer in dem Zeitraum zwischen der vorzeitigen und der vereinbarten Rückzahlung entrichtet hätte.</w:t>
      </w:r>
    </w:p>
    <w:p>
      <w:pPr>
        <w:pStyle w:val="Heading6"/>
      </w:pPr>
      <w:bookmarkStart w:id="678" w:name="b665"/>
      <w:r>
        <w:t>§ 503 Umwandlung bei Immobiliar-Verbraucherdarlehen in Fremdwährung</w:t>
      </w:r>
      <w:r>
        <w:t xml:space="preserve"> </w:t>
      </w:r>
      <w:r>
        <w:rPr>
          <w:rStyle w:val="Suchmarke"/>
        </w:rPr>
        <w:t>#503#</w:t>
      </w:r>
      <w:bookmarkEnd w:id="678"/>
    </w:p>
    <w:p>
      <w:r>
        <w:t xml:space="preserve">(1) </w:t>
      </w:r>
      <w:r>
        <w:rPr>
          <w:rStyle w:val="Satznummer"/>
        </w:rPr>
        <w:t>1</w:t>
      </w:r>
      <w:r>
        <w:t xml:space="preserve">Bei einem nicht auf die Währung des Mitgliedstaats der Europäischen Union, in dem der Darlehensnehmer bei Vertragsschluss seinen Wohnsitz hat (Landeswährung des Darlehensnehmers), geschlossenen Immobiliar-Verbraucherdarlehensvertrag (Immobiliar-Verbraucherdarlehensvertrag in Fremdwährung) kann der Darlehensnehmer die Umwandlung des Darlehens in die Landeswährung des Darlehensnehmers verlangen. </w:t>
      </w:r>
      <w:r>
        <w:rPr>
          <w:rStyle w:val="Satznummer"/>
        </w:rPr>
        <w:t>2</w:t>
      </w:r>
      <w:r>
        <w:t xml:space="preserve">Das Recht auf Umwandlung besteht dann, wenn der Wert des ausstehenden Restbetrags oder der Wert der regelmäßigen Raten in der Landeswährung des Darlehensnehmers auf Grund der Änderung des Wechselkurses um mehr als 20 Prozent über dem Wert liegt, der bei Zugrundelegung des Wechselkurses bei Vertragsabschluss gegeben wäre. </w:t>
      </w:r>
      <w:r>
        <w:rPr>
          <w:rStyle w:val="Satznummer"/>
        </w:rPr>
        <w:t>3</w:t>
      </w:r>
      <w:r>
        <w:t>Im Darlehensvertrag kann abweichend von Satz 1 vereinbart werden, dass die Landeswährung des Darlehensnehmers ausschließlich oder ergänzend die Währung ist, in der er zum Zeitpunkt der maßgeblichen Kreditwürdigkeitsprüfung überwiegend sein Einkommen bezieht oder Vermögenswerte hält, aus denen das Darlehen zurückgezahlt werden soll.</w:t>
      </w:r>
    </w:p>
    <w:p>
      <w:r>
        <w:t xml:space="preserve">(2) </w:t>
      </w:r>
      <w:r>
        <w:rPr>
          <w:rStyle w:val="Satznummer"/>
        </w:rPr>
        <w:t>1</w:t>
      </w:r>
      <w:r>
        <w:t xml:space="preserve">Die Umstellung des Darlehens hat zu dem Wechselkurs zu erfolgen, der dem am Tag des Antrags auf Umstellung geltenden Marktwechselkurs entspricht. </w:t>
      </w:r>
      <w:r>
        <w:rPr>
          <w:rStyle w:val="Satznummer"/>
        </w:rPr>
        <w:t>2</w:t>
      </w:r>
      <w:r>
        <w:t>Satz 1 gilt nur, wenn im Darlehensvertrag nicht etwas anderes vereinbart wurde.</w:t>
      </w:r>
    </w:p>
    <w:p>
      <w:pPr>
        <w:pStyle w:val="Heading6"/>
      </w:pPr>
      <w:bookmarkStart w:id="679" w:name="b666"/>
      <w:r>
        <w:t>§ 504 Eingeräumte Überziehungsmöglichkeit</w:t>
      </w:r>
      <w:r>
        <w:t xml:space="preserve"> </w:t>
      </w:r>
      <w:r>
        <w:rPr>
          <w:rStyle w:val="Suchmarke"/>
        </w:rPr>
        <w:t>#504#</w:t>
      </w:r>
      <w:bookmarkEnd w:id="679"/>
    </w:p>
    <w:p>
      <w:r>
        <w:t xml:space="preserve">(1) </w:t>
      </w:r>
      <w:r>
        <w:rPr>
          <w:rStyle w:val="Satznummer"/>
        </w:rPr>
        <w:t>1</w:t>
      </w:r>
      <w:r>
        <w:t xml:space="preserve">Ist ein Verbraucherdarlehen in der Weise gewährt, dass der Darlehensgeber in einem Vertragsverhältnis über ein laufendes Konto dem Darlehensnehmer das Recht einräumt, sein Konto in bestimmter Höhe zu überziehen (Überziehungsmöglichkeit), hat der Darlehensgeber den Darlehensnehmer in regelmäßigen Zeitabständen über die Angaben zu unterrichten, die sich aus Artikel 247 § 16 des Einführungsgesetzes zum Bürgerlichen Gesetzbuche ergeben. </w:t>
      </w:r>
      <w:r>
        <w:rPr>
          <w:rStyle w:val="Satznummer"/>
        </w:rPr>
        <w:t>2</w:t>
      </w:r>
      <w:r>
        <w:t xml:space="preserve">Ein Anspruch auf Vorfälligkeitsentschädigung aus </w:t>
      </w:r>
      <w:hyperlink w:anchor="b664" w:history="1">
        <w:r>
          <w:rPr>
            <w:color w:val="0A3A8C"/>
            <w:u w:val="single"/>
          </w:rPr>
          <w:t xml:space="preserve">§ 502</w:t>
        </w:r>
      </w:hyperlink>
      <w:r>
        <w:t xml:space="preserve"> ist ausgeschlossen. </w:t>
      </w:r>
      <w:r>
        <w:rPr>
          <w:rStyle w:val="Satznummer"/>
        </w:rPr>
        <w:t>3</w:t>
      </w:r>
      <w:hyperlink w:anchor="b655" w:history="1">
        <w:r>
          <w:rPr>
            <w:color w:val="0A3A8C"/>
            <w:u w:val="single"/>
          </w:rPr>
          <w:t xml:space="preserve">§ 493</w:t>
        </w:r>
      </w:hyperlink>
      <w:r>
        <w:t xml:space="preserve"> Abs. 3 ist nur bei einer Erhöhung des Sollzinssatzes anzuwenden und gilt entsprechend bei einer Erhöhung der vereinbarten sonstigen Kosten. </w:t>
      </w:r>
      <w:r>
        <w:rPr>
          <w:rStyle w:val="Satznummer"/>
        </w:rPr>
        <w:t>4</w:t>
      </w:r>
      <w:hyperlink w:anchor="b661" w:history="1">
        <w:r>
          <w:rPr>
            <w:color w:val="0A3A8C"/>
            <w:u w:val="single"/>
          </w:rPr>
          <w:t xml:space="preserve">§ 499</w:t>
        </w:r>
      </w:hyperlink>
      <w:r>
        <w:t xml:space="preserve"> Abs. 1 ist nicht anzuwenden.</w:t>
      </w:r>
    </w:p>
    <w:p>
      <w:r>
        <w:t xml:space="preserve">(2) </w:t>
      </w:r>
      <w:r>
        <w:rPr>
          <w:rStyle w:val="Satznummer"/>
        </w:rPr>
        <w:t>1</w:t>
      </w:r>
      <w:r>
        <w:t xml:space="preserve">Ist in einer Überziehungsmöglichkeit in Form des Allgemein-Verbraucherdarlehensvertrags vereinbart, dass nach der Auszahlung die Laufzeit höchstens drei Monate beträgt oder der Darlehensgeber kündigen kann, ohne eine Frist einzuhalten, sind </w:t>
      </w:r>
      <w:hyperlink w:anchor="b651" w:history="1">
        <w:r>
          <w:rPr>
            <w:color w:val="0A3A8C"/>
            <w:u w:val="single"/>
          </w:rPr>
          <w:t xml:space="preserve">§ 491a</w:t>
        </w:r>
      </w:hyperlink>
      <w:r>
        <w:t xml:space="preserve"> Abs. 3, </w:t>
      </w:r>
      <w:hyperlink w:anchor="b655" w:history="1">
        <w:r>
          <w:rPr>
            <w:color w:val="0A3A8C"/>
            <w:u w:val="single"/>
          </w:rPr>
          <w:t xml:space="preserve">§ 493</w:t>
        </w:r>
      </w:hyperlink>
      <w:r>
        <w:t xml:space="preserve"> Absatz 7, die </w:t>
      </w:r>
      <w:hyperlink w:anchor="b657" w:history="1">
        <w:r>
          <w:rPr>
            <w:color w:val="0A3A8C"/>
            <w:u w:val="single"/>
          </w:rPr>
          <w:t xml:space="preserve">§§ 495</w:t>
        </w:r>
      </w:hyperlink>
      <w:r>
        <w:t xml:space="preserve">, </w:t>
      </w:r>
      <w:hyperlink w:anchor="b661" w:history="1">
        <w:r>
          <w:rPr>
            <w:color w:val="0A3A8C"/>
            <w:u w:val="single"/>
          </w:rPr>
          <w:t xml:space="preserve">499</w:t>
        </w:r>
      </w:hyperlink>
      <w:r>
        <w:t xml:space="preserve"> Abs. 2 und </w:t>
      </w:r>
      <w:hyperlink w:anchor="b662" w:history="1">
        <w:r>
          <w:rPr>
            <w:color w:val="0A3A8C"/>
            <w:u w:val="single"/>
          </w:rPr>
          <w:t xml:space="preserve">§ 500</w:t>
        </w:r>
      </w:hyperlink>
      <w:r>
        <w:t xml:space="preserve"> Abs. 1 Satz 2 nicht anzuwenden. </w:t>
      </w:r>
      <w:r>
        <w:rPr>
          <w:rStyle w:val="Satznummer"/>
        </w:rPr>
        <w:t>2</w:t>
      </w:r>
      <w:hyperlink w:anchor="b652" w:history="1">
        <w:r>
          <w:rPr>
            <w:color w:val="0A3A8C"/>
            <w:u w:val="single"/>
          </w:rPr>
          <w:t xml:space="preserve">§ 492</w:t>
        </w:r>
      </w:hyperlink>
      <w:r>
        <w:t xml:space="preserve"> Abs. 1 ist nicht anzuwenden, wenn außer den Sollzinsen keine weiteren laufenden Kosten vereinbart sind, die Sollzinsen nicht in kürzeren Zeiträumen als drei Monaten fällig werden und der Darlehensgeber dem Darlehensnehmer den Vertragsinhalt spätestens unverzüglich nach Vertragsabschluss auf einem dauerhaften Datenträger mitteilt.</w:t>
      </w:r>
    </w:p>
    <w:p>
      <w:pPr>
        <w:pStyle w:val="Heading6"/>
      </w:pPr>
      <w:bookmarkStart w:id="680" w:name="b667"/>
      <w:r>
        <w:t>§ 504a Beratungspflicht bei Inanspruchnahme der Überziehungsmöglichkeit</w:t>
      </w:r>
      <w:r>
        <w:t xml:space="preserve"> </w:t>
      </w:r>
      <w:r>
        <w:rPr>
          <w:rStyle w:val="Suchmarke"/>
        </w:rPr>
        <w:t>#504a#</w:t>
      </w:r>
      <w:bookmarkEnd w:id="680"/>
    </w:p>
    <w:p>
      <w:r>
        <w:t xml:space="preserve">(1) </w:t>
      </w:r>
      <w:r>
        <w:rPr>
          <w:rStyle w:val="Satznummer"/>
        </w:rPr>
        <w:t>1</w:t>
      </w:r>
      <w:r>
        <w:t xml:space="preserve">Der Darlehensgeber hat dem Darlehensnehmer eine Beratung gemäß Absatz 2 anzubieten, wenn der Darlehensnehmer eine ihm eingeräumte Überziehungsmöglichkeit ununterbrochen über einen Zeitraum von sechs Monaten und durchschnittlich in Höhe eines Betrags in Anspruch genommen hat, der 75 Prozent des vereinbarten Höchstbetrags übersteigt. </w:t>
      </w:r>
      <w:r>
        <w:rPr>
          <w:rStyle w:val="Satznummer"/>
        </w:rPr>
        <w:t>2</w:t>
      </w:r>
      <w:r>
        <w:t xml:space="preserve">Wenn der Rechnungsabschluss für das laufende Konto vierteljährlich erfolgt, ist der maßgebliche Zeitpunkt für das Vorliegen der Voraussetzungen nach Satz 1 der jeweilige Rechnungsabschluss. </w:t>
      </w:r>
      <w:r>
        <w:rPr>
          <w:rStyle w:val="Satznummer"/>
        </w:rPr>
        <w:t>3</w:t>
      </w:r>
      <w:r>
        <w:t xml:space="preserve">Das Beratungsangebot ist dem Darlehensnehmer in Textform auf dem Kommunikationsweg zu unterbreiten, der für den Kontakt mit dem Darlehensnehmer üblicherweise genutzt wird. </w:t>
      </w:r>
      <w:r>
        <w:rPr>
          <w:rStyle w:val="Satznummer"/>
        </w:rPr>
        <w:t>4</w:t>
      </w:r>
      <w:r>
        <w:t>Das Beratungsangebot ist zu dokumentieren.</w:t>
      </w:r>
    </w:p>
    <w:p>
      <w:r>
        <w:t xml:space="preserve">(2) </w:t>
      </w:r>
      <w:r>
        <w:rPr>
          <w:rStyle w:val="Satznummer"/>
        </w:rPr>
        <w:t>1</w:t>
      </w:r>
      <w:r>
        <w:t xml:space="preserve">Nimmt der Darlehensnehmer das Angebot an, ist eine Beratung zu möglichen kostengünstigen Alternativen zur Inanspruchnahme der Überziehungsmöglichkeit und zu möglichen Konsequenzen einer weiteren Überziehung des laufenden Kontos durchzuführen sowie gegebenenfalls auf geeignete Beratungseinrichtungen hinzuweisen. </w:t>
      </w:r>
      <w:r>
        <w:rPr>
          <w:rStyle w:val="Satznummer"/>
        </w:rPr>
        <w:t>2</w:t>
      </w:r>
      <w:r>
        <w:t xml:space="preserve">Die Beratung hat in Form eines persönlichen Gesprächs zu erfolgen. </w:t>
      </w:r>
      <w:r>
        <w:rPr>
          <w:rStyle w:val="Satznummer"/>
        </w:rPr>
        <w:t>3</w:t>
      </w:r>
      <w:r>
        <w:t xml:space="preserve">Für dieses können auch Fernkommunikationsmittel genutzt werden. </w:t>
      </w:r>
      <w:r>
        <w:rPr>
          <w:rStyle w:val="Satznummer"/>
        </w:rPr>
        <w:t>4</w:t>
      </w:r>
      <w:r>
        <w:t>Der Ort und die Zeit des Beratungsgesprächs sind zu dokumentieren.</w:t>
      </w:r>
    </w:p>
    <w:p>
      <w:r>
        <w:t xml:space="preserve">(3) </w:t>
      </w:r>
      <w:r>
        <w:rPr>
          <w:rStyle w:val="Satznummer"/>
        </w:rPr>
        <w:t>1</w:t>
      </w:r>
      <w:r>
        <w:t xml:space="preserve">Nimmt der Darlehensnehmer das Beratungsangebot nicht an oder wird ein Vertrag über ein geeignetes kostengünstigeres Finanzprodukt nicht geschlossen, hat der Darlehensgeber das Beratungsangebot bei erneutem Vorliegen der Voraussetzungen nach Absatz 1 zu wiederholen. </w:t>
      </w:r>
      <w:r>
        <w:rPr>
          <w:rStyle w:val="Satznummer"/>
        </w:rPr>
        <w:t>2</w:t>
      </w:r>
      <w:r>
        <w:t>Dies gilt nicht, wenn der Darlehensnehmer ausdrücklich erklärt, keine weiteren entsprechenden Beratungsangebote erhalten zu wollen.</w:t>
      </w:r>
    </w:p>
    <w:p>
      <w:pPr>
        <w:pStyle w:val="Heading6"/>
      </w:pPr>
      <w:bookmarkStart w:id="681" w:name="b668"/>
      <w:r>
        <w:t>§ 505 Geduldete Überziehung</w:t>
      </w:r>
      <w:r>
        <w:t xml:space="preserve"> </w:t>
      </w:r>
      <w:r>
        <w:rPr>
          <w:rStyle w:val="Suchmarke"/>
        </w:rPr>
        <w:t>#505#</w:t>
      </w:r>
      <w:bookmarkEnd w:id="681"/>
    </w:p>
    <w:p>
      <w:r>
        <w:t xml:space="preserve">(1) </w:t>
      </w:r>
      <w:r>
        <w:rPr>
          <w:rStyle w:val="Satznummer"/>
        </w:rPr>
        <w:t>1</w:t>
      </w:r>
      <w:r>
        <w:t xml:space="preserve">Vereinbart ein Unternehmer in einem Vertrag mit einem Verbraucher über ein laufendes Konto ohne eingeräumte Überziehungsmöglichkeit ein Entgelt für den Fall, dass er eine Überziehung des Kontos duldet, müssen in diesem Vertrag die Angaben nach Artikel 247 § 17 Abs. 1 des Einführungsgesetzes zum Bürgerlichen Gesetzbuche auf einem dauerhaften Datenträger enthalten sein und dem Verbraucher in regelmäßigen Zeitabständen auf einem dauerhaften Datenträger mitgeteilt werden. </w:t>
      </w:r>
      <w:r>
        <w:rPr>
          <w:rStyle w:val="Satznummer"/>
        </w:rPr>
        <w:t>2</w:t>
      </w:r>
      <w:r>
        <w:t>Satz 1 gilt entsprechend, wenn ein Darlehensgeber mit einem Darlehensnehmer in einem Vertrag über ein laufendes Konto mit eingeräumter Überziehungsmöglichkeit ein Entgelt für den Fall vereinbart, dass er eine Überziehung des Kontos über die vertraglich bestimmte Höhe hinaus duldet.</w:t>
      </w:r>
    </w:p>
    <w:p>
      <w:r>
        <w:t xml:space="preserve">(2) </w:t>
      </w:r>
      <w:r>
        <w:rPr>
          <w:rStyle w:val="Satznummer"/>
        </w:rPr>
        <w:t>1</w:t>
      </w:r>
      <w:r>
        <w:t xml:space="preserve">Kommt es im Fall des Absatzes 1 zu einer erheblichen Überziehung von mehr als einem Monat, unterrichtet der Darlehensgeber den Darlehensnehmer unverzüglich auf einem dauerhaften Datenträger über die sich aus Artikel 247 § 17 Abs. 2 des Einführungsgesetzes zum Bürgerlichen Gesetzbuche ergebenden Einzelheiten. </w:t>
      </w:r>
      <w:r>
        <w:rPr>
          <w:rStyle w:val="Satznummer"/>
        </w:rPr>
        <w:t>2</w:t>
      </w:r>
      <w:r>
        <w:t xml:space="preserve">Wenn es im Fall des Absatzes 1 zu einer ununterbrochenen Überziehung von mehr als drei Monaten gekommen ist und der durchschnittliche Überziehungsbetrag die Hälfte des durchschnittlichen monatlichen Geldeingangs innerhalb der letzten drei Monate auf diesem Konto übersteigt, so gilt </w:t>
      </w:r>
      <w:hyperlink w:anchor="b667" w:history="1">
        <w:r>
          <w:rPr>
            <w:color w:val="0A3A8C"/>
            <w:u w:val="single"/>
          </w:rPr>
          <w:t xml:space="preserve">§ 504a</w:t>
        </w:r>
      </w:hyperlink>
      <w:r>
        <w:t xml:space="preserve"> entsprechend. </w:t>
      </w:r>
      <w:r>
        <w:rPr>
          <w:rStyle w:val="Satznummer"/>
        </w:rPr>
        <w:t>3</w:t>
      </w:r>
      <w:r>
        <w:t>Wenn der Rechnungsabschluss für das laufende Konto vierteljährlich erfolgt, ist der maßgebliche Zeitpunkt für das Vorliegen der Voraussetzungen nach Satz 1 der jeweilige Rechnungsabschluss.</w:t>
      </w:r>
    </w:p>
    <w:p>
      <w:r>
        <w:t>(3) Verstößt der Unternehmer gegen Absatz 1 oder Absatz 2, kann der Darlehensgeber über die Rückzahlung des Darlehens hinaus Kosten und Zinsen nicht verlangen.</w:t>
      </w:r>
    </w:p>
    <w:p>
      <w:r>
        <w:t xml:space="preserve">(4) Die </w:t>
      </w:r>
      <w:hyperlink w:anchor="b651" w:history="1">
        <w:r>
          <w:rPr>
            <w:color w:val="0A3A8C"/>
            <w:u w:val="single"/>
          </w:rPr>
          <w:t xml:space="preserve">§§ 491a</w:t>
        </w:r>
      </w:hyperlink>
      <w:r>
        <w:t xml:space="preserve"> bis </w:t>
      </w:r>
      <w:hyperlink w:anchor="b658" w:history="1">
        <w:r>
          <w:rPr>
            <w:color w:val="0A3A8C"/>
            <w:u w:val="single"/>
          </w:rPr>
          <w:t xml:space="preserve">496</w:t>
        </w:r>
      </w:hyperlink>
      <w:r>
        <w:t xml:space="preserve"> und </w:t>
      </w:r>
      <w:hyperlink w:anchor="b661" w:history="1">
        <w:r>
          <w:rPr>
            <w:color w:val="0A3A8C"/>
            <w:u w:val="single"/>
          </w:rPr>
          <w:t xml:space="preserve">499</w:t>
        </w:r>
      </w:hyperlink>
      <w:r>
        <w:t xml:space="preserve"> bis </w:t>
      </w:r>
      <w:hyperlink w:anchor="b664" w:history="1">
        <w:r>
          <w:rPr>
            <w:color w:val="0A3A8C"/>
            <w:u w:val="single"/>
          </w:rPr>
          <w:t xml:space="preserve">502</w:t>
        </w:r>
      </w:hyperlink>
      <w:r>
        <w:t xml:space="preserve"> sind auf Allgemein-Verbraucherdarlehensverträge, die unter den in Absatz 1 genannten Voraussetzungen zustande kommen, nicht anzuwenden.</w:t>
      </w:r>
    </w:p>
    <w:p>
      <w:pPr>
        <w:pStyle w:val="Heading6"/>
      </w:pPr>
      <w:bookmarkStart w:id="682" w:name="b669"/>
      <w:r>
        <w:t>§ 505a Pflicht zur Kreditwürdigkeitsprüfung bei Verbraucherdarlehensverträgen</w:t>
      </w:r>
      <w:r>
        <w:t xml:space="preserve"> </w:t>
      </w:r>
      <w:r>
        <w:rPr>
          <w:rStyle w:val="Suchmarke"/>
        </w:rPr>
        <w:t>#505a#</w:t>
      </w:r>
      <w:bookmarkEnd w:id="682"/>
    </w:p>
    <w:p>
      <w:r>
        <w:t xml:space="preserve">(1) </w:t>
      </w:r>
      <w:r>
        <w:rPr>
          <w:rStyle w:val="Satznummer"/>
        </w:rPr>
        <w:t>1</w:t>
      </w:r>
      <w:r>
        <w:t xml:space="preserve">Der Darlehensgeber hat vor dem Abschluss eines Verbraucherdarlehensvertrags die Kreditwürdigkeit des Darlehensnehmers zu prüfen. </w:t>
      </w:r>
      <w:r>
        <w:rPr>
          <w:rStyle w:val="Satznummer"/>
        </w:rPr>
        <w:t>2</w:t>
      </w:r>
      <w:r>
        <w:t>Der Darlehensgeber darf den Verbraucherdarlehensvertrag nur abschließen, wenn aus der Kreditwürdigkeitsprüfung hervorgeht, dass bei einem Allgemein-Verbraucherdarlehensvertrag keine erheblichen Zweifel daran bestehen und dass es bei einem Immobiliar-Verbraucherdarlehensvertrag wahrscheinlich ist, dass der Darlehensnehmer seinen Verpflichtungen, die im Zusammenhang mit dem Darlehensvertrag stehen, vertragsgemäß nachkommen wird.</w:t>
      </w:r>
    </w:p>
    <w:p>
      <w:r>
        <w:t>(2) Wird der Nettodarlehensbetrag nach Abschluss des Darlehensvertrags deutlich erhöht, so ist die Kreditwürdigkeit auf aktualisierter Grundlage neu zu prüfen, es sei denn, der Erhöhungsbetrag des Nettodarlehens wurde bereits in die ursprüngliche Kreditwürdigkeitsprüfung einbezogen.</w:t>
      </w:r>
    </w:p>
    <w:p>
      <w:r>
        <w:t xml:space="preserve">(3) </w:t>
      </w:r>
      <w:r>
        <w:rPr>
          <w:rStyle w:val="Satznummer"/>
        </w:rPr>
        <w:t>1</w:t>
      </w:r>
      <w:r>
        <w:t>Bei Immobiliar-Verbraucherdarlehensverträgen, die</w:t>
      </w:r>
    </w:p>
    <w:p>
      <w:pPr>
        <w:tabs>
          <w:tab w:pos="567" w:val="left"/>
        </w:tabs>
        <w:ind w:left="567" w:hanging="567"/>
      </w:pPr>
      <w:r>
        <w:t>1.</w:t>
      </w:r>
      <w:r>
        <w:tab/>
      </w:r>
      <w:r>
        <w:t>im Anschluss an einen zwischen den Vertragsparteien abgeschlossenen Darlehensvertrag ein neues Kapitalnutzungsrecht zur Erreichung des von dem Darlehensnehmer mit dem vorangegangenen Darlehensvertrag verfolgten Zweckes einräumen oder</w:t>
      </w:r>
    </w:p>
    <w:p>
      <w:pPr>
        <w:tabs>
          <w:tab w:pos="567" w:val="left"/>
        </w:tabs>
        <w:ind w:left="567" w:hanging="567"/>
      </w:pPr>
      <w:r>
        <w:t>2.</w:t>
      </w:r>
      <w:r>
        <w:tab/>
      </w:r>
      <w:r>
        <w:t>einen anderen Darlehensvertrag zwischen den Vertragsparteien zur Vermeidung von Kündigungen wegen Zahlungsverzugs des Darlehensnehmers oder zur Vermeidung von Zwangsvollstreckungsmaßnahmen gegen den Darlehensnehmer ersetzen oder ergänzen,</w:t>
      </w:r>
    </w:p>
    <w:p>
      <w:r>
        <w:t xml:space="preserve">bedarf es einer erneuten Kreditwürdigkeitsprüfung nur unter den Voraussetzungen des Absatzes 2. </w:t>
      </w:r>
      <w:r>
        <w:rPr>
          <w:rStyle w:val="Satznummer"/>
        </w:rPr>
        <w:t>2</w:t>
      </w:r>
      <w:r>
        <w:t xml:space="preserve">Ist danach keine Kreditwürdigkeitsprüfung erforderlich, darf der Darlehensgeber den neuen Immobiliar-Verbraucherdarlehensvertrag nicht abschließen, wenn ihm bereits bekannt ist, dass der Darlehensnehmer seinen Verpflichtungen, die im Zusammenhang mit diesem Darlehensvertrag stehen, dauerhaft nicht nachkommen kann. </w:t>
      </w:r>
      <w:r>
        <w:rPr>
          <w:rStyle w:val="Satznummer"/>
        </w:rPr>
        <w:t>3</w:t>
      </w:r>
      <w:r>
        <w:t xml:space="preserve">Bei Verstößen gilt </w:t>
      </w:r>
      <w:hyperlink w:anchor="b672" w:history="1">
        <w:r>
          <w:rPr>
            <w:color w:val="0A3A8C"/>
            <w:u w:val="single"/>
          </w:rPr>
          <w:t xml:space="preserve">§ 505d</w:t>
        </w:r>
      </w:hyperlink>
      <w:r>
        <w:t xml:space="preserve"> entsprechend.</w:t>
      </w:r>
    </w:p>
    <w:p>
      <w:pPr>
        <w:pStyle w:val="Heading6"/>
      </w:pPr>
      <w:bookmarkStart w:id="683" w:name="b670"/>
      <w:r>
        <w:t>§ 505b Grundlage der Kreditwürdigkeitsprüfung bei Verbraucherdarlehensverträgen</w:t>
      </w:r>
      <w:r>
        <w:t xml:space="preserve"> </w:t>
      </w:r>
      <w:r>
        <w:rPr>
          <w:rStyle w:val="Suchmarke"/>
        </w:rPr>
        <w:t>#505b#</w:t>
      </w:r>
      <w:bookmarkEnd w:id="683"/>
    </w:p>
    <w:p>
      <w:r>
        <w:t>(1) Bei Allgemein-Verbraucherdarlehensverträgen können Grundlage für die Kreditwürdigkeitsprüfung Auskünfte des Darlehensnehmers und erforderlichenfalls Auskünfte von Stellen sein, die geschäftsmäßig personenbezogene Daten, die zur Bewertung der Kreditwürdigkeit von Verbrauchern genutzt werden dürfen, zum Zweck der Übermittlung erheben, speichern, verändern oder nutzen.</w:t>
      </w:r>
    </w:p>
    <w:p>
      <w:r>
        <w:t xml:space="preserve">(2) </w:t>
      </w:r>
      <w:r>
        <w:rPr>
          <w:rStyle w:val="Satznummer"/>
        </w:rPr>
        <w:t>1</w:t>
      </w:r>
      <w:r>
        <w:t xml:space="preserve">Bei Immobiliar-Verbraucherdarlehensverträgen hat der Darlehensgeber die Kreditwürdigkeit des Darlehensnehmers auf der Grundlage notwendiger, ausreichender und angemessener Informationen zu Einkommen, Ausgaben sowie anderen finanziellen und wirtschaftlichen Umständen des Darlehensnehmers eingehend zu prüfen. </w:t>
      </w:r>
      <w:r>
        <w:rPr>
          <w:rStyle w:val="Satznummer"/>
        </w:rPr>
        <w:t>2</w:t>
      </w:r>
      <w:r>
        <w:t xml:space="preserve">Dabei hat der Darlehensgeber die Faktoren angemessen zu berücksichtigen, die für die Einschätzung relevant sind, ob der Darlehensnehmer seinen Verpflichtungen aus dem Darlehensvertrag voraussichtlich nachkommen kann. </w:t>
      </w:r>
      <w:r>
        <w:rPr>
          <w:rStyle w:val="Satznummer"/>
        </w:rPr>
        <w:t>3</w:t>
      </w:r>
      <w:r>
        <w:t>Die Kreditwürdigkeitsprüfung darf sich nicht hauptsächlich darauf stützen, dass der Wert der Wohnimmobilie den Darlehensbetrag übersteigt, oder auf die Annahme, dass der Wert der Wohnimmobilie zunimmt, es sei denn, der Darlehensvertrag dient zum Bau oder zur Renovierung der Wohnimmobilie.</w:t>
      </w:r>
    </w:p>
    <w:p>
      <w:r>
        <w:t xml:space="preserve">(3) </w:t>
      </w:r>
      <w:r>
        <w:rPr>
          <w:rStyle w:val="Satznummer"/>
        </w:rPr>
        <w:t>1</w:t>
      </w:r>
      <w:r>
        <w:t xml:space="preserve">Der Darlehensgeber ermittelt die gemäß Absatz 2 erforderlichen Informationen aus einschlägigen internen oder externen Quellen, wozu auch Auskünfte des Darlehensnehmers gehören. </w:t>
      </w:r>
      <w:r>
        <w:rPr>
          <w:rStyle w:val="Satznummer"/>
        </w:rPr>
        <w:t>2</w:t>
      </w:r>
      <w:r>
        <w:t xml:space="preserve">Der Darlehensgeber berücksichtigt auch die Auskünfte, die einem Darlehensvermittler erteilt wurden. </w:t>
      </w:r>
      <w:r>
        <w:rPr>
          <w:rStyle w:val="Satznummer"/>
        </w:rPr>
        <w:t>3</w:t>
      </w:r>
      <w:r>
        <w:t>Der Darlehensgeber ist verpflichtet, die Informationen in angemessener Weise zu überprüfen, soweit erforderlich auch durch Einsichtnahme in unabhängig nachprüfbare Unterlagen.</w:t>
      </w:r>
    </w:p>
    <w:p>
      <w:r>
        <w:t>(4) Bei Immobiliar-Verbraucherdarlehensverträgen ist der Darlehensgeber verpflichtet, die Verfahren und Angaben, auf die sich die Kreditwürdigkeitsprüfung stützt, festzulegen, zu dokumentieren und die Dokumentation aufzubewahren.</w:t>
      </w:r>
    </w:p>
    <w:p>
      <w:r>
        <w:t>(5) Die Bestimmungen zum Schutz personenbezogener Daten bleiben unberührt.</w:t>
      </w:r>
    </w:p>
    <w:p>
      <w:pPr>
        <w:pStyle w:val="Heading6"/>
      </w:pPr>
      <w:bookmarkStart w:id="684" w:name="b671"/>
      <w:r>
        <w:t>§ 505c Weitere Pflichten bei grundpfandrechtlich oder durch Reallast besicherten Immobiliar-Verbraucherdarlehensverträgen</w:t>
      </w:r>
      <w:r>
        <w:t xml:space="preserve"> </w:t>
      </w:r>
      <w:r>
        <w:rPr>
          <w:rStyle w:val="Suchmarke"/>
        </w:rPr>
        <w:t>#505c#</w:t>
      </w:r>
      <w:bookmarkEnd w:id="684"/>
    </w:p>
    <w:p>
      <w:r>
        <w:t>Darlehensgeber, die grundpfandrechtlich oder durch Reallast besicherte Immobiliar-Verbraucherdarlehen vergeben, haben</w:t>
      </w:r>
    </w:p>
    <w:p>
      <w:pPr>
        <w:tabs>
          <w:tab w:pos="567" w:val="left"/>
        </w:tabs>
        <w:ind w:left="567" w:hanging="567"/>
      </w:pPr>
      <w:r>
        <w:t>1.</w:t>
      </w:r>
      <w:r>
        <w:tab/>
      </w:r>
      <w:r>
        <w:t>bei der Bewertung von Wohnimmobilien zuverlässige Standards anzuwenden und</w:t>
      </w:r>
    </w:p>
    <w:p>
      <w:pPr>
        <w:tabs>
          <w:tab w:pos="567" w:val="left"/>
        </w:tabs>
        <w:ind w:left="567" w:hanging="567"/>
      </w:pPr>
      <w:r>
        <w:t>2.</w:t>
      </w:r>
      <w:r>
        <w:tab/>
      </w:r>
      <w:r>
        <w:t>sicherzustellen, dass interne und externe Gutachter, die Immobilienbewertungen für sie vornehmen, fachlich kompetent und so unabhängig vom Darlehensvergabeprozess sind, dass sie eine objektive Bewertung vornehmen können, und</w:t>
      </w:r>
    </w:p>
    <w:p>
      <w:pPr>
        <w:tabs>
          <w:tab w:pos="567" w:val="left"/>
        </w:tabs>
        <w:ind w:left="567" w:hanging="567"/>
      </w:pPr>
      <w:r>
        <w:t>3.</w:t>
      </w:r>
      <w:r>
        <w:tab/>
      </w:r>
      <w:r>
        <w:t>Bewertungen für Immobilien, die als Sicherheit für Immobiliar-Verbraucherdarlehen dienen, auf einem dauerhaften Datenträger zu dokumentieren und aufzubewahren.</w:t>
      </w:r>
    </w:p>
    <w:p>
      <w:pPr>
        <w:pStyle w:val="Heading6"/>
      </w:pPr>
      <w:bookmarkStart w:id="685" w:name="b672"/>
      <w:r>
        <w:t>§ 505d Verstoß gegen die Pflicht zur Kreditwürdigkeitsprüfung</w:t>
      </w:r>
      <w:r>
        <w:t xml:space="preserve"> </w:t>
      </w:r>
      <w:r>
        <w:rPr>
          <w:rStyle w:val="Suchmarke"/>
        </w:rPr>
        <w:t>#505d#</w:t>
      </w:r>
      <w:bookmarkEnd w:id="685"/>
    </w:p>
    <w:p>
      <w:r>
        <w:t xml:space="preserve">(1) </w:t>
      </w:r>
      <w:r>
        <w:rPr>
          <w:rStyle w:val="Satznummer"/>
        </w:rPr>
        <w:t>1</w:t>
      </w:r>
      <w:r>
        <w:t>Hat der Darlehensgeber gegen die Pflicht zur Kreditwürdigkeitsprüfung verstoßen, so ermäßigt sich</w:t>
      </w:r>
    </w:p>
    <w:p>
      <w:pPr>
        <w:tabs>
          <w:tab w:pos="567" w:val="left"/>
        </w:tabs>
        <w:ind w:left="567" w:hanging="567"/>
      </w:pPr>
      <w:r>
        <w:t>1.</w:t>
      </w:r>
      <w:r>
        <w:tab/>
      </w:r>
      <w:r>
        <w:t>ein im Darlehensvertrag vereinbarter gebundener Sollzins auf den marktüblichen Zinssatz am Kapitalmarkt für Anlagen in Hypothekenpfandbriefe und öffentliche Pfandbriefe, deren Laufzeit derjenigen der Sollzinsbindung entspricht und</w:t>
      </w:r>
    </w:p>
    <w:p>
      <w:pPr>
        <w:tabs>
          <w:tab w:pos="567" w:val="left"/>
        </w:tabs>
        <w:ind w:left="567" w:hanging="567"/>
      </w:pPr>
      <w:r>
        <w:t>2.</w:t>
      </w:r>
      <w:r>
        <w:tab/>
      </w:r>
      <w:r>
        <w:t>ein im Darlehensvertrag vereinbarter veränderlicher Sollzins auf den marktüblichen Zinssatz, zu dem europäische Banken einander Anleihen in Euro mit einer Laufzeit von drei Monaten gewähren.</w:t>
      </w:r>
    </w:p>
    <w:p>
      <w:r>
        <w:rPr>
          <w:rStyle w:val="Satznummer"/>
        </w:rPr>
        <w:t>2</w:t>
      </w:r>
      <w:r>
        <w:t xml:space="preserve">Maßgeblicher Zeitpunkt für die Bestimmung des marktüblichen Zinssatzes gemäß Satz 1 ist der Zeitpunkt des Vertragsschlusses sowie gegebenenfalls jeweils der Zeitpunkt vertraglich vereinbarter Zinsanpassungen. </w:t>
      </w:r>
      <w:r>
        <w:rPr>
          <w:rStyle w:val="Satznummer"/>
        </w:rPr>
        <w:t>3</w:t>
      </w:r>
      <w:r>
        <w:t xml:space="preserve">Der Darlehensnehmer kann den Darlehensvertrag jederzeit fristlos kündigen; ein Anspruch auf eine Vorfälligkeitsentschädigung besteht nicht. </w:t>
      </w:r>
      <w:r>
        <w:rPr>
          <w:rStyle w:val="Satznummer"/>
        </w:rPr>
        <w:t>4</w:t>
      </w:r>
      <w:r>
        <w:t xml:space="preserve">Der Darlehensgeber stellt dem Darlehensnehmer eine Abschrift des Vertrags zur Verfügung, in der die Vertragsänderungen berücksichtigt sind, die sich aus den Sätzen 1 bis 3 ergeben. </w:t>
      </w:r>
      <w:r>
        <w:rPr>
          <w:rStyle w:val="Satznummer"/>
        </w:rPr>
        <w:t>5</w:t>
      </w:r>
      <w:r>
        <w:t>Die Sätze 1 bis 4 finden keine Anwendung, wenn bei einer ordnungsgemäßen Kreditwürdigkeitsprüfung der Darlehensvertrag hätte geschlossen werden dürfen.</w:t>
      </w:r>
    </w:p>
    <w:p>
      <w:r>
        <w:t>(2) Kann der Darlehensnehmer Pflichten, die im Zusammenhang mit dem Darlehensvertrag stehen, nicht vertragsgemäß erfüllen, so kann der Darlehensgeber keine Ansprüche wegen Pflichtverletzung geltend machen, wenn die Pflichtverletzung auf einem Umstand beruht, der bei ordnungsgemäßer Kreditwürdigkeitsprüfung dazu geführt hätte, dass der Darlehensvertrag nicht hätte geschlossen werden dürfen.</w:t>
      </w:r>
    </w:p>
    <w:p>
      <w:r>
        <w:t xml:space="preserve">(3) Die Absätze 1 und 2 finden keine Anwendung, soweit der Mangel der Kreditwürdigkeitsprüfung darauf beruht, dass der Darlehensnehmer dem Darlehensgeber vorsätzlich oder grob fahrlässig Informationen im Sinne des </w:t>
      </w:r>
      <w:hyperlink w:anchor="b670" w:history="1">
        <w:r>
          <w:rPr>
            <w:color w:val="0A3A8C"/>
            <w:u w:val="single"/>
          </w:rPr>
          <w:t xml:space="preserve">§ 505b</w:t>
        </w:r>
      </w:hyperlink>
      <w:r>
        <w:t xml:space="preserve"> Absatz 1 bis 3 unrichtig erteilt oder vorenthalten hat.</w:t>
      </w:r>
    </w:p>
    <w:p>
      <w:pPr>
        <w:pStyle w:val="Heading6"/>
      </w:pPr>
      <w:bookmarkStart w:id="686" w:name="b673"/>
      <w:r>
        <w:t>§ 505e Verordnungsermächtigung</w:t>
      </w:r>
      <w:r>
        <w:t xml:space="preserve"> </w:t>
      </w:r>
      <w:r>
        <w:rPr>
          <w:rStyle w:val="Suchmarke"/>
        </w:rPr>
        <w:t>#505e#</w:t>
      </w:r>
      <w:bookmarkEnd w:id="686"/>
    </w:p>
    <w:p>
      <w:r>
        <w:rPr>
          <w:rStyle w:val="Satznummer"/>
        </w:rPr>
        <w:t>1</w:t>
      </w:r>
      <w:r>
        <w:t xml:space="preserve">Das Bundesministerium der Finanzen und das Bundesministerium der Justiz und für Verbraucherschutz werden ermächtigt, durch gemeinsame Rechtsverordnung ohne Zustimmung des Bundesrates Leitlinien zu den Kriterien und Methoden der Kreditwürdigkeitsprüfung bei Immobiliar-Verbraucherdarlehensverträgen nach den </w:t>
      </w:r>
      <w:hyperlink w:anchor="b669" w:history="1">
        <w:r>
          <w:rPr>
            <w:color w:val="0A3A8C"/>
            <w:u w:val="single"/>
          </w:rPr>
          <w:t xml:space="preserve">§§ 505a</w:t>
        </w:r>
      </w:hyperlink>
      <w:r>
        <w:t xml:space="preserve"> und </w:t>
      </w:r>
      <w:hyperlink w:anchor="b670" w:history="1">
        <w:r>
          <w:rPr>
            <w:color w:val="0A3A8C"/>
            <w:u w:val="single"/>
          </w:rPr>
          <w:t xml:space="preserve">505b</w:t>
        </w:r>
      </w:hyperlink>
      <w:r>
        <w:t xml:space="preserve"> Absatz 2 bis 4 festzulegen. </w:t>
      </w:r>
      <w:r>
        <w:rPr>
          <w:rStyle w:val="Satznummer"/>
        </w:rPr>
        <w:t>2</w:t>
      </w:r>
      <w:r>
        <w:t>Durch die Rechtsverordnung können insbesondere Leitlinien festgelegt werden</w:t>
      </w:r>
    </w:p>
    <w:p>
      <w:pPr>
        <w:tabs>
          <w:tab w:pos="567" w:val="left"/>
        </w:tabs>
        <w:ind w:left="567" w:hanging="567"/>
      </w:pPr>
      <w:r>
        <w:t>1.</w:t>
      </w:r>
      <w:r>
        <w:tab/>
      </w:r>
      <w:r>
        <w:t>zu den Faktoren, die für die Einschätzung relevant sind, ob der Darlehensnehmer seinen Verpflichtungen aus dem Darlehensvertrag voraussichtlich nachkommen kann,</w:t>
      </w:r>
    </w:p>
    <w:p>
      <w:pPr>
        <w:tabs>
          <w:tab w:pos="567" w:val="left"/>
        </w:tabs>
        <w:ind w:left="567" w:hanging="567"/>
      </w:pPr>
      <w:r>
        <w:t>2.</w:t>
      </w:r>
      <w:r>
        <w:tab/>
      </w:r>
      <w:r>
        <w:t>zu den anzuwendenden Verfahren und der Erhebung und Prüfung von Informationen.</w:t>
      </w:r>
    </w:p>
    <w:p>
      <w:pPr>
        <w:pStyle w:val="Heading4"/>
      </w:pPr>
      <w:bookmarkStart w:id="687" w:name="b674"/>
      <w:r>
        <w:t>Untertitel 2 Finanzierungshilfen zwischen einem Unternehmer und einem Verbraucher</w:t>
      </w:r>
      <w:bookmarkEnd w:id="687"/>
    </w:p>
    <w:p>
      <w:pPr>
        <w:pStyle w:val="Heading5"/>
      </w:pPr>
      <w:bookmarkStart w:id="688" w:name="b675"/>
      <w:r>
        <w:t>§ 506 Zahlungsaufschub, sonstige Finanzierungshilfe</w:t>
      </w:r>
      <w:r>
        <w:t xml:space="preserve"> </w:t>
      </w:r>
      <w:r>
        <w:rPr>
          <w:rStyle w:val="Suchmarke"/>
        </w:rPr>
        <w:t>#506#</w:t>
      </w:r>
      <w:bookmarkEnd w:id="688"/>
    </w:p>
    <w:p>
      <w:r>
        <w:t xml:space="preserve">(1) </w:t>
      </w:r>
      <w:r>
        <w:rPr>
          <w:rStyle w:val="Satznummer"/>
        </w:rPr>
        <w:t>1</w:t>
      </w:r>
      <w:r>
        <w:t xml:space="preserve">Die für Allgemein-Verbraucherdarlehensverträge geltenden Vorschriften der </w:t>
      </w:r>
      <w:hyperlink w:anchor="b475" w:history="1">
        <w:r>
          <w:rPr>
            <w:color w:val="0A3A8C"/>
            <w:u w:val="single"/>
          </w:rPr>
          <w:t xml:space="preserve">§§ 358</w:t>
        </w:r>
      </w:hyperlink>
      <w:r>
        <w:t xml:space="preserve"> bis </w:t>
      </w:r>
      <w:hyperlink w:anchor="b477" w:history="1">
        <w:r>
          <w:rPr>
            <w:color w:val="0A3A8C"/>
            <w:u w:val="single"/>
          </w:rPr>
          <w:t xml:space="preserve">360</w:t>
        </w:r>
      </w:hyperlink>
      <w:r>
        <w:t xml:space="preserve"> und </w:t>
      </w:r>
      <w:hyperlink w:anchor="b651" w:history="1">
        <w:r>
          <w:rPr>
            <w:color w:val="0A3A8C"/>
            <w:u w:val="single"/>
          </w:rPr>
          <w:t xml:space="preserve">491a</w:t>
        </w:r>
      </w:hyperlink>
      <w:r>
        <w:t xml:space="preserve"> bis </w:t>
      </w:r>
      <w:hyperlink w:anchor="b664" w:history="1">
        <w:r>
          <w:rPr>
            <w:color w:val="0A3A8C"/>
            <w:u w:val="single"/>
          </w:rPr>
          <w:t xml:space="preserve">502</w:t>
        </w:r>
      </w:hyperlink>
      <w:r>
        <w:t xml:space="preserve"> sowie </w:t>
      </w:r>
      <w:hyperlink w:anchor="b669" w:history="1">
        <w:r>
          <w:rPr>
            <w:color w:val="0A3A8C"/>
            <w:u w:val="single"/>
          </w:rPr>
          <w:t xml:space="preserve">505a</w:t>
        </w:r>
      </w:hyperlink>
      <w:r>
        <w:t xml:space="preserve"> bis </w:t>
      </w:r>
      <w:hyperlink w:anchor="b673" w:history="1">
        <w:r>
          <w:rPr>
            <w:color w:val="0A3A8C"/>
            <w:u w:val="single"/>
          </w:rPr>
          <w:t xml:space="preserve">505e</w:t>
        </w:r>
      </w:hyperlink>
      <w:r>
        <w:t xml:space="preserve"> sind mit Ausnahme des </w:t>
      </w:r>
      <w:hyperlink w:anchor="b652" w:history="1">
        <w:r>
          <w:rPr>
            <w:color w:val="0A3A8C"/>
            <w:u w:val="single"/>
          </w:rPr>
          <w:t xml:space="preserve">§ 492</w:t>
        </w:r>
      </w:hyperlink>
      <w:r>
        <w:t xml:space="preserve"> Abs. 4 und vorbehaltlich der Absätze 3 und 4 auf Verträge entsprechend anzuwenden, durch die ein Unternehmer einem Verbraucher einen entgeltlichen Zahlungsaufschub oder eine sonstige entgeltliche Finanzierungshilfe gewährt. </w:t>
      </w:r>
      <w:r>
        <w:rPr>
          <w:rStyle w:val="Satznummer"/>
        </w:rPr>
        <w:t>2</w:t>
      </w:r>
      <w:r>
        <w:t xml:space="preserve">Bezieht sich der entgeltliche Zahlungsaufschub oder die sonstige entgeltliche Finanzierungshilfe auf den Erwerb oder die Erhaltung des Eigentumsrechts an Grundstücken, an bestehenden oder zu errichtenden Gebäuden oder auf den Erwerb oder die Erhaltung von grundstücksgleichen Rechten oder ist der Anspruch des Unternehmers durch ein Grundpfandrecht oder eine Reallast besichert, so sind die für Immobiliar-Verbraucherdarlehensverträge geltenden, in Satz 1 genannten Vorschriften sowie </w:t>
      </w:r>
      <w:hyperlink w:anchor="b665" w:history="1">
        <w:r>
          <w:rPr>
            <w:color w:val="0A3A8C"/>
            <w:u w:val="single"/>
          </w:rPr>
          <w:t xml:space="preserve">§ 503</w:t>
        </w:r>
      </w:hyperlink>
      <w:r>
        <w:t xml:space="preserve"> entsprechend anwendbar. </w:t>
      </w:r>
      <w:r>
        <w:rPr>
          <w:rStyle w:val="Satznummer"/>
        </w:rPr>
        <w:t>3</w:t>
      </w:r>
      <w:r>
        <w:t>Ein unentgeltlicher Zahlungsaufschub gilt als entgeltlicher Zahlungsaufschub gemäß Satz 2, wenn er davon abhängig gemacht wird, dass die Forderung durch ein Grundpfandrecht oder eine Reallast besichert wird.</w:t>
      </w:r>
    </w:p>
    <w:p>
      <w:r>
        <w:t xml:space="preserve">(2) </w:t>
      </w:r>
      <w:r>
        <w:rPr>
          <w:rStyle w:val="Satznummer"/>
        </w:rPr>
        <w:t>1</w:t>
      </w:r>
      <w:r>
        <w:t>Verträge zwischen einem Unternehmer und einem Verbraucher über die entgeltliche Nutzung eines Gegenstandes gelten als entgeltliche Finanzierungshilfe, wenn vereinbart ist, dass</w:t>
      </w:r>
    </w:p>
    <w:p>
      <w:pPr>
        <w:tabs>
          <w:tab w:pos="567" w:val="left"/>
        </w:tabs>
        <w:ind w:left="567" w:hanging="567"/>
      </w:pPr>
      <w:r>
        <w:t>1.</w:t>
      </w:r>
      <w:r>
        <w:tab/>
      </w:r>
      <w:r>
        <w:t>der Verbraucher zum Erwerb des Gegenstandes verpflichtet ist,</w:t>
      </w:r>
    </w:p>
    <w:p>
      <w:pPr>
        <w:tabs>
          <w:tab w:pos="567" w:val="left"/>
        </w:tabs>
        <w:ind w:left="567" w:hanging="567"/>
      </w:pPr>
      <w:r>
        <w:t>2.</w:t>
      </w:r>
      <w:r>
        <w:tab/>
      </w:r>
      <w:r>
        <w:t>der Unternehmer vom Verbraucher den Erwerb des Gegenstandes verlangen kann oder</w:t>
      </w:r>
    </w:p>
    <w:p>
      <w:pPr>
        <w:tabs>
          <w:tab w:pos="567" w:val="left"/>
        </w:tabs>
        <w:ind w:left="567" w:hanging="567"/>
      </w:pPr>
      <w:r>
        <w:t>3.</w:t>
      </w:r>
      <w:r>
        <w:tab/>
      </w:r>
      <w:r>
        <w:t>der Verbraucher bei Beendigung des Vertrags für einen bestimmten Wert des Gegenstandes einzustehen hat.</w:t>
      </w:r>
    </w:p>
    <w:p>
      <w:r>
        <w:rPr>
          <w:rStyle w:val="Satznummer"/>
        </w:rPr>
        <w:t>2</w:t>
      </w:r>
      <w:r>
        <w:t xml:space="preserve">Auf Verträge gemäß Satz 1 Nummer 3 sind </w:t>
      </w:r>
      <w:hyperlink w:anchor="b662" w:history="1">
        <w:r>
          <w:rPr>
            <w:color w:val="0A3A8C"/>
            <w:u w:val="single"/>
          </w:rPr>
          <w:t xml:space="preserve">§ 500</w:t>
        </w:r>
      </w:hyperlink>
      <w:r>
        <w:t xml:space="preserve"> Absatz 2, </w:t>
      </w:r>
      <w:hyperlink w:anchor="b663" w:history="1">
        <w:r>
          <w:rPr>
            <w:color w:val="0A3A8C"/>
            <w:u w:val="single"/>
          </w:rPr>
          <w:t xml:space="preserve">§ 501</w:t>
        </w:r>
      </w:hyperlink>
      <w:r>
        <w:t xml:space="preserve"> Absatz 1 und </w:t>
      </w:r>
      <w:hyperlink w:anchor="b664" w:history="1">
        <w:r>
          <w:rPr>
            <w:color w:val="0A3A8C"/>
            <w:u w:val="single"/>
          </w:rPr>
          <w:t xml:space="preserve">§ 502</w:t>
        </w:r>
      </w:hyperlink>
      <w:r>
        <w:t xml:space="preserve"> nicht anzuwenden.</w:t>
      </w:r>
    </w:p>
    <w:p>
      <w:r>
        <w:t xml:space="preserve">(3) Für Verträge, die die Lieferung einer bestimmten Sache oder die Erbringung einer bestimmten anderen Leistung gegen Teilzahlungen zum Gegenstand haben (Teilzahlungsgeschäfte), gelten vorbehaltlich des Absatzes 4 zusätzlich die in den </w:t>
      </w:r>
      <w:hyperlink w:anchor="b676" w:history="1">
        <w:r>
          <w:rPr>
            <w:color w:val="0A3A8C"/>
            <w:u w:val="single"/>
          </w:rPr>
          <w:t xml:space="preserve">§§ 507</w:t>
        </w:r>
      </w:hyperlink>
      <w:r>
        <w:t xml:space="preserve"> und </w:t>
      </w:r>
      <w:hyperlink w:anchor="b677" w:history="1">
        <w:r>
          <w:rPr>
            <w:color w:val="0A3A8C"/>
            <w:u w:val="single"/>
          </w:rPr>
          <w:t xml:space="preserve">508</w:t>
        </w:r>
      </w:hyperlink>
      <w:r>
        <w:t xml:space="preserve"> geregelten Besonderheiten.</w:t>
      </w:r>
    </w:p>
    <w:p>
      <w:r>
        <w:t xml:space="preserve">(4) </w:t>
      </w:r>
      <w:r>
        <w:rPr>
          <w:rStyle w:val="Satznummer"/>
        </w:rPr>
        <w:t>1</w:t>
      </w:r>
      <w:r>
        <w:t xml:space="preserve">Die Vorschriften dieses Untertitels sind in dem in </w:t>
      </w:r>
      <w:hyperlink w:anchor="b650" w:history="1">
        <w:r>
          <w:rPr>
            <w:color w:val="0A3A8C"/>
            <w:u w:val="single"/>
          </w:rPr>
          <w:t xml:space="preserve">§ 491</w:t>
        </w:r>
      </w:hyperlink>
      <w:r>
        <w:t xml:space="preserve"> Absatz 2 Satz 2 Nummer 1 bis 5, Absatz 3 Satz 2 und Absatz 4 bestimmten Umfang nicht anzuwenden. </w:t>
      </w:r>
      <w:r>
        <w:rPr>
          <w:rStyle w:val="Satznummer"/>
        </w:rPr>
        <w:t>2</w:t>
      </w:r>
      <w:r>
        <w:t>Soweit nach der Vertragsart ein Nettodarlehensbetrag (</w:t>
      </w:r>
      <w:hyperlink w:anchor="b650" w:history="1">
        <w:r>
          <w:rPr>
            <w:color w:val="0A3A8C"/>
            <w:u w:val="single"/>
          </w:rPr>
          <w:t xml:space="preserve">§ 491</w:t>
        </w:r>
      </w:hyperlink>
      <w:r>
        <w:t xml:space="preserve"> Absatz 2 Satz 2 Nummer 1) nicht vorhanden ist, tritt an seine Stelle der Barzahlungspreis oder, wenn der Unternehmer den Gegenstand für den Verbraucher erworben hat, der Anschaffungspreis.</w:t>
      </w:r>
    </w:p>
    <w:p>
      <w:pPr>
        <w:pStyle w:val="Heading5"/>
      </w:pPr>
      <w:bookmarkStart w:id="689" w:name="b676"/>
      <w:r>
        <w:t>§ 507 Teilzahlungsgeschäfte</w:t>
      </w:r>
      <w:r>
        <w:t xml:space="preserve"> </w:t>
      </w:r>
      <w:r>
        <w:rPr>
          <w:rStyle w:val="Suchmarke"/>
        </w:rPr>
        <w:t>#507#</w:t>
      </w:r>
      <w:bookmarkEnd w:id="689"/>
    </w:p>
    <w:p>
      <w:r>
        <w:t xml:space="preserve">(1) </w:t>
      </w:r>
      <w:r>
        <w:rPr>
          <w:rStyle w:val="Satznummer"/>
        </w:rPr>
        <w:t>1</w:t>
      </w:r>
      <w:hyperlink w:anchor="b656" w:history="1">
        <w:r>
          <w:rPr>
            <w:color w:val="0A3A8C"/>
            <w:u w:val="single"/>
          </w:rPr>
          <w:t xml:space="preserve">§ 494</w:t>
        </w:r>
      </w:hyperlink>
      <w:r>
        <w:t xml:space="preserve"> Abs. 1 bis 3 und 6 Satz 2 zweiter Halbsatz ist auf Teilzahlungsgeschäfte nicht anzuwenden. </w:t>
      </w:r>
      <w:r>
        <w:rPr>
          <w:rStyle w:val="Satznummer"/>
        </w:rPr>
        <w:t>2</w:t>
      </w:r>
      <w:r>
        <w:t xml:space="preserve">Gibt der Verbraucher sein Angebot zum Vertragsabschluss im Fernabsatz auf Grund eines Verkaufsprospekts oder eines vergleichbaren elektronischen Mediums ab, aus dem der Barzahlungspreis, der Sollzinssatz, der effektive Jahreszins, ein Tilgungsplan anhand beispielhafter Gesamtbeträge sowie die zu stellenden Sicherheiten und Versicherungen ersichtlich sind, ist auch </w:t>
      </w:r>
      <w:hyperlink w:anchor="b652" w:history="1">
        <w:r>
          <w:rPr>
            <w:color w:val="0A3A8C"/>
            <w:u w:val="single"/>
          </w:rPr>
          <w:t xml:space="preserve">§ 492</w:t>
        </w:r>
      </w:hyperlink>
      <w:r>
        <w:t xml:space="preserve"> Abs. 1 nicht anzuwenden, wenn der Unternehmer dem Verbraucher den Vertragsinhalt spätestens unverzüglich nach Vertragsabschluss auf einem dauerhaften Datenträger mitteilt.</w:t>
      </w:r>
    </w:p>
    <w:p>
      <w:r>
        <w:t xml:space="preserve">(2) </w:t>
      </w:r>
      <w:r>
        <w:rPr>
          <w:rStyle w:val="Satznummer"/>
        </w:rPr>
        <w:t>1</w:t>
      </w:r>
      <w:r>
        <w:t xml:space="preserve">Das Teilzahlungsgeschäft ist nichtig, wenn die vorgeschriebene Schriftform des </w:t>
      </w:r>
      <w:hyperlink w:anchor="b652" w:history="1">
        <w:r>
          <w:rPr>
            <w:color w:val="0A3A8C"/>
            <w:u w:val="single"/>
          </w:rPr>
          <w:t xml:space="preserve">§ 492</w:t>
        </w:r>
      </w:hyperlink>
      <w:r>
        <w:t xml:space="preserve"> Abs. 1 nicht eingehalten ist oder im Vertrag eine der in Artikel 247 §§ 6, 12 und 13 des Einführungsgesetzes zum Bürgerlichen Gesetzbuche vorgeschriebenen Angaben fehlt. </w:t>
      </w:r>
      <w:r>
        <w:rPr>
          <w:rStyle w:val="Satznummer"/>
        </w:rPr>
        <w:t>2</w:t>
      </w:r>
      <w:r>
        <w:t xml:space="preserve">Ungeachtet eines Mangels nach Satz 1 wird das Teilzahlungsgeschäft gültig, wenn dem Verbraucher die Sache übergeben oder die Leistung erbracht wird. </w:t>
      </w:r>
      <w:r>
        <w:rPr>
          <w:rStyle w:val="Satznummer"/>
        </w:rPr>
        <w:t>3</w:t>
      </w:r>
      <w:r>
        <w:t xml:space="preserve">Jedoch ist der Barzahlungspreis höchstens mit dem gesetzlichen Zinssatz zu verzinsen, wenn die Angabe des Gesamtbetrags oder des effektiven Jahreszinses fehlt. </w:t>
      </w:r>
      <w:r>
        <w:rPr>
          <w:rStyle w:val="Satznummer"/>
        </w:rPr>
        <w:t>4</w:t>
      </w:r>
      <w:r>
        <w:t xml:space="preserve">Ist ein Barzahlungspreis nicht genannt, so gilt im Zweifel der Marktpreis als Barzahlungspreis. </w:t>
      </w:r>
      <w:r>
        <w:rPr>
          <w:rStyle w:val="Satznummer"/>
        </w:rPr>
        <w:t>5</w:t>
      </w:r>
      <w:r>
        <w:t>Ist der effektive Jahreszins zu niedrig angegeben, so vermindert sich der Gesamtbetrag um den Prozentsatz, um den der effektive Jahreszins zu niedrig angegeben ist.</w:t>
      </w:r>
    </w:p>
    <w:p>
      <w:r>
        <w:t xml:space="preserve">(3) </w:t>
      </w:r>
      <w:r>
        <w:rPr>
          <w:rStyle w:val="Satznummer"/>
        </w:rPr>
        <w:t>1</w:t>
      </w:r>
      <w:r>
        <w:t xml:space="preserve">Abweichend von den </w:t>
      </w:r>
      <w:hyperlink w:anchor="b651" w:history="1">
        <w:r>
          <w:rPr>
            <w:color w:val="0A3A8C"/>
            <w:u w:val="single"/>
          </w:rPr>
          <w:t xml:space="preserve">§§ 491a</w:t>
        </w:r>
      </w:hyperlink>
      <w:r>
        <w:t xml:space="preserve"> und </w:t>
      </w:r>
      <w:hyperlink w:anchor="b652" w:history="1">
        <w:r>
          <w:rPr>
            <w:color w:val="0A3A8C"/>
            <w:u w:val="single"/>
          </w:rPr>
          <w:t xml:space="preserve">492</w:t>
        </w:r>
      </w:hyperlink>
      <w:r>
        <w:t xml:space="preserve"> Abs. 2 dieses Gesetzes und von Artikel 247 §§ 3, 6 und 12 des Einführungsgesetzes zum Bürgerlichen Gesetzbuche müssen in der vorvertraglichen Information und im Vertrag der Barzahlungspreis und der effektive Jahreszins nicht angegeben werden, wenn der Unternehmer nur gegen Teilzahlungen Sachen liefert oder Leistungen erbringt. </w:t>
      </w:r>
      <w:r>
        <w:rPr>
          <w:rStyle w:val="Satznummer"/>
        </w:rPr>
        <w:t>2</w:t>
      </w:r>
      <w:r>
        <w:t xml:space="preserve">Im Fall des </w:t>
      </w:r>
      <w:hyperlink w:anchor="b663" w:history="1">
        <w:r>
          <w:rPr>
            <w:color w:val="0A3A8C"/>
            <w:u w:val="single"/>
          </w:rPr>
          <w:t xml:space="preserve">§ 501</w:t>
        </w:r>
      </w:hyperlink>
      <w:r>
        <w:t xml:space="preserve"> ist der Berechnung der Kostenermäßigung der gesetzliche Zinssatz (</w:t>
      </w:r>
      <w:hyperlink w:anchor="b288" w:history="1">
        <w:r>
          <w:rPr>
            <w:color w:val="0A3A8C"/>
            <w:u w:val="single"/>
          </w:rPr>
          <w:t xml:space="preserve">§ 246</w:t>
        </w:r>
      </w:hyperlink>
      <w:r>
        <w:t xml:space="preserve">) zugrunde zu legen. </w:t>
      </w:r>
      <w:r>
        <w:rPr>
          <w:rStyle w:val="Satznummer"/>
        </w:rPr>
        <w:t>3</w:t>
      </w:r>
      <w:r>
        <w:t>Ein Anspruch auf Vorfälligkeitsentschädigung ist ausgeschlossen.</w:t>
      </w:r>
    </w:p>
    <w:p>
      <w:pPr>
        <w:pStyle w:val="Heading5"/>
      </w:pPr>
      <w:bookmarkStart w:id="690" w:name="b677"/>
      <w:r>
        <w:t>§ 508 Rücktritt bei Teilzahlungsgeschäften</w:t>
      </w:r>
      <w:r>
        <w:t xml:space="preserve"> </w:t>
      </w:r>
      <w:r>
        <w:rPr>
          <w:rStyle w:val="Suchmarke"/>
        </w:rPr>
        <w:t>#508#</w:t>
      </w:r>
      <w:bookmarkEnd w:id="690"/>
    </w:p>
    <w:p>
      <w:r>
        <w:rPr>
          <w:rStyle w:val="Satznummer"/>
        </w:rPr>
        <w:t>1</w:t>
      </w:r>
      <w:r>
        <w:t xml:space="preserve">Der Unternehmer kann von einem Teilzahlungsgeschäft wegen Zahlungsverzugs des Verbrauchers nur unter den in </w:t>
      </w:r>
      <w:hyperlink w:anchor="b660" w:history="1">
        <w:r>
          <w:rPr>
            <w:color w:val="0A3A8C"/>
            <w:u w:val="single"/>
          </w:rPr>
          <w:t xml:space="preserve">§ 498</w:t>
        </w:r>
      </w:hyperlink>
      <w:r>
        <w:t xml:space="preserve"> Absatz 1 Satz 1 bezeichneten Voraussetzungen zurücktreten. </w:t>
      </w:r>
      <w:r>
        <w:rPr>
          <w:rStyle w:val="Satznummer"/>
        </w:rPr>
        <w:t>2</w:t>
      </w:r>
      <w:r>
        <w:t xml:space="preserve">Dem Nennbetrag entspricht der Gesamtbetrag. </w:t>
      </w:r>
      <w:r>
        <w:rPr>
          <w:rStyle w:val="Satznummer"/>
        </w:rPr>
        <w:t>3</w:t>
      </w:r>
      <w:r>
        <w:t xml:space="preserve">Der Verbraucher hat dem Unternehmer auch die infolge des Vertrags gemachten Aufwendungen zu ersetzen. </w:t>
      </w:r>
      <w:r>
        <w:rPr>
          <w:rStyle w:val="Satznummer"/>
        </w:rPr>
        <w:t>4</w:t>
      </w:r>
      <w:r>
        <w:t xml:space="preserve">Bei der Bemessung der Vergütung von Nutzungen einer zurückzugewährenden Sache ist auf die inzwischen eingetretene Wertminderung Rücksicht zu nehmen. </w:t>
      </w:r>
      <w:r>
        <w:rPr>
          <w:rStyle w:val="Satznummer"/>
        </w:rPr>
        <w:t>5</w:t>
      </w:r>
      <w:r>
        <w:t xml:space="preserve">Nimmt der Unternehmer die auf Grund des Teilzahlungsgeschäfts gelieferte Sache wieder an sich, gilt dies als Ausübung des Rücktrittsrechts, es sei denn, der Unternehmer einigt sich mit dem Verbraucher, diesem den gewöhnlichen Verkaufswert der Sache im Zeitpunkt der Wegnahme zu vergüten. </w:t>
      </w:r>
      <w:r>
        <w:rPr>
          <w:rStyle w:val="Satznummer"/>
        </w:rPr>
        <w:t>6</w:t>
      </w:r>
      <w:r>
        <w:t>Satz 5 gilt entsprechend, wenn ein Vertrag über die Lieferung einer Sache mit einem Verbraucherdarlehensvertrag verbunden ist (</w:t>
      </w:r>
      <w:hyperlink w:anchor="b475" w:history="1">
        <w:r>
          <w:rPr>
            <w:color w:val="0A3A8C"/>
            <w:u w:val="single"/>
          </w:rPr>
          <w:t xml:space="preserve">§ 358</w:t>
        </w:r>
      </w:hyperlink>
      <w:r>
        <w:t xml:space="preserve"> Absatz 3) und wenn der Darlehensgeber die Sache an sich nimmt; im Fall des Rücktritts bestimmt sich das Rechtsverhältnis zwischen dem Darlehensgeber und dem Verbraucher nach den Sätzen 3 und 4.</w:t>
      </w:r>
    </w:p>
    <w:p>
      <w:pPr>
        <w:pStyle w:val="Heading5"/>
      </w:pPr>
      <w:bookmarkStart w:id="691" w:name="b678"/>
      <w:r>
        <w:t>§ 509 (weggefallen)</w:t>
      </w:r>
      <w:r>
        <w:t xml:space="preserve"> </w:t>
      </w:r>
      <w:r>
        <w:rPr>
          <w:rStyle w:val="Suchmarke"/>
        </w:rPr>
        <w:t>#509#</w:t>
      </w:r>
      <w:bookmarkEnd w:id="691"/>
    </w:p>
    <w:p>
      <w:pPr>
        <w:pStyle w:val="Heading4"/>
      </w:pPr>
      <w:bookmarkStart w:id="692" w:name="b679"/>
      <w:r>
        <w:t>Untertitel 3 Ratenlieferungsverträge zwischen einem Unternehmer und einem Verbraucher</w:t>
      </w:r>
      <w:bookmarkEnd w:id="692"/>
    </w:p>
    <w:p>
      <w:pPr>
        <w:pStyle w:val="Heading5"/>
      </w:pPr>
      <w:bookmarkStart w:id="693" w:name="b680"/>
      <w:r>
        <w:t>§ 510 Ratenlieferungsverträge</w:t>
      </w:r>
      <w:r>
        <w:t xml:space="preserve"> </w:t>
      </w:r>
      <w:r>
        <w:rPr>
          <w:rStyle w:val="Suchmarke"/>
        </w:rPr>
        <w:t>#510#</w:t>
      </w:r>
      <w:bookmarkEnd w:id="693"/>
    </w:p>
    <w:p>
      <w:r>
        <w:t xml:space="preserve">(1) </w:t>
      </w:r>
      <w:r>
        <w:rPr>
          <w:rStyle w:val="Satznummer"/>
        </w:rPr>
        <w:t>1</w:t>
      </w:r>
      <w:r>
        <w:t>Der Vertrag zwischen einem Verbraucher und einem Unternehmer bedarf der schriftlichen Form, wenn der Vertrag</w:t>
      </w:r>
    </w:p>
    <w:p>
      <w:pPr>
        <w:tabs>
          <w:tab w:pos="567" w:val="left"/>
        </w:tabs>
        <w:ind w:left="567" w:hanging="567"/>
      </w:pPr>
      <w:r>
        <w:t>1.</w:t>
      </w:r>
      <w:r>
        <w:tab/>
      </w:r>
      <w:r>
        <w:t>die Lieferung mehrerer als zusammengehörend verkaufter Sachen in Teilleistungen zum Gegenstand hat und das Entgelt für die Gesamtheit der Sachen in Teilzahlungen zu entrichten ist,</w:t>
      </w:r>
    </w:p>
    <w:p>
      <w:pPr>
        <w:tabs>
          <w:tab w:pos="567" w:val="left"/>
        </w:tabs>
        <w:ind w:left="567" w:hanging="567"/>
      </w:pPr>
      <w:r>
        <w:t>2.</w:t>
      </w:r>
      <w:r>
        <w:tab/>
      </w:r>
      <w:r>
        <w:t>die regelmäßige Lieferung von Sachen gleicher Art zum Gegenstand hat oder</w:t>
      </w:r>
    </w:p>
    <w:p>
      <w:pPr>
        <w:tabs>
          <w:tab w:pos="567" w:val="left"/>
        </w:tabs>
        <w:ind w:left="567" w:hanging="567"/>
      </w:pPr>
      <w:r>
        <w:t>3.</w:t>
      </w:r>
      <w:r>
        <w:tab/>
      </w:r>
      <w:r>
        <w:t>die Verpflichtung zum wiederkehrenden Erwerb oder Bezug von Sachen zum Gegenstand hat.</w:t>
      </w:r>
    </w:p>
    <w:p>
      <w:r>
        <w:rPr>
          <w:rStyle w:val="Satznummer"/>
        </w:rPr>
        <w:t>2</w:t>
      </w:r>
      <w:r>
        <w:t xml:space="preserve">Dies gilt nicht, wenn dem Verbraucher die Möglichkeit verschafft wird, die Vertragsbestimmungen einschließlich der Allgemeinen Geschäftsbedingungen bei Vertragsschluss abzurufen und in wiedergabefähiger Form zu speichern. </w:t>
      </w:r>
      <w:r>
        <w:rPr>
          <w:rStyle w:val="Satznummer"/>
        </w:rPr>
        <w:t>3</w:t>
      </w:r>
      <w:r>
        <w:t>Der Unternehmer hat dem Verbraucher den Vertragsinhalt in Textform mitzuteilen.</w:t>
      </w:r>
    </w:p>
    <w:p>
      <w:r>
        <w:t xml:space="preserve">(2) Dem Verbraucher steht vorbehaltlich des Absatzes 3 bei Verträgen nach Absatz 1, die weder im Fernabsatz noch außerhalb von Geschäftsräumen geschlossen werden, ein Widerrufsrecht nach </w:t>
      </w:r>
      <w:hyperlink w:anchor="b461" w:history="1">
        <w:r>
          <w:rPr>
            <w:color w:val="0A3A8C"/>
            <w:u w:val="single"/>
          </w:rPr>
          <w:t xml:space="preserve">§ 355</w:t>
        </w:r>
      </w:hyperlink>
      <w:r>
        <w:t xml:space="preserve"> zu.</w:t>
      </w:r>
    </w:p>
    <w:p>
      <w:r>
        <w:t xml:space="preserve">(3) </w:t>
      </w:r>
      <w:r>
        <w:rPr>
          <w:rStyle w:val="Satznummer"/>
        </w:rPr>
        <w:t>1</w:t>
      </w:r>
      <w:r>
        <w:t xml:space="preserve">Das Widerrufsrecht nach Absatz 2 gilt nicht in dem in </w:t>
      </w:r>
      <w:hyperlink w:anchor="b650" w:history="1">
        <w:r>
          <w:rPr>
            <w:color w:val="0A3A8C"/>
            <w:u w:val="single"/>
          </w:rPr>
          <w:t xml:space="preserve">§ 491</w:t>
        </w:r>
      </w:hyperlink>
      <w:r>
        <w:t xml:space="preserve"> Absatz 2 Satz 2 Nummer 1 bis 5, Absatz 3 Satz 2 und Absatz 4 bestimmten Umfang. </w:t>
      </w:r>
      <w:r>
        <w:rPr>
          <w:rStyle w:val="Satznummer"/>
        </w:rPr>
        <w:t>2</w:t>
      </w:r>
      <w:r>
        <w:t xml:space="preserve">Dem in </w:t>
      </w:r>
      <w:hyperlink w:anchor="b650" w:history="1">
        <w:r>
          <w:rPr>
            <w:color w:val="0A3A8C"/>
            <w:u w:val="single"/>
          </w:rPr>
          <w:t xml:space="preserve">§ 491</w:t>
        </w:r>
      </w:hyperlink>
      <w:r>
        <w:t xml:space="preserve"> Absatz 2 Satz 2 Nummer 1 genannten Nettodarlehensbetrag entspricht die Summe aller vom Verbraucher bis zum frühestmöglichen Kündigungszeitpunkt zu entrichtenden Teilzahlungen.</w:t>
      </w:r>
    </w:p>
    <w:p>
      <w:pPr>
        <w:pStyle w:val="Heading4"/>
      </w:pPr>
      <w:bookmarkStart w:id="694" w:name="b681"/>
      <w:r>
        <w:t>Untertitel 4 Beratungsleistungen bei Immobiliar-Verbraucherdarlehensverträgen</w:t>
      </w:r>
      <w:bookmarkEnd w:id="694"/>
    </w:p>
    <w:p>
      <w:pPr>
        <w:pStyle w:val="Heading5"/>
      </w:pPr>
      <w:bookmarkStart w:id="695" w:name="b682"/>
      <w:r>
        <w:t>§ 511 Beratungsleistungen bei Immobiliar-Verbraucherdarlehensverträgen</w:t>
      </w:r>
      <w:r>
        <w:t xml:space="preserve"> </w:t>
      </w:r>
      <w:r>
        <w:rPr>
          <w:rStyle w:val="Suchmarke"/>
        </w:rPr>
        <w:t>#511#</w:t>
      </w:r>
      <w:bookmarkEnd w:id="695"/>
    </w:p>
    <w:p>
      <w:r>
        <w:t>(1) Bevor der Darlehensgeber dem Darlehensnehmer individuelle Empfehlungen zu einem oder mehreren Geschäften erteilt, die im Zusammenhang mit einem Immobiliar-Verbraucherdarlehensvertrag stehen (Beratungsleistungen), hat er den Darlehensnehmer über die sich aus Artikel 247 § 18 des Einführungsgesetzes zum Bürgerlichen Gesetzbuche ergebenden Einzelheiten in der dort vorgesehenen Form zu informieren.</w:t>
      </w:r>
    </w:p>
    <w:p>
      <w:r>
        <w:t xml:space="preserve">(2) </w:t>
      </w:r>
      <w:r>
        <w:rPr>
          <w:rStyle w:val="Satznummer"/>
        </w:rPr>
        <w:t>1</w:t>
      </w:r>
      <w:r>
        <w:t xml:space="preserve">Vor Erbringung der Beratungsleistung hat sich der Darlehensgeber über den Bedarf, die persönliche und finanzielle Situation sowie über die Präferenzen und Ziele des Darlehensnehmers zu informieren, soweit dies für eine passende Empfehlung eines Darlehensvertrags erforderlich ist. </w:t>
      </w:r>
      <w:r>
        <w:rPr>
          <w:rStyle w:val="Satznummer"/>
        </w:rPr>
        <w:t>2</w:t>
      </w:r>
      <w:r>
        <w:t>Auf Grundlage dieser aktuellen Informationen und unter Zugrundelegung realistischer Annahmen hinsichtlich der Risiken, die für den Darlehensnehmer während der Laufzeit des Darlehensvertrags zu erwarten sind, hat der Darlehensgeber eine ausreichende Zahl an Darlehensverträgen zumindest aus seiner Produktpalette auf ihre Geeignetheit zu prüfen.</w:t>
      </w:r>
    </w:p>
    <w:p>
      <w:r>
        <w:t xml:space="preserve">(3) </w:t>
      </w:r>
      <w:r>
        <w:rPr>
          <w:rStyle w:val="Satznummer"/>
        </w:rPr>
        <w:t>1</w:t>
      </w:r>
      <w:r>
        <w:t xml:space="preserve">Der Darlehensgeber hat dem Darlehensnehmer auf Grund der Prüfung gemäß Absatz 2 ein geeignetes oder mehrere geeignete Produkte zu empfehlen oder ihn darauf hinzuweisen, dass er kein Produkt empfehlen kann. </w:t>
      </w:r>
      <w:r>
        <w:rPr>
          <w:rStyle w:val="Satznummer"/>
        </w:rPr>
        <w:t>2</w:t>
      </w:r>
      <w:r>
        <w:t>Die Empfehlung oder der Hinweis ist dem Darlehensnehmer auf einem dauerhaften Datenträger zur Verfügung zu stellen.</w:t>
      </w:r>
    </w:p>
    <w:p>
      <w:pPr>
        <w:pStyle w:val="Heading4"/>
      </w:pPr>
      <w:bookmarkStart w:id="696" w:name="b683"/>
      <w:r>
        <w:t>Untertitel 5 Unabdingbarkeit, Anwendung auf Existenzgründer</w:t>
      </w:r>
      <w:bookmarkEnd w:id="696"/>
    </w:p>
    <w:p>
      <w:pPr>
        <w:pStyle w:val="Heading5"/>
      </w:pPr>
      <w:bookmarkStart w:id="697" w:name="b684"/>
      <w:r>
        <w:t>§ 512 Abweichende Vereinbarungen</w:t>
      </w:r>
      <w:r>
        <w:t xml:space="preserve"> </w:t>
      </w:r>
      <w:r>
        <w:rPr>
          <w:rStyle w:val="Suchmarke"/>
        </w:rPr>
        <w:t>#512#</w:t>
      </w:r>
      <w:bookmarkEnd w:id="697"/>
    </w:p>
    <w:p>
      <w:r>
        <w:rPr>
          <w:rStyle w:val="Satznummer"/>
        </w:rPr>
        <w:t>1</w:t>
      </w:r>
      <w:r>
        <w:t xml:space="preserve">Von den Vorschriften der </w:t>
      </w:r>
      <w:hyperlink w:anchor="b650" w:history="1">
        <w:r>
          <w:rPr>
            <w:color w:val="0A3A8C"/>
            <w:u w:val="single"/>
          </w:rPr>
          <w:t xml:space="preserve">§§ 491</w:t>
        </w:r>
      </w:hyperlink>
      <w:r>
        <w:t xml:space="preserve"> bis </w:t>
      </w:r>
      <w:hyperlink w:anchor="b682" w:history="1">
        <w:r>
          <w:rPr>
            <w:color w:val="0A3A8C"/>
            <w:u w:val="single"/>
          </w:rPr>
          <w:t xml:space="preserve">511</w:t>
        </w:r>
      </w:hyperlink>
      <w:r>
        <w:t xml:space="preserve">, </w:t>
      </w:r>
      <w:hyperlink w:anchor="b687" w:history="1">
        <w:r>
          <w:rPr>
            <w:color w:val="0A3A8C"/>
            <w:u w:val="single"/>
          </w:rPr>
          <w:t xml:space="preserve">514</w:t>
        </w:r>
      </w:hyperlink>
      <w:r>
        <w:t xml:space="preserve"> und </w:t>
      </w:r>
      <w:hyperlink w:anchor="b688" w:history="1">
        <w:r>
          <w:rPr>
            <w:color w:val="0A3A8C"/>
            <w:u w:val="single"/>
          </w:rPr>
          <w:t xml:space="preserve">515</w:t>
        </w:r>
      </w:hyperlink>
      <w:r>
        <w:t xml:space="preserve"> darf, soweit nicht ein anderes bestimmt ist, nicht zum Nachteil des Verbrauchers abgewichen werden. </w:t>
      </w:r>
      <w:r>
        <w:rPr>
          <w:rStyle w:val="Satznummer"/>
        </w:rPr>
        <w:t>2</w:t>
      </w:r>
      <w:r>
        <w:t>Diese Vorschriften finden auch Anwendung, wenn sie durch anderweitige Gestaltungen umgangen werden.</w:t>
      </w:r>
    </w:p>
    <w:p>
      <w:pPr>
        <w:pStyle w:val="Heading5"/>
      </w:pPr>
      <w:bookmarkStart w:id="698" w:name="b685"/>
      <w:r>
        <w:t>§ 513 Anwendung auf Existenzgründer</w:t>
      </w:r>
      <w:r>
        <w:t xml:space="preserve"> </w:t>
      </w:r>
      <w:r>
        <w:rPr>
          <w:rStyle w:val="Suchmarke"/>
        </w:rPr>
        <w:t>#513#</w:t>
      </w:r>
      <w:bookmarkEnd w:id="698"/>
    </w:p>
    <w:p>
      <w:r>
        <w:t xml:space="preserve">Die </w:t>
      </w:r>
      <w:hyperlink w:anchor="b650" w:history="1">
        <w:r>
          <w:rPr>
            <w:color w:val="0A3A8C"/>
            <w:u w:val="single"/>
          </w:rPr>
          <w:t xml:space="preserve">§§ 491</w:t>
        </w:r>
      </w:hyperlink>
      <w:r>
        <w:t xml:space="preserve"> bis </w:t>
      </w:r>
      <w:hyperlink w:anchor="b684" w:history="1">
        <w:r>
          <w:rPr>
            <w:color w:val="0A3A8C"/>
            <w:u w:val="single"/>
          </w:rPr>
          <w:t xml:space="preserve">512</w:t>
        </w:r>
      </w:hyperlink>
      <w:r>
        <w:t xml:space="preserve"> gelten auch für natürliche Personen, die sich ein Darlehen, einen Zahlungsaufschub oder eine sonstige Finanzierungshilfe für die Aufnahme einer gewerblichen oder selbständigen beruflichen Tätigkeit gewähren lassen oder zu diesem Zweck einen Ratenlieferungsvertrag schließen, es sei denn, der Nettodarlehensbetrag oder Barzahlungspreis übersteigt 75 000 Euro oder die Verordnung (EU) 2020/1503 des Europäischen Parlaments und des Rates vom 7. Oktober 2020 über Europäische Schwarmfinanzierungsdienstleister für Unternehmen und zur Änderung der Verordnung (EU) 2017/1129 und der Richtlinie (EU) 2019/1937 (ABl. L 347 vom 20.10.2020, S. 1) ist anwendbar.</w:t>
      </w:r>
    </w:p>
    <w:p>
      <w:pPr>
        <w:pStyle w:val="Heading4"/>
      </w:pPr>
      <w:bookmarkStart w:id="699" w:name="b686"/>
      <w:r>
        <w:t>Untertitel 6 Unentgeltliche Darlehensverträge und unentgeltliche Finanzierungshilfen zwischen einem Unternehmer und einem Verbraucher</w:t>
      </w:r>
      <w:bookmarkEnd w:id="699"/>
    </w:p>
    <w:p>
      <w:pPr>
        <w:pStyle w:val="Heading5"/>
      </w:pPr>
      <w:bookmarkStart w:id="700" w:name="b687"/>
      <w:r>
        <w:t>§ 514 Unentgeltliche Darlehensverträge</w:t>
      </w:r>
      <w:r>
        <w:t xml:space="preserve"> </w:t>
      </w:r>
      <w:r>
        <w:rPr>
          <w:rStyle w:val="Suchmarke"/>
        </w:rPr>
        <w:t>#514#</w:t>
      </w:r>
      <w:bookmarkEnd w:id="700"/>
    </w:p>
    <w:p>
      <w:r>
        <w:t xml:space="preserve">(1) </w:t>
      </w:r>
      <w:r>
        <w:rPr>
          <w:rStyle w:val="Satznummer"/>
        </w:rPr>
        <w:t>1</w:t>
      </w:r>
      <w:hyperlink w:anchor="b659" w:history="1">
        <w:r>
          <w:rPr>
            <w:color w:val="0A3A8C"/>
            <w:u w:val="single"/>
          </w:rPr>
          <w:t xml:space="preserve">§ 497</w:t>
        </w:r>
      </w:hyperlink>
      <w:r>
        <w:t xml:space="preserve"> Absatz 1 und 3 sowie </w:t>
      </w:r>
      <w:hyperlink w:anchor="b660" w:history="1">
        <w:r>
          <w:rPr>
            <w:color w:val="0A3A8C"/>
            <w:u w:val="single"/>
          </w:rPr>
          <w:t xml:space="preserve">§ 498</w:t>
        </w:r>
      </w:hyperlink>
      <w:r>
        <w:t xml:space="preserve"> und die </w:t>
      </w:r>
      <w:hyperlink w:anchor="b669" w:history="1">
        <w:r>
          <w:rPr>
            <w:color w:val="0A3A8C"/>
            <w:u w:val="single"/>
          </w:rPr>
          <w:t xml:space="preserve">§§ 505a</w:t>
        </w:r>
      </w:hyperlink>
      <w:r>
        <w:t xml:space="preserve"> bis </w:t>
      </w:r>
      <w:hyperlink w:anchor="b671" w:history="1">
        <w:r>
          <w:rPr>
            <w:color w:val="0A3A8C"/>
            <w:u w:val="single"/>
          </w:rPr>
          <w:t xml:space="preserve">505c</w:t>
        </w:r>
      </w:hyperlink>
      <w:r>
        <w:t xml:space="preserve"> sowie </w:t>
      </w:r>
      <w:hyperlink w:anchor="b672" w:history="1">
        <w:r>
          <w:rPr>
            <w:color w:val="0A3A8C"/>
            <w:u w:val="single"/>
          </w:rPr>
          <w:t xml:space="preserve">505d</w:t>
        </w:r>
      </w:hyperlink>
      <w:r>
        <w:t xml:space="preserve"> Absatz 2 und 3 sowie </w:t>
      </w:r>
      <w:hyperlink w:anchor="b673" w:history="1">
        <w:r>
          <w:rPr>
            <w:color w:val="0A3A8C"/>
            <w:u w:val="single"/>
          </w:rPr>
          <w:t xml:space="preserve">§ 505e</w:t>
        </w:r>
      </w:hyperlink>
      <w:r>
        <w:t xml:space="preserve"> sind entsprechend auf Verträge anzuwenden, durch die ein Unternehmer einem Verbraucher ein unentgeltliches Darlehen gewährt. </w:t>
      </w:r>
      <w:r>
        <w:rPr>
          <w:rStyle w:val="Satznummer"/>
        </w:rPr>
        <w:t>2</w:t>
      </w:r>
      <w:r>
        <w:t xml:space="preserve">Dies gilt nicht in dem in </w:t>
      </w:r>
      <w:hyperlink w:anchor="b650" w:history="1">
        <w:r>
          <w:rPr>
            <w:color w:val="0A3A8C"/>
            <w:u w:val="single"/>
          </w:rPr>
          <w:t xml:space="preserve">§ 491</w:t>
        </w:r>
      </w:hyperlink>
      <w:r>
        <w:t xml:space="preserve"> Absatz 2 Satz 2 Nummer 1 bestimmten Umfang.</w:t>
      </w:r>
    </w:p>
    <w:p>
      <w:r>
        <w:t xml:space="preserve">(2) </w:t>
      </w:r>
      <w:r>
        <w:rPr>
          <w:rStyle w:val="Satznummer"/>
        </w:rPr>
        <w:t>1</w:t>
      </w:r>
      <w:r>
        <w:t xml:space="preserve">Bei unentgeltlichen Darlehensverträgen gemäß Absatz 1 steht dem Verbraucher ein Widerrufsrecht nach </w:t>
      </w:r>
      <w:hyperlink w:anchor="b461" w:history="1">
        <w:r>
          <w:rPr>
            <w:color w:val="0A3A8C"/>
            <w:u w:val="single"/>
          </w:rPr>
          <w:t xml:space="preserve">§ 355</w:t>
        </w:r>
      </w:hyperlink>
      <w:r>
        <w:t xml:space="preserve"> zu. </w:t>
      </w:r>
      <w:r>
        <w:rPr>
          <w:rStyle w:val="Satznummer"/>
        </w:rPr>
        <w:t>2</w:t>
      </w:r>
      <w:r>
        <w:t xml:space="preserve">Dies gilt nicht, wenn bereits ein Widerrufsrecht nach </w:t>
      </w:r>
      <w:hyperlink w:anchor="b378" w:history="1">
        <w:r>
          <w:rPr>
            <w:color w:val="0A3A8C"/>
            <w:u w:val="single"/>
          </w:rPr>
          <w:t xml:space="preserve">§ 312g</w:t>
        </w:r>
      </w:hyperlink>
      <w:r>
        <w:t xml:space="preserve"> Absatz 1 besteht, und nicht bei Verträgen, die </w:t>
      </w:r>
      <w:hyperlink w:anchor="b657" w:history="1">
        <w:r>
          <w:rPr>
            <w:color w:val="0A3A8C"/>
            <w:u w:val="single"/>
          </w:rPr>
          <w:t xml:space="preserve">§ 495</w:t>
        </w:r>
      </w:hyperlink>
      <w:r>
        <w:t xml:space="preserve"> Absatz 2 Nummer 1 entsprechen. </w:t>
      </w:r>
      <w:r>
        <w:rPr>
          <w:rStyle w:val="Satznummer"/>
        </w:rPr>
        <w:t>3</w:t>
      </w:r>
      <w:r>
        <w:t xml:space="preserve">Der Unternehmer hat den Verbraucher rechtzeitig vor der Abgabe von dessen Willenserklärung gemäß Artikel 246 Absatz 3 des Einführungsgesetzes zum Bürgerlichen Gesetzbuche über sein Widerrufsrecht zu unterrichten. </w:t>
      </w:r>
      <w:r>
        <w:rPr>
          <w:rStyle w:val="Satznummer"/>
        </w:rPr>
        <w:t>4</w:t>
      </w:r>
      <w:r>
        <w:t>Der Unternehmer kann diese Pflicht dadurch erfüllen, dass er dem Verbraucher das in der Anlage 9 zum Einführungsgesetz zum Bürgerlichen Gesetzbuche vorgesehene Muster für die Widerrufsbelehrung ordnungsgemäß ausgefüllt in Textform übermittelt.</w:t>
      </w:r>
    </w:p>
    <w:p>
      <w:pPr>
        <w:pStyle w:val="Heading5"/>
      </w:pPr>
      <w:bookmarkStart w:id="701" w:name="b688"/>
      <w:r>
        <w:t>§ 515 Unentgeltliche Finanzierungshilfen</w:t>
      </w:r>
      <w:r>
        <w:t xml:space="preserve"> </w:t>
      </w:r>
      <w:r>
        <w:rPr>
          <w:rStyle w:val="Suchmarke"/>
        </w:rPr>
        <w:t>#515#</w:t>
      </w:r>
      <w:bookmarkEnd w:id="701"/>
    </w:p>
    <w:p>
      <w:hyperlink w:anchor="b687" w:history="1">
        <w:r>
          <w:rPr>
            <w:color w:val="0A3A8C"/>
            <w:u w:val="single"/>
          </w:rPr>
          <w:t xml:space="preserve">§ 514</w:t>
        </w:r>
      </w:hyperlink>
      <w:r>
        <w:t xml:space="preserve"> sowie die </w:t>
      </w:r>
      <w:hyperlink w:anchor="b475" w:history="1">
        <w:r>
          <w:rPr>
            <w:color w:val="0A3A8C"/>
            <w:u w:val="single"/>
          </w:rPr>
          <w:t xml:space="preserve">§§ 358</w:t>
        </w:r>
      </w:hyperlink>
      <w:r>
        <w:t xml:space="preserve"> bis </w:t>
      </w:r>
      <w:hyperlink w:anchor="b477" w:history="1">
        <w:r>
          <w:rPr>
            <w:color w:val="0A3A8C"/>
            <w:u w:val="single"/>
          </w:rPr>
          <w:t xml:space="preserve">360</w:t>
        </w:r>
      </w:hyperlink>
      <w:r>
        <w:t xml:space="preserve"> gelten entsprechend, wenn ein Unternehmer einem Verbraucher einen unentgeltlichen Zahlungsaufschub oder eine sonstige unentgeltliche Finanzierungshilfe gewährt.</w:t>
      </w:r>
    </w:p>
    <w:p>
      <w:pPr>
        <w:pStyle w:val="Heading3"/>
      </w:pPr>
      <w:bookmarkStart w:id="702" w:name="b689"/>
      <w:r>
        <w:t>Titel 4 Schenkung</w:t>
      </w:r>
      <w:bookmarkEnd w:id="702"/>
    </w:p>
    <w:p>
      <w:pPr>
        <w:pStyle w:val="Heading4"/>
      </w:pPr>
      <w:bookmarkStart w:id="703" w:name="b690"/>
      <w:r>
        <w:t>§ 516 Begriff der Schenkung</w:t>
      </w:r>
      <w:r>
        <w:t xml:space="preserve"> </w:t>
      </w:r>
      <w:r>
        <w:rPr>
          <w:rStyle w:val="Suchmarke"/>
        </w:rPr>
        <w:t>#516#</w:t>
      </w:r>
      <w:bookmarkEnd w:id="703"/>
    </w:p>
    <w:p>
      <w:r>
        <w:t>(1) Eine Zuwendung, durch die jemand aus seinem Vermögen einen anderen bereichert, ist Schenkung, wenn beide Teile darüber einig sind, dass die Zuwendung unentgeltlich erfolgt.</w:t>
      </w:r>
    </w:p>
    <w:p>
      <w:r>
        <w:t xml:space="preserve">(2) </w:t>
      </w:r>
      <w:r>
        <w:rPr>
          <w:rStyle w:val="Satznummer"/>
        </w:rPr>
        <w:t>1</w:t>
      </w:r>
      <w:r>
        <w:t xml:space="preserve">Ist die Zuwendung ohne den Willen des anderen erfolgt, so kann ihn der Zuwendende unter Bestimmung einer angemessenen Frist zur Erklärung über die Annahme auffordern. </w:t>
      </w:r>
      <w:r>
        <w:rPr>
          <w:rStyle w:val="Satznummer"/>
        </w:rPr>
        <w:t>2</w:t>
      </w:r>
      <w:r>
        <w:t xml:space="preserve">Nach dem Ablauf der Frist gilt die Schenkung als angenommen, wenn nicht der andere sie vorher abgelehnt hat. </w:t>
      </w:r>
      <w:r>
        <w:rPr>
          <w:rStyle w:val="Satznummer"/>
        </w:rPr>
        <w:t>3</w:t>
      </w:r>
      <w:r>
        <w:t>Im Falle der Ablehnung kann die Herausgabe des Zugewendeten nach den Vorschriften über die Herausgabe einer ungerechtfertigten Bereicherung gefordert werden.</w:t>
      </w:r>
    </w:p>
    <w:p>
      <w:pPr>
        <w:pStyle w:val="Heading4"/>
      </w:pPr>
      <w:bookmarkStart w:id="704" w:name="b691"/>
      <w:r>
        <w:t>§ 516a Verbrauchervertrag über die Schenkung digitaler Produkte</w:t>
      </w:r>
      <w:r>
        <w:t xml:space="preserve"> </w:t>
      </w:r>
      <w:r>
        <w:rPr>
          <w:rStyle w:val="Suchmarke"/>
        </w:rPr>
        <w:t>#516a#</w:t>
      </w:r>
      <w:bookmarkEnd w:id="704"/>
    </w:p>
    <w:p>
      <w:r>
        <w:t xml:space="preserve">(1) </w:t>
      </w:r>
      <w:r>
        <w:rPr>
          <w:rStyle w:val="Satznummer"/>
        </w:rPr>
        <w:t>1</w:t>
      </w:r>
      <w:r>
        <w:t>Auf einen Verbrauchervertrag, bei dem der Unternehmer dem Verbraucher</w:t>
      </w:r>
    </w:p>
    <w:p>
      <w:pPr>
        <w:tabs>
          <w:tab w:pos="567" w:val="left"/>
        </w:tabs>
        <w:ind w:left="567" w:hanging="567"/>
      </w:pPr>
      <w:r>
        <w:t>1.</w:t>
      </w:r>
      <w:r>
        <w:tab/>
      </w:r>
      <w:r>
        <w:t>digitale Produkte oder</w:t>
      </w:r>
    </w:p>
    <w:p>
      <w:pPr>
        <w:tabs>
          <w:tab w:pos="567" w:val="left"/>
        </w:tabs>
        <w:ind w:left="567" w:hanging="567"/>
      </w:pPr>
      <w:r>
        <w:t>2.</w:t>
      </w:r>
      <w:r>
        <w:tab/>
      </w:r>
      <w:r>
        <w:t>einen körperlichen Datenträger, der ausschließlich als Träger digitaler Inhalte dient,</w:t>
      </w:r>
    </w:p>
    <w:p>
      <w:r>
        <w:t xml:space="preserve">schenkt, und der Verbraucher dem Unternehmer personenbezogene Daten nach Maßgabe des </w:t>
      </w:r>
      <w:hyperlink w:anchor="b406" w:history="1">
        <w:r>
          <w:rPr>
            <w:color w:val="0A3A8C"/>
            <w:u w:val="single"/>
          </w:rPr>
          <w:t xml:space="preserve">§ 327</w:t>
        </w:r>
      </w:hyperlink>
      <w:r>
        <w:t xml:space="preserve"> Absatz 3 bereitstellt oder sich hierzu verpflichtet, sind die </w:t>
      </w:r>
      <w:hyperlink w:anchor="b698" w:history="1">
        <w:r>
          <w:rPr>
            <w:color w:val="0A3A8C"/>
            <w:u w:val="single"/>
          </w:rPr>
          <w:t xml:space="preserve">§§ 523</w:t>
        </w:r>
      </w:hyperlink>
      <w:r>
        <w:t xml:space="preserve"> und </w:t>
      </w:r>
      <w:hyperlink w:anchor="b699" w:history="1">
        <w:r>
          <w:rPr>
            <w:color w:val="0A3A8C"/>
            <w:u w:val="single"/>
          </w:rPr>
          <w:t xml:space="preserve">524</w:t>
        </w:r>
      </w:hyperlink>
      <w:r>
        <w:t xml:space="preserve"> über die Haftung des Schenkers für Rechts- oder Sachmängel nicht anzuwenden. </w:t>
      </w:r>
      <w:r>
        <w:rPr>
          <w:rStyle w:val="Satznummer"/>
        </w:rPr>
        <w:t>2</w:t>
      </w:r>
      <w:r>
        <w:t>An die Stelle der nach Satz 1 nicht anzuwendenden Vorschriften treten die Vorschriften des Abschnitts 3 Titel 2a.</w:t>
      </w:r>
    </w:p>
    <w:p>
      <w:r>
        <w:t>(2) Für einen Verbrauchervertrag, bei dem der Unternehmer dem Verbraucher eine Sache schenkt, die digitale Produkte enthält oder mit digitalen Produkten verbunden ist, gilt der Anwendungsausschluss nach Absatz 1 entsprechend für diejenigen Bestandteile des Vertrags, welche die digitalen Produkte betreffen.</w:t>
      </w:r>
    </w:p>
    <w:p>
      <w:pPr>
        <w:pStyle w:val="Heading4"/>
      </w:pPr>
      <w:bookmarkStart w:id="705" w:name="b692"/>
      <w:r>
        <w:t>§ 517 Unterlassen eines Vermögenserwerbs</w:t>
      </w:r>
      <w:r>
        <w:t xml:space="preserve"> </w:t>
      </w:r>
      <w:r>
        <w:rPr>
          <w:rStyle w:val="Suchmarke"/>
        </w:rPr>
        <w:t>#517#</w:t>
      </w:r>
      <w:bookmarkEnd w:id="705"/>
    </w:p>
    <w:p>
      <w:r>
        <w:t>Eine Schenkung liegt nicht vor, wenn jemand zum Vorteil eines anderen einen Vermögenserwerb unterlässt oder auf ein angefallenes, noch nicht endgültig erworbenes Recht verzichtet oder eine Erbschaft oder ein Vermächtnis ausschlägt.</w:t>
      </w:r>
    </w:p>
    <w:p>
      <w:pPr>
        <w:pStyle w:val="Heading4"/>
      </w:pPr>
      <w:bookmarkStart w:id="706" w:name="b693"/>
      <w:r>
        <w:t>§ 518 Form des Schenkungsversprechens</w:t>
      </w:r>
      <w:r>
        <w:t xml:space="preserve"> </w:t>
      </w:r>
      <w:r>
        <w:rPr>
          <w:rStyle w:val="Suchmarke"/>
        </w:rPr>
        <w:t>#518#</w:t>
      </w:r>
      <w:bookmarkEnd w:id="706"/>
    </w:p>
    <w:p>
      <w:r>
        <w:t xml:space="preserve">(1) </w:t>
      </w:r>
      <w:r>
        <w:rPr>
          <w:rStyle w:val="Satznummer"/>
        </w:rPr>
        <w:t>1</w:t>
      </w:r>
      <w:r>
        <w:t xml:space="preserve">Zur Gültigkeit eines Vertrags, durch den eine Leistung schenkweise versprochen wird, ist die notarielle Beurkundung des Versprechens erforderlich. </w:t>
      </w:r>
      <w:r>
        <w:rPr>
          <w:rStyle w:val="Satznummer"/>
        </w:rPr>
        <w:t>2</w:t>
      </w:r>
      <w:r>
        <w:t xml:space="preserve">Das Gleiche gilt, wenn ein Schuldversprechen oder ein Schuldanerkenntnis der in den </w:t>
      </w:r>
      <w:hyperlink w:anchor="b1229" w:history="1">
        <w:r>
          <w:rPr>
            <w:color w:val="0A3A8C"/>
            <w:u w:val="single"/>
          </w:rPr>
          <w:t xml:space="preserve">§§ 780</w:t>
        </w:r>
      </w:hyperlink>
      <w:r>
        <w:t xml:space="preserve">, </w:t>
      </w:r>
      <w:hyperlink w:anchor="b1230" w:history="1">
        <w:r>
          <w:rPr>
            <w:color w:val="0A3A8C"/>
            <w:u w:val="single"/>
          </w:rPr>
          <w:t xml:space="preserve">781</w:t>
        </w:r>
      </w:hyperlink>
      <w:r>
        <w:t xml:space="preserve"> bezeichneten Art schenkweise erteilt wird, von dem Versprechen oder der Anerkennungserklärung.</w:t>
      </w:r>
    </w:p>
    <w:p>
      <w:r>
        <w:t>(2) Der Mangel der Form wird durch die Bewirkung der versprochenen Leistung geheilt.</w:t>
      </w:r>
    </w:p>
    <w:p>
      <w:pPr>
        <w:pStyle w:val="Heading4"/>
      </w:pPr>
      <w:bookmarkStart w:id="707" w:name="b694"/>
      <w:r>
        <w:t>§ 519 Einrede des Notbedarfs</w:t>
      </w:r>
      <w:r>
        <w:t xml:space="preserve"> </w:t>
      </w:r>
      <w:r>
        <w:rPr>
          <w:rStyle w:val="Suchmarke"/>
        </w:rPr>
        <w:t>#519#</w:t>
      </w:r>
      <w:bookmarkEnd w:id="707"/>
    </w:p>
    <w:p>
      <w:r>
        <w:t>(1) Der Schenker ist berechtigt, die Erfüllung eines schenkweise erteilten Versprechens zu verweigern, soweit er bei Berücksichtigung seiner sonstigen Verpflichtungen außerstande ist, das Versprechen zu erfüllen, ohne dass sein angemessener Unterhalt oder die Erfüllung der ihm kraft Gesetzes obliegenden Unterhaltspflichten gefährdet wird.</w:t>
      </w:r>
    </w:p>
    <w:p>
      <w:r>
        <w:t>(2) Treffen die Ansprüche mehrerer Beschenkten zusammen, so geht der früher entstandene Anspruch vor.</w:t>
      </w:r>
    </w:p>
    <w:p>
      <w:pPr>
        <w:pStyle w:val="Heading4"/>
      </w:pPr>
      <w:bookmarkStart w:id="708" w:name="b695"/>
      <w:r>
        <w:t>§ 520 Erlöschen eines Rentenversprechens</w:t>
      </w:r>
      <w:r>
        <w:t xml:space="preserve"> </w:t>
      </w:r>
      <w:r>
        <w:rPr>
          <w:rStyle w:val="Suchmarke"/>
        </w:rPr>
        <w:t>#520#</w:t>
      </w:r>
      <w:bookmarkEnd w:id="708"/>
    </w:p>
    <w:p>
      <w:r>
        <w:t>Verspricht der Schenker eine in wiederkehrenden Leistungen bestehende Unterstützung, so erlischt die Verbindlichkeit mit seinem Tode, sofern nicht aus dem Versprechen sich ein anderes ergibt.</w:t>
      </w:r>
    </w:p>
    <w:p>
      <w:pPr>
        <w:pStyle w:val="Heading4"/>
      </w:pPr>
      <w:bookmarkStart w:id="709" w:name="b696"/>
      <w:r>
        <w:t>§ 521 Haftung des Schenkers</w:t>
      </w:r>
      <w:r>
        <w:t xml:space="preserve"> </w:t>
      </w:r>
      <w:r>
        <w:rPr>
          <w:rStyle w:val="Suchmarke"/>
        </w:rPr>
        <w:t>#521#</w:t>
      </w:r>
      <w:bookmarkEnd w:id="709"/>
    </w:p>
    <w:p>
      <w:r>
        <w:t>Der Schenker hat nur Vorsatz und grobe Fahrlässigkeit zu vertreten.</w:t>
      </w:r>
    </w:p>
    <w:p>
      <w:pPr>
        <w:pStyle w:val="Heading4"/>
      </w:pPr>
      <w:bookmarkStart w:id="710" w:name="b697"/>
      <w:r>
        <w:t>§ 522 Keine Verzugszinsen</w:t>
      </w:r>
      <w:r>
        <w:t xml:space="preserve"> </w:t>
      </w:r>
      <w:r>
        <w:rPr>
          <w:rStyle w:val="Suchmarke"/>
        </w:rPr>
        <w:t>#522#</w:t>
      </w:r>
      <w:bookmarkEnd w:id="710"/>
    </w:p>
    <w:p>
      <w:r>
        <w:t>Zur Entrichtung von Verzugszinsen ist der Schenker nicht verpflichtet.</w:t>
      </w:r>
    </w:p>
    <w:p>
      <w:pPr>
        <w:pStyle w:val="Heading4"/>
      </w:pPr>
      <w:bookmarkStart w:id="711" w:name="b698"/>
      <w:r>
        <w:t>§ 523 Haftung für Rechtsmängel</w:t>
      </w:r>
      <w:r>
        <w:t xml:space="preserve"> </w:t>
      </w:r>
      <w:r>
        <w:rPr>
          <w:rStyle w:val="Suchmarke"/>
        </w:rPr>
        <w:t>#523#</w:t>
      </w:r>
      <w:bookmarkEnd w:id="711"/>
    </w:p>
    <w:p>
      <w:r>
        <w:t>(1) Verschweigt der Schenker arglistig einen Mangel im Recht, so ist er verpflichtet, dem Beschenkten den daraus entstehenden Schaden zu ersetzen.</w:t>
      </w:r>
    </w:p>
    <w:p>
      <w:r>
        <w:t xml:space="preserve">(2) </w:t>
      </w:r>
      <w:r>
        <w:rPr>
          <w:rStyle w:val="Satznummer"/>
        </w:rPr>
        <w:t>1</w:t>
      </w:r>
      <w:r>
        <w:t xml:space="preserve">Hatte der Schenker die Leistung eines Gegenstandes versprochen, den er erst erwerben sollte, so kann der Beschenkte wegen eines Mangels im Recht Schadensersatz wegen Nichterfüllung verlangen, wenn der Mangel dem Schenker bei dem Erwerb der Sache bekannt gewesen oder infolge grober Fahrlässigkeit unbekannt geblieben ist. </w:t>
      </w:r>
      <w:r>
        <w:rPr>
          <w:rStyle w:val="Satznummer"/>
        </w:rPr>
        <w:t>2</w:t>
      </w:r>
      <w:r>
        <w:t xml:space="preserve">Die für die Haftung des Verkäufers für Rechtsmängel geltenden Vorschriften des </w:t>
      </w:r>
      <w:hyperlink w:anchor="b561" w:history="1">
        <w:r>
          <w:rPr>
            <w:color w:val="0A3A8C"/>
            <w:u w:val="single"/>
          </w:rPr>
          <w:t xml:space="preserve">§ 433</w:t>
        </w:r>
      </w:hyperlink>
      <w:r>
        <w:t xml:space="preserve"> Abs. 1 und der </w:t>
      </w:r>
      <w:hyperlink w:anchor="b563" w:history="1">
        <w:r>
          <w:rPr>
            <w:color w:val="0A3A8C"/>
            <w:u w:val="single"/>
          </w:rPr>
          <w:t xml:space="preserve">§§ 435</w:t>
        </w:r>
      </w:hyperlink>
      <w:r>
        <w:t xml:space="preserve">, </w:t>
      </w:r>
      <w:hyperlink w:anchor="b564" w:history="1">
        <w:r>
          <w:rPr>
            <w:color w:val="0A3A8C"/>
            <w:u w:val="single"/>
          </w:rPr>
          <w:t xml:space="preserve">436</w:t>
        </w:r>
      </w:hyperlink>
      <w:r>
        <w:t xml:space="preserve">, </w:t>
      </w:r>
      <w:hyperlink w:anchor="b572" w:history="1">
        <w:r>
          <w:rPr>
            <w:color w:val="0A3A8C"/>
            <w:u w:val="single"/>
          </w:rPr>
          <w:t xml:space="preserve">444</w:t>
        </w:r>
      </w:hyperlink>
      <w:r>
        <w:t xml:space="preserve">, </w:t>
      </w:r>
      <w:hyperlink w:anchor="b583" w:history="1">
        <w:r>
          <w:rPr>
            <w:color w:val="0A3A8C"/>
            <w:u w:val="single"/>
          </w:rPr>
          <w:t xml:space="preserve">452</w:t>
        </w:r>
      </w:hyperlink>
      <w:r>
        <w:t xml:space="preserve">, </w:t>
      </w:r>
      <w:hyperlink w:anchor="b584" w:history="1">
        <w:r>
          <w:rPr>
            <w:color w:val="0A3A8C"/>
            <w:u w:val="single"/>
          </w:rPr>
          <w:t xml:space="preserve">453</w:t>
        </w:r>
      </w:hyperlink>
      <w:r>
        <w:t xml:space="preserve"> finden entsprechende Anwendung.</w:t>
      </w:r>
    </w:p>
    <w:p>
      <w:pPr>
        <w:pStyle w:val="Heading4"/>
      </w:pPr>
      <w:bookmarkStart w:id="712" w:name="b699"/>
      <w:r>
        <w:t>§ 524 Haftung für Sachmängel</w:t>
      </w:r>
      <w:r>
        <w:t xml:space="preserve"> </w:t>
      </w:r>
      <w:r>
        <w:rPr>
          <w:rStyle w:val="Suchmarke"/>
        </w:rPr>
        <w:t>#524#</w:t>
      </w:r>
      <w:bookmarkEnd w:id="712"/>
    </w:p>
    <w:p>
      <w:r>
        <w:t>(1) Verschweigt der Schenker arglistig einen Fehler der verschenkten Sache, so ist er verpflichtet, dem Beschenkten den daraus entstehenden Schaden zu ersetzen.</w:t>
      </w:r>
    </w:p>
    <w:p>
      <w:r>
        <w:t xml:space="preserve">(2) </w:t>
      </w:r>
      <w:r>
        <w:rPr>
          <w:rStyle w:val="Satznummer"/>
        </w:rPr>
        <w:t>1</w:t>
      </w:r>
      <w:r>
        <w:t xml:space="preserve">Hatte der Schenker die Leistung einer nur der Gattung nach bestimmten Sache versprochen, die er erst erwerben sollte, so kann der Beschenkte, wenn die geleistete Sache fehlerhaft und der Mangel dem Schenker bei dem Erwerb der Sache bekannt gewesen oder infolge grober Fahrlässigkeit unbekannt geblieben ist, verlangen, dass ihm anstelle der fehlerhaften Sache eine fehlerfreie geliefert wird. </w:t>
      </w:r>
      <w:r>
        <w:rPr>
          <w:rStyle w:val="Satznummer"/>
        </w:rPr>
        <w:t>2</w:t>
      </w:r>
      <w:r>
        <w:t xml:space="preserve">Hat der Schenker den Fehler arglistig verschwiegen, so kann der Beschenkte statt der Lieferung einer fehlerfreien Sache Schadensersatz wegen Nichterfüllung verlangen. </w:t>
      </w:r>
      <w:r>
        <w:rPr>
          <w:rStyle w:val="Satznummer"/>
        </w:rPr>
        <w:t>3</w:t>
      </w:r>
      <w:r>
        <w:t>Auf diese Ansprüche finden die für die Gewährleistung wegen Fehler einer verkauften Sache geltenden Vorschriften entsprechende Anwendung.</w:t>
      </w:r>
    </w:p>
    <w:p>
      <w:pPr>
        <w:pStyle w:val="Heading4"/>
      </w:pPr>
      <w:bookmarkStart w:id="713" w:name="b700"/>
      <w:r>
        <w:t>§ 525 Schenkung unter Auflage</w:t>
      </w:r>
      <w:r>
        <w:t xml:space="preserve"> </w:t>
      </w:r>
      <w:r>
        <w:rPr>
          <w:rStyle w:val="Suchmarke"/>
        </w:rPr>
        <w:t>#525#</w:t>
      </w:r>
      <w:bookmarkEnd w:id="713"/>
    </w:p>
    <w:p>
      <w:r>
        <w:t>(1) Wer eine Schenkung unter einer Auflage macht, kann die Vollziehung der Auflage verlangen, wenn er seinerseits geleistet hat.</w:t>
      </w:r>
    </w:p>
    <w:p>
      <w:r>
        <w:t>(2) Liegt die Vollziehung der Auflage im öffentlichen Interesse, so kann nach dem Tod des Schenkers auch die zuständige Behörde die Vollziehung verlangen.</w:t>
      </w:r>
    </w:p>
    <w:p>
      <w:pPr>
        <w:pStyle w:val="Heading4"/>
      </w:pPr>
      <w:bookmarkStart w:id="714" w:name="b701"/>
      <w:r>
        <w:t>§ 526 Verweigerung der Vollziehung der Auflage</w:t>
      </w:r>
      <w:r>
        <w:t xml:space="preserve"> </w:t>
      </w:r>
      <w:r>
        <w:rPr>
          <w:rStyle w:val="Suchmarke"/>
        </w:rPr>
        <w:t>#526#</w:t>
      </w:r>
      <w:bookmarkEnd w:id="714"/>
    </w:p>
    <w:p>
      <w:r>
        <w:rPr>
          <w:rStyle w:val="Satznummer"/>
        </w:rPr>
        <w:t>1</w:t>
      </w:r>
      <w:r>
        <w:t xml:space="preserve">Soweit infolge eines Mangels im Recht oder eines Mangels der verschenkten Sache der Wert der Zuwendung die Höhe der zur Vollziehung der Auflage erforderlichen Aufwendungen nicht erreicht, ist der Beschenkte berechtigt, die Vollziehung der Auflage zu verweigern, bis der durch den Mangel entstandene Fehlbetrag ausgeglichen wird. </w:t>
      </w:r>
      <w:r>
        <w:rPr>
          <w:rStyle w:val="Satznummer"/>
        </w:rPr>
        <w:t>2</w:t>
      </w:r>
      <w:r>
        <w:t>Vollzieht der Beschenkte die Auflage ohne Kenntnis des Mangels, so kann er von dem Schenker Ersatz der durch die Vollziehung verursachten Aufwendungen insoweit verlangen, als sie infolge des Mangels den Wert der Zuwendung übersteigen.</w:t>
      </w:r>
    </w:p>
    <w:p>
      <w:pPr>
        <w:pStyle w:val="Heading4"/>
      </w:pPr>
      <w:bookmarkStart w:id="715" w:name="b702"/>
      <w:r>
        <w:t>§ 527 Nichtvollziehung der Auflage</w:t>
      </w:r>
      <w:r>
        <w:t xml:space="preserve"> </w:t>
      </w:r>
      <w:r>
        <w:rPr>
          <w:rStyle w:val="Suchmarke"/>
        </w:rPr>
        <w:t>#527#</w:t>
      </w:r>
      <w:bookmarkEnd w:id="715"/>
    </w:p>
    <w:p>
      <w:r>
        <w:t>(1) Unterbleibt die Vollziehung der Auflage, so kann der Schenker die Herausgabe des Geschenkes unter den für das Rücktrittsrecht bei gegenseitigen Verträgen bestimmten Voraussetzungen nach den Vorschriften über die Herausgabe einer ungerechtfertigten Bereicherung insoweit fordern, als das Geschenk zur Vollziehung der Auflage hätte verwendet werden müssen.</w:t>
      </w:r>
    </w:p>
    <w:p>
      <w:r>
        <w:t>(2) Der Anspruch ist ausgeschlossen, wenn ein Dritter berechtigt ist, die Vollziehung der Auflage zu verlangen.</w:t>
      </w:r>
    </w:p>
    <w:p>
      <w:pPr>
        <w:pStyle w:val="Heading4"/>
      </w:pPr>
      <w:bookmarkStart w:id="716" w:name="b703"/>
      <w:r>
        <w:t>§ 528 Rückforderung wegen Verarmung des Schenkers</w:t>
      </w:r>
      <w:r>
        <w:t xml:space="preserve"> </w:t>
      </w:r>
      <w:r>
        <w:rPr>
          <w:rStyle w:val="Suchmarke"/>
        </w:rPr>
        <w:t>#528#</w:t>
      </w:r>
      <w:bookmarkEnd w:id="716"/>
    </w:p>
    <w:p>
      <w:r>
        <w:t xml:space="preserve">(1) </w:t>
      </w:r>
      <w:r>
        <w:rPr>
          <w:rStyle w:val="Satznummer"/>
        </w:rPr>
        <w:t>1</w:t>
      </w:r>
      <w:r>
        <w:t xml:space="preserve">Soweit der Schenker nach der Vollziehung der Schenkung außerstande ist, seinen angemessenen Unterhalt zu bestreiten und die ihm seinen Verwandten, seinem Ehegatten, seinem Lebenspartner oder seinem früheren Ehegatten oder Lebenspartner gegenüber gesetzlich obliegende Unterhaltspflicht zu erfüllen, kann er von dem Beschenkten die Herausgabe des Geschenkes nach den Vorschriften über die Herausgabe einer ungerechtfertigten Bereicherung fordern. </w:t>
      </w:r>
      <w:r>
        <w:rPr>
          <w:rStyle w:val="Satznummer"/>
        </w:rPr>
        <w:t>2</w:t>
      </w:r>
      <w:r>
        <w:t xml:space="preserve">Der Beschenkte kann die Herausgabe durch Zahlung des für den Unterhalt erforderlichen Betrags abwenden. </w:t>
      </w:r>
      <w:r>
        <w:rPr>
          <w:rStyle w:val="Satznummer"/>
        </w:rPr>
        <w:t>3</w:t>
      </w:r>
      <w:r>
        <w:t xml:space="preserve">Auf die Verpflichtung des Beschenkten findet die Vorschrift des </w:t>
      </w:r>
      <w:hyperlink w:anchor="b1205" w:history="1">
        <w:r>
          <w:rPr>
            <w:color w:val="0A3A8C"/>
            <w:u w:val="single"/>
          </w:rPr>
          <w:t xml:space="preserve">§ 760</w:t>
        </w:r>
      </w:hyperlink>
      <w:r>
        <w:t xml:space="preserve"> sowie die für die Unterhaltspflicht der Verwandten geltende Vorschrift des </w:t>
      </w:r>
      <w:hyperlink w:anchor="b2068" w:history="1">
        <w:r>
          <w:rPr>
            <w:color w:val="0A3A8C"/>
            <w:u w:val="single"/>
          </w:rPr>
          <w:t xml:space="preserve">§ 1613</w:t>
        </w:r>
      </w:hyperlink>
      <w:r>
        <w:t xml:space="preserve"> und im Falle des Todes des Schenkers auch die Vorschrift des </w:t>
      </w:r>
      <w:hyperlink w:anchor="b2070" w:history="1">
        <w:r>
          <w:rPr>
            <w:color w:val="0A3A8C"/>
            <w:u w:val="single"/>
          </w:rPr>
          <w:t xml:space="preserve">§ 1615</w:t>
        </w:r>
      </w:hyperlink>
      <w:r>
        <w:t xml:space="preserve"> entsprechende Anwendung.</w:t>
      </w:r>
    </w:p>
    <w:p>
      <w:r>
        <w:t>(2) Unter mehreren Beschenkten haftet der früher Beschenkte nur insoweit, als der später Beschenkte nicht verpflichtet ist.</w:t>
      </w:r>
    </w:p>
    <w:p>
      <w:pPr>
        <w:pStyle w:val="Heading4"/>
      </w:pPr>
      <w:bookmarkStart w:id="717" w:name="b704"/>
      <w:r>
        <w:t>§ 529 Ausschluss des Rückforderungsanspruchs</w:t>
      </w:r>
      <w:r>
        <w:t xml:space="preserve"> </w:t>
      </w:r>
      <w:r>
        <w:rPr>
          <w:rStyle w:val="Suchmarke"/>
        </w:rPr>
        <w:t>#529#</w:t>
      </w:r>
      <w:bookmarkEnd w:id="717"/>
    </w:p>
    <w:p>
      <w:r>
        <w:t>(1) Der Anspruch auf Herausgabe des Geschenkes ist ausgeschlossen, wenn der Schenker seine Bedürftigkeit vorsätzlich oder durch grobe Fahrlässigkeit herbeigeführt hat oder wenn zur Zeit des Eintritts seiner Bedürftigkeit seit der Leistung des geschenkten Gegenstandes zehn Jahre verstrichen sind.</w:t>
      </w:r>
    </w:p>
    <w:p>
      <w:r>
        <w:t>(2) Das Gleiche gilt, soweit der Beschenkte bei Berücksichtigung seiner sonstigen Verpflichtungen außerstande ist, das Geschenk herauszugeben, ohne dass sein standesmäßiger Unterhalt oder die Erfüllung der ihm kraft Gesetzes obliegenden Unterhaltspflichten gefährdet wird.</w:t>
      </w:r>
    </w:p>
    <w:p>
      <w:pPr>
        <w:pStyle w:val="Heading4"/>
      </w:pPr>
      <w:bookmarkStart w:id="718" w:name="b705"/>
      <w:r>
        <w:t>§ 530 Widerruf der Schenkung</w:t>
      </w:r>
      <w:r>
        <w:t xml:space="preserve"> </w:t>
      </w:r>
      <w:r>
        <w:rPr>
          <w:rStyle w:val="Suchmarke"/>
        </w:rPr>
        <w:t>#530#</w:t>
      </w:r>
      <w:bookmarkEnd w:id="718"/>
    </w:p>
    <w:p>
      <w:r>
        <w:t>(1) Eine Schenkung kann widerrufen werden, wenn sich der Beschenkte durch eine schwere Verfehlung gegen den Schenker oder einen nahen Angehörigen des Schenkers groben Undanks schuldig macht.</w:t>
      </w:r>
    </w:p>
    <w:p>
      <w:r>
        <w:t>(2) Dem Erben des Schenkers steht das Recht des Widerrufs nur zu, wenn der Beschenkte vorsätzlich und widerrechtlich den Schenker getötet oder am Widerruf gehindert hat.</w:t>
      </w:r>
    </w:p>
    <w:p>
      <w:pPr>
        <w:pStyle w:val="Heading4"/>
      </w:pPr>
      <w:bookmarkStart w:id="719" w:name="b706"/>
      <w:r>
        <w:t>§ 531 Widerrufserklärung</w:t>
      </w:r>
      <w:r>
        <w:t xml:space="preserve"> </w:t>
      </w:r>
      <w:r>
        <w:rPr>
          <w:rStyle w:val="Suchmarke"/>
        </w:rPr>
        <w:t>#531#</w:t>
      </w:r>
      <w:bookmarkEnd w:id="719"/>
    </w:p>
    <w:p>
      <w:r>
        <w:t>(1) Der Widerruf erfolgt durch Erklärung gegenüber dem Beschenkten.</w:t>
      </w:r>
    </w:p>
    <w:p>
      <w:r>
        <w:t>(2) Ist die Schenkung widerrufen, so kann die Herausgabe des Geschenks nach den Vorschriften über die Herausgabe einer ungerechtfertigten Bereicherung gefordert werden.</w:t>
      </w:r>
    </w:p>
    <w:p>
      <w:pPr>
        <w:pStyle w:val="Heading4"/>
      </w:pPr>
      <w:bookmarkStart w:id="720" w:name="b707"/>
      <w:r>
        <w:t>§ 532 Ausschluss des Widerrufs</w:t>
      </w:r>
      <w:r>
        <w:t xml:space="preserve"> </w:t>
      </w:r>
      <w:r>
        <w:rPr>
          <w:rStyle w:val="Suchmarke"/>
        </w:rPr>
        <w:t>#532#</w:t>
      </w:r>
      <w:bookmarkEnd w:id="720"/>
    </w:p>
    <w:p>
      <w:r>
        <w:rPr>
          <w:rStyle w:val="Satznummer"/>
        </w:rPr>
        <w:t>1</w:t>
      </w:r>
      <w:r>
        <w:t xml:space="preserve">Der Widerruf ist ausgeschlossen, wenn der Schenker dem Beschenkten verziehen hat oder wenn seit dem Zeitpunkt, in welchem der Widerrufsberechtigte von dem Eintritt der Voraussetzungen seines Rechts Kenntnis erlangt hat, ein Jahr verstrichen ist. </w:t>
      </w:r>
      <w:r>
        <w:rPr>
          <w:rStyle w:val="Satznummer"/>
        </w:rPr>
        <w:t>2</w:t>
      </w:r>
      <w:r>
        <w:t>Nach dem Tode des Beschenkten ist der Widerruf nicht mehr zulässig.</w:t>
      </w:r>
    </w:p>
    <w:p>
      <w:pPr>
        <w:pStyle w:val="Heading4"/>
      </w:pPr>
      <w:bookmarkStart w:id="721" w:name="b708"/>
      <w:r>
        <w:t>§ 533 Verzicht auf Widerrufsrecht</w:t>
      </w:r>
      <w:r>
        <w:t xml:space="preserve"> </w:t>
      </w:r>
      <w:r>
        <w:rPr>
          <w:rStyle w:val="Suchmarke"/>
        </w:rPr>
        <w:t>#533#</w:t>
      </w:r>
      <w:bookmarkEnd w:id="721"/>
    </w:p>
    <w:p>
      <w:r>
        <w:t>Auf das Widerrufsrecht kann erst verzichtet werden, wenn der Undank dem Widerrufsberechtigten bekannt geworden ist.</w:t>
      </w:r>
    </w:p>
    <w:p>
      <w:pPr>
        <w:pStyle w:val="Heading4"/>
      </w:pPr>
      <w:bookmarkStart w:id="722" w:name="b709"/>
      <w:r>
        <w:t>§ 534 Pflicht- und Anstandsschenkungen</w:t>
      </w:r>
      <w:r>
        <w:t xml:space="preserve"> </w:t>
      </w:r>
      <w:r>
        <w:rPr>
          <w:rStyle w:val="Suchmarke"/>
        </w:rPr>
        <w:t>#534#</w:t>
      </w:r>
      <w:bookmarkEnd w:id="722"/>
    </w:p>
    <w:p>
      <w:r>
        <w:t>Schenkungen, durch die einer sittlichen Pflicht oder einer auf den Anstand zu nehmenden Rücksicht entsprochen wird, unterliegen nicht der Rückforderung und dem Widerruf.</w:t>
      </w:r>
    </w:p>
    <w:p>
      <w:pPr>
        <w:pStyle w:val="Heading3"/>
      </w:pPr>
      <w:bookmarkStart w:id="723" w:name="b710"/>
      <w:r>
        <w:t>Titel 5 Mietvertrag, Pachtvertrag</w:t>
      </w:r>
      <w:bookmarkEnd w:id="723"/>
    </w:p>
    <w:p>
      <w:pPr>
        <w:pStyle w:val="Heading4"/>
      </w:pPr>
      <w:bookmarkStart w:id="724" w:name="b711"/>
      <w:r>
        <w:t>Untertitel 1 Allgemeine Vorschriften für Mietverhältnisse</w:t>
      </w:r>
      <w:bookmarkEnd w:id="724"/>
    </w:p>
    <w:p>
      <w:pPr>
        <w:pStyle w:val="Heading5"/>
      </w:pPr>
      <w:bookmarkStart w:id="725" w:name="b712"/>
      <w:r>
        <w:t>§ 535 Inhalt und Hauptpflichten des Mietvertrags</w:t>
      </w:r>
      <w:r>
        <w:t xml:space="preserve"> </w:t>
      </w:r>
      <w:r>
        <w:rPr>
          <w:rStyle w:val="Suchmarke"/>
        </w:rPr>
        <w:t>#535#</w:t>
      </w:r>
      <w:bookmarkEnd w:id="725"/>
    </w:p>
    <w:p>
      <w:r>
        <w:t xml:space="preserve">(1) </w:t>
      </w:r>
      <w:r>
        <w:rPr>
          <w:rStyle w:val="Satznummer"/>
        </w:rPr>
        <w:t>1</w:t>
      </w:r>
      <w:r>
        <w:t xml:space="preserve">Durch den Mietvertrag wird der Vermieter verpflichtet, dem Mieter den Gebrauch der Mietsache während der Mietzeit zu gewähren. </w:t>
      </w:r>
      <w:r>
        <w:rPr>
          <w:rStyle w:val="Satznummer"/>
        </w:rPr>
        <w:t>2</w:t>
      </w:r>
      <w:r>
        <w:t xml:space="preserve">Der Vermieter hat die Mietsache dem Mieter in einem zum vertragsgemäßen Gebrauch geeigneten Zustand zu überlassen und sie während der Mietzeit in diesem Zustand zu erhalten. </w:t>
      </w:r>
      <w:r>
        <w:rPr>
          <w:rStyle w:val="Satznummer"/>
        </w:rPr>
        <w:t>3</w:t>
      </w:r>
      <w:r>
        <w:t>Er hat die auf der Mietsache ruhenden Lasten zu tragen.</w:t>
      </w:r>
    </w:p>
    <w:p>
      <w:r>
        <w:t>(2) Der Mieter ist verpflichtet, dem Vermieter die vereinbarte Miete zu entrichten.</w:t>
      </w:r>
    </w:p>
    <w:p>
      <w:pPr>
        <w:pStyle w:val="Heading5"/>
      </w:pPr>
      <w:bookmarkStart w:id="726" w:name="b713"/>
      <w:r>
        <w:t>§ 536 Mietminderung bei Sach- und Rechtsmängeln</w:t>
      </w:r>
      <w:r>
        <w:t xml:space="preserve"> </w:t>
      </w:r>
      <w:r>
        <w:rPr>
          <w:rStyle w:val="Suchmarke"/>
        </w:rPr>
        <w:t>#536#</w:t>
      </w:r>
      <w:bookmarkEnd w:id="726"/>
    </w:p>
    <w:p>
      <w:r>
        <w:t xml:space="preserve">(1) </w:t>
      </w:r>
      <w:r>
        <w:rPr>
          <w:rStyle w:val="Satznummer"/>
        </w:rPr>
        <w:t>1</w:t>
      </w:r>
      <w:r>
        <w:t xml:space="preserve">Hat die Mietsache zur Zeit der Überlassung an den Mieter einen Mangel, der ihre Tauglichkeit zum vertragsgemäßen Gebrauch aufhebt, oder entsteht während der Mietzeit ein solcher Mangel, so ist der Mieter für die Zeit, in der die Tauglichkeit aufgehoben ist, von der Entrichtung der Miete befreit. </w:t>
      </w:r>
      <w:r>
        <w:rPr>
          <w:rStyle w:val="Satznummer"/>
        </w:rPr>
        <w:t>2</w:t>
      </w:r>
      <w:r>
        <w:t xml:space="preserve">Für die Zeit, während der die Tauglichkeit gemindert ist, hat er nur eine angemessen herabgesetzte Miete zu entrichten. </w:t>
      </w:r>
      <w:r>
        <w:rPr>
          <w:rStyle w:val="Satznummer"/>
        </w:rPr>
        <w:t>3</w:t>
      </w:r>
      <w:r>
        <w:t>Eine unerhebliche Minderung der Tauglichkeit bleibt außer Betracht.</w:t>
      </w:r>
    </w:p>
    <w:p>
      <w:r>
        <w:t xml:space="preserve">(1a) Für die Dauer von drei Monaten bleibt eine Minderung der Tauglichkeit außer Betracht, soweit diese auf Grund einer Maßnahme eintritt, die einer energetischen Modernisierung nach </w:t>
      </w:r>
      <w:hyperlink w:anchor="b743" w:history="1">
        <w:r>
          <w:rPr>
            <w:color w:val="0A3A8C"/>
            <w:u w:val="single"/>
          </w:rPr>
          <w:t xml:space="preserve">§ 555b</w:t>
        </w:r>
      </w:hyperlink>
      <w:r>
        <w:t xml:space="preserve"> Nummer 1 dient.</w:t>
      </w:r>
    </w:p>
    <w:p>
      <w:r>
        <w:t>(2) Absatz 1 Satz 1 und 2 gilt auch, wenn eine zugesicherte Eigenschaft fehlt oder später wegfällt.</w:t>
      </w:r>
    </w:p>
    <w:p>
      <w:r>
        <w:t>(3) Wird dem Mieter der vertragsgemäße Gebrauch der Mietsache durch das Recht eines Dritten ganz oder zum Teil entzogen, so gelten die Absätze 1 und 2 entsprechend.</w:t>
      </w:r>
    </w:p>
    <w:p>
      <w:r>
        <w:t>(4) Bei einem Mietverhältnis über Wohnraum ist eine zum Nachteil des Mieters abweichende Vereinbarung unwirksam.</w:t>
      </w:r>
    </w:p>
    <w:p>
      <w:pPr>
        <w:pStyle w:val="Heading5"/>
      </w:pPr>
      <w:bookmarkStart w:id="727" w:name="b714"/>
      <w:r>
        <w:t>§ 536a Schadens- und Aufwendungsersatzanspruch des Mieters wegen eines Mangels</w:t>
      </w:r>
      <w:r>
        <w:t xml:space="preserve"> </w:t>
      </w:r>
      <w:r>
        <w:rPr>
          <w:rStyle w:val="Suchmarke"/>
        </w:rPr>
        <w:t>#536a#</w:t>
      </w:r>
      <w:bookmarkEnd w:id="727"/>
    </w:p>
    <w:p>
      <w:r>
        <w:t xml:space="preserve">(1) Ist ein Mangel im Sinne des </w:t>
      </w:r>
      <w:hyperlink w:anchor="b713" w:history="1">
        <w:r>
          <w:rPr>
            <w:color w:val="0A3A8C"/>
            <w:u w:val="single"/>
          </w:rPr>
          <w:t xml:space="preserve">§ 536</w:t>
        </w:r>
      </w:hyperlink>
      <w:r>
        <w:t xml:space="preserve"> bei Vertragsschluss vorhanden oder entsteht ein solcher Mangel später wegen eines Umstands, den der Vermieter zu vertreten hat, oder kommt der Vermieter mit der Beseitigung eines Mangels in Verzug, so kann der Mieter unbeschadet der Rechte aus § 536 Schadensersatz verlangen.</w:t>
      </w:r>
    </w:p>
    <w:p>
      <w:r>
        <w:t>(2) Der Mieter kann den Mangel selbst beseitigen und Ersatz der erforderlichen Aufwendungen verlangen, wenn</w:t>
      </w:r>
    </w:p>
    <w:p>
      <w:pPr>
        <w:tabs>
          <w:tab w:pos="567" w:val="left"/>
        </w:tabs>
        <w:ind w:left="567" w:hanging="567"/>
      </w:pPr>
      <w:r>
        <w:t>1.</w:t>
      </w:r>
      <w:r>
        <w:tab/>
      </w:r>
      <w:r>
        <w:t>der Vermieter mit der Beseitigung des Mangels in Verzug ist oder</w:t>
      </w:r>
    </w:p>
    <w:p>
      <w:pPr>
        <w:tabs>
          <w:tab w:pos="567" w:val="left"/>
        </w:tabs>
        <w:ind w:left="567" w:hanging="567"/>
      </w:pPr>
      <w:r>
        <w:t>2.</w:t>
      </w:r>
      <w:r>
        <w:tab/>
      </w:r>
      <w:r>
        <w:t>die umgehende Beseitigung des Mangels zur Erhaltung oder Wiederherstellung des Bestands der Mietsache notwendig ist.</w:t>
      </w:r>
    </w:p>
    <w:p>
      <w:pPr>
        <w:pStyle w:val="Heading5"/>
      </w:pPr>
      <w:bookmarkStart w:id="728" w:name="b715"/>
      <w:r>
        <w:t>§ 536b Kenntnis des Mieters vom Mangel bei Vertragsschluss oder Annahme</w:t>
      </w:r>
      <w:r>
        <w:t xml:space="preserve"> </w:t>
      </w:r>
      <w:r>
        <w:rPr>
          <w:rStyle w:val="Suchmarke"/>
        </w:rPr>
        <w:t>#536b#</w:t>
      </w:r>
      <w:bookmarkEnd w:id="728"/>
    </w:p>
    <w:p>
      <w:r>
        <w:rPr>
          <w:rStyle w:val="Satznummer"/>
        </w:rPr>
        <w:t>1</w:t>
      </w:r>
      <w:r>
        <w:t xml:space="preserve">Kennt der Mieter bei Vertragsschluss den Mangel der Mietsache, so stehen ihm die Rechte aus den </w:t>
      </w:r>
      <w:hyperlink w:anchor="b713" w:history="1">
        <w:r>
          <w:rPr>
            <w:color w:val="0A3A8C"/>
            <w:u w:val="single"/>
          </w:rPr>
          <w:t xml:space="preserve">§§ 536</w:t>
        </w:r>
      </w:hyperlink>
      <w:r>
        <w:t xml:space="preserve"> und </w:t>
      </w:r>
      <w:hyperlink w:anchor="b714" w:history="1">
        <w:r>
          <w:rPr>
            <w:color w:val="0A3A8C"/>
            <w:u w:val="single"/>
          </w:rPr>
          <w:t xml:space="preserve">536a</w:t>
        </w:r>
      </w:hyperlink>
      <w:r>
        <w:t xml:space="preserve"> nicht zu. </w:t>
      </w:r>
      <w:r>
        <w:rPr>
          <w:rStyle w:val="Satznummer"/>
        </w:rPr>
        <w:t>2</w:t>
      </w:r>
      <w:r>
        <w:t xml:space="preserve">Ist ihm der Mangel infolge grober Fahrlässigkeit unbekannt geblieben, so stehen ihm diese Rechte nur zu, wenn der Vermieter den Mangel arglistig verschwiegen hat. </w:t>
      </w:r>
      <w:r>
        <w:rPr>
          <w:rStyle w:val="Satznummer"/>
        </w:rPr>
        <w:t>3</w:t>
      </w:r>
      <w:r>
        <w:t xml:space="preserve">Nimmt der Mieter eine mangelhafte Sache an, obwohl er den Mangel kennt, so kann er die Rechte aus den </w:t>
      </w:r>
      <w:hyperlink w:anchor="b713" w:history="1">
        <w:r>
          <w:rPr>
            <w:color w:val="0A3A8C"/>
            <w:u w:val="single"/>
          </w:rPr>
          <w:t xml:space="preserve">§§ 536</w:t>
        </w:r>
      </w:hyperlink>
      <w:r>
        <w:t xml:space="preserve"> und </w:t>
      </w:r>
      <w:hyperlink w:anchor="b714" w:history="1">
        <w:r>
          <w:rPr>
            <w:color w:val="0A3A8C"/>
            <w:u w:val="single"/>
          </w:rPr>
          <w:t xml:space="preserve">536a</w:t>
        </w:r>
      </w:hyperlink>
      <w:r>
        <w:t xml:space="preserve"> nur geltend machen, wenn er sich seine Rechte bei der Annahme vorbehält.</w:t>
      </w:r>
    </w:p>
    <w:p>
      <w:pPr>
        <w:pStyle w:val="Heading5"/>
      </w:pPr>
      <w:bookmarkStart w:id="729" w:name="b716"/>
      <w:r>
        <w:t>§ 536c Während der Mietzeit auftretende Mängel; Mängelanzeige durch den Mieter</w:t>
      </w:r>
      <w:r>
        <w:t xml:space="preserve"> </w:t>
      </w:r>
      <w:r>
        <w:rPr>
          <w:rStyle w:val="Suchmarke"/>
        </w:rPr>
        <w:t>#536c#</w:t>
      </w:r>
      <w:bookmarkEnd w:id="729"/>
    </w:p>
    <w:p>
      <w:r>
        <w:t xml:space="preserve">(1) </w:t>
      </w:r>
      <w:r>
        <w:rPr>
          <w:rStyle w:val="Satznummer"/>
        </w:rPr>
        <w:t>1</w:t>
      </w:r>
      <w:r>
        <w:t xml:space="preserve">Zeigt sich im Laufe der Mietzeit ein Mangel der Mietsache oder wird eine Maßnahme zum Schutz der Mietsache gegen eine nicht vorhergesehene Gefahr erforderlich, so hat der Mieter dies dem Vermieter unverzüglich anzuzeigen. </w:t>
      </w:r>
      <w:r>
        <w:rPr>
          <w:rStyle w:val="Satznummer"/>
        </w:rPr>
        <w:t>2</w:t>
      </w:r>
      <w:r>
        <w:t>Das Gleiche gilt, wenn ein Dritter sich ein Recht an der Sache anmaßt.</w:t>
      </w:r>
    </w:p>
    <w:p>
      <w:r>
        <w:t xml:space="preserve">(2) </w:t>
      </w:r>
      <w:r>
        <w:rPr>
          <w:rStyle w:val="Satznummer"/>
        </w:rPr>
        <w:t>1</w:t>
      </w:r>
      <w:r>
        <w:t xml:space="preserve">Unterlässt der Mieter die Anzeige, so ist er dem Vermieter zum Ersatz des daraus entstehenden Schadens verpflichtet. </w:t>
      </w:r>
      <w:r>
        <w:rPr>
          <w:rStyle w:val="Satznummer"/>
        </w:rPr>
        <w:t>2</w:t>
      </w:r>
      <w:r>
        <w:t>Soweit der Vermieter infolge der Unterlassung der Anzeige nicht Abhilfe schaffen konnte, ist der Mieter nicht berechtigt,</w:t>
      </w:r>
    </w:p>
    <w:p>
      <w:pPr>
        <w:tabs>
          <w:tab w:pos="567" w:val="left"/>
        </w:tabs>
        <w:ind w:left="567" w:hanging="567"/>
      </w:pPr>
      <w:r>
        <w:t>1.</w:t>
      </w:r>
      <w:r>
        <w:tab/>
      </w:r>
      <w:r>
        <w:t xml:space="preserve">die in </w:t>
      </w:r>
      <w:hyperlink w:anchor="b713" w:history="1">
        <w:r>
          <w:rPr>
            <w:color w:val="0A3A8C"/>
            <w:u w:val="single"/>
          </w:rPr>
          <w:t xml:space="preserve">§ 536</w:t>
        </w:r>
      </w:hyperlink>
      <w:r>
        <w:t xml:space="preserve"> bestimmten Rechte geltend zu machen,</w:t>
      </w:r>
    </w:p>
    <w:p>
      <w:pPr>
        <w:tabs>
          <w:tab w:pos="567" w:val="left"/>
        </w:tabs>
        <w:ind w:left="567" w:hanging="567"/>
      </w:pPr>
      <w:r>
        <w:t>2.</w:t>
      </w:r>
      <w:r>
        <w:tab/>
      </w:r>
      <w:r>
        <w:t>nach § 536a Abs. 1 Schadensersatz zu verlangen oder</w:t>
      </w:r>
    </w:p>
    <w:p>
      <w:pPr>
        <w:tabs>
          <w:tab w:pos="567" w:val="left"/>
        </w:tabs>
        <w:ind w:left="567" w:hanging="567"/>
      </w:pPr>
      <w:r>
        <w:t>3.</w:t>
      </w:r>
      <w:r>
        <w:tab/>
      </w:r>
      <w:r>
        <w:t xml:space="preserve">ohne Bestimmung einer angemessenen Frist zur Abhilfe nach </w:t>
      </w:r>
      <w:hyperlink w:anchor="b724" w:history="1">
        <w:r>
          <w:rPr>
            <w:color w:val="0A3A8C"/>
            <w:u w:val="single"/>
          </w:rPr>
          <w:t xml:space="preserve">§ 543</w:t>
        </w:r>
      </w:hyperlink>
      <w:r>
        <w:t xml:space="preserve"> Abs. 3 Satz 1 zu kündigen.</w:t>
      </w:r>
    </w:p>
    <w:p>
      <w:pPr>
        <w:pStyle w:val="Heading5"/>
      </w:pPr>
      <w:bookmarkStart w:id="730" w:name="b717"/>
      <w:r>
        <w:t>§ 536d Vertraglicher Ausschluss von Rechten des Mieters wegen eines Mangels</w:t>
      </w:r>
      <w:r>
        <w:t xml:space="preserve"> </w:t>
      </w:r>
      <w:r>
        <w:rPr>
          <w:rStyle w:val="Suchmarke"/>
        </w:rPr>
        <w:t>#536d#</w:t>
      </w:r>
      <w:bookmarkEnd w:id="730"/>
    </w:p>
    <w:p>
      <w:r>
        <w:t>Auf eine Vereinbarung, durch die die Rechte des Mieters wegen eines Mangels der Mietsache ausgeschlossen oder beschränkt werden, kann sich der Vermieter nicht berufen, wenn er den Mangel arglistig verschwiegen hat.</w:t>
      </w:r>
    </w:p>
    <w:p>
      <w:pPr>
        <w:pStyle w:val="Heading5"/>
      </w:pPr>
      <w:bookmarkStart w:id="731" w:name="b718"/>
      <w:r>
        <w:t>§ 537 Entrichtung der Miete bei persönlicher Verhinderung des Mieters</w:t>
      </w:r>
      <w:r>
        <w:t xml:space="preserve"> </w:t>
      </w:r>
      <w:r>
        <w:rPr>
          <w:rStyle w:val="Suchmarke"/>
        </w:rPr>
        <w:t>#537#</w:t>
      </w:r>
      <w:bookmarkEnd w:id="731"/>
    </w:p>
    <w:p>
      <w:r>
        <w:t xml:space="preserve">(1) </w:t>
      </w:r>
      <w:r>
        <w:rPr>
          <w:rStyle w:val="Satznummer"/>
        </w:rPr>
        <w:t>1</w:t>
      </w:r>
      <w:r>
        <w:t xml:space="preserve">Der Mieter wird von der Entrichtung der Miete nicht dadurch befreit, dass er durch einen in seiner Person liegenden Grund an der Ausübung seines Gebrauchsrechts gehindert wird. </w:t>
      </w:r>
      <w:r>
        <w:rPr>
          <w:rStyle w:val="Satznummer"/>
        </w:rPr>
        <w:t>2</w:t>
      </w:r>
      <w:r>
        <w:t>Der Vermieter muss sich jedoch den Wert der ersparten Aufwendungen sowie derjenigen Vorteile anrechnen lassen, die er aus einer anderweitigen Verwertung des Gebrauchs erlangt.</w:t>
      </w:r>
    </w:p>
    <w:p>
      <w:r>
        <w:t>(2) Solange der Vermieter infolge der Überlassung des Gebrauchs an einen Dritten außerstande ist, dem Mieter den Gebrauch zu gewähren, ist der Mieter zur Entrichtung der Miete nicht verpflichtet.</w:t>
      </w:r>
    </w:p>
    <w:p>
      <w:pPr>
        <w:pStyle w:val="Heading5"/>
      </w:pPr>
      <w:bookmarkStart w:id="732" w:name="b719"/>
      <w:r>
        <w:t>§ 538 Abnutzung der Mietsache durch vertragsgemäßen Gebrauch</w:t>
      </w:r>
      <w:r>
        <w:t xml:space="preserve"> </w:t>
      </w:r>
      <w:r>
        <w:rPr>
          <w:rStyle w:val="Suchmarke"/>
        </w:rPr>
        <w:t>#538#</w:t>
      </w:r>
      <w:bookmarkEnd w:id="732"/>
    </w:p>
    <w:p>
      <w:r>
        <w:t>Veränderungen oder Verschlechterungen der Mietsache, die durch den vertragsgemäßen Gebrauch herbeigeführt werden, hat der Mieter nicht zu vertreten.</w:t>
      </w:r>
    </w:p>
    <w:p>
      <w:pPr>
        <w:pStyle w:val="Heading5"/>
      </w:pPr>
      <w:bookmarkStart w:id="733" w:name="b720"/>
      <w:r>
        <w:t>§ 539 Ersatz sonstiger Aufwendungen und Wegnahmerecht des Mieters</w:t>
      </w:r>
      <w:r>
        <w:t xml:space="preserve"> </w:t>
      </w:r>
      <w:r>
        <w:rPr>
          <w:rStyle w:val="Suchmarke"/>
        </w:rPr>
        <w:t>#539#</w:t>
      </w:r>
      <w:bookmarkEnd w:id="733"/>
    </w:p>
    <w:p>
      <w:r>
        <w:t xml:space="preserve">(1) Der Mieter kann vom Vermieter Aufwendungen auf die Mietsache, die der Vermieter ihm nicht nach </w:t>
      </w:r>
      <w:hyperlink w:anchor="b714" w:history="1">
        <w:r>
          <w:rPr>
            <w:color w:val="0A3A8C"/>
            <w:u w:val="single"/>
          </w:rPr>
          <w:t xml:space="preserve">§ 536a</w:t>
        </w:r>
      </w:hyperlink>
      <w:r>
        <w:t xml:space="preserve"> Abs. 2 zu ersetzen hat, nach den Vorschriften über die Geschäftsführung ohne Auftrag ersetzt verlangen.</w:t>
      </w:r>
    </w:p>
    <w:p>
      <w:r>
        <w:t>(2) Der Mieter ist berechtigt, eine Einrichtung wegzunehmen, mit der er die Mietsache versehen hat.</w:t>
      </w:r>
    </w:p>
    <w:p>
      <w:pPr>
        <w:pStyle w:val="Heading5"/>
      </w:pPr>
      <w:bookmarkStart w:id="734" w:name="b721"/>
      <w:r>
        <w:t>§ 540 Gebrauchsüberlassung an Dritte</w:t>
      </w:r>
      <w:r>
        <w:t xml:space="preserve"> </w:t>
      </w:r>
      <w:r>
        <w:rPr>
          <w:rStyle w:val="Suchmarke"/>
        </w:rPr>
        <w:t>#540#</w:t>
      </w:r>
      <w:bookmarkEnd w:id="734"/>
    </w:p>
    <w:p>
      <w:r>
        <w:t xml:space="preserve">(1) </w:t>
      </w:r>
      <w:r>
        <w:rPr>
          <w:rStyle w:val="Satznummer"/>
        </w:rPr>
        <w:t>1</w:t>
      </w:r>
      <w:r>
        <w:t xml:space="preserve">Der Mieter ist ohne die Erlaubnis des Vermieters nicht berechtigt, den Gebrauch der Mietsache einem Dritten zu überlassen, insbesondere sie weiter zu vermieten. </w:t>
      </w:r>
      <w:r>
        <w:rPr>
          <w:rStyle w:val="Satznummer"/>
        </w:rPr>
        <w:t>2</w:t>
      </w:r>
      <w:r>
        <w:t>Verweigert der Vermieter die Erlaubnis, so kann der Mieter das Mietverhältnis außerordentlich mit der gesetzlichen Frist kündigen, sofern nicht in der Person des Dritten ein wichtiger Grund vorliegt.</w:t>
      </w:r>
    </w:p>
    <w:p>
      <w:r>
        <w:t>(2) Überlässt der Mieter den Gebrauch einem Dritten, so hat er ein dem Dritten bei dem Gebrauch zur Last fallendes Verschulden zu vertreten, auch wenn der Vermieter die Erlaubnis zur Überlassung erteilt hat.</w:t>
      </w:r>
    </w:p>
    <w:p>
      <w:pPr>
        <w:pStyle w:val="Heading5"/>
      </w:pPr>
      <w:bookmarkStart w:id="735" w:name="b722"/>
      <w:r>
        <w:t>§ 541 Unterlassungsklage bei vertragswidrigem Gebrauch</w:t>
      </w:r>
      <w:r>
        <w:t xml:space="preserve"> </w:t>
      </w:r>
      <w:r>
        <w:rPr>
          <w:rStyle w:val="Suchmarke"/>
        </w:rPr>
        <w:t>#541#</w:t>
      </w:r>
      <w:bookmarkEnd w:id="735"/>
    </w:p>
    <w:p>
      <w:r>
        <w:t>Setzt der Mieter einen vertragswidrigen Gebrauch der Mietsache trotz einer Abmahnung des Vermieters fort, so kann dieser auf Unterlassung klagen.</w:t>
      </w:r>
    </w:p>
    <w:p>
      <w:pPr>
        <w:pStyle w:val="Heading5"/>
      </w:pPr>
      <w:bookmarkStart w:id="736" w:name="b723"/>
      <w:r>
        <w:t>§ 542 Ende des Mietverhältnisses</w:t>
      </w:r>
      <w:r>
        <w:t xml:space="preserve"> </w:t>
      </w:r>
      <w:r>
        <w:rPr>
          <w:rStyle w:val="Suchmarke"/>
        </w:rPr>
        <w:t>#542#</w:t>
      </w:r>
      <w:bookmarkEnd w:id="736"/>
    </w:p>
    <w:p>
      <w:r>
        <w:t>(1) Ist die Mietzeit nicht bestimmt, so kann jede Vertragspartei das Mietverhältnis nach den gesetzlichen Vorschriften kündigen.</w:t>
      </w:r>
    </w:p>
    <w:p>
      <w:r>
        <w:t>(2) Ein Mietverhältnis, das auf bestimmte Zeit eingegangen ist, endet mit dem Ablauf dieser Zeit, sofern es nicht</w:t>
      </w:r>
    </w:p>
    <w:p>
      <w:pPr>
        <w:tabs>
          <w:tab w:pos="567" w:val="left"/>
        </w:tabs>
        <w:ind w:left="567" w:hanging="567"/>
      </w:pPr>
      <w:r>
        <w:t>1.</w:t>
      </w:r>
      <w:r>
        <w:tab/>
      </w:r>
      <w:r>
        <w:t>in den gesetzlich zugelassenen Fällen außerordentlich gekündigt oder</w:t>
      </w:r>
    </w:p>
    <w:p>
      <w:pPr>
        <w:tabs>
          <w:tab w:pos="567" w:val="left"/>
        </w:tabs>
        <w:ind w:left="567" w:hanging="567"/>
      </w:pPr>
      <w:r>
        <w:t>2.</w:t>
      </w:r>
      <w:r>
        <w:tab/>
      </w:r>
      <w:r>
        <w:t>verlängert wird.</w:t>
      </w:r>
    </w:p>
    <w:p>
      <w:pPr>
        <w:pStyle w:val="Heading5"/>
      </w:pPr>
      <w:bookmarkStart w:id="737" w:name="b724"/>
      <w:r>
        <w:t>§ 543 Außerordentliche fristlose Kündigung aus wichtigem Grund</w:t>
      </w:r>
      <w:r>
        <w:t xml:space="preserve"> </w:t>
      </w:r>
      <w:r>
        <w:rPr>
          <w:rStyle w:val="Suchmarke"/>
        </w:rPr>
        <w:t>#543#</w:t>
      </w:r>
      <w:bookmarkEnd w:id="737"/>
    </w:p>
    <w:p>
      <w:r>
        <w:t xml:space="preserve">(1) </w:t>
      </w:r>
      <w:r>
        <w:rPr>
          <w:rStyle w:val="Satznummer"/>
        </w:rPr>
        <w:t>1</w:t>
      </w:r>
      <w:r>
        <w:t xml:space="preserve">Jede Vertragspartei kann das Mietverhältnis aus wichtigem Grund außerordentlich fristlos kündigen. </w:t>
      </w:r>
      <w:r>
        <w:rPr>
          <w:rStyle w:val="Satznummer"/>
        </w:rPr>
        <w:t>2</w:t>
      </w:r>
      <w:r>
        <w:t>Ein wichtiger Grund liegt vor, wenn dem Kündigenden unter Berücksichtigung aller Umstände des Einzelfalls, insbesondere eines Verschuldens der Vertragsparteien, und unter Abwägung der beiderseitigen Interessen die Fortsetzung des Mietverhältnisses bis zum Ablauf der Kündigungsfrist oder bis zur sonstigen Beendigung des Mietverhältnisses nicht zugemutet werden kann.</w:t>
      </w:r>
    </w:p>
    <w:p>
      <w:r>
        <w:t xml:space="preserve">(2) </w:t>
      </w:r>
      <w:r>
        <w:rPr>
          <w:rStyle w:val="Satznummer"/>
        </w:rPr>
        <w:t>1</w:t>
      </w:r>
      <w:r>
        <w:t>Ein wichtiger Grund liegt insbesondere vor, wenn</w:t>
      </w:r>
    </w:p>
    <w:p>
      <w:pPr>
        <w:tabs>
          <w:tab w:pos="567" w:val="left"/>
        </w:tabs>
        <w:ind w:left="567" w:hanging="567"/>
      </w:pPr>
      <w:r>
        <w:t>1.</w:t>
      </w:r>
      <w:r>
        <w:tab/>
      </w:r>
      <w:r>
        <w:t>dem Mieter der vertragsgemäße Gebrauch der Mietsache ganz oder zum Teil nicht rechtzeitig gewährt oder wieder entzogen wird,</w:t>
      </w:r>
    </w:p>
    <w:p>
      <w:pPr>
        <w:tabs>
          <w:tab w:pos="567" w:val="left"/>
        </w:tabs>
        <w:ind w:left="567" w:hanging="567"/>
      </w:pPr>
      <w:r>
        <w:t>2.</w:t>
      </w:r>
      <w:r>
        <w:tab/>
      </w:r>
      <w:r>
        <w:t>der Mieter die Rechte des Vermieters dadurch in erheblichem Maße verletzt, dass er die Mietsache durch Vernachlässigung der ihm obliegenden Sorgfalt erheblich gefährdet oder sie unbefugt einem Dritten überlässt oder</w:t>
      </w:r>
    </w:p>
    <w:p>
      <w:pPr>
        <w:tabs>
          <w:tab w:pos="567" w:val="left"/>
        </w:tabs>
        <w:ind w:left="567" w:hanging="567"/>
      </w:pPr>
      <w:r>
        <w:t>3.</w:t>
      </w:r>
      <w:r>
        <w:tab/>
      </w:r>
      <w:r>
        <w:t>der Mieter</w:t>
      </w:r>
    </w:p>
    <w:p>
      <w:pPr>
        <w:tabs>
          <w:tab w:pos="1134" w:val="left"/>
        </w:tabs>
        <w:ind w:left="1134" w:hanging="567"/>
      </w:pPr>
      <w:r>
        <w:t>a)</w:t>
      </w:r>
      <w:r>
        <w:tab/>
      </w:r>
      <w:r>
        <w:t>für zwei aufeinander folgende Termine mit der Entrichtung der Miete oder eines nicht unerheblichen Teils der Miete in Verzug ist oder</w:t>
      </w:r>
    </w:p>
    <w:p>
      <w:pPr>
        <w:tabs>
          <w:tab w:pos="1134" w:val="left"/>
        </w:tabs>
        <w:ind w:left="1134" w:hanging="567"/>
      </w:pPr>
      <w:r>
        <w:t>b)</w:t>
      </w:r>
      <w:r>
        <w:tab/>
      </w:r>
      <w:r>
        <w:t>in einem Zeitraum, der sich über mehr als zwei Termine erstreckt, mit der Entrichtung der Miete in Höhe eines Betrages in Verzug ist, der die Miete für zwei Monate erreicht.</w:t>
      </w:r>
    </w:p>
    <w:p>
      <w:r>
        <w:rPr>
          <w:rStyle w:val="Satznummer"/>
        </w:rPr>
        <w:t>2</w:t>
      </w:r>
      <w:r>
        <w:t xml:space="preserve">Im Falle des Satzes 1 Nr. 3 ist die Kündigung ausgeschlossen, wenn der Vermieter vorher befriedigt wird. </w:t>
      </w:r>
      <w:r>
        <w:rPr>
          <w:rStyle w:val="Satznummer"/>
        </w:rPr>
        <w:t>3</w:t>
      </w:r>
      <w:r>
        <w:t>Sie wird unwirksam, wenn sich der Mieter von seiner Schuld durch Aufrechnung befreien konnte und unverzüglich nach der Kündigung die Aufrechnung erklärt.</w:t>
      </w:r>
    </w:p>
    <w:p>
      <w:r>
        <w:t xml:space="preserve">(3) </w:t>
      </w:r>
      <w:r>
        <w:rPr>
          <w:rStyle w:val="Satznummer"/>
        </w:rPr>
        <w:t>1</w:t>
      </w:r>
      <w:r>
        <w:t xml:space="preserve">Besteht der wichtige Grund in der Verletzung einer Pflicht aus dem Mietvertrag, so ist die Kündigung erst nach erfolglosem Ablauf einer zur Abhilfe bestimmten angemessenen Frist oder nach erfolgloser Abmahnung zulässig. </w:t>
      </w:r>
      <w:r>
        <w:rPr>
          <w:rStyle w:val="Satznummer"/>
        </w:rPr>
        <w:t>2</w:t>
      </w:r>
      <w:r>
        <w:t>Dies gilt nicht, wenn</w:t>
      </w:r>
    </w:p>
    <w:p>
      <w:pPr>
        <w:tabs>
          <w:tab w:pos="567" w:val="left"/>
        </w:tabs>
        <w:ind w:left="567" w:hanging="567"/>
      </w:pPr>
      <w:r>
        <w:t>1.</w:t>
      </w:r>
      <w:r>
        <w:tab/>
      </w:r>
      <w:r>
        <w:t>eine Frist oder Abmahnung offensichtlich keinen Erfolg verspricht,</w:t>
      </w:r>
    </w:p>
    <w:p>
      <w:pPr>
        <w:tabs>
          <w:tab w:pos="567" w:val="left"/>
        </w:tabs>
        <w:ind w:left="567" w:hanging="567"/>
      </w:pPr>
      <w:r>
        <w:t>2.</w:t>
      </w:r>
      <w:r>
        <w:tab/>
      </w:r>
      <w:r>
        <w:t>die sofortige Kündigung aus besonderen Gründen unter Abwägung der beiderseitigen Interessen gerechtfertigt ist oder</w:t>
      </w:r>
    </w:p>
    <w:p>
      <w:pPr>
        <w:tabs>
          <w:tab w:pos="567" w:val="left"/>
        </w:tabs>
        <w:ind w:left="567" w:hanging="567"/>
      </w:pPr>
      <w:r>
        <w:t>3.</w:t>
      </w:r>
      <w:r>
        <w:tab/>
      </w:r>
      <w:r>
        <w:t>der Mieter mit der Entrichtung der Miete im Sinne des Absatzes 2 Nr. 3 in Verzug ist.</w:t>
      </w:r>
    </w:p>
    <w:p>
      <w:r>
        <w:t xml:space="preserve">(4) </w:t>
      </w:r>
      <w:r>
        <w:rPr>
          <w:rStyle w:val="Satznummer"/>
        </w:rPr>
        <w:t>1</w:t>
      </w:r>
      <w:r>
        <w:t xml:space="preserve">Auf das dem Mieter nach Absatz 2 Nr. 1 zustehende Kündigungsrecht sind die </w:t>
      </w:r>
      <w:hyperlink w:anchor="b715" w:history="1">
        <w:r>
          <w:rPr>
            <w:color w:val="0A3A8C"/>
            <w:u w:val="single"/>
          </w:rPr>
          <w:t xml:space="preserve">§§ 536b</w:t>
        </w:r>
      </w:hyperlink>
      <w:r>
        <w:t xml:space="preserve"> und </w:t>
      </w:r>
      <w:hyperlink w:anchor="b717" w:history="1">
        <w:r>
          <w:rPr>
            <w:color w:val="0A3A8C"/>
            <w:u w:val="single"/>
          </w:rPr>
          <w:t xml:space="preserve">536d</w:t>
        </w:r>
      </w:hyperlink>
      <w:r>
        <w:t xml:space="preserve"> entsprechend anzuwenden. </w:t>
      </w:r>
      <w:r>
        <w:rPr>
          <w:rStyle w:val="Satznummer"/>
        </w:rPr>
        <w:t>2</w:t>
      </w:r>
      <w:r>
        <w:t>Ist streitig, ob der Vermieter den Gebrauch der Mietsache rechtzeitig gewährt oder die Abhilfe vor Ablauf der hierzu bestimmten Frist bewirkt hat, so trifft ihn die Beweislast.</w:t>
      </w:r>
    </w:p>
    <w:p>
      <w:pPr>
        <w:pStyle w:val="Heading5"/>
      </w:pPr>
      <w:bookmarkStart w:id="738" w:name="b725"/>
      <w:r>
        <w:t>§ 544 Vertrag über mehr als 30 Jahre</w:t>
      </w:r>
      <w:r>
        <w:t xml:space="preserve"> </w:t>
      </w:r>
      <w:r>
        <w:rPr>
          <w:rStyle w:val="Suchmarke"/>
        </w:rPr>
        <w:t>#544#</w:t>
      </w:r>
      <w:bookmarkEnd w:id="738"/>
    </w:p>
    <w:p>
      <w:r>
        <w:rPr>
          <w:rStyle w:val="Satznummer"/>
        </w:rPr>
        <w:t>1</w:t>
      </w:r>
      <w:r>
        <w:t xml:space="preserve">Wird ein Mietvertrag für eine längere Zeit als 30 Jahre geschlossen, so kann jede Vertragspartei nach Ablauf von 30 Jahren nach Überlassung der Mietsache das Mietverhältnis außerordentlich mit der gesetzlichen Frist kündigen. </w:t>
      </w:r>
      <w:r>
        <w:rPr>
          <w:rStyle w:val="Satznummer"/>
        </w:rPr>
        <w:t>2</w:t>
      </w:r>
      <w:r>
        <w:t>Die Kündigung ist unzulässig, wenn der Vertrag für die Lebenszeit des Vermieters oder des Mieters geschlossen worden ist.</w:t>
      </w:r>
    </w:p>
    <w:p>
      <w:pPr>
        <w:pStyle w:val="Heading5"/>
      </w:pPr>
      <w:bookmarkStart w:id="739" w:name="b726"/>
      <w:r>
        <w:t>§ 545 Stillschweigende Verlängerung des Mietverhältnisses</w:t>
      </w:r>
      <w:r>
        <w:t xml:space="preserve"> </w:t>
      </w:r>
      <w:r>
        <w:rPr>
          <w:rStyle w:val="Suchmarke"/>
        </w:rPr>
        <w:t>#545#</w:t>
      </w:r>
      <w:bookmarkEnd w:id="739"/>
    </w:p>
    <w:p>
      <w:r>
        <w:rPr>
          <w:rStyle w:val="Satznummer"/>
        </w:rPr>
        <w:t>1</w:t>
      </w:r>
      <w:r>
        <w:t xml:space="preserve">Setzt der Mieter nach Ablauf der Mietzeit den Gebrauch der Mietsache fort, so verlängert sich das Mietverhältnis auf unbestimmte Zeit, sofern nicht eine Vertragspartei ihren entgegenstehenden Willen innerhalb von zwei Wochen dem anderen Teil erklärt. </w:t>
      </w:r>
      <w:r>
        <w:rPr>
          <w:rStyle w:val="Satznummer"/>
        </w:rPr>
        <w:t>2</w:t>
      </w:r>
      <w:r>
        <w:t>Die Frist beginnt</w:t>
      </w:r>
    </w:p>
    <w:p>
      <w:pPr>
        <w:tabs>
          <w:tab w:pos="567" w:val="left"/>
        </w:tabs>
        <w:ind w:left="567" w:hanging="567"/>
      </w:pPr>
      <w:r>
        <w:t>1.</w:t>
      </w:r>
      <w:r>
        <w:tab/>
      </w:r>
      <w:r>
        <w:t>für den Mieter mit der Fortsetzung des Gebrauchs,</w:t>
      </w:r>
    </w:p>
    <w:p>
      <w:pPr>
        <w:tabs>
          <w:tab w:pos="567" w:val="left"/>
        </w:tabs>
        <w:ind w:left="567" w:hanging="567"/>
      </w:pPr>
      <w:r>
        <w:t>2.</w:t>
      </w:r>
      <w:r>
        <w:tab/>
      </w:r>
      <w:r>
        <w:t>für den Vermieter mit dem Zeitpunkt, in dem er von der Fortsetzung Kenntnis erhält.</w:t>
      </w:r>
    </w:p>
    <w:p>
      <w:pPr>
        <w:pStyle w:val="Heading5"/>
      </w:pPr>
      <w:bookmarkStart w:id="740" w:name="b727"/>
      <w:r>
        <w:t>§ 546 Rückgabepflicht des Mieters</w:t>
      </w:r>
      <w:r>
        <w:t xml:space="preserve"> </w:t>
      </w:r>
      <w:r>
        <w:rPr>
          <w:rStyle w:val="Suchmarke"/>
        </w:rPr>
        <w:t>#546#</w:t>
      </w:r>
      <w:bookmarkEnd w:id="740"/>
    </w:p>
    <w:p>
      <w:r>
        <w:t>(1) Der Mieter ist verpflichtet, die Mietsache nach Beendigung des Mietverhältnisses zurückzugeben.</w:t>
      </w:r>
    </w:p>
    <w:p>
      <w:r>
        <w:t>(2) Hat der Mieter den Gebrauch der Mietsache einem Dritten überlassen, so kann der Vermieter die Sache nach Beendigung des Mietverhältnisses auch von dem Dritten zurückfordern.</w:t>
      </w:r>
    </w:p>
    <w:p>
      <w:pPr>
        <w:pStyle w:val="Heading5"/>
      </w:pPr>
      <w:bookmarkStart w:id="741" w:name="b728"/>
      <w:r>
        <w:t>§ 546a Entschädigung des Vermieters bei verspäteter Rückgabe</w:t>
      </w:r>
      <w:r>
        <w:t xml:space="preserve"> </w:t>
      </w:r>
      <w:r>
        <w:rPr>
          <w:rStyle w:val="Suchmarke"/>
        </w:rPr>
        <w:t>#546a#</w:t>
      </w:r>
      <w:bookmarkEnd w:id="741"/>
    </w:p>
    <w:p>
      <w:r>
        <w:t>(1) Gibt der Mieter die Mietsache nach Beendigung des Mietverhältnisses nicht zurück, so kann der Vermieter für die Dauer der Vorenthaltung als Entschädigung die vereinbarte Miete oder die Miete verlangen, die für vergleichbare Sachen ortsüblich ist.</w:t>
      </w:r>
    </w:p>
    <w:p>
      <w:r>
        <w:t>(2) Die Geltendmachung eines weiteren Schadens ist nicht ausgeschlossen.</w:t>
      </w:r>
    </w:p>
    <w:p>
      <w:pPr>
        <w:pStyle w:val="Heading5"/>
      </w:pPr>
      <w:bookmarkStart w:id="742" w:name="b729"/>
      <w:r>
        <w:t>§ 547 Erstattung von im Voraus entrichteter Miete</w:t>
      </w:r>
      <w:r>
        <w:t xml:space="preserve"> </w:t>
      </w:r>
      <w:r>
        <w:rPr>
          <w:rStyle w:val="Suchmarke"/>
        </w:rPr>
        <w:t>#547#</w:t>
      </w:r>
      <w:bookmarkEnd w:id="742"/>
    </w:p>
    <w:p>
      <w:r>
        <w:t xml:space="preserve">(1) </w:t>
      </w:r>
      <w:r>
        <w:rPr>
          <w:rStyle w:val="Satznummer"/>
        </w:rPr>
        <w:t>1</w:t>
      </w:r>
      <w:r>
        <w:t xml:space="preserve">Ist die Miete für die Zeit nach Beendigung des Mietverhältnisses im Voraus entrichtet worden, so hat der Vermieter sie zurückzuerstatten und ab Empfang zu verzinsen. </w:t>
      </w:r>
      <w:r>
        <w:rPr>
          <w:rStyle w:val="Satznummer"/>
        </w:rPr>
        <w:t>2</w:t>
      </w:r>
      <w:r>
        <w:t>Hat der Vermieter die Beendigung des Mietverhältnisses nicht zu vertreten, so hat er das Erlangte nach den Vorschriften über die Herausgabe einer ungerechtfertigten Bereicherung zurückzuerstatten.</w:t>
      </w:r>
    </w:p>
    <w:p>
      <w:r>
        <w:t>(2) Bei einem Mietverhältnis über Wohnraum ist eine zum Nachteil des Mieters abweichende Vereinbarung unwirksam.</w:t>
      </w:r>
    </w:p>
    <w:p>
      <w:pPr>
        <w:pStyle w:val="Heading5"/>
      </w:pPr>
      <w:bookmarkStart w:id="743" w:name="b730"/>
      <w:r>
        <w:t>§ 548 Verjährung der Ersatzansprüche und des Wegnahmerechts</w:t>
      </w:r>
      <w:r>
        <w:t xml:space="preserve"> </w:t>
      </w:r>
      <w:r>
        <w:rPr>
          <w:rStyle w:val="Suchmarke"/>
        </w:rPr>
        <w:t>#548#</w:t>
      </w:r>
      <w:bookmarkEnd w:id="743"/>
    </w:p>
    <w:p>
      <w:r>
        <w:t xml:space="preserve">(1) </w:t>
      </w:r>
      <w:r>
        <w:rPr>
          <w:rStyle w:val="Satznummer"/>
        </w:rPr>
        <w:t>1</w:t>
      </w:r>
      <w:r>
        <w:t xml:space="preserve">Die Ersatzansprüche des Vermieters wegen Veränderungen oder Verschlechterungen der Mietsache verjähren in sechs Monaten. </w:t>
      </w:r>
      <w:r>
        <w:rPr>
          <w:rStyle w:val="Satznummer"/>
        </w:rPr>
        <w:t>2</w:t>
      </w:r>
      <w:r>
        <w:t xml:space="preserve">Die Verjährung beginnt mit dem Zeitpunkt, in dem er die Mietsache zurückerhält. </w:t>
      </w:r>
      <w:r>
        <w:rPr>
          <w:rStyle w:val="Satznummer"/>
        </w:rPr>
        <w:t>3</w:t>
      </w:r>
      <w:r>
        <w:t>Mit der Verjährung des Anspruchs des Vermieters auf Rückgabe der Mietsache verjähren auch seine Ersatzansprüche.</w:t>
      </w:r>
    </w:p>
    <w:p>
      <w:r>
        <w:t>(2) Ansprüche des Mieters auf Ersatz von Aufwendungen oder auf Gestattung der Wegnahme einer Einrichtung verjähren in sechs Monaten nach der Beendigung des Mietverhältnisses.</w:t>
      </w:r>
    </w:p>
    <w:p>
      <w:r>
        <w:t>(3) (aufgehoben)</w:t>
      </w:r>
    </w:p>
    <w:p>
      <w:pPr>
        <w:pStyle w:val="Heading5"/>
      </w:pPr>
      <w:bookmarkStart w:id="744" w:name="b731"/>
      <w:r>
        <w:t>§ 548a Miete digitaler Produkte</w:t>
      </w:r>
      <w:r>
        <w:t xml:space="preserve"> </w:t>
      </w:r>
      <w:r>
        <w:rPr>
          <w:rStyle w:val="Suchmarke"/>
        </w:rPr>
        <w:t>#548a#</w:t>
      </w:r>
      <w:bookmarkEnd w:id="744"/>
    </w:p>
    <w:p>
      <w:r>
        <w:t>Die Vorschriften über die Miete von Sachen sind auf die Miete digitaler Produkte entsprechend anzuwenden.</w:t>
      </w:r>
    </w:p>
    <w:p>
      <w:pPr>
        <w:pStyle w:val="Heading4"/>
      </w:pPr>
      <w:bookmarkStart w:id="745" w:name="b732"/>
      <w:r>
        <w:t>Untertitel 2 Mietverhältnisse über Wohnraum</w:t>
      </w:r>
      <w:bookmarkEnd w:id="745"/>
    </w:p>
    <w:p>
      <w:pPr>
        <w:pStyle w:val="Heading5"/>
      </w:pPr>
      <w:bookmarkStart w:id="746" w:name="b733"/>
      <w:r>
        <w:t>Kapitel 1 Allgemeine Vorschriften</w:t>
      </w:r>
      <w:bookmarkEnd w:id="746"/>
    </w:p>
    <w:p>
      <w:pPr>
        <w:pStyle w:val="Heading6"/>
      </w:pPr>
      <w:bookmarkStart w:id="747" w:name="b734"/>
      <w:r>
        <w:t>§ 549 Auf Wohnraummietverhältnisse anwendbare Vorschriften</w:t>
      </w:r>
      <w:r>
        <w:t xml:space="preserve"> </w:t>
      </w:r>
      <w:r>
        <w:rPr>
          <w:rStyle w:val="Suchmarke"/>
        </w:rPr>
        <w:t>#549#</w:t>
      </w:r>
      <w:bookmarkEnd w:id="747"/>
    </w:p>
    <w:p>
      <w:r>
        <w:t xml:space="preserve">(1) Für Mietverhältnisse über Wohnraum gelten die </w:t>
      </w:r>
      <w:hyperlink w:anchor="b712" w:history="1">
        <w:r>
          <w:rPr>
            <w:color w:val="0A3A8C"/>
            <w:u w:val="single"/>
          </w:rPr>
          <w:t xml:space="preserve">§§ 535</w:t>
        </w:r>
      </w:hyperlink>
      <w:r>
        <w:t xml:space="preserve"> bis </w:t>
      </w:r>
      <w:hyperlink w:anchor="b730" w:history="1">
        <w:r>
          <w:rPr>
            <w:color w:val="0A3A8C"/>
            <w:u w:val="single"/>
          </w:rPr>
          <w:t xml:space="preserve">548</w:t>
        </w:r>
      </w:hyperlink>
      <w:r>
        <w:t xml:space="preserve">, soweit sich nicht aus den </w:t>
      </w:r>
      <w:hyperlink w:anchor="b734" w:history="1">
        <w:r>
          <w:rPr>
            <w:color w:val="0A3A8C"/>
            <w:u w:val="single"/>
          </w:rPr>
          <w:t xml:space="preserve">§§ 549</w:t>
        </w:r>
      </w:hyperlink>
      <w:r>
        <w:t xml:space="preserve"> bis </w:t>
      </w:r>
      <w:hyperlink w:anchor="b825" w:history="1">
        <w:r>
          <w:rPr>
            <w:color w:val="0A3A8C"/>
            <w:u w:val="single"/>
          </w:rPr>
          <w:t xml:space="preserve">577a</w:t>
        </w:r>
      </w:hyperlink>
      <w:r>
        <w:t xml:space="preserve"> etwas anderes ergibt.</w:t>
      </w:r>
    </w:p>
    <w:p>
      <w:r>
        <w:t>(2) Die Vorschriften über die Miethöhe bei Mietbeginn in Gebieten mit angespannten Wohnungsmärkten (</w:t>
      </w:r>
      <w:hyperlink w:anchor="b755" w:history="1">
        <w:r>
          <w:rPr>
            <w:color w:val="0A3A8C"/>
            <w:u w:val="single"/>
          </w:rPr>
          <w:t xml:space="preserve">§§ 556d</w:t>
        </w:r>
      </w:hyperlink>
      <w:r>
        <w:t xml:space="preserve"> bis </w:t>
      </w:r>
      <w:hyperlink w:anchor="b758" w:history="1">
        <w:r>
          <w:rPr>
            <w:color w:val="0A3A8C"/>
            <w:u w:val="single"/>
          </w:rPr>
          <w:t xml:space="preserve">556g</w:t>
        </w:r>
      </w:hyperlink>
      <w:r>
        <w:t>), über die Mieterhöhung (</w:t>
      </w:r>
      <w:hyperlink w:anchor="b760" w:history="1">
        <w:r>
          <w:rPr>
            <w:color w:val="0A3A8C"/>
            <w:u w:val="single"/>
          </w:rPr>
          <w:t xml:space="preserve">§§ 557</w:t>
        </w:r>
      </w:hyperlink>
      <w:r>
        <w:t xml:space="preserve"> bis </w:t>
      </w:r>
      <w:hyperlink w:anchor="b777" w:history="1">
        <w:r>
          <w:rPr>
            <w:color w:val="0A3A8C"/>
            <w:u w:val="single"/>
          </w:rPr>
          <w:t xml:space="preserve">561</w:t>
        </w:r>
      </w:hyperlink>
      <w:r>
        <w:t>) und über den Mieterschutz bei Beendigung des Mietverhältnisses sowie bei der Begründung von Wohnungseigentum (</w:t>
      </w:r>
      <w:hyperlink w:anchor="b801" w:history="1">
        <w:r>
          <w:rPr>
            <w:color w:val="0A3A8C"/>
            <w:u w:val="single"/>
          </w:rPr>
          <w:t xml:space="preserve">§ 568</w:t>
        </w:r>
      </w:hyperlink>
      <w:r>
        <w:t xml:space="preserve"> Abs. 2, </w:t>
      </w:r>
      <w:hyperlink w:anchor="b807" w:history="1">
        <w:r>
          <w:rPr>
            <w:color w:val="0A3A8C"/>
            <w:u w:val="single"/>
          </w:rPr>
          <w:t xml:space="preserve">§§ 573</w:t>
        </w:r>
      </w:hyperlink>
      <w:r>
        <w:t xml:space="preserve">, </w:t>
      </w:r>
      <w:hyperlink w:anchor="b808" w:history="1">
        <w:r>
          <w:rPr>
            <w:color w:val="0A3A8C"/>
            <w:u w:val="single"/>
          </w:rPr>
          <w:t xml:space="preserve">573a</w:t>
        </w:r>
      </w:hyperlink>
      <w:r>
        <w:t xml:space="preserve">, </w:t>
      </w:r>
      <w:hyperlink w:anchor="b811" w:history="1">
        <w:r>
          <w:rPr>
            <w:color w:val="0A3A8C"/>
            <w:u w:val="single"/>
          </w:rPr>
          <w:t xml:space="preserve">573d</w:t>
        </w:r>
      </w:hyperlink>
      <w:r>
        <w:t xml:space="preserve"> Abs. 1, </w:t>
      </w:r>
      <w:hyperlink w:anchor="b812" w:history="1">
        <w:r>
          <w:rPr>
            <w:color w:val="0A3A8C"/>
            <w:u w:val="single"/>
          </w:rPr>
          <w:t xml:space="preserve">§§ 574</w:t>
        </w:r>
      </w:hyperlink>
      <w:r>
        <w:t xml:space="preserve"> bis </w:t>
      </w:r>
      <w:hyperlink w:anchor="b817" w:history="1">
        <w:r>
          <w:rPr>
            <w:color w:val="0A3A8C"/>
            <w:u w:val="single"/>
          </w:rPr>
          <w:t xml:space="preserve">575</w:t>
        </w:r>
      </w:hyperlink>
      <w:r>
        <w:t xml:space="preserve">, </w:t>
      </w:r>
      <w:hyperlink w:anchor="b818" w:history="1">
        <w:r>
          <w:rPr>
            <w:color w:val="0A3A8C"/>
            <w:u w:val="single"/>
          </w:rPr>
          <w:t xml:space="preserve">575a</w:t>
        </w:r>
      </w:hyperlink>
      <w:r>
        <w:t xml:space="preserve"> Abs. 1 und </w:t>
      </w:r>
      <w:hyperlink w:anchor="b824" w:history="1">
        <w:r>
          <w:rPr>
            <w:color w:val="0A3A8C"/>
            <w:u w:val="single"/>
          </w:rPr>
          <w:t xml:space="preserve">§§ 577</w:t>
        </w:r>
      </w:hyperlink>
      <w:r>
        <w:t xml:space="preserve">, </w:t>
      </w:r>
      <w:hyperlink w:anchor="b825" w:history="1">
        <w:r>
          <w:rPr>
            <w:color w:val="0A3A8C"/>
            <w:u w:val="single"/>
          </w:rPr>
          <w:t xml:space="preserve">577a</w:t>
        </w:r>
      </w:hyperlink>
      <w:r>
        <w:t>) gelten nicht für Mietverhältnisse über</w:t>
      </w:r>
    </w:p>
    <w:p>
      <w:pPr>
        <w:tabs>
          <w:tab w:pos="567" w:val="left"/>
        </w:tabs>
        <w:ind w:left="567" w:hanging="567"/>
      </w:pPr>
      <w:r>
        <w:t>1.</w:t>
      </w:r>
      <w:r>
        <w:tab/>
      </w:r>
      <w:r>
        <w:t>Wohnraum, der nur zum vorübergehenden Gebrauch vermietet ist,</w:t>
      </w:r>
    </w:p>
    <w:p>
      <w:pPr>
        <w:tabs>
          <w:tab w:pos="567" w:val="left"/>
        </w:tabs>
        <w:ind w:left="567" w:hanging="567"/>
      </w:pPr>
      <w:r>
        <w:t>2.</w:t>
      </w:r>
      <w:r>
        <w:tab/>
      </w:r>
      <w:r>
        <w:t>Wohnraum, der Teil der vom Vermieter selbst bewohnten Wohnung ist und den der Vermieter überwiegend mit Einrichtungsgegenständen auszustatten hat, sofern der Wohnraum dem Mieter nicht zum dauernden Gebrauch mit seiner Familie oder mit Personen überlassen ist, mit denen er einen auf Dauer angelegten gemeinsamen Haushalt führt,</w:t>
      </w:r>
    </w:p>
    <w:p>
      <w:pPr>
        <w:tabs>
          <w:tab w:pos="567" w:val="left"/>
        </w:tabs>
        <w:ind w:left="567" w:hanging="567"/>
      </w:pPr>
      <w:r>
        <w:t>3.</w:t>
      </w:r>
      <w:r>
        <w:tab/>
      </w:r>
      <w:r>
        <w:t>Wohnraum, den eine juristische Person des öffentlichen Rechts oder ein anerkannter privater Träger der Wohlfahrtspflege angemietet hat, um ihn Personen mit dringendem Wohnungsbedarf zu überlassen, wenn sie den Mieter bei Vertragsschluss auf die Zweckbestimmung des Wohnraums und die Ausnahme von den genannten Vorschriften hingewiesen hat.</w:t>
      </w:r>
    </w:p>
    <w:p>
      <w:r>
        <w:t xml:space="preserve">(3) Für Wohnraum in einem Studenten- oder Jugendwohnheim gelten die </w:t>
      </w:r>
      <w:hyperlink w:anchor="b755" w:history="1">
        <w:r>
          <w:rPr>
            <w:color w:val="0A3A8C"/>
            <w:u w:val="single"/>
          </w:rPr>
          <w:t xml:space="preserve">§§ 556d</w:t>
        </w:r>
      </w:hyperlink>
      <w:r>
        <w:t xml:space="preserve"> bis </w:t>
      </w:r>
      <w:hyperlink w:anchor="b777" w:history="1">
        <w:r>
          <w:rPr>
            <w:color w:val="0A3A8C"/>
            <w:u w:val="single"/>
          </w:rPr>
          <w:t xml:space="preserve">561</w:t>
        </w:r>
      </w:hyperlink>
      <w:r>
        <w:t xml:space="preserve"> sowie die </w:t>
      </w:r>
      <w:hyperlink w:anchor="b807" w:history="1">
        <w:r>
          <w:rPr>
            <w:color w:val="0A3A8C"/>
            <w:u w:val="single"/>
          </w:rPr>
          <w:t xml:space="preserve">§§ 573</w:t>
        </w:r>
      </w:hyperlink>
      <w:r>
        <w:t xml:space="preserve">, </w:t>
      </w:r>
      <w:hyperlink w:anchor="b808" w:history="1">
        <w:r>
          <w:rPr>
            <w:color w:val="0A3A8C"/>
            <w:u w:val="single"/>
          </w:rPr>
          <w:t xml:space="preserve">573a</w:t>
        </w:r>
      </w:hyperlink>
      <w:r>
        <w:t xml:space="preserve">, </w:t>
      </w:r>
      <w:hyperlink w:anchor="b811" w:history="1">
        <w:r>
          <w:rPr>
            <w:color w:val="0A3A8C"/>
            <w:u w:val="single"/>
          </w:rPr>
          <w:t xml:space="preserve">573d</w:t>
        </w:r>
      </w:hyperlink>
      <w:r>
        <w:t xml:space="preserve"> Abs. 1 und </w:t>
      </w:r>
      <w:hyperlink w:anchor="b817" w:history="1">
        <w:r>
          <w:rPr>
            <w:color w:val="0A3A8C"/>
            <w:u w:val="single"/>
          </w:rPr>
          <w:t xml:space="preserve">§§ 575</w:t>
        </w:r>
      </w:hyperlink>
      <w:r>
        <w:t xml:space="preserve">, </w:t>
      </w:r>
      <w:hyperlink w:anchor="b818" w:history="1">
        <w:r>
          <w:rPr>
            <w:color w:val="0A3A8C"/>
            <w:u w:val="single"/>
          </w:rPr>
          <w:t xml:space="preserve">575a</w:t>
        </w:r>
      </w:hyperlink>
      <w:r>
        <w:t xml:space="preserve"> Abs. 1, </w:t>
      </w:r>
      <w:hyperlink w:anchor="b824" w:history="1">
        <w:r>
          <w:rPr>
            <w:color w:val="0A3A8C"/>
            <w:u w:val="single"/>
          </w:rPr>
          <w:t xml:space="preserve">§§ 577</w:t>
        </w:r>
      </w:hyperlink>
      <w:r>
        <w:t xml:space="preserve">, </w:t>
      </w:r>
      <w:hyperlink w:anchor="b825" w:history="1">
        <w:r>
          <w:rPr>
            <w:color w:val="0A3A8C"/>
            <w:u w:val="single"/>
          </w:rPr>
          <w:t xml:space="preserve">577a</w:t>
        </w:r>
      </w:hyperlink>
      <w:r>
        <w:t xml:space="preserve"> nicht.</w:t>
      </w:r>
    </w:p>
    <w:p>
      <w:pPr>
        <w:pStyle w:val="Heading6"/>
      </w:pPr>
      <w:bookmarkStart w:id="748" w:name="b735"/>
      <w:r>
        <w:t>§ 550 Form des Mietvertrags</w:t>
      </w:r>
      <w:r>
        <w:t xml:space="preserve"> </w:t>
      </w:r>
      <w:r>
        <w:rPr>
          <w:rStyle w:val="Suchmarke"/>
        </w:rPr>
        <w:t>#550#</w:t>
      </w:r>
      <w:bookmarkEnd w:id="748"/>
    </w:p>
    <w:p>
      <w:r>
        <w:rPr>
          <w:rStyle w:val="Satznummer"/>
        </w:rPr>
        <w:t>1</w:t>
      </w:r>
      <w:r>
        <w:t xml:space="preserve">Wird der Mietvertrag für längere Zeit als ein Jahr nicht in schriftlicher Form geschlossen, so gilt er für unbestimmte Zeit. </w:t>
      </w:r>
      <w:r>
        <w:rPr>
          <w:rStyle w:val="Satznummer"/>
        </w:rPr>
        <w:t>2</w:t>
      </w:r>
      <w:r>
        <w:t>Die Kündigung ist jedoch frühestens zum Ablauf eines Jahres nach Überlassung des Wohnraums zulässig.</w:t>
      </w:r>
    </w:p>
    <w:p>
      <w:pPr>
        <w:pStyle w:val="Heading6"/>
      </w:pPr>
      <w:bookmarkStart w:id="749" w:name="b736"/>
      <w:r>
        <w:t>§ 551 Begrenzung und Anlage von Mietsicherheiten</w:t>
      </w:r>
      <w:r>
        <w:t xml:space="preserve"> </w:t>
      </w:r>
      <w:r>
        <w:rPr>
          <w:rStyle w:val="Suchmarke"/>
        </w:rPr>
        <w:t>#551#</w:t>
      </w:r>
      <w:bookmarkEnd w:id="749"/>
    </w:p>
    <w:p>
      <w:r>
        <w:t>(1) Hat der Mieter dem Vermieter für die Erfüllung seiner Pflichten Sicherheit zu leisten, so darf diese vorbehaltlich des Absatzes 3 Satz 4 höchstens das Dreifache der auf einen Monat entfallenden Miete ohne die als Pauschale oder als Vorauszahlung ausgewiesenen Betriebskosten betragen.</w:t>
      </w:r>
    </w:p>
    <w:p>
      <w:r>
        <w:t xml:space="preserve">(2) </w:t>
      </w:r>
      <w:r>
        <w:rPr>
          <w:rStyle w:val="Satznummer"/>
        </w:rPr>
        <w:t>1</w:t>
      </w:r>
      <w:r>
        <w:t xml:space="preserve">Ist als Sicherheit eine Geldsumme bereitzustellen, so ist der Mieter zu drei gleichen monatlichen Teilzahlungen berechtigt. </w:t>
      </w:r>
      <w:r>
        <w:rPr>
          <w:rStyle w:val="Satznummer"/>
        </w:rPr>
        <w:t>2</w:t>
      </w:r>
      <w:r>
        <w:t xml:space="preserve">Die erste Teilzahlung ist zu Beginn des Mietverhältnisses fällig. </w:t>
      </w:r>
      <w:r>
        <w:rPr>
          <w:rStyle w:val="Satznummer"/>
        </w:rPr>
        <w:t>3</w:t>
      </w:r>
      <w:r>
        <w:t>Die weiteren Teilzahlungen werden zusammen mit den unmittelbar folgenden Mietzahlungen fällig.</w:t>
      </w:r>
    </w:p>
    <w:p>
      <w:r>
        <w:t xml:space="preserve">(3) </w:t>
      </w:r>
      <w:r>
        <w:rPr>
          <w:rStyle w:val="Satznummer"/>
        </w:rPr>
        <w:t>1</w:t>
      </w:r>
      <w:r>
        <w:t xml:space="preserve">Der Vermieter hat eine ihm als Sicherheit überlassene Geldsumme bei einem Kreditinstitut zu dem für Spareinlagen mit dreimonatiger Kündigungsfrist üblichen Zinssatz anzulegen. </w:t>
      </w:r>
      <w:r>
        <w:rPr>
          <w:rStyle w:val="Satznummer"/>
        </w:rPr>
        <w:t>2</w:t>
      </w:r>
      <w:r>
        <w:t xml:space="preserve">Die Vertragsparteien können eine andere Anlageform vereinbaren. </w:t>
      </w:r>
      <w:r>
        <w:rPr>
          <w:rStyle w:val="Satznummer"/>
        </w:rPr>
        <w:t>3</w:t>
      </w:r>
      <w:r>
        <w:t xml:space="preserve">In beiden Fällen muss die Anlage vom Vermögen des Vermieters getrennt erfolgen und stehen die Erträge dem Mieter zu. </w:t>
      </w:r>
      <w:r>
        <w:rPr>
          <w:rStyle w:val="Satznummer"/>
        </w:rPr>
        <w:t>4</w:t>
      </w:r>
      <w:r>
        <w:t xml:space="preserve">Sie erhöhen die Sicherheit. </w:t>
      </w:r>
      <w:r>
        <w:rPr>
          <w:rStyle w:val="Satznummer"/>
        </w:rPr>
        <w:t>5</w:t>
      </w:r>
      <w:r>
        <w:t>Bei Wohnraum in einem Studenten- oder Jugendwohnheim besteht für den Vermieter keine Pflicht, die Sicherheitsleistung zu verzinsen.</w:t>
      </w:r>
    </w:p>
    <w:p>
      <w:r>
        <w:t>(4) Eine zum Nachteil des Mieters abweichende Vereinbarung ist unwirksam.</w:t>
      </w:r>
    </w:p>
    <w:p>
      <w:pPr>
        <w:pStyle w:val="Heading6"/>
      </w:pPr>
      <w:bookmarkStart w:id="750" w:name="b737"/>
      <w:r>
        <w:t>§ 552 Abwendung des Wegnahmerechts des Mieters</w:t>
      </w:r>
      <w:r>
        <w:t xml:space="preserve"> </w:t>
      </w:r>
      <w:r>
        <w:rPr>
          <w:rStyle w:val="Suchmarke"/>
        </w:rPr>
        <w:t>#552#</w:t>
      </w:r>
      <w:bookmarkEnd w:id="750"/>
    </w:p>
    <w:p>
      <w:r>
        <w:t>(1) Der Vermieter kann die Ausübung des Wegnahmerechts (</w:t>
      </w:r>
      <w:hyperlink w:anchor="b720" w:history="1">
        <w:r>
          <w:rPr>
            <w:color w:val="0A3A8C"/>
            <w:u w:val="single"/>
          </w:rPr>
          <w:t xml:space="preserve">§ 539</w:t>
        </w:r>
      </w:hyperlink>
      <w:r>
        <w:t xml:space="preserve"> Abs. 2) durch Zahlung einer angemessenen Entschädigung abwenden, wenn nicht der Mieter ein berechtigtes Interesse an der Wegnahme hat.</w:t>
      </w:r>
    </w:p>
    <w:p>
      <w:r>
        <w:t>(2) Eine Vereinbarung, durch die das Wegnahmerecht ausgeschlossen wird, ist nur wirksam, wenn ein angemessener Ausgleich vorgesehen ist.</w:t>
      </w:r>
    </w:p>
    <w:p>
      <w:pPr>
        <w:pStyle w:val="Heading6"/>
      </w:pPr>
      <w:bookmarkStart w:id="751" w:name="b738"/>
      <w:r>
        <w:t>§ 553 Gestattung der Gebrauchsüberlassung an Dritte</w:t>
      </w:r>
      <w:r>
        <w:t xml:space="preserve"> </w:t>
      </w:r>
      <w:r>
        <w:rPr>
          <w:rStyle w:val="Suchmarke"/>
        </w:rPr>
        <w:t>#553#</w:t>
      </w:r>
      <w:bookmarkEnd w:id="751"/>
    </w:p>
    <w:p>
      <w:r>
        <w:t xml:space="preserve">(1) </w:t>
      </w:r>
      <w:r>
        <w:rPr>
          <w:rStyle w:val="Satznummer"/>
        </w:rPr>
        <w:t>1</w:t>
      </w:r>
      <w:r>
        <w:t xml:space="preserve">Entsteht für den Mieter nach Abschluss des Mietvertrags ein berechtigtes Interesse, einen Teil des Wohnraums einem Dritten zum Gebrauch zu überlassen, so kann er von dem Vermieter die Erlaubnis hierzu verlangen. </w:t>
      </w:r>
      <w:r>
        <w:rPr>
          <w:rStyle w:val="Satznummer"/>
        </w:rPr>
        <w:t>2</w:t>
      </w:r>
      <w:r>
        <w:t>Dies gilt nicht, wenn in der Person des Dritten ein wichtiger Grund vorliegt, der Wohnraum übermäßig belegt würde oder dem Vermieter die Überlassung aus sonstigen Gründen nicht zugemutet werden kann.</w:t>
      </w:r>
    </w:p>
    <w:p>
      <w:r>
        <w:t>(2) Ist dem Vermieter die Überlassung nur bei einer angemessenen Erhöhung der Miete zuzumuten, so kann er die Erlaubnis davon abhängig machen, dass der Mieter sich mit einer solchen Erhöhung einverstanden erklärt.</w:t>
      </w:r>
    </w:p>
    <w:p>
      <w:r>
        <w:t>(3) Eine zum Nachteil des Mieters abweichende Vereinbarung ist unwirksam.</w:t>
      </w:r>
    </w:p>
    <w:p>
      <w:pPr>
        <w:pStyle w:val="Heading6"/>
      </w:pPr>
      <w:bookmarkStart w:id="752" w:name="b739"/>
      <w:r>
        <w:t>§ 554 Barrierereduzierung, E-Mobilität, Einbruchsschutz und Steckersolargeräte</w:t>
      </w:r>
      <w:r>
        <w:t xml:space="preserve"> </w:t>
      </w:r>
      <w:r>
        <w:rPr>
          <w:rStyle w:val="Suchmarke"/>
        </w:rPr>
        <w:t>#554#</w:t>
      </w:r>
      <w:bookmarkEnd w:id="752"/>
    </w:p>
    <w:p>
      <w:r>
        <w:t xml:space="preserve">(1) </w:t>
      </w:r>
      <w:r>
        <w:rPr>
          <w:rStyle w:val="Satznummer"/>
        </w:rPr>
        <w:t>1</w:t>
      </w:r>
      <w:r>
        <w:t xml:space="preserve">Der Mieter kann verlangen, dass ihm der Vermieter bauliche Veränderungen der Mietsache erlaubt, die dem Gebrauch durch Menschen mit Behinderungen, dem Laden elektrisch betriebener Fahrzeuge, dem Einbruchsschutz oder der Stromerzeugung durch Steckersolargeräte dienen. </w:t>
      </w:r>
      <w:r>
        <w:rPr>
          <w:rStyle w:val="Satznummer"/>
        </w:rPr>
        <w:t>2</w:t>
      </w:r>
      <w:r>
        <w:t xml:space="preserve">Der Anspruch besteht nicht, wenn die bauliche Veränderung dem Vermieter auch unter Würdigung der Interessen des Mieters nicht zugemutet werden kann. </w:t>
      </w:r>
      <w:r>
        <w:rPr>
          <w:rStyle w:val="Satznummer"/>
        </w:rPr>
        <w:t>3</w:t>
      </w:r>
      <w:r>
        <w:t xml:space="preserve">Der Mieter kann sich im Zusammenhang mit der baulichen Veränderung zur Leistung einer besonderen Sicherheit verpflichten; </w:t>
      </w:r>
      <w:hyperlink w:anchor="b736" w:history="1">
        <w:r>
          <w:rPr>
            <w:color w:val="0A3A8C"/>
            <w:u w:val="single"/>
          </w:rPr>
          <w:t xml:space="preserve">§ 551</w:t>
        </w:r>
      </w:hyperlink>
      <w:r>
        <w:t xml:space="preserve"> Absatz 3 gilt entsprechend.</w:t>
      </w:r>
    </w:p>
    <w:p>
      <w:r>
        <w:t>(2) Eine zum Nachteil des Mieters abweichende Vereinbarung ist unwirksam.</w:t>
      </w:r>
    </w:p>
    <w:p>
      <w:pPr>
        <w:pStyle w:val="Heading6"/>
      </w:pPr>
      <w:bookmarkStart w:id="753" w:name="b740"/>
      <w:r>
        <w:t>§ 555 Unwirksamkeit einer Vertragsstrafe</w:t>
      </w:r>
      <w:r>
        <w:t xml:space="preserve"> </w:t>
      </w:r>
      <w:r>
        <w:rPr>
          <w:rStyle w:val="Suchmarke"/>
        </w:rPr>
        <w:t>#555#</w:t>
      </w:r>
      <w:bookmarkEnd w:id="753"/>
    </w:p>
    <w:p>
      <w:r>
        <w:t>Eine Vereinbarung, durch die sich der Vermieter eine Vertragsstrafe vom Mieter versprechen lässt, ist unwirksam.</w:t>
      </w:r>
    </w:p>
    <w:p>
      <w:pPr>
        <w:pStyle w:val="Heading5"/>
      </w:pPr>
      <w:bookmarkStart w:id="754" w:name="b741"/>
      <w:r>
        <w:t>Kapitel 1a Erhaltungs- und Modernisierungsmaßnahmen</w:t>
      </w:r>
      <w:bookmarkEnd w:id="754"/>
    </w:p>
    <w:p>
      <w:pPr>
        <w:pStyle w:val="Heading6"/>
      </w:pPr>
      <w:bookmarkStart w:id="755" w:name="b742"/>
      <w:r>
        <w:t>§ 555a Erhaltungsmaßnahmen</w:t>
      </w:r>
      <w:r>
        <w:t xml:space="preserve"> </w:t>
      </w:r>
      <w:r>
        <w:rPr>
          <w:rStyle w:val="Suchmarke"/>
        </w:rPr>
        <w:t>#555a#</w:t>
      </w:r>
      <w:bookmarkEnd w:id="755"/>
    </w:p>
    <w:p>
      <w:r>
        <w:t>(1) Der Mieter hat Maßnahmen zu dulden, die zur Instandhaltung oder Instandsetzung der Mietsache erforderlich sind (Erhaltungsmaßnahmen).</w:t>
      </w:r>
    </w:p>
    <w:p>
      <w:r>
        <w:t>(2) Erhaltungsmaßnahmen sind dem Mieter rechtzeitig anzukündigen, es sei denn, sie sind nur mit einer unerheblichen Einwirkung auf die Mietsache verbunden oder ihre sofortige Durchführung ist zwingend erforderlich.</w:t>
      </w:r>
    </w:p>
    <w:p>
      <w:r>
        <w:t xml:space="preserve">(3) </w:t>
      </w:r>
      <w:r>
        <w:rPr>
          <w:rStyle w:val="Satznummer"/>
        </w:rPr>
        <w:t>1</w:t>
      </w:r>
      <w:r>
        <w:t xml:space="preserve">Aufwendungen, die der Mieter infolge einer Erhaltungsmaßnahme machen muss, hat der Vermieter in angemessenem Umfang zu ersetzen. </w:t>
      </w:r>
      <w:r>
        <w:rPr>
          <w:rStyle w:val="Satznummer"/>
        </w:rPr>
        <w:t>2</w:t>
      </w:r>
      <w:r>
        <w:t>Auf Verlangen hat er Vorschuss zu leisten.</w:t>
      </w:r>
    </w:p>
    <w:p>
      <w:r>
        <w:t>(4) Eine zum Nachteil des Mieters von Absatz 2 oder 3 abweichende Vereinbarung ist unwirksam.</w:t>
      </w:r>
    </w:p>
    <w:p>
      <w:pPr>
        <w:pStyle w:val="Heading6"/>
      </w:pPr>
      <w:bookmarkStart w:id="756" w:name="b743"/>
      <w:r>
        <w:t>§ 555b Modernisierungsmaßnahmen</w:t>
      </w:r>
      <w:r>
        <w:t xml:space="preserve"> </w:t>
      </w:r>
      <w:r>
        <w:rPr>
          <w:rStyle w:val="Suchmarke"/>
        </w:rPr>
        <w:t>#555b#</w:t>
      </w:r>
      <w:bookmarkEnd w:id="756"/>
    </w:p>
    <w:p>
      <w:r>
        <w:t>Modernisierungsmaßnahmen sind bauliche Veränderungen,</w:t>
      </w:r>
    </w:p>
    <w:p>
      <w:pPr>
        <w:tabs>
          <w:tab w:pos="567" w:val="left"/>
        </w:tabs>
        <w:ind w:left="567" w:hanging="567"/>
      </w:pPr>
      <w:r>
        <w:t>1.</w:t>
      </w:r>
      <w:r>
        <w:tab/>
      </w:r>
      <w:r>
        <w:t>durch die in Bezug auf die Mietsache Endenergie nachhaltig eingespart wird (energetische Modernisierung),</w:t>
      </w:r>
    </w:p>
    <w:p>
      <w:pPr>
        <w:tabs>
          <w:tab w:pos="567" w:val="left"/>
        </w:tabs>
        <w:ind w:left="567" w:hanging="567"/>
      </w:pPr>
      <w:r>
        <w:t>1a.</w:t>
      </w:r>
      <w:r>
        <w:tab/>
      </w:r>
      <w:r>
        <w:t>durch die eine Heizungsanlage im Sinne des § 42 des Gebäudemodernisierungsgesetzes vom 8. August 2020 (BGBl. I S. 1728), das zuletzt durch Artikel 4 des Gesetzes vom 23. Juli 2026 (BGBl. 2026 I Nr. 226) geändert worden ist, in der jeweils geltenden Fassung, eingebaut oder aufgestellt wird,</w:t>
      </w:r>
    </w:p>
    <w:p>
      <w:pPr>
        <w:tabs>
          <w:tab w:pos="567" w:val="left"/>
        </w:tabs>
        <w:ind w:left="567" w:hanging="567"/>
      </w:pPr>
      <w:r>
        <w:t>2.</w:t>
      </w:r>
      <w:r>
        <w:tab/>
      </w:r>
      <w:r>
        <w:t>durch die nicht erneuerbare Primärenergie nachhaltig eingespart oder das Klima nachhaltig geschützt wird, sofern nicht bereits eine energetische Modernisierung nach Nummer 1 vorliegt,</w:t>
      </w:r>
    </w:p>
    <w:p>
      <w:pPr>
        <w:tabs>
          <w:tab w:pos="567" w:val="left"/>
        </w:tabs>
        <w:ind w:left="567" w:hanging="567"/>
      </w:pPr>
      <w:r>
        <w:t>3.</w:t>
      </w:r>
      <w:r>
        <w:tab/>
      </w:r>
      <w:r>
        <w:t>durch die der Wasserverbrauch nachhaltig reduziert wird,</w:t>
      </w:r>
    </w:p>
    <w:p>
      <w:pPr>
        <w:tabs>
          <w:tab w:pos="567" w:val="left"/>
        </w:tabs>
        <w:ind w:left="567" w:hanging="567"/>
      </w:pPr>
      <w:r>
        <w:t>4.</w:t>
      </w:r>
      <w:r>
        <w:tab/>
      </w:r>
      <w:r>
        <w:t>durch die der Gebrauchswert der Mietsache nachhaltig erhöht wird,</w:t>
      </w:r>
    </w:p>
    <w:p>
      <w:pPr>
        <w:tabs>
          <w:tab w:pos="567" w:val="left"/>
        </w:tabs>
        <w:ind w:left="567" w:hanging="567"/>
      </w:pPr>
      <w:r>
        <w:t>4a.</w:t>
      </w:r>
      <w:r>
        <w:tab/>
      </w:r>
      <w:r>
        <w:t>durch die die Mietsache erstmalig mittels Glasfaser an ein öffentliches Netz mit sehr hoher Kapazität im Sinne des § 3 Nummer 33 des Telekommunikationsgesetzes angeschlossen wird,</w:t>
      </w:r>
    </w:p>
    <w:p>
      <w:pPr>
        <w:tabs>
          <w:tab w:pos="567" w:val="left"/>
        </w:tabs>
        <w:ind w:left="567" w:hanging="567"/>
      </w:pPr>
      <w:r>
        <w:t>5.</w:t>
      </w:r>
      <w:r>
        <w:tab/>
      </w:r>
      <w:r>
        <w:t>durch die die allgemeinen Wohnverhältnisse auf Dauer verbessert werden,</w:t>
      </w:r>
    </w:p>
    <w:p>
      <w:pPr>
        <w:tabs>
          <w:tab w:pos="567" w:val="left"/>
        </w:tabs>
        <w:ind w:left="567" w:hanging="567"/>
      </w:pPr>
      <w:r>
        <w:t>6.</w:t>
      </w:r>
      <w:r>
        <w:tab/>
      </w:r>
      <w:r>
        <w:t xml:space="preserve">die auf Grund von Umständen durchgeführt werden, die der Vermieter nicht zu vertreten hat, und die keine Erhaltungsmaßnahmen nach </w:t>
      </w:r>
      <w:hyperlink w:anchor="b742" w:history="1">
        <w:r>
          <w:rPr>
            <w:color w:val="0A3A8C"/>
            <w:u w:val="single"/>
          </w:rPr>
          <w:t xml:space="preserve">§ 555a</w:t>
        </w:r>
      </w:hyperlink>
      <w:r>
        <w:t xml:space="preserve"> sind, oder</w:t>
      </w:r>
    </w:p>
    <w:p>
      <w:pPr>
        <w:tabs>
          <w:tab w:pos="567" w:val="left"/>
        </w:tabs>
        <w:ind w:left="567" w:hanging="567"/>
      </w:pPr>
      <w:r>
        <w:t>7.</w:t>
      </w:r>
      <w:r>
        <w:tab/>
      </w:r>
      <w:r>
        <w:t>durch die neuer Wohnraum geschaffen wird.</w:t>
      </w:r>
    </w:p>
    <w:p>
      <w:pPr>
        <w:pStyle w:val="Heading6"/>
      </w:pPr>
      <w:bookmarkStart w:id="757" w:name="b744"/>
      <w:r>
        <w:t>§ 555c Ankündigung von Modernisierungsmaßnahmen</w:t>
      </w:r>
      <w:r>
        <w:t xml:space="preserve"> </w:t>
      </w:r>
      <w:r>
        <w:rPr>
          <w:rStyle w:val="Suchmarke"/>
        </w:rPr>
        <w:t>#555c#</w:t>
      </w:r>
      <w:bookmarkEnd w:id="757"/>
    </w:p>
    <w:p>
      <w:r>
        <w:t xml:space="preserve">(1) </w:t>
      </w:r>
      <w:r>
        <w:rPr>
          <w:rStyle w:val="Satznummer"/>
        </w:rPr>
        <w:t>1</w:t>
      </w:r>
      <w:r>
        <w:t xml:space="preserve">Der Vermieter hat dem Mieter eine Modernisierungsmaßnahme spätestens drei Monate vor ihrem Beginn in Textform anzukündigen (Modernisierungsankündigung). </w:t>
      </w:r>
      <w:r>
        <w:rPr>
          <w:rStyle w:val="Satznummer"/>
        </w:rPr>
        <w:t>2</w:t>
      </w:r>
      <w:r>
        <w:t>Die Modernisierungsankündigung muss Angaben enthalten über:</w:t>
      </w:r>
    </w:p>
    <w:p>
      <w:pPr>
        <w:tabs>
          <w:tab w:pos="567" w:val="left"/>
        </w:tabs>
        <w:ind w:left="567" w:hanging="567"/>
      </w:pPr>
      <w:r>
        <w:t>1.</w:t>
      </w:r>
      <w:r>
        <w:tab/>
      </w:r>
      <w:r>
        <w:t>die Art und den voraussichtlichen Umfang der Modernisierungsmaßnahme in wesentlichen Zügen,</w:t>
      </w:r>
    </w:p>
    <w:p>
      <w:pPr>
        <w:tabs>
          <w:tab w:pos="567" w:val="left"/>
        </w:tabs>
        <w:ind w:left="567" w:hanging="567"/>
      </w:pPr>
      <w:r>
        <w:t>2.</w:t>
      </w:r>
      <w:r>
        <w:tab/>
      </w:r>
      <w:r>
        <w:t>den voraussichtlichen Beginn und die voraussichtliche Dauer der Modernisierungsmaßnahme,</w:t>
      </w:r>
    </w:p>
    <w:p>
      <w:pPr>
        <w:tabs>
          <w:tab w:pos="567" w:val="left"/>
        </w:tabs>
        <w:ind w:left="567" w:hanging="567"/>
      </w:pPr>
      <w:r>
        <w:t>3.</w:t>
      </w:r>
      <w:r>
        <w:tab/>
      </w:r>
      <w:r>
        <w:t xml:space="preserve">den Betrag der zu erwartenden Mieterhöhung, sofern eine Erhöhung nach </w:t>
      </w:r>
      <w:hyperlink w:anchor="b769" w:history="1">
        <w:r>
          <w:rPr>
            <w:color w:val="0A3A8C"/>
            <w:u w:val="single"/>
          </w:rPr>
          <w:t xml:space="preserve">§ 559</w:t>
        </w:r>
      </w:hyperlink>
      <w:r>
        <w:t xml:space="preserve"> oder </w:t>
      </w:r>
      <w:hyperlink w:anchor="b772" w:history="1">
        <w:r>
          <w:rPr>
            <w:color w:val="0A3A8C"/>
            <w:u w:val="single"/>
          </w:rPr>
          <w:t xml:space="preserve">§ 559c</w:t>
        </w:r>
      </w:hyperlink>
      <w:r>
        <w:t xml:space="preserve"> verlangt werden soll, sowie die voraussichtlichen künftigen Betriebskosten.</w:t>
      </w:r>
    </w:p>
    <w:p>
      <w:r>
        <w:t xml:space="preserve">(2) Der Vermieter soll den Mieter in der Modernisierungsankündigung auf die Form und die Frist des Härteeinwands nach </w:t>
      </w:r>
      <w:hyperlink w:anchor="b745" w:history="1">
        <w:r>
          <w:rPr>
            <w:color w:val="0A3A8C"/>
            <w:u w:val="single"/>
          </w:rPr>
          <w:t xml:space="preserve">§ 555d</w:t>
        </w:r>
      </w:hyperlink>
      <w:r>
        <w:t xml:space="preserve"> Absatz 3 Satz 1 hinweisen.</w:t>
      </w:r>
    </w:p>
    <w:p>
      <w:r>
        <w:t xml:space="preserve">(3) In der Modernisierungsankündigung für eine Modernisierungsmaßnahme nach </w:t>
      </w:r>
      <w:hyperlink w:anchor="b743" w:history="1">
        <w:r>
          <w:rPr>
            <w:color w:val="0A3A8C"/>
            <w:u w:val="single"/>
          </w:rPr>
          <w:t xml:space="preserve">§ 555b</w:t>
        </w:r>
      </w:hyperlink>
      <w:r>
        <w:t xml:space="preserve"> Nummer 1 und 2 kann der Vermieter insbesondere hinsichtlich der energetischen Qualität von Bauteilen auf allgemein anerkannte Pauschalwerte Bezug nehmen.</w:t>
      </w:r>
    </w:p>
    <w:p>
      <w:r>
        <w:t>(4) Die Absätze 1 bis 3 gelten nicht für Modernisierungsmaßnahmen, die nur mit einer unerheblichen Einwirkung auf die Mietsache verbunden sind und nur zu einer unerheblichen Mieterhöhung führen.</w:t>
      </w:r>
    </w:p>
    <w:p>
      <w:r>
        <w:t>(5) Eine zum Nachteil des Mieters abweichende Vereinbarung ist unwirksam.</w:t>
      </w:r>
    </w:p>
    <w:p>
      <w:pPr>
        <w:pStyle w:val="Heading6"/>
      </w:pPr>
      <w:bookmarkStart w:id="758" w:name="b745"/>
      <w:r>
        <w:t>§ 555d Duldung von Modernisierungsmaßnahmen, Ausschlussfrist</w:t>
      </w:r>
      <w:r>
        <w:t xml:space="preserve"> </w:t>
      </w:r>
      <w:r>
        <w:rPr>
          <w:rStyle w:val="Suchmarke"/>
        </w:rPr>
        <w:t>#555d#</w:t>
      </w:r>
      <w:bookmarkEnd w:id="758"/>
    </w:p>
    <w:p>
      <w:r>
        <w:t>(1) Der Mieter hat eine Modernisierungsmaßnahme zu dulden.</w:t>
      </w:r>
    </w:p>
    <w:p>
      <w:r>
        <w:t xml:space="preserve">(2) </w:t>
      </w:r>
      <w:r>
        <w:rPr>
          <w:rStyle w:val="Satznummer"/>
        </w:rPr>
        <w:t>1</w:t>
      </w:r>
      <w:r>
        <w:t xml:space="preserve">Eine Duldungspflicht nach Absatz 1 besteht nicht, wenn die Modernisierungsmaßnahme für den Mieter, seine Familie oder einen Angehörigen seines Haushalts eine Härte bedeuten würde, die auch unter Würdigung der berechtigten Interessen sowohl des Vermieters als auch anderer Mieter in dem Gebäude sowie von Belangen der Energieeinsparung und des Klimaschutzes nicht zu rechtfertigen ist. </w:t>
      </w:r>
      <w:r>
        <w:rPr>
          <w:rStyle w:val="Satznummer"/>
        </w:rPr>
        <w:t>2</w:t>
      </w:r>
      <w:r>
        <w:t xml:space="preserve">Die zu erwartende Mieterhöhung sowie die voraussichtlichen künftigen Betriebskosten bleiben bei der Abwägung im Rahmen der Duldungspflicht außer Betracht; sie sind nur nach </w:t>
      </w:r>
      <w:hyperlink w:anchor="b769" w:history="1">
        <w:r>
          <w:rPr>
            <w:color w:val="0A3A8C"/>
            <w:u w:val="single"/>
          </w:rPr>
          <w:t xml:space="preserve">§ 559</w:t>
        </w:r>
      </w:hyperlink>
      <w:r>
        <w:t xml:space="preserve"> Absatz 4 und 5 bei einer Mieterhöhung zu berücksichtigen.</w:t>
      </w:r>
    </w:p>
    <w:p>
      <w:r>
        <w:t xml:space="preserve">(3) </w:t>
      </w:r>
      <w:r>
        <w:rPr>
          <w:rStyle w:val="Satznummer"/>
        </w:rPr>
        <w:t>1</w:t>
      </w:r>
      <w:r>
        <w:t xml:space="preserve">Der Mieter hat dem Vermieter Umstände, die eine Härte im Hinblick auf die Duldung oder die Mieterhöhung begründen, bis zum Ablauf des Monats, der auf den Zugang der Modernisierungsankündigung folgt, in Textform mitzuteilen. </w:t>
      </w:r>
      <w:r>
        <w:rPr>
          <w:rStyle w:val="Satznummer"/>
        </w:rPr>
        <w:t>2</w:t>
      </w:r>
      <w:r>
        <w:t xml:space="preserve">Der Lauf der Frist beginnt nur, wenn die Modernisierungsankündigung den Vorschriften des </w:t>
      </w:r>
      <w:hyperlink w:anchor="b744" w:history="1">
        <w:r>
          <w:rPr>
            <w:color w:val="0A3A8C"/>
            <w:u w:val="single"/>
          </w:rPr>
          <w:t xml:space="preserve">§ 555c</w:t>
        </w:r>
      </w:hyperlink>
      <w:r>
        <w:t xml:space="preserve"> entspricht.</w:t>
      </w:r>
    </w:p>
    <w:p>
      <w:r>
        <w:t xml:space="preserve">(4) </w:t>
      </w:r>
      <w:r>
        <w:rPr>
          <w:rStyle w:val="Satznummer"/>
        </w:rPr>
        <w:t>1</w:t>
      </w:r>
      <w:r>
        <w:t xml:space="preserve">Nach Ablauf der Frist sind Umstände, die eine Härte im Hinblick auf die Duldung oder die Mieterhöhung begründen, noch zu berücksichtigen, wenn der Mieter ohne Verschulden an der Einhaltung der Frist gehindert war und er dem Vermieter die Umstände sowie die Gründe der Verzögerung unverzüglich in Textform mitteilt. </w:t>
      </w:r>
      <w:r>
        <w:rPr>
          <w:rStyle w:val="Satznummer"/>
        </w:rPr>
        <w:t>2</w:t>
      </w:r>
      <w:r>
        <w:t>Umstände, die eine Härte im Hinblick auf die Mieterhöhung begründen, sind nur zu berücksichtigen, wenn sie spätestens bis zum Beginn der Modernisierungsmaßnahme mitgeteilt werden.</w:t>
      </w:r>
    </w:p>
    <w:p>
      <w:r>
        <w:t xml:space="preserve">(5) </w:t>
      </w:r>
      <w:r>
        <w:rPr>
          <w:rStyle w:val="Satznummer"/>
        </w:rPr>
        <w:t>1</w:t>
      </w:r>
      <w:r>
        <w:t>Hat der Vermieter in der Modernisierungsankündigung nicht auf die Form und die Frist des Härteeinwands hingewiesen (</w:t>
      </w:r>
      <w:hyperlink w:anchor="b744" w:history="1">
        <w:r>
          <w:rPr>
            <w:color w:val="0A3A8C"/>
            <w:u w:val="single"/>
          </w:rPr>
          <w:t xml:space="preserve">§ 555c</w:t>
        </w:r>
      </w:hyperlink>
      <w:r>
        <w:t xml:space="preserve"> Absatz 2), so bedarf die Mitteilung des Mieters nach Absatz 3 Satz 1 nicht der dort bestimmten Form und Frist. </w:t>
      </w:r>
      <w:r>
        <w:rPr>
          <w:rStyle w:val="Satznummer"/>
        </w:rPr>
        <w:t>2</w:t>
      </w:r>
      <w:r>
        <w:t>Absatz 4 Satz 2 gilt entsprechend.</w:t>
      </w:r>
    </w:p>
    <w:p>
      <w:r>
        <w:t xml:space="preserve">(6) </w:t>
      </w:r>
      <w:hyperlink w:anchor="b742" w:history="1">
        <w:r>
          <w:rPr>
            <w:color w:val="0A3A8C"/>
            <w:u w:val="single"/>
          </w:rPr>
          <w:t xml:space="preserve">§ 555a</w:t>
        </w:r>
      </w:hyperlink>
      <w:r>
        <w:t xml:space="preserve"> Absatz 3 gilt entsprechend.</w:t>
      </w:r>
    </w:p>
    <w:p>
      <w:r>
        <w:t>(7) Eine zum Nachteil des Mieters abweichende Vereinbarung ist unwirksam.</w:t>
      </w:r>
    </w:p>
    <w:p>
      <w:pPr>
        <w:pStyle w:val="Heading6"/>
      </w:pPr>
      <w:bookmarkStart w:id="759" w:name="b746"/>
      <w:r>
        <w:t>§ 555e Sonderkündigungsrecht des Mieters bei Modernisierungsmaßnahmen</w:t>
      </w:r>
      <w:r>
        <w:t xml:space="preserve"> </w:t>
      </w:r>
      <w:r>
        <w:rPr>
          <w:rStyle w:val="Suchmarke"/>
        </w:rPr>
        <w:t>#555e#</w:t>
      </w:r>
      <w:bookmarkEnd w:id="759"/>
    </w:p>
    <w:p>
      <w:r>
        <w:t xml:space="preserve">(1) </w:t>
      </w:r>
      <w:r>
        <w:rPr>
          <w:rStyle w:val="Satznummer"/>
        </w:rPr>
        <w:t>1</w:t>
      </w:r>
      <w:r>
        <w:t xml:space="preserve">Nach Zugang der Modernisierungsankündigung kann der Mieter das Mietverhältnis außerordentlich zum Ablauf des übernächsten Monats kündigen. </w:t>
      </w:r>
      <w:r>
        <w:rPr>
          <w:rStyle w:val="Satznummer"/>
        </w:rPr>
        <w:t>2</w:t>
      </w:r>
      <w:r>
        <w:t>Die Kündigung muss bis zum Ablauf des Monats erfolgen, der auf den Zugang der Modernisierungsankündigung folgt.</w:t>
      </w:r>
    </w:p>
    <w:p>
      <w:r>
        <w:t xml:space="preserve">(2) </w:t>
      </w:r>
      <w:hyperlink w:anchor="b744" w:history="1">
        <w:r>
          <w:rPr>
            <w:color w:val="0A3A8C"/>
            <w:u w:val="single"/>
          </w:rPr>
          <w:t xml:space="preserve">§ 555c</w:t>
        </w:r>
      </w:hyperlink>
      <w:r>
        <w:t xml:space="preserve"> Absatz 4 gilt entsprechend.</w:t>
      </w:r>
    </w:p>
    <w:p>
      <w:r>
        <w:t>(3) Eine zum Nachteil des Mieters abweichende Vereinbarung ist unwirksam.</w:t>
      </w:r>
    </w:p>
    <w:p>
      <w:pPr>
        <w:pStyle w:val="Heading6"/>
      </w:pPr>
      <w:bookmarkStart w:id="760" w:name="b747"/>
      <w:r>
        <w:t>§ 555f Vereinbarungen über Erhaltungs- oder Modernisierungsmaßnahmen</w:t>
      </w:r>
      <w:r>
        <w:t xml:space="preserve"> </w:t>
      </w:r>
      <w:r>
        <w:rPr>
          <w:rStyle w:val="Suchmarke"/>
        </w:rPr>
        <w:t>#555f#</w:t>
      </w:r>
      <w:bookmarkEnd w:id="760"/>
    </w:p>
    <w:p>
      <w:r>
        <w:t>Die Vertragsparteien können nach Abschluss des Mietvertrags aus Anlass von Erhaltungs- oder Modernisierungsmaßnahmen Vereinbarungen treffen, insbesondere über die</w:t>
      </w:r>
    </w:p>
    <w:p>
      <w:pPr>
        <w:tabs>
          <w:tab w:pos="567" w:val="left"/>
        </w:tabs>
        <w:ind w:left="567" w:hanging="567"/>
      </w:pPr>
      <w:r>
        <w:t>1.</w:t>
      </w:r>
      <w:r>
        <w:tab/>
      </w:r>
      <w:r>
        <w:t>zeitliche und technische Durchführung der Maßnahmen,</w:t>
      </w:r>
    </w:p>
    <w:p>
      <w:pPr>
        <w:tabs>
          <w:tab w:pos="567" w:val="left"/>
        </w:tabs>
        <w:ind w:left="567" w:hanging="567"/>
      </w:pPr>
      <w:r>
        <w:t>2.</w:t>
      </w:r>
      <w:r>
        <w:tab/>
      </w:r>
      <w:r>
        <w:t>Gewährleistungsrechte und Aufwendungsersatzansprüche des Mieters,</w:t>
      </w:r>
    </w:p>
    <w:p>
      <w:pPr>
        <w:tabs>
          <w:tab w:pos="567" w:val="left"/>
        </w:tabs>
        <w:ind w:left="567" w:hanging="567"/>
      </w:pPr>
      <w:r>
        <w:t>3.</w:t>
      </w:r>
      <w:r>
        <w:tab/>
      </w:r>
      <w:r>
        <w:t>künftige Höhe der Miete.</w:t>
      </w:r>
    </w:p>
    <w:p>
      <w:pPr>
        <w:pStyle w:val="Heading5"/>
      </w:pPr>
      <w:bookmarkStart w:id="761" w:name="b748"/>
      <w:r>
        <w:t>Kapitel 2 Die Miete</w:t>
      </w:r>
      <w:bookmarkEnd w:id="761"/>
    </w:p>
    <w:p>
      <w:pPr>
        <w:pStyle w:val="Heading6"/>
      </w:pPr>
      <w:bookmarkStart w:id="762" w:name="b749"/>
      <w:r>
        <w:t>Unterkapitel 1 Vereinbarungen über die Miete</w:t>
      </w:r>
      <w:bookmarkEnd w:id="762"/>
    </w:p>
    <w:p>
      <w:pPr>
        <w:pStyle w:val="Heading7"/>
      </w:pPr>
      <w:bookmarkStart w:id="763" w:name="b750"/>
      <w:r>
        <w:t>§ 556 Vereinbarungen über Betriebskosten</w:t>
      </w:r>
      <w:r>
        <w:t xml:space="preserve"> </w:t>
      </w:r>
      <w:r>
        <w:rPr>
          <w:rStyle w:val="Suchmarke"/>
        </w:rPr>
        <w:t>#556#</w:t>
      </w:r>
      <w:bookmarkEnd w:id="763"/>
    </w:p>
    <w:p>
      <w:r>
        <w:t xml:space="preserve">(1) </w:t>
      </w:r>
      <w:r>
        <w:rPr>
          <w:rStyle w:val="Satznummer"/>
        </w:rPr>
        <w:t>1</w:t>
      </w:r>
      <w:r>
        <w:t xml:space="preserve">Die Vertragsparteien können vereinbaren, dass der Mieter Betriebskosten trägt. </w:t>
      </w:r>
      <w:r>
        <w:rPr>
          <w:rStyle w:val="Satznummer"/>
        </w:rPr>
        <w:t>2</w:t>
      </w:r>
      <w:r>
        <w:t xml:space="preserve">Betriebskosten sind die Kosten, die dem Eigentümer oder Erbbauberechtigten durch das Eigentum oder das Erbbaurecht am Grundstück oder durch den bestimmungsmäßigen Gebrauch des Gebäudes, der Nebengebäude, Anlagen, Einrichtungen und des Grundstücks laufend entstehen. </w:t>
      </w:r>
      <w:r>
        <w:rPr>
          <w:rStyle w:val="Satznummer"/>
        </w:rPr>
        <w:t>3</w:t>
      </w:r>
      <w:r>
        <w:t xml:space="preserve">Für die Aufstellung der Betriebskosten gilt die Betriebskostenverordnung vom 25. November 2003 (BGBl. I S. 2346, 2347) fort. </w:t>
      </w:r>
      <w:r>
        <w:rPr>
          <w:rStyle w:val="Satznummer"/>
        </w:rPr>
        <w:t>4</w:t>
      </w:r>
      <w:r>
        <w:t>Die Bundesregierung wird ermächtigt, durch Rechtsverordnung ohne Zustimmung des Bundesrates Vorschriften über die Aufstellung der Betriebskosten zu erlassen.</w:t>
      </w:r>
    </w:p>
    <w:p>
      <w:r>
        <w:t xml:space="preserve">(2) </w:t>
      </w:r>
      <w:r>
        <w:rPr>
          <w:rStyle w:val="Satznummer"/>
        </w:rPr>
        <w:t>1</w:t>
      </w:r>
      <w:r>
        <w:t xml:space="preserve">Die Vertragsparteien können vorbehaltlich anderweitiger Vorschriften vereinbaren, dass Betriebskosten als Pauschale oder als Vorauszahlung ausgewiesen werden. </w:t>
      </w:r>
      <w:r>
        <w:rPr>
          <w:rStyle w:val="Satznummer"/>
        </w:rPr>
        <w:t>2</w:t>
      </w:r>
      <w:r>
        <w:t>Vorauszahlungen für Betriebskosten dürfen nur in angemessener Höhe vereinbart werden.</w:t>
      </w:r>
    </w:p>
    <w:p>
      <w:r>
        <w:t xml:space="preserve">(3) </w:t>
      </w:r>
      <w:r>
        <w:rPr>
          <w:rStyle w:val="Satznummer"/>
        </w:rPr>
        <w:t>1</w:t>
      </w:r>
      <w:r>
        <w:t xml:space="preserve">Über die Vorauszahlungen für Betriebskosten ist jährlich abzurechnen; dabei ist der Grundsatz der Wirtschaftlichkeit zu beachten. </w:t>
      </w:r>
      <w:r>
        <w:rPr>
          <w:rStyle w:val="Satznummer"/>
        </w:rPr>
        <w:t>2</w:t>
      </w:r>
      <w:r>
        <w:t xml:space="preserve">Die Abrechnung ist dem Mieter spätestens bis zum Ablauf des zwölften Monats nach Ende des Abrechnungszeitraums mitzuteilen. </w:t>
      </w:r>
      <w:r>
        <w:rPr>
          <w:rStyle w:val="Satznummer"/>
        </w:rPr>
        <w:t>3</w:t>
      </w:r>
      <w:r>
        <w:t xml:space="preserve">Nach Ablauf dieser Frist ist die Geltendmachung einer Nachforderung durch den Vermieter ausgeschlossen, es sei denn, der Vermieter hat die verspätete Geltendmachung nicht zu vertreten. </w:t>
      </w:r>
      <w:r>
        <w:rPr>
          <w:rStyle w:val="Satznummer"/>
        </w:rPr>
        <w:t>4</w:t>
      </w:r>
      <w:r>
        <w:t xml:space="preserve">Der Vermieter ist zu Teilabrechnungen nicht verpflichtet. </w:t>
      </w:r>
      <w:r>
        <w:rPr>
          <w:rStyle w:val="Satznummer"/>
        </w:rPr>
        <w:t>5</w:t>
      </w:r>
      <w:r>
        <w:t xml:space="preserve">Einwendungen gegen die Abrechnung hat der Mieter dem Vermieter spätestens bis zum Ablauf des zwölften Monats nach Zugang der Abrechnung mitzuteilen. </w:t>
      </w:r>
      <w:r>
        <w:rPr>
          <w:rStyle w:val="Satznummer"/>
        </w:rPr>
        <w:t>6</w:t>
      </w:r>
      <w:r>
        <w:t>Nach Ablauf dieser Frist kann der Mieter Einwendungen nicht mehr geltend machen, es sei denn, der Mieter hat die verspätete Geltendmachung nicht zu vertreten.</w:t>
      </w:r>
    </w:p>
    <w:p>
      <w:r>
        <w:t xml:space="preserve">(3a) </w:t>
      </w:r>
      <w:r>
        <w:rPr>
          <w:rStyle w:val="Satznummer"/>
        </w:rPr>
        <w:t>1</w:t>
      </w:r>
      <w:r>
        <w:t xml:space="preserve">Ein Glasfaserbereitstellungsentgelt nach § 72 Absatz 1 des Telekommunikationsgesetzes hat der Mieter nur bei wirtschaftlicher Umsetzung der Maßnahme zu tragen. </w:t>
      </w:r>
      <w:r>
        <w:rPr>
          <w:rStyle w:val="Satznummer"/>
        </w:rPr>
        <w:t>2</w:t>
      </w:r>
      <w:r>
        <w:t>Handelt es sich um eine aufwändige Maßnahme im Sinne von § 72 Absatz 2 Satz 4 des Telekommunikationsgesetzes, hat der Mieter die Kosten nur dann zu tragen, wenn der Vermieter vor Vereinbarung der Glasfaserbereitstellung soweit möglich drei Angebote eingeholt und das wirtschaftlichste ausgewählt hat.</w:t>
      </w:r>
    </w:p>
    <w:p>
      <w:r>
        <w:t xml:space="preserve">(4) </w:t>
      </w:r>
      <w:r>
        <w:rPr>
          <w:rStyle w:val="Satznummer"/>
        </w:rPr>
        <w:t>1</w:t>
      </w:r>
      <w:r>
        <w:t xml:space="preserve">Der Vermieter hat dem Mieter auf Verlangen Einsicht in die der Abrechnung zugrundeliegenden Belege zu gewähren. </w:t>
      </w:r>
      <w:r>
        <w:rPr>
          <w:rStyle w:val="Satznummer"/>
        </w:rPr>
        <w:t>2</w:t>
      </w:r>
      <w:r>
        <w:t>Der Vermieter ist berechtigt, die Belege elektronisch bereitzustellen.</w:t>
      </w:r>
    </w:p>
    <w:p>
      <w:r>
        <w:t>(5) Eine zum Nachteil des Mieters von Absatz 1, Absatz 2 Satz 2, Absatz 3 oder Absatz 3a abweichende Vereinbarung ist unwirksam.</w:t>
      </w:r>
    </w:p>
    <w:p>
      <w:pPr>
        <w:pStyle w:val="Heading7"/>
      </w:pPr>
      <w:bookmarkStart w:id="764" w:name="b751"/>
      <w:r>
        <w:t>§ 556a Abrechnungsmaßstab für Betriebskosten</w:t>
      </w:r>
      <w:r>
        <w:t xml:space="preserve"> </w:t>
      </w:r>
      <w:r>
        <w:rPr>
          <w:rStyle w:val="Suchmarke"/>
        </w:rPr>
        <w:t>#556a#</w:t>
      </w:r>
      <w:bookmarkEnd w:id="764"/>
    </w:p>
    <w:p>
      <w:r>
        <w:t xml:space="preserve">(1) </w:t>
      </w:r>
      <w:r>
        <w:rPr>
          <w:rStyle w:val="Satznummer"/>
        </w:rPr>
        <w:t>1</w:t>
      </w:r>
      <w:r>
        <w:t xml:space="preserve">Haben die Vertragsparteien nichts anderes vereinbart, sind die Betriebskosten vorbehaltlich anderweitiger Vorschriften nach dem Anteil der Wohnfläche umzulegen. </w:t>
      </w:r>
      <w:r>
        <w:rPr>
          <w:rStyle w:val="Satznummer"/>
        </w:rPr>
        <w:t>2</w:t>
      </w:r>
      <w:r>
        <w:t>Betriebskosten, die von einem erfassten Verbrauch oder einer erfassten Verursachung durch die Mieter abhängen, sind nach einem Maßstab umzulegen, der dem unterschiedlichen Verbrauch oder der unterschiedlichen Verursachung Rechnung trägt.</w:t>
      </w:r>
    </w:p>
    <w:p>
      <w:r>
        <w:t xml:space="preserve">(2) </w:t>
      </w:r>
      <w:r>
        <w:rPr>
          <w:rStyle w:val="Satznummer"/>
        </w:rPr>
        <w:t>1</w:t>
      </w:r>
      <w:r>
        <w:t xml:space="preserve">Haben die Vertragsparteien etwas anderes vereinbart, kann der Vermieter durch Erklärung in Textform bestimmen, dass die Betriebskosten zukünftig abweichend von der getroffenen Vereinbarung ganz oder teilweise nach einem Maßstab umgelegt werden dürfen, der dem erfassten unterschiedlichen Verbrauch oder der erfassten unterschiedlichen Verursachung Rechnung trägt. </w:t>
      </w:r>
      <w:r>
        <w:rPr>
          <w:rStyle w:val="Satznummer"/>
        </w:rPr>
        <w:t>2</w:t>
      </w:r>
      <w:r>
        <w:t xml:space="preserve">Die Erklärung ist nur vor Beginn eines Abrechnungszeitraums zulässig. </w:t>
      </w:r>
      <w:r>
        <w:rPr>
          <w:rStyle w:val="Satznummer"/>
        </w:rPr>
        <w:t>3</w:t>
      </w:r>
      <w:r>
        <w:t>Sind die Kosten bislang in der Miete enthalten, so ist diese entsprechend herabzusetzen.</w:t>
      </w:r>
    </w:p>
    <w:p>
      <w:r>
        <w:t xml:space="preserve">(3) </w:t>
      </w:r>
      <w:r>
        <w:rPr>
          <w:rStyle w:val="Satznummer"/>
        </w:rPr>
        <w:t>1</w:t>
      </w:r>
      <w:r>
        <w:t xml:space="preserve">Ist Wohnungseigentum vermietet und haben die Vertragsparteien nichts anderes vereinbart, sind die Betriebskosten abweichend von Absatz 1 nach dem für die Verteilung zwischen den Wohnungseigentümern jeweils geltenden Maßstab umzulegen. </w:t>
      </w:r>
      <w:r>
        <w:rPr>
          <w:rStyle w:val="Satznummer"/>
        </w:rPr>
        <w:t>2</w:t>
      </w:r>
      <w:r>
        <w:t>Widerspricht der Maßstab billigem Ermessen, ist nach Absatz 1 umzulegen.</w:t>
      </w:r>
    </w:p>
    <w:p>
      <w:r>
        <w:t>(4) Eine zum Nachteil des Mieters von Absatz 2 abweichende Vereinbarung ist unwirksam.</w:t>
      </w:r>
    </w:p>
    <w:p>
      <w:pPr>
        <w:pStyle w:val="Heading7"/>
      </w:pPr>
      <w:bookmarkStart w:id="765" w:name="b752"/>
      <w:r>
        <w:t>§ 556b Fälligkeit der Miete, Aufrechnungs- und Zurückbehaltungsrecht</w:t>
      </w:r>
      <w:r>
        <w:t xml:space="preserve"> </w:t>
      </w:r>
      <w:r>
        <w:rPr>
          <w:rStyle w:val="Suchmarke"/>
        </w:rPr>
        <w:t>#556b#</w:t>
      </w:r>
      <w:bookmarkEnd w:id="765"/>
    </w:p>
    <w:p>
      <w:r>
        <w:t>(1) Die Miete ist zu Beginn, spätestens bis zum dritten Werktag der einzelnen Zeitabschnitte zu entrichten, nach denen sie bemessen ist.</w:t>
      </w:r>
    </w:p>
    <w:p>
      <w:r>
        <w:t xml:space="preserve">(2) </w:t>
      </w:r>
      <w:r>
        <w:rPr>
          <w:rStyle w:val="Satznummer"/>
        </w:rPr>
        <w:t>1</w:t>
      </w:r>
      <w:r>
        <w:t xml:space="preserve">Der Mieter kann entgegen einer vertraglichen Bestimmung gegen eine Mietforderung mit einer Forderung auf Grund der </w:t>
      </w:r>
      <w:hyperlink w:anchor="b714" w:history="1">
        <w:r>
          <w:rPr>
            <w:color w:val="0A3A8C"/>
            <w:u w:val="single"/>
          </w:rPr>
          <w:t xml:space="preserve">§§ 536a</w:t>
        </w:r>
      </w:hyperlink>
      <w:r>
        <w:t xml:space="preserve">, </w:t>
      </w:r>
      <w:hyperlink w:anchor="b720" w:history="1">
        <w:r>
          <w:rPr>
            <w:color w:val="0A3A8C"/>
            <w:u w:val="single"/>
          </w:rPr>
          <w:t xml:space="preserve">539</w:t>
        </w:r>
      </w:hyperlink>
      <w:r>
        <w:t xml:space="preserve"> oder aus ungerechtfertigter Bereicherung wegen zu viel gezahlter Miete aufrechnen oder wegen einer solchen Forderung ein Zurückbehaltungsrecht ausüben, wenn er seine Absicht dem Vermieter mindestens einen Monat vor der Fälligkeit der Miete in Textform angezeigt hat. </w:t>
      </w:r>
      <w:r>
        <w:rPr>
          <w:rStyle w:val="Satznummer"/>
        </w:rPr>
        <w:t>2</w:t>
      </w:r>
      <w:r>
        <w:t>Eine zum Nachteil des Mieters abweichende Vereinbarung ist unwirksam.</w:t>
      </w:r>
    </w:p>
    <w:p>
      <w:pPr>
        <w:pStyle w:val="Heading7"/>
      </w:pPr>
      <w:bookmarkStart w:id="766" w:name="b753"/>
      <w:r>
        <w:t>§ 556c Kosten der Wärmelieferung als Betriebskosten, Verordnungsermächtigung</w:t>
      </w:r>
      <w:r>
        <w:t xml:space="preserve"> </w:t>
      </w:r>
      <w:r>
        <w:rPr>
          <w:rStyle w:val="Suchmarke"/>
        </w:rPr>
        <w:t>#556c#</w:t>
      </w:r>
      <w:bookmarkEnd w:id="766"/>
    </w:p>
    <w:p>
      <w:r>
        <w:t xml:space="preserve">(1) </w:t>
      </w:r>
      <w:r>
        <w:rPr>
          <w:rStyle w:val="Satznummer"/>
        </w:rPr>
        <w:t>1</w:t>
      </w:r>
      <w:r>
        <w:t>Hat der Mieter die Betriebskosten für Wärme oder Warmwasser zu tragen und stellt der Vermieter die Versorgung von der Eigenversorgung auf die eigenständig gewerbliche Lieferung durch einen Wärmelieferanten (Wärmelieferung) um, so hat der Mieter die Kosten der Wärmelieferung als Betriebskosten zu tragen, wenn</w:t>
      </w:r>
    </w:p>
    <w:p>
      <w:pPr>
        <w:tabs>
          <w:tab w:pos="567" w:val="left"/>
        </w:tabs>
        <w:ind w:left="567" w:hanging="567"/>
      </w:pPr>
      <w:r>
        <w:t>1.</w:t>
      </w:r>
      <w:r>
        <w:tab/>
      </w:r>
      <w:r>
        <w:t>die Wärme mit verbesserter Effizienz entweder aus einer vom Wärmelieferanten errichteten neuen Anlage oder aus einem Wärmenetz geliefert wird und</w:t>
      </w:r>
    </w:p>
    <w:p>
      <w:pPr>
        <w:tabs>
          <w:tab w:pos="567" w:val="left"/>
        </w:tabs>
        <w:ind w:left="567" w:hanging="567"/>
      </w:pPr>
      <w:r>
        <w:t>2.</w:t>
      </w:r>
      <w:r>
        <w:tab/>
      </w:r>
      <w:r>
        <w:t>die Kosten der Wärmelieferung die Betriebskosten für die bisherige Eigenversorgung mit Wärme oder Warmwasser nicht übersteigen.</w:t>
      </w:r>
    </w:p>
    <w:p>
      <w:r>
        <w:rPr>
          <w:rStyle w:val="Satznummer"/>
        </w:rPr>
        <w:t>2</w:t>
      </w:r>
      <w:r>
        <w:t>Beträgt der Jahresnutzungsgrad der bestehenden Anlage vor der Umstellung mindestens 80 Prozent, kann sich der Wärmelieferant anstelle der Maßnahmen nach Nummer 1 auf die Verbesserung der Betriebsführung der Anlage beschränken.</w:t>
      </w:r>
    </w:p>
    <w:p>
      <w:r>
        <w:t>(2) Der Vermieter hat die Umstellung spätestens drei Monate zuvor in Textform anzukündigen (Umstellungsankündigung).</w:t>
      </w:r>
    </w:p>
    <w:p>
      <w:r>
        <w:t xml:space="preserve">(3) </w:t>
      </w:r>
      <w:r>
        <w:rPr>
          <w:rStyle w:val="Satznummer"/>
        </w:rPr>
        <w:t>1</w:t>
      </w:r>
      <w:r>
        <w:t xml:space="preserve">Die Bundesregierung wird ermächtigt, durch Rechtsverordnung ohne Zustimmung des Bundesrates Vorschriften für Wärmelieferverträge, die bei einer Umstellung nach Absatz 1 geschlossen werden, sowie für die Anforderungen nach den Absätzen 1 und 2 zu erlassen. </w:t>
      </w:r>
      <w:r>
        <w:rPr>
          <w:rStyle w:val="Satznummer"/>
        </w:rPr>
        <w:t>2</w:t>
      </w:r>
      <w:r>
        <w:t>Hierbei sind die Belange von Vermietern, Mietern und Wärmelieferanten angemessen zu berücksichtigen.</w:t>
      </w:r>
    </w:p>
    <w:p>
      <w:r>
        <w:t>(4) Eine zum Nachteil des Mieters abweichende Vereinbarung ist unwirksam.</w:t>
      </w:r>
    </w:p>
    <w:p>
      <w:pPr>
        <w:pStyle w:val="Heading6"/>
      </w:pPr>
      <w:bookmarkStart w:id="767" w:name="b754"/>
      <w:r>
        <w:t>Unterkapitel 1a Vereinbarungen über die Miethöhe bei Mietbeginn in Gebieten mit angespannten Wohnungsmärkten</w:t>
      </w:r>
      <w:bookmarkEnd w:id="767"/>
    </w:p>
    <w:p>
      <w:pPr>
        <w:pStyle w:val="Heading7"/>
      </w:pPr>
      <w:bookmarkStart w:id="768" w:name="b755"/>
      <w:r>
        <w:t>§ 556d Zulässige Miethöhe bei Mietbeginn; Verordnungsermächtigung</w:t>
      </w:r>
      <w:r>
        <w:t xml:space="preserve"> </w:t>
      </w:r>
      <w:r>
        <w:rPr>
          <w:rStyle w:val="Suchmarke"/>
        </w:rPr>
        <w:t>#556d#</w:t>
      </w:r>
      <w:bookmarkEnd w:id="768"/>
    </w:p>
    <w:p>
      <w:r>
        <w:t>(1) Wird ein Mietvertrag über Wohnraum abgeschlossen, der in einem durch Rechtsverordnung nach Absatz 2 bestimmten Gebiet mit einem angespannten Wohnungsmarkt liegt, so darf die Miete zu Beginn des Mietverhältnisses die ortsübliche Vergleichsmiete (</w:t>
      </w:r>
      <w:hyperlink w:anchor="b763" w:history="1">
        <w:r>
          <w:rPr>
            <w:color w:val="0A3A8C"/>
            <w:u w:val="single"/>
          </w:rPr>
          <w:t xml:space="preserve">§ 558</w:t>
        </w:r>
      </w:hyperlink>
      <w:r>
        <w:t xml:space="preserve"> Absatz 2) höchstens um 10 Prozent übersteigen.</w:t>
      </w:r>
    </w:p>
    <w:p>
      <w:r>
        <w:t xml:space="preserve">(2) </w:t>
      </w:r>
      <w:r>
        <w:rPr>
          <w:rStyle w:val="Satznummer"/>
        </w:rPr>
        <w:t>1</w:t>
      </w:r>
      <w:r>
        <w:t xml:space="preserve">Die Landesregierungen werden ermächtigt, Gebiete mit angespannten Wohnungsmärkten durch Rechtsverordnung zu bestimmen. </w:t>
      </w:r>
      <w:r>
        <w:rPr>
          <w:rStyle w:val="Satznummer"/>
        </w:rPr>
        <w:t>2</w:t>
      </w:r>
      <w:r>
        <w:t xml:space="preserve">Gebiete mit angespannten Wohnungsmärkten liegen vor, wenn die ausreichende Versorgung der Bevölkerung mit Mietwohnungen in einer Gemeinde oder einem Teil der Gemeinde zu angemessenen Bedingungen besonders gefährdet ist. </w:t>
      </w:r>
      <w:r>
        <w:rPr>
          <w:rStyle w:val="Satznummer"/>
        </w:rPr>
        <w:t>3</w:t>
      </w:r>
      <w:r>
        <w:t>Dies kann insbesondere dann der Fall sein, wenn</w:t>
      </w:r>
    </w:p>
    <w:p>
      <w:pPr>
        <w:tabs>
          <w:tab w:pos="567" w:val="left"/>
        </w:tabs>
        <w:ind w:left="567" w:hanging="567"/>
      </w:pPr>
      <w:r>
        <w:t>1.</w:t>
      </w:r>
      <w:r>
        <w:tab/>
      </w:r>
      <w:r>
        <w:t>die Mieten deutlich stärker steigen als im bundesweiten Durchschnitt,</w:t>
      </w:r>
    </w:p>
    <w:p>
      <w:pPr>
        <w:tabs>
          <w:tab w:pos="567" w:val="left"/>
        </w:tabs>
        <w:ind w:left="567" w:hanging="567"/>
      </w:pPr>
      <w:r>
        <w:t>2.</w:t>
      </w:r>
      <w:r>
        <w:tab/>
      </w:r>
      <w:r>
        <w:t>die durchschnittliche Mietbelastung der Haushalte den bundesweiten Durchschnitt deutlich übersteigt,</w:t>
      </w:r>
    </w:p>
    <w:p>
      <w:pPr>
        <w:tabs>
          <w:tab w:pos="567" w:val="left"/>
        </w:tabs>
        <w:ind w:left="567" w:hanging="567"/>
      </w:pPr>
      <w:r>
        <w:t>3.</w:t>
      </w:r>
      <w:r>
        <w:tab/>
      </w:r>
      <w:r>
        <w:t>die Wohnbevölkerung wächst, ohne dass durch Neubautätigkeit insoweit erforderlicher Wohnraum geschaffen wird, oder</w:t>
      </w:r>
    </w:p>
    <w:p>
      <w:pPr>
        <w:tabs>
          <w:tab w:pos="567" w:val="left"/>
        </w:tabs>
        <w:ind w:left="567" w:hanging="567"/>
      </w:pPr>
      <w:r>
        <w:t>4.</w:t>
      </w:r>
      <w:r>
        <w:tab/>
      </w:r>
      <w:r>
        <w:t>geringer Leerstand bei großer Nachfrage besteht.</w:t>
      </w:r>
    </w:p>
    <w:p>
      <w:r>
        <w:rPr>
          <w:rStyle w:val="Satznummer"/>
        </w:rPr>
        <w:t>4</w:t>
      </w:r>
      <w:r>
        <w:t xml:space="preserve">Eine Rechtsverordnung nach Satz 1 muss spätestens mit Ablauf des 31. Dezember 2029 außer Kraft treten. </w:t>
      </w:r>
      <w:r>
        <w:rPr>
          <w:rStyle w:val="Satznummer"/>
        </w:rPr>
        <w:t>5</w:t>
      </w:r>
      <w:r>
        <w:t xml:space="preserve">Sie muss begründet werden. </w:t>
      </w:r>
      <w:r>
        <w:rPr>
          <w:rStyle w:val="Satznummer"/>
        </w:rPr>
        <w:t>6</w:t>
      </w:r>
      <w:r>
        <w:t xml:space="preserve">Aus der Begründung muss sich ergeben, auf Grund welcher Tatsachen ein Gebiet mit einem angespannten Wohnungsmarkt im Einzelfall vorliegt. </w:t>
      </w:r>
      <w:r>
        <w:rPr>
          <w:rStyle w:val="Satznummer"/>
        </w:rPr>
        <w:t>7</w:t>
      </w:r>
      <w:r>
        <w:t>Ferner muss sich aus der Begründung ergeben, welche Maßnahmen die Landesregierung in dem nach Satz 1 durch die Rechtsverordnung jeweils bestimmten Gebiet und Zeitraum ergreifen wird, um Abhilfe zu schaffen.</w:t>
      </w:r>
    </w:p>
    <w:p>
      <w:pPr>
        <w:pStyle w:val="Heading7"/>
      </w:pPr>
      <w:bookmarkStart w:id="769" w:name="b756"/>
      <w:r>
        <w:t>§ 556e Berücksichtigung der Vormiete oder einer durchgeführten Modernisierung</w:t>
      </w:r>
      <w:r>
        <w:t xml:space="preserve"> </w:t>
      </w:r>
      <w:r>
        <w:rPr>
          <w:rStyle w:val="Suchmarke"/>
        </w:rPr>
        <w:t>#556e#</w:t>
      </w:r>
      <w:bookmarkEnd w:id="769"/>
    </w:p>
    <w:p>
      <w:r>
        <w:t xml:space="preserve">(1) </w:t>
      </w:r>
      <w:r>
        <w:rPr>
          <w:rStyle w:val="Satznummer"/>
        </w:rPr>
        <w:t>1</w:t>
      </w:r>
      <w:r>
        <w:t xml:space="preserve">Ist die Miete, die der vorherige Mieter zuletzt schuldete (Vormiete), höher als die nach </w:t>
      </w:r>
      <w:hyperlink w:anchor="b755" w:history="1">
        <w:r>
          <w:rPr>
            <w:color w:val="0A3A8C"/>
            <w:u w:val="single"/>
          </w:rPr>
          <w:t xml:space="preserve">§ 556d</w:t>
        </w:r>
      </w:hyperlink>
      <w:r>
        <w:t xml:space="preserve"> Absatz 1 zulässige Miete, so darf eine Miete bis zur Höhe der Vormiete vereinbart werden. </w:t>
      </w:r>
      <w:r>
        <w:rPr>
          <w:rStyle w:val="Satznummer"/>
        </w:rPr>
        <w:t>2</w:t>
      </w:r>
      <w:r>
        <w:t>Bei der Ermittlung der Vormiete unberücksichtigt bleiben Mietminderungen sowie solche Mieterhöhungen, die mit dem vorherigen Mieter innerhalb des letzten Jahres vor Beendigung des Mietverhältnisses vereinbart worden sind.</w:t>
      </w:r>
    </w:p>
    <w:p>
      <w:r>
        <w:t xml:space="preserve">(2) </w:t>
      </w:r>
      <w:r>
        <w:rPr>
          <w:rStyle w:val="Satznummer"/>
        </w:rPr>
        <w:t>1</w:t>
      </w:r>
      <w:r>
        <w:t xml:space="preserve">Hat der Vermieter in den letzten drei Jahren vor Beginn des Mietverhältnisses Modernisierungsmaßnahmen im Sinne des </w:t>
      </w:r>
      <w:hyperlink w:anchor="b743" w:history="1">
        <w:r>
          <w:rPr>
            <w:color w:val="0A3A8C"/>
            <w:u w:val="single"/>
          </w:rPr>
          <w:t xml:space="preserve">§ 555b</w:t>
        </w:r>
      </w:hyperlink>
      <w:r>
        <w:t xml:space="preserve"> durchgeführt, so darf die nach </w:t>
      </w:r>
      <w:hyperlink w:anchor="b755" w:history="1">
        <w:r>
          <w:rPr>
            <w:color w:val="0A3A8C"/>
            <w:u w:val="single"/>
          </w:rPr>
          <w:t xml:space="preserve">§ 556d</w:t>
        </w:r>
      </w:hyperlink>
      <w:r>
        <w:t xml:space="preserve"> Absatz 1 zulässige Miete um den Betrag überschritten werden, der sich bei einer Mieterhöhung nach </w:t>
      </w:r>
      <w:hyperlink w:anchor="b769" w:history="1">
        <w:r>
          <w:rPr>
            <w:color w:val="0A3A8C"/>
            <w:u w:val="single"/>
          </w:rPr>
          <w:t xml:space="preserve">§ 559</w:t>
        </w:r>
      </w:hyperlink>
      <w:r>
        <w:t xml:space="preserve"> Absatz 1 bis 3a und </w:t>
      </w:r>
      <w:hyperlink w:anchor="b770" w:history="1">
        <w:r>
          <w:rPr>
            <w:color w:val="0A3A8C"/>
            <w:u w:val="single"/>
          </w:rPr>
          <w:t xml:space="preserve">§ 559a</w:t>
        </w:r>
      </w:hyperlink>
      <w:r>
        <w:t xml:space="preserve"> Absatz 1 bis 4 ergäbe. </w:t>
      </w:r>
      <w:r>
        <w:rPr>
          <w:rStyle w:val="Satznummer"/>
        </w:rPr>
        <w:t>2</w:t>
      </w:r>
      <w:r>
        <w:t>Bei der Berechnung nach Satz 1 ist von der ortsüblichen Vergleichsmiete (</w:t>
      </w:r>
      <w:hyperlink w:anchor="b763" w:history="1">
        <w:r>
          <w:rPr>
            <w:color w:val="0A3A8C"/>
            <w:u w:val="single"/>
          </w:rPr>
          <w:t xml:space="preserve">§ 558</w:t>
        </w:r>
      </w:hyperlink>
      <w:r>
        <w:t xml:space="preserve"> Absatz 2) auszugehen, die bei Beginn des Mietverhältnisses ohne Berücksichtigung der Modernisierung anzusetzen wäre.</w:t>
      </w:r>
    </w:p>
    <w:p>
      <w:pPr>
        <w:pStyle w:val="Heading7"/>
      </w:pPr>
      <w:bookmarkStart w:id="770" w:name="b757"/>
      <w:r>
        <w:t>§ 556f Ausnahmen</w:t>
      </w:r>
      <w:r>
        <w:t xml:space="preserve"> </w:t>
      </w:r>
      <w:r>
        <w:rPr>
          <w:rStyle w:val="Suchmarke"/>
        </w:rPr>
        <w:t>#556f#</w:t>
      </w:r>
      <w:bookmarkEnd w:id="770"/>
    </w:p>
    <w:p>
      <w:r>
        <w:rPr>
          <w:rStyle w:val="Satznummer"/>
        </w:rPr>
        <w:t>1</w:t>
      </w:r>
      <w:hyperlink w:anchor="b755" w:history="1">
        <w:r>
          <w:rPr>
            <w:color w:val="0A3A8C"/>
            <w:u w:val="single"/>
          </w:rPr>
          <w:t xml:space="preserve">§ 556d</w:t>
        </w:r>
      </w:hyperlink>
      <w:r>
        <w:t xml:space="preserve"> ist nicht anzuwenden auf eine Wohnung, die nach dem 1. Oktober 2014 erstmals genutzt und vermietet wird. </w:t>
      </w:r>
      <w:r>
        <w:rPr>
          <w:rStyle w:val="Satznummer"/>
        </w:rPr>
        <w:t>2</w:t>
      </w:r>
      <w:r>
        <w:t xml:space="preserve">Die </w:t>
      </w:r>
      <w:hyperlink w:anchor="b755" w:history="1">
        <w:r>
          <w:rPr>
            <w:color w:val="0A3A8C"/>
            <w:u w:val="single"/>
          </w:rPr>
          <w:t xml:space="preserve">§§ 556d</w:t>
        </w:r>
      </w:hyperlink>
      <w:r>
        <w:t xml:space="preserve"> und </w:t>
      </w:r>
      <w:hyperlink w:anchor="b756" w:history="1">
        <w:r>
          <w:rPr>
            <w:color w:val="0A3A8C"/>
            <w:u w:val="single"/>
          </w:rPr>
          <w:t xml:space="preserve">556e</w:t>
        </w:r>
      </w:hyperlink>
      <w:r>
        <w:t xml:space="preserve"> sind nicht anzuwenden auf die erste Vermietung nach umfassender Modernisierung.</w:t>
      </w:r>
    </w:p>
    <w:p>
      <w:pPr>
        <w:pStyle w:val="Heading7"/>
      </w:pPr>
      <w:bookmarkStart w:id="771" w:name="b758"/>
      <w:r>
        <w:t>§ 556g Rechtsfolgen; Auskunft über die Miete</w:t>
      </w:r>
      <w:r>
        <w:t xml:space="preserve"> </w:t>
      </w:r>
      <w:r>
        <w:rPr>
          <w:rStyle w:val="Suchmarke"/>
        </w:rPr>
        <w:t>#556g#</w:t>
      </w:r>
      <w:bookmarkEnd w:id="771"/>
    </w:p>
    <w:p>
      <w:r>
        <w:t xml:space="preserve">(1) </w:t>
      </w:r>
      <w:r>
        <w:rPr>
          <w:rStyle w:val="Satznummer"/>
        </w:rPr>
        <w:t>1</w:t>
      </w:r>
      <w:r>
        <w:t xml:space="preserve">Eine zum Nachteil des Mieters von den Vorschriften dieses Unterkapitels abweichende Vereinbarung ist unwirksam. </w:t>
      </w:r>
      <w:r>
        <w:rPr>
          <w:rStyle w:val="Satznummer"/>
        </w:rPr>
        <w:t>2</w:t>
      </w:r>
      <w:r>
        <w:t xml:space="preserve">Für Vereinbarungen über die Miethöhe bei Mietbeginn gilt dies nur, soweit die zulässige Miete überschritten wird. </w:t>
      </w:r>
      <w:r>
        <w:rPr>
          <w:rStyle w:val="Satznummer"/>
        </w:rPr>
        <w:t>3</w:t>
      </w:r>
      <w:r>
        <w:t xml:space="preserve">Der Vermieter hat dem Mieter zu viel gezahlte Miete nach den Vorschriften über die Herausgabe einer ungerechtfertigten Bereicherung herauszugeben. </w:t>
      </w:r>
      <w:r>
        <w:rPr>
          <w:rStyle w:val="Satznummer"/>
        </w:rPr>
        <w:t>4</w:t>
      </w:r>
      <w:r>
        <w:t xml:space="preserve">Die </w:t>
      </w:r>
      <w:hyperlink w:anchor="b1267" w:history="1">
        <w:r>
          <w:rPr>
            <w:color w:val="0A3A8C"/>
            <w:u w:val="single"/>
          </w:rPr>
          <w:t xml:space="preserve">§§ 814</w:t>
        </w:r>
      </w:hyperlink>
      <w:r>
        <w:t xml:space="preserve"> und </w:t>
      </w:r>
      <w:hyperlink w:anchor="b1270" w:history="1">
        <w:r>
          <w:rPr>
            <w:color w:val="0A3A8C"/>
            <w:u w:val="single"/>
          </w:rPr>
          <w:t xml:space="preserve">817</w:t>
        </w:r>
      </w:hyperlink>
      <w:r>
        <w:t xml:space="preserve"> Satz 2 sind nicht anzuwenden.</w:t>
      </w:r>
    </w:p>
    <w:p>
      <w:r>
        <w:t xml:space="preserve">(1a) </w:t>
      </w:r>
      <w:r>
        <w:rPr>
          <w:rStyle w:val="Satznummer"/>
        </w:rPr>
        <w:t>1</w:t>
      </w:r>
      <w:r>
        <w:t xml:space="preserve">Soweit die Zulässigkeit der Miete auf </w:t>
      </w:r>
      <w:hyperlink w:anchor="b756" w:history="1">
        <w:r>
          <w:rPr>
            <w:color w:val="0A3A8C"/>
            <w:u w:val="single"/>
          </w:rPr>
          <w:t xml:space="preserve">§ 556e</w:t>
        </w:r>
      </w:hyperlink>
      <w:r>
        <w:t xml:space="preserve"> oder </w:t>
      </w:r>
      <w:hyperlink w:anchor="b757" w:history="1">
        <w:r>
          <w:rPr>
            <w:color w:val="0A3A8C"/>
            <w:u w:val="single"/>
          </w:rPr>
          <w:t xml:space="preserve">§ 556f</w:t>
        </w:r>
      </w:hyperlink>
      <w:r>
        <w:t xml:space="preserve"> beruht, ist der Vermieter verpflichtet, dem Mieter vor dessen Abgabe der Vertragserklärung über Folgendes unaufgefordert Auskunft zu erteilen:</w:t>
      </w:r>
    </w:p>
    <w:p>
      <w:pPr>
        <w:tabs>
          <w:tab w:pos="567" w:val="left"/>
        </w:tabs>
        <w:ind w:left="567" w:hanging="567"/>
      </w:pPr>
      <w:r>
        <w:t>1.</w:t>
      </w:r>
      <w:r>
        <w:tab/>
      </w:r>
      <w:r>
        <w:t xml:space="preserve">im Fall des </w:t>
      </w:r>
      <w:hyperlink w:anchor="b756" w:history="1">
        <w:r>
          <w:rPr>
            <w:color w:val="0A3A8C"/>
            <w:u w:val="single"/>
          </w:rPr>
          <w:t xml:space="preserve">§ 556e</w:t>
        </w:r>
      </w:hyperlink>
      <w:r>
        <w:t xml:space="preserve"> Absatz 1 darüber, wie hoch die Vormiete war,</w:t>
      </w:r>
    </w:p>
    <w:p>
      <w:pPr>
        <w:tabs>
          <w:tab w:pos="567" w:val="left"/>
        </w:tabs>
        <w:ind w:left="567" w:hanging="567"/>
      </w:pPr>
      <w:r>
        <w:t>2.</w:t>
      </w:r>
      <w:r>
        <w:tab/>
      </w:r>
      <w:r>
        <w:t xml:space="preserve">im Fall des </w:t>
      </w:r>
      <w:hyperlink w:anchor="b756" w:history="1">
        <w:r>
          <w:rPr>
            <w:color w:val="0A3A8C"/>
            <w:u w:val="single"/>
          </w:rPr>
          <w:t xml:space="preserve">§ 556e</w:t>
        </w:r>
      </w:hyperlink>
      <w:r>
        <w:t xml:space="preserve"> Absatz 2 darüber, dass in den letzten drei Jahren vor Beginn des Mietverhältnisses Modernisierungsmaßnahmen durchgeführt wurden,</w:t>
      </w:r>
    </w:p>
    <w:p>
      <w:pPr>
        <w:tabs>
          <w:tab w:pos="567" w:val="left"/>
        </w:tabs>
        <w:ind w:left="567" w:hanging="567"/>
      </w:pPr>
      <w:r>
        <w:t>3.</w:t>
      </w:r>
      <w:r>
        <w:tab/>
      </w:r>
      <w:r>
        <w:t xml:space="preserve">im Fall des </w:t>
      </w:r>
      <w:hyperlink w:anchor="b757" w:history="1">
        <w:r>
          <w:rPr>
            <w:color w:val="0A3A8C"/>
            <w:u w:val="single"/>
          </w:rPr>
          <w:t xml:space="preserve">§ 556f</w:t>
        </w:r>
      </w:hyperlink>
      <w:r>
        <w:t xml:space="preserve"> Satz 1 darüber, dass die Wohnung nach dem 1. Oktober 2014 erstmals genutzt und vermietet wurde,</w:t>
      </w:r>
    </w:p>
    <w:p>
      <w:pPr>
        <w:tabs>
          <w:tab w:pos="567" w:val="left"/>
        </w:tabs>
        <w:ind w:left="567" w:hanging="567"/>
      </w:pPr>
      <w:r>
        <w:t>4.</w:t>
      </w:r>
      <w:r>
        <w:tab/>
      </w:r>
      <w:r>
        <w:t xml:space="preserve">im Fall des </w:t>
      </w:r>
      <w:hyperlink w:anchor="b757" w:history="1">
        <w:r>
          <w:rPr>
            <w:color w:val="0A3A8C"/>
            <w:u w:val="single"/>
          </w:rPr>
          <w:t xml:space="preserve">§ 556f</w:t>
        </w:r>
      </w:hyperlink>
      <w:r>
        <w:t xml:space="preserve"> Satz 2 darüber, dass es sich um die erste Vermietung nach umfassender Modernisierung handelt.</w:t>
      </w:r>
    </w:p>
    <w:p>
      <w:r>
        <w:rPr>
          <w:rStyle w:val="Satznummer"/>
        </w:rPr>
        <w:t>2</w:t>
      </w:r>
      <w:r>
        <w:t xml:space="preserve">Soweit der Vermieter die Auskunft nicht erteilt hat, kann er sich nicht auf eine nach </w:t>
      </w:r>
      <w:hyperlink w:anchor="b756" w:history="1">
        <w:r>
          <w:rPr>
            <w:color w:val="0A3A8C"/>
            <w:u w:val="single"/>
          </w:rPr>
          <w:t xml:space="preserve">§ 556e</w:t>
        </w:r>
      </w:hyperlink>
      <w:r>
        <w:t xml:space="preserve"> oder </w:t>
      </w:r>
      <w:hyperlink w:anchor="b757" w:history="1">
        <w:r>
          <w:rPr>
            <w:color w:val="0A3A8C"/>
            <w:u w:val="single"/>
          </w:rPr>
          <w:t xml:space="preserve">§ 556f</w:t>
        </w:r>
      </w:hyperlink>
      <w:r>
        <w:t xml:space="preserve"> zulässige Miete berufen. </w:t>
      </w:r>
      <w:r>
        <w:rPr>
          <w:rStyle w:val="Satznummer"/>
        </w:rPr>
        <w:t>3</w:t>
      </w:r>
      <w:r>
        <w:t xml:space="preserve">Hat der Vermieter die Auskunft nicht erteilt und hat er diese in der vorgeschriebenen Form nachgeholt, kann er sich erst zwei Jahre nach Nachholung der Auskunft auf eine nach </w:t>
      </w:r>
      <w:hyperlink w:anchor="b756" w:history="1">
        <w:r>
          <w:rPr>
            <w:color w:val="0A3A8C"/>
            <w:u w:val="single"/>
          </w:rPr>
          <w:t xml:space="preserve">§ 556e</w:t>
        </w:r>
      </w:hyperlink>
      <w:r>
        <w:t xml:space="preserve"> oder </w:t>
      </w:r>
      <w:hyperlink w:anchor="b757" w:history="1">
        <w:r>
          <w:rPr>
            <w:color w:val="0A3A8C"/>
            <w:u w:val="single"/>
          </w:rPr>
          <w:t xml:space="preserve">§ 556f</w:t>
        </w:r>
      </w:hyperlink>
      <w:r>
        <w:t xml:space="preserve"> zulässige Miete berufen. </w:t>
      </w:r>
      <w:r>
        <w:rPr>
          <w:rStyle w:val="Satznummer"/>
        </w:rPr>
        <w:t>4</w:t>
      </w:r>
      <w:r>
        <w:t xml:space="preserve">Hat der Vermieter die Auskunft nicht in der vorgeschriebenen Form erteilt, so kann er sich auf eine nach </w:t>
      </w:r>
      <w:hyperlink w:anchor="b756" w:history="1">
        <w:r>
          <w:rPr>
            <w:color w:val="0A3A8C"/>
            <w:u w:val="single"/>
          </w:rPr>
          <w:t xml:space="preserve">§ 556e</w:t>
        </w:r>
      </w:hyperlink>
      <w:r>
        <w:t xml:space="preserve"> oder </w:t>
      </w:r>
      <w:hyperlink w:anchor="b757" w:history="1">
        <w:r>
          <w:rPr>
            <w:color w:val="0A3A8C"/>
            <w:u w:val="single"/>
          </w:rPr>
          <w:t xml:space="preserve">§ 556f</w:t>
        </w:r>
      </w:hyperlink>
      <w:r>
        <w:t xml:space="preserve"> zulässige Miete erst dann berufen, wenn er die Auskunft in der vorgeschriebenen Form nachgeholt hat.</w:t>
      </w:r>
    </w:p>
    <w:p>
      <w:r>
        <w:t xml:space="preserve">(2) </w:t>
      </w:r>
      <w:r>
        <w:rPr>
          <w:rStyle w:val="Satznummer"/>
        </w:rPr>
        <w:t>1</w:t>
      </w:r>
      <w:r>
        <w:t xml:space="preserve">Der Mieter kann von dem Vermieter eine nach den </w:t>
      </w:r>
      <w:hyperlink w:anchor="b755" w:history="1">
        <w:r>
          <w:rPr>
            <w:color w:val="0A3A8C"/>
            <w:u w:val="single"/>
          </w:rPr>
          <w:t xml:space="preserve">§§ 556d</w:t>
        </w:r>
      </w:hyperlink>
      <w:r>
        <w:t xml:space="preserve"> und </w:t>
      </w:r>
      <w:hyperlink w:anchor="b756" w:history="1">
        <w:r>
          <w:rPr>
            <w:color w:val="0A3A8C"/>
            <w:u w:val="single"/>
          </w:rPr>
          <w:t xml:space="preserve">556e</w:t>
        </w:r>
      </w:hyperlink>
      <w:r>
        <w:t xml:space="preserve"> nicht geschuldete Miete nur zurückverlangen, wenn er einen Verstoß gegen die Vorschriften dieses Unterkapitels gerügt hat. </w:t>
      </w:r>
      <w:r>
        <w:rPr>
          <w:rStyle w:val="Satznummer"/>
        </w:rPr>
        <w:t>2</w:t>
      </w:r>
      <w:r>
        <w:t xml:space="preserve">Hat der Vermieter eine Auskunft nach Absatz 1a Satz 1 erteilt, so muss die Rüge sich auf diese Auskunft beziehen. </w:t>
      </w:r>
      <w:r>
        <w:rPr>
          <w:rStyle w:val="Satznummer"/>
        </w:rPr>
        <w:t>3</w:t>
      </w:r>
      <w:r>
        <w:t>Rügt der Mieter den Verstoß mehr als 30 Monate nach Beginn des Mietverhältnisses oder war das Mietverhältnis bei Zugang der Rüge bereits beendet, kann er nur die nach Zugang der Rüge fällig gewordene Miete zurückverlangen.</w:t>
      </w:r>
    </w:p>
    <w:p>
      <w:r>
        <w:t xml:space="preserve">(3) </w:t>
      </w:r>
      <w:r>
        <w:rPr>
          <w:rStyle w:val="Satznummer"/>
        </w:rPr>
        <w:t>1</w:t>
      </w:r>
      <w:r>
        <w:t xml:space="preserve">Der Vermieter ist auf Verlangen des Mieters verpflichtet, Auskunft über diejenigen Tatsachen zu erteilen, die für die Zulässigkeit der vereinbarten Miete nach den Vorschriften dieses Unterkapitels maßgeblich sind, soweit diese Tatsachen nicht allgemein zugänglich sind und der Vermieter hierüber unschwer Auskunft geben kann. </w:t>
      </w:r>
      <w:r>
        <w:rPr>
          <w:rStyle w:val="Satznummer"/>
        </w:rPr>
        <w:t>2</w:t>
      </w:r>
      <w:r>
        <w:t>Für die Auskunft über Modernisierungsmaßnahmen (</w:t>
      </w:r>
      <w:hyperlink w:anchor="b756" w:history="1">
        <w:r>
          <w:rPr>
            <w:color w:val="0A3A8C"/>
            <w:u w:val="single"/>
          </w:rPr>
          <w:t xml:space="preserve">§ 556e</w:t>
        </w:r>
      </w:hyperlink>
      <w:r>
        <w:t xml:space="preserve"> Absatz 2) gilt </w:t>
      </w:r>
      <w:hyperlink w:anchor="b771" w:history="1">
        <w:r>
          <w:rPr>
            <w:color w:val="0A3A8C"/>
            <w:u w:val="single"/>
          </w:rPr>
          <w:t xml:space="preserve">§ 559b</w:t>
        </w:r>
      </w:hyperlink>
      <w:r>
        <w:t xml:space="preserve"> Absatz 1 Satz 2 und 3 entsprechend.</w:t>
      </w:r>
    </w:p>
    <w:p>
      <w:r>
        <w:t>(4) Sämtliche Erklärungen nach den Absätzen 1a bis 3 bedürfen der Textform.</w:t>
      </w:r>
    </w:p>
    <w:p>
      <w:pPr>
        <w:pStyle w:val="Heading6"/>
      </w:pPr>
      <w:bookmarkStart w:id="772" w:name="b759"/>
      <w:r>
        <w:t>Unterkapitel 2 Regelungen über die Miethöhe</w:t>
      </w:r>
      <w:bookmarkEnd w:id="772"/>
    </w:p>
    <w:p>
      <w:pPr>
        <w:pStyle w:val="Heading7"/>
      </w:pPr>
      <w:bookmarkStart w:id="773" w:name="b760"/>
      <w:r>
        <w:t>§ 557 Mieterhöhungen nach Vereinbarung oder Gesetz</w:t>
      </w:r>
      <w:r>
        <w:t xml:space="preserve"> </w:t>
      </w:r>
      <w:r>
        <w:rPr>
          <w:rStyle w:val="Suchmarke"/>
        </w:rPr>
        <w:t>#557#</w:t>
      </w:r>
      <w:bookmarkEnd w:id="773"/>
    </w:p>
    <w:p>
      <w:r>
        <w:t>(1) Während des Mietverhältnisses können die Parteien eine Erhöhung der Miete vereinbaren.</w:t>
      </w:r>
    </w:p>
    <w:p>
      <w:r>
        <w:t xml:space="preserve">(2) Künftige Änderungen der Miethöhe können die Vertragsparteien als Staffelmiete nach </w:t>
      </w:r>
      <w:hyperlink w:anchor="b761" w:history="1">
        <w:r>
          <w:rPr>
            <w:color w:val="0A3A8C"/>
            <w:u w:val="single"/>
          </w:rPr>
          <w:t xml:space="preserve">§ 557a</w:t>
        </w:r>
      </w:hyperlink>
      <w:r>
        <w:t xml:space="preserve"> oder als Indexmiete nach </w:t>
      </w:r>
      <w:hyperlink w:anchor="b762" w:history="1">
        <w:r>
          <w:rPr>
            <w:color w:val="0A3A8C"/>
            <w:u w:val="single"/>
          </w:rPr>
          <w:t xml:space="preserve">§ 557b</w:t>
        </w:r>
      </w:hyperlink>
      <w:r>
        <w:t xml:space="preserve"> vereinbaren.</w:t>
      </w:r>
    </w:p>
    <w:p>
      <w:r>
        <w:t xml:space="preserve">(3) Im Übrigen kann der Vermieter Mieterhöhungen nur nach Maßgabe der </w:t>
      </w:r>
      <w:hyperlink w:anchor="b763" w:history="1">
        <w:r>
          <w:rPr>
            <w:color w:val="0A3A8C"/>
            <w:u w:val="single"/>
          </w:rPr>
          <w:t xml:space="preserve">§§ 558</w:t>
        </w:r>
      </w:hyperlink>
      <w:r>
        <w:t xml:space="preserve"> bis </w:t>
      </w:r>
      <w:hyperlink w:anchor="b776" w:history="1">
        <w:r>
          <w:rPr>
            <w:color w:val="0A3A8C"/>
            <w:u w:val="single"/>
          </w:rPr>
          <w:t xml:space="preserve">560</w:t>
        </w:r>
      </w:hyperlink>
      <w:r>
        <w:t xml:space="preserve"> verlangen, soweit nicht eine Erhöhung durch Vereinbarung ausgeschlossen ist oder sich der Ausschluss aus den Umständen ergibt.</w:t>
      </w:r>
    </w:p>
    <w:p>
      <w:r>
        <w:t>(4) Eine zum Nachteil des Mieters abweichende Vereinbarung ist unwirksam.</w:t>
      </w:r>
    </w:p>
    <w:p>
      <w:pPr>
        <w:pStyle w:val="Heading7"/>
      </w:pPr>
      <w:bookmarkStart w:id="774" w:name="b761"/>
      <w:r>
        <w:t>§ 557a Staffelmiete</w:t>
      </w:r>
      <w:r>
        <w:t xml:space="preserve"> </w:t>
      </w:r>
      <w:r>
        <w:rPr>
          <w:rStyle w:val="Suchmarke"/>
        </w:rPr>
        <w:t>#557a#</w:t>
      </w:r>
      <w:bookmarkEnd w:id="774"/>
    </w:p>
    <w:p>
      <w:r>
        <w:t>(1) Die Miete kann für bestimmte Zeiträume in unterschiedlicher Höhe schriftlich vereinbart werden; in der Vereinbarung ist die jeweilige Miete oder die jeweilige Erhöhung in einem Geldbetrag auszuweisen (Staffelmiete).</w:t>
      </w:r>
    </w:p>
    <w:p>
      <w:r>
        <w:t xml:space="preserve">(2) </w:t>
      </w:r>
      <w:r>
        <w:rPr>
          <w:rStyle w:val="Satznummer"/>
        </w:rPr>
        <w:t>1</w:t>
      </w:r>
      <w:r>
        <w:t xml:space="preserve">Die Miete muss jeweils mindestens ein Jahr unverändert bleiben. </w:t>
      </w:r>
      <w:r>
        <w:rPr>
          <w:rStyle w:val="Satznummer"/>
        </w:rPr>
        <w:t>2</w:t>
      </w:r>
      <w:r>
        <w:t xml:space="preserve">Während der Laufzeit einer Staffelmiete ist eine Erhöhung nach den </w:t>
      </w:r>
      <w:hyperlink w:anchor="b763" w:history="1">
        <w:r>
          <w:rPr>
            <w:color w:val="0A3A8C"/>
            <w:u w:val="single"/>
          </w:rPr>
          <w:t xml:space="preserve">§§ 558</w:t>
        </w:r>
      </w:hyperlink>
      <w:r>
        <w:t xml:space="preserve"> bis </w:t>
      </w:r>
      <w:hyperlink w:anchor="b771" w:history="1">
        <w:r>
          <w:rPr>
            <w:color w:val="0A3A8C"/>
            <w:u w:val="single"/>
          </w:rPr>
          <w:t xml:space="preserve">559b</w:t>
        </w:r>
      </w:hyperlink>
      <w:r>
        <w:t xml:space="preserve"> ausgeschlossen.</w:t>
      </w:r>
    </w:p>
    <w:p>
      <w:r>
        <w:t xml:space="preserve">(3) </w:t>
      </w:r>
      <w:r>
        <w:rPr>
          <w:rStyle w:val="Satznummer"/>
        </w:rPr>
        <w:t>1</w:t>
      </w:r>
      <w:r>
        <w:t xml:space="preserve">Das Kündigungsrecht des Mieters kann für höchstens vier Jahre seit Abschluss der Staffelmietvereinbarung ausgeschlossen werden. </w:t>
      </w:r>
      <w:r>
        <w:rPr>
          <w:rStyle w:val="Satznummer"/>
        </w:rPr>
        <w:t>2</w:t>
      </w:r>
      <w:r>
        <w:t>Die Kündigung ist frühestens zum Ablauf dieses Zeitraums zulässig.</w:t>
      </w:r>
    </w:p>
    <w:p>
      <w:r>
        <w:t xml:space="preserve">(4) </w:t>
      </w:r>
      <w:r>
        <w:rPr>
          <w:rStyle w:val="Satznummer"/>
        </w:rPr>
        <w:t>1</w:t>
      </w:r>
      <w:r>
        <w:t xml:space="preserve">Die </w:t>
      </w:r>
      <w:hyperlink w:anchor="b755" w:history="1">
        <w:r>
          <w:rPr>
            <w:color w:val="0A3A8C"/>
            <w:u w:val="single"/>
          </w:rPr>
          <w:t xml:space="preserve">§§ 556d</w:t>
        </w:r>
      </w:hyperlink>
      <w:r>
        <w:t xml:space="preserve"> bis </w:t>
      </w:r>
      <w:hyperlink w:anchor="b758" w:history="1">
        <w:r>
          <w:rPr>
            <w:color w:val="0A3A8C"/>
            <w:u w:val="single"/>
          </w:rPr>
          <w:t xml:space="preserve">556g</w:t>
        </w:r>
      </w:hyperlink>
      <w:r>
        <w:t xml:space="preserve"> sind auf jede Mietstaffel anzuwenden. </w:t>
      </w:r>
      <w:r>
        <w:rPr>
          <w:rStyle w:val="Satznummer"/>
        </w:rPr>
        <w:t>2</w:t>
      </w:r>
      <w:r>
        <w:t xml:space="preserve">Maßgeblich für die Berechnung der nach </w:t>
      </w:r>
      <w:hyperlink w:anchor="b755" w:history="1">
        <w:r>
          <w:rPr>
            <w:color w:val="0A3A8C"/>
            <w:u w:val="single"/>
          </w:rPr>
          <w:t xml:space="preserve">§ 556d</w:t>
        </w:r>
      </w:hyperlink>
      <w:r>
        <w:t xml:space="preserve"> Absatz 1 zulässigen Höhe der zweiten und aller weiteren Mietstaffeln ist statt des Beginns des Mietverhältnisses der Zeitpunkt, zu dem die erste Miete der jeweiligen Mietstaffel fällig wird. </w:t>
      </w:r>
      <w:r>
        <w:rPr>
          <w:rStyle w:val="Satznummer"/>
        </w:rPr>
        <w:t>3</w:t>
      </w:r>
      <w:r>
        <w:t>Die in einer vorangegangenen Mietstaffel wirksam begründete Miethöhe bleibt erhalten.</w:t>
      </w:r>
    </w:p>
    <w:p>
      <w:r>
        <w:t>(5) Eine zum Nachteil des Mieters abweichende Vereinbarung ist unwirksam.</w:t>
      </w:r>
    </w:p>
    <w:p>
      <w:pPr>
        <w:pStyle w:val="Heading7"/>
      </w:pPr>
      <w:bookmarkStart w:id="775" w:name="b762"/>
      <w:r>
        <w:t>§ 557b Indexmiete</w:t>
      </w:r>
      <w:r>
        <w:t xml:space="preserve"> </w:t>
      </w:r>
      <w:r>
        <w:rPr>
          <w:rStyle w:val="Suchmarke"/>
        </w:rPr>
        <w:t>#557b#</w:t>
      </w:r>
      <w:bookmarkEnd w:id="775"/>
    </w:p>
    <w:p>
      <w:r>
        <w:t>(1) Die Vertragsparteien können schriftlich vereinbaren, dass die Miete durch den vom Statistischen Bundesamt ermittelten Preisindex für die Lebenshaltung aller privaten Haushalte in Deutschland bestimmt wird (Indexmiete).</w:t>
      </w:r>
    </w:p>
    <w:p>
      <w:r>
        <w:t xml:space="preserve">(2) </w:t>
      </w:r>
      <w:r>
        <w:rPr>
          <w:rStyle w:val="Satznummer"/>
        </w:rPr>
        <w:t>1</w:t>
      </w:r>
      <w:r>
        <w:t xml:space="preserve">Während der Geltung einer Indexmiete muss die Miete, von Erhöhungen nach den </w:t>
      </w:r>
      <w:hyperlink w:anchor="b769" w:history="1">
        <w:r>
          <w:rPr>
            <w:color w:val="0A3A8C"/>
            <w:u w:val="single"/>
          </w:rPr>
          <w:t xml:space="preserve">§§ 559</w:t>
        </w:r>
      </w:hyperlink>
      <w:r>
        <w:t xml:space="preserve"> bis </w:t>
      </w:r>
      <w:hyperlink w:anchor="b776" w:history="1">
        <w:r>
          <w:rPr>
            <w:color w:val="0A3A8C"/>
            <w:u w:val="single"/>
          </w:rPr>
          <w:t xml:space="preserve">560</w:t>
        </w:r>
      </w:hyperlink>
      <w:r>
        <w:t xml:space="preserve"> abgesehen, jeweils mindestens ein Jahr unverändert bleiben. </w:t>
      </w:r>
      <w:r>
        <w:rPr>
          <w:rStyle w:val="Satznummer"/>
        </w:rPr>
        <w:t>2</w:t>
      </w:r>
      <w:r>
        <w:t xml:space="preserve">Eine Erhöhung nach </w:t>
      </w:r>
      <w:hyperlink w:anchor="b769" w:history="1">
        <w:r>
          <w:rPr>
            <w:color w:val="0A3A8C"/>
            <w:u w:val="single"/>
          </w:rPr>
          <w:t xml:space="preserve">§ 559</w:t>
        </w:r>
      </w:hyperlink>
      <w:r>
        <w:t xml:space="preserve"> oder </w:t>
      </w:r>
      <w:hyperlink w:anchor="b774" w:history="1">
        <w:r>
          <w:rPr>
            <w:color w:val="0A3A8C"/>
            <w:u w:val="single"/>
          </w:rPr>
          <w:t xml:space="preserve">§ 559e</w:t>
        </w:r>
      </w:hyperlink>
      <w:r>
        <w:t xml:space="preserve"> kann nur verlangt werden, soweit der Vermieter bauliche Maßnahmen auf Grund von Umständen durchgeführt hat, die er nicht zu vertreten hat, es sei denn, es wurde eine Modernisierungsmaßnahme nach </w:t>
      </w:r>
      <w:hyperlink w:anchor="b743" w:history="1">
        <w:r>
          <w:rPr>
            <w:color w:val="0A3A8C"/>
            <w:u w:val="single"/>
          </w:rPr>
          <w:t xml:space="preserve">§ 555b</w:t>
        </w:r>
      </w:hyperlink>
      <w:r>
        <w:t xml:space="preserve"> Nummer 1a durchgeführt. </w:t>
      </w:r>
      <w:r>
        <w:rPr>
          <w:rStyle w:val="Satznummer"/>
        </w:rPr>
        <w:t>3</w:t>
      </w:r>
      <w:r>
        <w:t xml:space="preserve">Eine Erhöhung nach </w:t>
      </w:r>
      <w:hyperlink w:anchor="b763" w:history="1">
        <w:r>
          <w:rPr>
            <w:color w:val="0A3A8C"/>
            <w:u w:val="single"/>
          </w:rPr>
          <w:t xml:space="preserve">§ 558</w:t>
        </w:r>
      </w:hyperlink>
      <w:r>
        <w:t xml:space="preserve"> ist ausgeschlossen.</w:t>
      </w:r>
    </w:p>
    <w:p>
      <w:r>
        <w:t xml:space="preserve">(3) </w:t>
      </w:r>
      <w:r>
        <w:rPr>
          <w:rStyle w:val="Satznummer"/>
        </w:rPr>
        <w:t>1</w:t>
      </w:r>
      <w:r>
        <w:t xml:space="preserve">Eine Änderung der Miete nach Absatz 1 muss durch Erklärung in Textform geltend gemacht werden. </w:t>
      </w:r>
      <w:r>
        <w:rPr>
          <w:rStyle w:val="Satznummer"/>
        </w:rPr>
        <w:t>2</w:t>
      </w:r>
      <w:r>
        <w:t xml:space="preserve">Dabei sind die eingetretene Änderung des Preisindexes sowie die jeweilige Miete oder die Erhöhung in einem Geldbetrag anzugeben. </w:t>
      </w:r>
      <w:r>
        <w:rPr>
          <w:rStyle w:val="Satznummer"/>
        </w:rPr>
        <w:t>3</w:t>
      </w:r>
      <w:r>
        <w:t>Die geänderte Miete ist mit Beginn des übernächsten Monats nach dem Zugang der Erklärung zu entrichten.</w:t>
      </w:r>
    </w:p>
    <w:p>
      <w:r>
        <w:t xml:space="preserve">(4) Die </w:t>
      </w:r>
      <w:hyperlink w:anchor="b755" w:history="1">
        <w:r>
          <w:rPr>
            <w:color w:val="0A3A8C"/>
            <w:u w:val="single"/>
          </w:rPr>
          <w:t xml:space="preserve">§§ 556d</w:t>
        </w:r>
      </w:hyperlink>
      <w:r>
        <w:t xml:space="preserve"> bis </w:t>
      </w:r>
      <w:hyperlink w:anchor="b758" w:history="1">
        <w:r>
          <w:rPr>
            <w:color w:val="0A3A8C"/>
            <w:u w:val="single"/>
          </w:rPr>
          <w:t xml:space="preserve">556g</w:t>
        </w:r>
      </w:hyperlink>
      <w:r>
        <w:t xml:space="preserve"> sind nur auf die Ausgangsmiete einer Indexmietvereinbarung anzuwenden.</w:t>
      </w:r>
    </w:p>
    <w:p>
      <w:r>
        <w:t>(5) Eine zum Nachteil des Mieters abweichende Vereinbarung ist unwirksam.</w:t>
      </w:r>
    </w:p>
    <w:p>
      <w:pPr>
        <w:pStyle w:val="Heading7"/>
      </w:pPr>
      <w:bookmarkStart w:id="776" w:name="b763"/>
      <w:r>
        <w:t>§ 558 Mieterhöhung bis zur ortsüblichen Vergleichsmiete</w:t>
      </w:r>
      <w:r>
        <w:t xml:space="preserve"> </w:t>
      </w:r>
      <w:r>
        <w:rPr>
          <w:rStyle w:val="Suchmarke"/>
        </w:rPr>
        <w:t>#558#</w:t>
      </w:r>
      <w:bookmarkEnd w:id="776"/>
    </w:p>
    <w:p>
      <w:r>
        <w:t xml:space="preserve">(1) </w:t>
      </w:r>
      <w:r>
        <w:rPr>
          <w:rStyle w:val="Satznummer"/>
        </w:rPr>
        <w:t>1</w:t>
      </w:r>
      <w:r>
        <w:t xml:space="preserve">Der Vermieter kann die Zustimmung zu einer Erhöhung der Miete bis zur ortsüblichen Vergleichsmiete verlangen, wenn die Miete in dem Zeitpunkt, zu dem die Erhöhung eintreten soll, seit 15 Monaten unverändert ist. </w:t>
      </w:r>
      <w:r>
        <w:rPr>
          <w:rStyle w:val="Satznummer"/>
        </w:rPr>
        <w:t>2</w:t>
      </w:r>
      <w:r>
        <w:t xml:space="preserve">Das Mieterhöhungsverlangen kann frühestens ein Jahr nach der letzten Mieterhöhung geltend gemacht werden. </w:t>
      </w:r>
      <w:r>
        <w:rPr>
          <w:rStyle w:val="Satznummer"/>
        </w:rPr>
        <w:t>3</w:t>
      </w:r>
      <w:r>
        <w:t xml:space="preserve">Erhöhungen nach den </w:t>
      </w:r>
      <w:hyperlink w:anchor="b769" w:history="1">
        <w:r>
          <w:rPr>
            <w:color w:val="0A3A8C"/>
            <w:u w:val="single"/>
          </w:rPr>
          <w:t xml:space="preserve">§§ 559</w:t>
        </w:r>
      </w:hyperlink>
      <w:r>
        <w:t xml:space="preserve"> bis </w:t>
      </w:r>
      <w:hyperlink w:anchor="b776" w:history="1">
        <w:r>
          <w:rPr>
            <w:color w:val="0A3A8C"/>
            <w:u w:val="single"/>
          </w:rPr>
          <w:t xml:space="preserve">560</w:t>
        </w:r>
      </w:hyperlink>
      <w:r>
        <w:t xml:space="preserve"> werden nicht berücksichtigt.</w:t>
      </w:r>
    </w:p>
    <w:p>
      <w:r>
        <w:t xml:space="preserve">(2) </w:t>
      </w:r>
      <w:r>
        <w:rPr>
          <w:rStyle w:val="Satznummer"/>
        </w:rPr>
        <w:t>1</w:t>
      </w:r>
      <w:r>
        <w:t xml:space="preserve">Die ortsübliche Vergleichsmiete wird gebildet aus den üblichen Entgelten, die in der Gemeinde oder einer vergleichbaren Gemeinde für Wohnraum vergleichbarer Art, Größe, Ausstattung, Beschaffenheit und Lage einschließlich der energetischen Ausstattung und Beschaffenheit in den letzten sechs Jahren vereinbart oder, von Erhöhungen nach </w:t>
      </w:r>
      <w:hyperlink w:anchor="b776" w:history="1">
        <w:r>
          <w:rPr>
            <w:color w:val="0A3A8C"/>
            <w:u w:val="single"/>
          </w:rPr>
          <w:t xml:space="preserve">§ 560</w:t>
        </w:r>
      </w:hyperlink>
      <w:r>
        <w:t xml:space="preserve"> abgesehen, geändert worden sind. </w:t>
      </w:r>
      <w:r>
        <w:rPr>
          <w:rStyle w:val="Satznummer"/>
        </w:rPr>
        <w:t>2</w:t>
      </w:r>
      <w:r>
        <w:t>Ausgenommen ist Wohnraum, bei dem die Miethöhe durch Gesetz oder im Zusammenhang mit einer Förderzusage festgelegt worden ist.</w:t>
      </w:r>
    </w:p>
    <w:p>
      <w:r>
        <w:t xml:space="preserve">(3) </w:t>
      </w:r>
      <w:r>
        <w:rPr>
          <w:rStyle w:val="Satznummer"/>
        </w:rPr>
        <w:t>1</w:t>
      </w:r>
      <w:r>
        <w:t xml:space="preserve">Bei Erhöhungen nach Absatz 1 darf sich die Miete innerhalb von drei Jahren, von Erhöhungen nach den </w:t>
      </w:r>
      <w:hyperlink w:anchor="b769" w:history="1">
        <w:r>
          <w:rPr>
            <w:color w:val="0A3A8C"/>
            <w:u w:val="single"/>
          </w:rPr>
          <w:t xml:space="preserve">§§ 559</w:t>
        </w:r>
      </w:hyperlink>
      <w:r>
        <w:t xml:space="preserve"> bis </w:t>
      </w:r>
      <w:hyperlink w:anchor="b776" w:history="1">
        <w:r>
          <w:rPr>
            <w:color w:val="0A3A8C"/>
            <w:u w:val="single"/>
          </w:rPr>
          <w:t xml:space="preserve">560</w:t>
        </w:r>
      </w:hyperlink>
      <w:r>
        <w:t xml:space="preserve"> abgesehen, nicht um mehr als 20 vom Hundert erhöhen (Kappungsgrenze). </w:t>
      </w:r>
      <w:r>
        <w:rPr>
          <w:rStyle w:val="Satznummer"/>
        </w:rPr>
        <w:t>2</w:t>
      </w:r>
      <w:r>
        <w:t xml:space="preserve">Der Prozentsatz nach Satz 1 beträgt 15 vom Hundert, wenn die ausreichende Versorgung der Bevölkerung mit Mietwohnungen zu angemessenen Bedingungen in einer Gemeinde oder einem Teil einer Gemeinde besonders gefährdet ist und diese Gebiete nach Satz 3 bestimmt sind. </w:t>
      </w:r>
      <w:r>
        <w:rPr>
          <w:rStyle w:val="Satznummer"/>
        </w:rPr>
        <w:t>3</w:t>
      </w:r>
      <w:r>
        <w:t>Die Landesregierungen werden ermächtigt, diese Gebiete durch Rechtsverordnung für die Dauer von jeweils höchstens fünf Jahren zu bestimmen.</w:t>
      </w:r>
    </w:p>
    <w:p>
      <w:r>
        <w:t xml:space="preserve">(4) </w:t>
      </w:r>
      <w:r>
        <w:rPr>
          <w:rStyle w:val="Satznummer"/>
        </w:rPr>
        <w:t>1</w:t>
      </w:r>
      <w:r>
        <w:t>Die Kappungsgrenze gilt nicht,</w:t>
      </w:r>
    </w:p>
    <w:p>
      <w:pPr>
        <w:tabs>
          <w:tab w:pos="567" w:val="left"/>
        </w:tabs>
        <w:ind w:left="567" w:hanging="567"/>
      </w:pPr>
      <w:r>
        <w:t>1.</w:t>
      </w:r>
      <w:r>
        <w:tab/>
      </w:r>
      <w:r>
        <w:t>wenn eine Verpflichtung des Mieters zur Ausgleichszahlung nach den Vorschriften über den Abbau der Fehlsubventionierung im Wohnungswesen wegen des Wegfalls der öffentlichen Bindung erloschen ist und</w:t>
      </w:r>
    </w:p>
    <w:p>
      <w:pPr>
        <w:tabs>
          <w:tab w:pos="567" w:val="left"/>
        </w:tabs>
        <w:ind w:left="567" w:hanging="567"/>
      </w:pPr>
      <w:r>
        <w:t>2.</w:t>
      </w:r>
      <w:r>
        <w:tab/>
      </w:r>
      <w:r>
        <w:t>soweit die Erhöhung den Betrag der zuletzt zu entrichtenden Ausgleichszahlung nicht übersteigt.</w:t>
      </w:r>
    </w:p>
    <w:p>
      <w:r>
        <w:rPr>
          <w:rStyle w:val="Satznummer"/>
        </w:rPr>
        <w:t>2</w:t>
      </w:r>
      <w:r>
        <w:t xml:space="preserve">Der Vermieter kann vom Mieter frühestens vier Monate vor dem Wegfall der öffentlichen Bindung verlangen, ihm innerhalb eines Monats über die Verpflichtung zur Ausgleichszahlung und über deren Höhe Auskunft zu erteilen. </w:t>
      </w:r>
      <w:r>
        <w:rPr>
          <w:rStyle w:val="Satznummer"/>
        </w:rPr>
        <w:t>3</w:t>
      </w:r>
      <w:r>
        <w:t>Satz 1 gilt entsprechend, wenn die Verpflichtung des Mieters zur Leistung einer Ausgleichszahlung nach den §§ 34 bis 37 des Wohnraumförderungsgesetzes und den hierzu ergangenen landesrechtlichen Vorschriften wegen Wegfalls der Mietbindung erloschen ist.</w:t>
      </w:r>
    </w:p>
    <w:p>
      <w:r>
        <w:t xml:space="preserve">(5) Von dem Jahresbetrag, der sich bei einer Erhöhung auf die ortsübliche Vergleichsmiete ergäbe, sind Drittmittel im Sinne des </w:t>
      </w:r>
      <w:hyperlink w:anchor="b770" w:history="1">
        <w:r>
          <w:rPr>
            <w:color w:val="0A3A8C"/>
            <w:u w:val="single"/>
          </w:rPr>
          <w:t xml:space="preserve">§ 559a</w:t>
        </w:r>
      </w:hyperlink>
      <w:r>
        <w:t xml:space="preserve"> abzuziehen, im Falle des </w:t>
      </w:r>
      <w:hyperlink w:anchor="b770" w:history="1">
        <w:r>
          <w:rPr>
            <w:color w:val="0A3A8C"/>
            <w:u w:val="single"/>
          </w:rPr>
          <w:t xml:space="preserve">§ 559a</w:t>
        </w:r>
      </w:hyperlink>
      <w:r>
        <w:t xml:space="preserve"> Absatz 1 mit 8 Prozent des Zuschusses.</w:t>
      </w:r>
    </w:p>
    <w:p>
      <w:r>
        <w:t>(6) Eine zum Nachteil des Mieters abweichende Vereinbarung ist unwirksam.</w:t>
      </w:r>
    </w:p>
    <w:p>
      <w:pPr>
        <w:pStyle w:val="Heading7"/>
      </w:pPr>
      <w:bookmarkStart w:id="777" w:name="b764"/>
      <w:r>
        <w:t>§ 558a Form und Begründung der Mieterhöhung</w:t>
      </w:r>
      <w:r>
        <w:t xml:space="preserve"> </w:t>
      </w:r>
      <w:r>
        <w:rPr>
          <w:rStyle w:val="Suchmarke"/>
        </w:rPr>
        <w:t>#558a#</w:t>
      </w:r>
      <w:bookmarkEnd w:id="777"/>
    </w:p>
    <w:p>
      <w:r>
        <w:t xml:space="preserve">(1) Das Mieterhöhungsverlangen nach </w:t>
      </w:r>
      <w:hyperlink w:anchor="b763" w:history="1">
        <w:r>
          <w:rPr>
            <w:color w:val="0A3A8C"/>
            <w:u w:val="single"/>
          </w:rPr>
          <w:t xml:space="preserve">§ 558</w:t>
        </w:r>
      </w:hyperlink>
      <w:r>
        <w:t xml:space="preserve"> ist dem Mieter in Textform zu erklären und zu begründen.</w:t>
      </w:r>
    </w:p>
    <w:p>
      <w:r>
        <w:t>(2) Zur Begründung kann insbesondere Bezug genommen werden auf</w:t>
      </w:r>
    </w:p>
    <w:p>
      <w:pPr>
        <w:tabs>
          <w:tab w:pos="567" w:val="left"/>
        </w:tabs>
        <w:ind w:left="567" w:hanging="567"/>
      </w:pPr>
      <w:r>
        <w:t>1.</w:t>
      </w:r>
      <w:r>
        <w:tab/>
      </w:r>
      <w:r>
        <w:t>einen Mietspiegel (</w:t>
      </w:r>
      <w:hyperlink w:anchor="b766" w:history="1">
        <w:r>
          <w:rPr>
            <w:color w:val="0A3A8C"/>
            <w:u w:val="single"/>
          </w:rPr>
          <w:t xml:space="preserve">§§ 558c</w:t>
        </w:r>
      </w:hyperlink>
      <w:r>
        <w:t xml:space="preserve">, </w:t>
      </w:r>
      <w:hyperlink w:anchor="b767" w:history="1">
        <w:r>
          <w:rPr>
            <w:color w:val="0A3A8C"/>
            <w:u w:val="single"/>
          </w:rPr>
          <w:t xml:space="preserve">558d</w:t>
        </w:r>
      </w:hyperlink>
      <w:r>
        <w:t>),</w:t>
      </w:r>
    </w:p>
    <w:p>
      <w:pPr>
        <w:tabs>
          <w:tab w:pos="567" w:val="left"/>
        </w:tabs>
        <w:ind w:left="567" w:hanging="567"/>
      </w:pPr>
      <w:r>
        <w:t>2.</w:t>
      </w:r>
      <w:r>
        <w:tab/>
      </w:r>
      <w:r>
        <w:t>eine Auskunft aus einer Mietdatenbank (</w:t>
      </w:r>
      <w:hyperlink w:anchor="b768" w:history="1">
        <w:r>
          <w:rPr>
            <w:color w:val="0A3A8C"/>
            <w:u w:val="single"/>
          </w:rPr>
          <w:t xml:space="preserve">§ 558e</w:t>
        </w:r>
      </w:hyperlink>
      <w:r>
        <w:t>),</w:t>
      </w:r>
    </w:p>
    <w:p>
      <w:pPr>
        <w:tabs>
          <w:tab w:pos="567" w:val="left"/>
        </w:tabs>
        <w:ind w:left="567" w:hanging="567"/>
      </w:pPr>
      <w:r>
        <w:t>3.</w:t>
      </w:r>
      <w:r>
        <w:tab/>
      </w:r>
      <w:r>
        <w:t>ein mit Gründen versehenes Gutachten eines öffentlich bestellten und vereidigten Sachverständigen,</w:t>
      </w:r>
    </w:p>
    <w:p>
      <w:pPr>
        <w:tabs>
          <w:tab w:pos="567" w:val="left"/>
        </w:tabs>
        <w:ind w:left="567" w:hanging="567"/>
      </w:pPr>
      <w:r>
        <w:t>4.</w:t>
      </w:r>
      <w:r>
        <w:tab/>
      </w:r>
      <w:r>
        <w:t>entsprechende Entgelte für einzelne vergleichbare Wohnungen; hierbei genügt die Benennung von drei Wohnungen.</w:t>
      </w:r>
    </w:p>
    <w:p>
      <w:r>
        <w:t>(3) Enthält ein qualifizierter Mietspiegel (</w:t>
      </w:r>
      <w:hyperlink w:anchor="b767" w:history="1">
        <w:r>
          <w:rPr>
            <w:color w:val="0A3A8C"/>
            <w:u w:val="single"/>
          </w:rPr>
          <w:t xml:space="preserve">§ 558d</w:t>
        </w:r>
      </w:hyperlink>
      <w:r>
        <w:t xml:space="preserve"> Abs. 1), bei dem die Vorschrift des </w:t>
      </w:r>
      <w:hyperlink w:anchor="b767" w:history="1">
        <w:r>
          <w:rPr>
            <w:color w:val="0A3A8C"/>
            <w:u w:val="single"/>
          </w:rPr>
          <w:t xml:space="preserve">§ 558d</w:t>
        </w:r>
      </w:hyperlink>
      <w:r>
        <w:t xml:space="preserve"> Abs. 2 eingehalten ist, Angaben für die Wohnung, so hat der Vermieter in seinem Mieterhöhungsverlangen diese Angaben auch dann mitzuteilen, wenn er die Mieterhöhung auf ein anderes Begründungsmittel nach Absatz 2 stützt.</w:t>
      </w:r>
    </w:p>
    <w:p>
      <w:r>
        <w:t xml:space="preserve">(4) </w:t>
      </w:r>
      <w:r>
        <w:rPr>
          <w:rStyle w:val="Satznummer"/>
        </w:rPr>
        <w:t>1</w:t>
      </w:r>
      <w:r>
        <w:t xml:space="preserve">Bei der Bezugnahme auf einen Mietspiegel, der Spannen enthält, reicht es aus, wenn die verlangte Miete innerhalb der Spanne liegt. </w:t>
      </w:r>
      <w:r>
        <w:rPr>
          <w:rStyle w:val="Satznummer"/>
        </w:rPr>
        <w:t>2</w:t>
      </w:r>
      <w:r>
        <w:t xml:space="preserve">Ist in dem Zeitpunkt, in dem der Vermieter seine Erklärung abgibt, kein Mietspiegel vorhanden, bei dem </w:t>
      </w:r>
      <w:hyperlink w:anchor="b766" w:history="1">
        <w:r>
          <w:rPr>
            <w:color w:val="0A3A8C"/>
            <w:u w:val="single"/>
          </w:rPr>
          <w:t xml:space="preserve">§ 558c</w:t>
        </w:r>
      </w:hyperlink>
      <w:r>
        <w:t xml:space="preserve"> Abs. 3 oder </w:t>
      </w:r>
      <w:hyperlink w:anchor="b767" w:history="1">
        <w:r>
          <w:rPr>
            <w:color w:val="0A3A8C"/>
            <w:u w:val="single"/>
          </w:rPr>
          <w:t xml:space="preserve">§ 558d</w:t>
        </w:r>
      </w:hyperlink>
      <w:r>
        <w:t xml:space="preserve"> Abs. 2 eingehalten ist, so kann auch ein anderer, insbesondere ein veralteter Mietspiegel oder ein Mietspiegel einer vergleichbaren Gemeinde verwendet werden.</w:t>
      </w:r>
    </w:p>
    <w:p>
      <w:r>
        <w:t>(5) Eine zum Nachteil des Mieters abweichende Vereinbarung ist unwirksam.</w:t>
      </w:r>
    </w:p>
    <w:p>
      <w:pPr>
        <w:pStyle w:val="Heading7"/>
      </w:pPr>
      <w:bookmarkStart w:id="778" w:name="b765"/>
      <w:r>
        <w:t>§ 558b Zustimmung zur Mieterhöhung</w:t>
      </w:r>
      <w:r>
        <w:t xml:space="preserve"> </w:t>
      </w:r>
      <w:r>
        <w:rPr>
          <w:rStyle w:val="Suchmarke"/>
        </w:rPr>
        <w:t>#558b#</w:t>
      </w:r>
      <w:bookmarkEnd w:id="778"/>
    </w:p>
    <w:p>
      <w:r>
        <w:t>(1) Soweit der Mieter der Mieterhöhung zustimmt, schuldet er die erhöhte Miete mit Beginn des dritten Kalendermonats nach dem Zugang des Erhöhungsverlangens.</w:t>
      </w:r>
    </w:p>
    <w:p>
      <w:r>
        <w:t xml:space="preserve">(2) </w:t>
      </w:r>
      <w:r>
        <w:rPr>
          <w:rStyle w:val="Satznummer"/>
        </w:rPr>
        <w:t>1</w:t>
      </w:r>
      <w:r>
        <w:t xml:space="preserve">Soweit der Mieter der Mieterhöhung nicht bis zum Ablauf des zweiten Kalendermonats nach dem Zugang des Verlangens zustimmt, kann der Vermieter auf Erteilung der Zustimmung klagen. </w:t>
      </w:r>
      <w:r>
        <w:rPr>
          <w:rStyle w:val="Satznummer"/>
        </w:rPr>
        <w:t>2</w:t>
      </w:r>
      <w:r>
        <w:t>Die Klage muss innerhalb von drei weiteren Monaten erhoben werden.</w:t>
      </w:r>
    </w:p>
    <w:p>
      <w:r>
        <w:t xml:space="preserve">(3) </w:t>
      </w:r>
      <w:r>
        <w:rPr>
          <w:rStyle w:val="Satznummer"/>
        </w:rPr>
        <w:t>1</w:t>
      </w:r>
      <w:r>
        <w:t xml:space="preserve">Ist der Klage ein Erhöhungsverlangen vorausgegangen, das den Anforderungen des </w:t>
      </w:r>
      <w:hyperlink w:anchor="b764" w:history="1">
        <w:r>
          <w:rPr>
            <w:color w:val="0A3A8C"/>
            <w:u w:val="single"/>
          </w:rPr>
          <w:t xml:space="preserve">§ 558a</w:t>
        </w:r>
      </w:hyperlink>
      <w:r>
        <w:t xml:space="preserve"> nicht entspricht, so kann es der Vermieter im Rechtsstreit nachholen oder die Mängel des Erhöhungsverlangens beheben. </w:t>
      </w:r>
      <w:r>
        <w:rPr>
          <w:rStyle w:val="Satznummer"/>
        </w:rPr>
        <w:t>2</w:t>
      </w:r>
      <w:r>
        <w:t>Dem Mieter steht auch in diesem Fall die Zustimmungsfrist nach Absatz 2 Satz 1 zu.</w:t>
      </w:r>
    </w:p>
    <w:p>
      <w:r>
        <w:t>(4) Eine zum Nachteil des Mieters abweichende Vereinbarung ist unwirksam.</w:t>
      </w:r>
    </w:p>
    <w:p>
      <w:pPr>
        <w:pStyle w:val="Heading7"/>
      </w:pPr>
      <w:bookmarkStart w:id="779" w:name="b766"/>
      <w:r>
        <w:t>§ 558c Mietspiegel; Verordnungsermächtigung</w:t>
      </w:r>
      <w:r>
        <w:t xml:space="preserve"> </w:t>
      </w:r>
      <w:r>
        <w:rPr>
          <w:rStyle w:val="Suchmarke"/>
        </w:rPr>
        <w:t>#558c#</w:t>
      </w:r>
      <w:bookmarkEnd w:id="779"/>
    </w:p>
    <w:p>
      <w:r>
        <w:t>(1) Ein Mietspiegel ist eine Übersicht über die ortsübliche Vergleichsmiete, soweit die Übersicht von der nach Landesrecht zuständigen Behörde oder von Interessenvertretern der Vermieter und der Mieter gemeinsam erstellt oder anerkannt worden ist.</w:t>
      </w:r>
    </w:p>
    <w:p>
      <w:r>
        <w:t>(2) Mietspiegel können für das Gebiet einer Gemeinde oder mehrerer Gemeinden oder für Teile von Gemeinden erstellt werden.</w:t>
      </w:r>
    </w:p>
    <w:p>
      <w:r>
        <w:t>(3) Mietspiegel sollen im Abstand von zwei Jahren der Marktentwicklung angepasst werden.</w:t>
      </w:r>
    </w:p>
    <w:p>
      <w:r>
        <w:t xml:space="preserve">(4) </w:t>
      </w:r>
      <w:r>
        <w:rPr>
          <w:rStyle w:val="Satznummer"/>
        </w:rPr>
        <w:t>1</w:t>
      </w:r>
      <w:r>
        <w:t xml:space="preserve">Die nach Landesrecht zuständigen Behörden sollen Mietspiegel erstellen, wenn hierfür ein Bedürfnis besteht und dies mit einem vertretbaren Aufwand möglich ist. </w:t>
      </w:r>
      <w:r>
        <w:rPr>
          <w:rStyle w:val="Satznummer"/>
        </w:rPr>
        <w:t>2</w:t>
      </w:r>
      <w:r>
        <w:t xml:space="preserve">Für Gemeinden mit mehr als 50 000 Einwohnern sind Mietspiegel zu erstellen. </w:t>
      </w:r>
      <w:r>
        <w:rPr>
          <w:rStyle w:val="Satznummer"/>
        </w:rPr>
        <w:t>3</w:t>
      </w:r>
      <w:r>
        <w:t>Die Mietspiegel und ihre Änderungen sind zu veröffentlichen.</w:t>
      </w:r>
    </w:p>
    <w:p>
      <w:r>
        <w:t>(5) Die Bundesregierung wird ermächtigt, durch Rechtsverordnung mit Zustimmung des Bundesrates Vorschriften zu erlassen über den näheren Inhalt von Mietspiegeln und das Verfahren zu deren Erstellung und Anpassung einschließlich Dokumentation und Veröffentlichung.</w:t>
      </w:r>
    </w:p>
    <w:p>
      <w:pPr>
        <w:pStyle w:val="Heading7"/>
      </w:pPr>
      <w:bookmarkStart w:id="780" w:name="b767"/>
      <w:r>
        <w:t>§ 558d Qualifizierter Mietspiegel</w:t>
      </w:r>
      <w:r>
        <w:t xml:space="preserve"> </w:t>
      </w:r>
      <w:r>
        <w:rPr>
          <w:rStyle w:val="Suchmarke"/>
        </w:rPr>
        <w:t>#558d#</w:t>
      </w:r>
      <w:bookmarkEnd w:id="780"/>
    </w:p>
    <w:p>
      <w:r>
        <w:t xml:space="preserve">(1) </w:t>
      </w:r>
      <w:r>
        <w:rPr>
          <w:rStyle w:val="Satznummer"/>
        </w:rPr>
        <w:t>1</w:t>
      </w:r>
      <w:r>
        <w:t xml:space="preserve">Ein qualifizierter Mietspiegel ist ein Mietspiegel, der nach anerkannten wissenschaftlichen Grundsätzen erstellt und von der nach Landesrecht zuständigen Behörde oder von Interessenvertretern der Vermieter und der Mieter anerkannt worden ist. </w:t>
      </w:r>
      <w:r>
        <w:rPr>
          <w:rStyle w:val="Satznummer"/>
        </w:rPr>
        <w:t>2</w:t>
      </w:r>
      <w:r>
        <w:t xml:space="preserve">Entspricht ein Mietspiegel den Anforderungen, die eine nach </w:t>
      </w:r>
      <w:hyperlink w:anchor="b766" w:history="1">
        <w:r>
          <w:rPr>
            <w:color w:val="0A3A8C"/>
            <w:u w:val="single"/>
          </w:rPr>
          <w:t xml:space="preserve">§ 558c</w:t>
        </w:r>
      </w:hyperlink>
      <w:r>
        <w:t xml:space="preserve"> Absatz 5 erlassene Rechtsverordnung an qualifizierte Mietspiegel richtet, wird vermutet, dass er nach anerkannten wissenschaftlichen Grundsätzen erstellt wurde. </w:t>
      </w:r>
      <w:r>
        <w:rPr>
          <w:rStyle w:val="Satznummer"/>
        </w:rPr>
        <w:t>3</w:t>
      </w:r>
      <w:r>
        <w:t>Haben die nach Landesrecht zuständige Behörde und Interessenvertreter der Vermieter und der Mieter den Mietspiegel als qualifizierten Mietspiegel anerkannt, so wird vermutet, dass der Mietspiegel anerkannten wissenschaftlichen Grundsätzen entspricht.</w:t>
      </w:r>
    </w:p>
    <w:p>
      <w:r>
        <w:t xml:space="preserve">(2) </w:t>
      </w:r>
      <w:r>
        <w:rPr>
          <w:rStyle w:val="Satznummer"/>
        </w:rPr>
        <w:t>1</w:t>
      </w:r>
      <w:r>
        <w:t xml:space="preserve">Der qualifizierte Mietspiegel ist im Abstand von zwei Jahren der Marktentwicklung anzupassen. </w:t>
      </w:r>
      <w:r>
        <w:rPr>
          <w:rStyle w:val="Satznummer"/>
        </w:rPr>
        <w:t>2</w:t>
      </w:r>
      <w:r>
        <w:t xml:space="preserve">Dabei kann eine Stichprobe oder die Entwicklung des vom Statistischen Bundesamt ermittelten Preisindexes für die Lebenshaltung aller privaten Haushalte in Deutschland zugrunde gelegt werden. </w:t>
      </w:r>
      <w:r>
        <w:rPr>
          <w:rStyle w:val="Satznummer"/>
        </w:rPr>
        <w:t>3</w:t>
      </w:r>
      <w:r>
        <w:t xml:space="preserve">Nach vier Jahren ist der qualifizierte Mietspiegel neu zu erstellen. </w:t>
      </w:r>
      <w:r>
        <w:rPr>
          <w:rStyle w:val="Satznummer"/>
        </w:rPr>
        <w:t>4</w:t>
      </w:r>
      <w:r>
        <w:t xml:space="preserve">Maßgeblicher Zeitpunkt für die Anpassung nach Satz 1 und für die Neuerstellung nach Satz 3 ist der Stichtag, zu dem die Daten für den Mietspiegel erhoben wurden. </w:t>
      </w:r>
      <w:r>
        <w:rPr>
          <w:rStyle w:val="Satznummer"/>
        </w:rPr>
        <w:t>5</w:t>
      </w:r>
      <w:r>
        <w:t>Satz 4 gilt entsprechend für die Veröffentlichung des Mietspiegels.</w:t>
      </w:r>
    </w:p>
    <w:p>
      <w:r>
        <w:t>(3) Ist die Vorschrift des Absatzes 2 eingehalten, so wird vermutet, dass die im qualifizierten Mietspiegel bezeichneten Entgelte die ortsübliche Vergleichsmiete wiedergeben.</w:t>
      </w:r>
    </w:p>
    <w:p>
      <w:pPr>
        <w:pStyle w:val="Heading7"/>
      </w:pPr>
      <w:bookmarkStart w:id="781" w:name="b768"/>
      <w:r>
        <w:t>§ 558e Mietdatenbank</w:t>
      </w:r>
      <w:r>
        <w:t xml:space="preserve"> </w:t>
      </w:r>
      <w:r>
        <w:rPr>
          <w:rStyle w:val="Suchmarke"/>
        </w:rPr>
        <w:t>#558e#</w:t>
      </w:r>
      <w:bookmarkEnd w:id="781"/>
    </w:p>
    <w:p>
      <w:r>
        <w:t>Eine Mietdatenbank ist eine zur Ermittlung der ortsüblichen Vergleichsmiete fortlaufend geführte Sammlung von Mieten, die von der Gemeinde oder von Interessenvertretern der Vermieter und der Mieter gemeinsam geführt oder anerkannt wird und aus der Auskünfte gegeben werden, die für einzelne Wohnungen einen Schluss auf die ortsübliche Vergleichsmiete zulassen.</w:t>
      </w:r>
    </w:p>
    <w:p>
      <w:pPr>
        <w:pStyle w:val="Heading7"/>
      </w:pPr>
      <w:bookmarkStart w:id="782" w:name="b769"/>
      <w:r>
        <w:t>§ 559 Mieterhöhung nach Modernisierungsmaßnahmen</w:t>
      </w:r>
      <w:r>
        <w:t xml:space="preserve"> </w:t>
      </w:r>
      <w:r>
        <w:rPr>
          <w:rStyle w:val="Suchmarke"/>
        </w:rPr>
        <w:t>#559#</w:t>
      </w:r>
      <w:bookmarkEnd w:id="782"/>
    </w:p>
    <w:p>
      <w:r>
        <w:t xml:space="preserve">(1) </w:t>
      </w:r>
      <w:r>
        <w:rPr>
          <w:rStyle w:val="Satznummer"/>
        </w:rPr>
        <w:t>1</w:t>
      </w:r>
      <w:r>
        <w:t xml:space="preserve">Hat der Vermieter Modernisierungsmaßnahmen im Sinne des </w:t>
      </w:r>
      <w:hyperlink w:anchor="b743" w:history="1">
        <w:r>
          <w:rPr>
            <w:color w:val="0A3A8C"/>
            <w:u w:val="single"/>
          </w:rPr>
          <w:t xml:space="preserve">§ 555b</w:t>
        </w:r>
      </w:hyperlink>
      <w:r>
        <w:t xml:space="preserve"> Nummer 1, 3, 4, 5 oder 6 durchgeführt, so kann er die jährliche Miete um 8 Prozent der für die Wohnung aufgewendeten Kosten erhöhen. </w:t>
      </w:r>
      <w:r>
        <w:rPr>
          <w:rStyle w:val="Satznummer"/>
        </w:rPr>
        <w:t>2</w:t>
      </w:r>
      <w:r>
        <w:t xml:space="preserve">Im Fall des </w:t>
      </w:r>
      <w:hyperlink w:anchor="b743" w:history="1">
        <w:r>
          <w:rPr>
            <w:color w:val="0A3A8C"/>
            <w:u w:val="single"/>
          </w:rPr>
          <w:t xml:space="preserve">§ 555b</w:t>
        </w:r>
      </w:hyperlink>
      <w:r>
        <w:t xml:space="preserve"> Nummer 4a ist die Erhöhung nur zulässig, wenn der Mieter seinen Anbieter von öffentlich zugänglichen Telekommunikationsdiensten über den errichteten Anschluss frei wählen kann und der Vermieter kein Bereitstellungsentgelt gemäß § 72 des Telekommunikationsgesetzes als Betriebskosten umlegt oder umgelegt hat.</w:t>
      </w:r>
    </w:p>
    <w:p>
      <w:r>
        <w:t xml:space="preserve">(2) </w:t>
      </w:r>
      <w:r>
        <w:rPr>
          <w:rStyle w:val="Satznummer"/>
        </w:rPr>
        <w:t>1</w:t>
      </w:r>
      <w:r>
        <w:t xml:space="preserve">Kosten, die für Erhaltungsmaßnahmen erforderlich gewesen wären, gehören nicht zu den aufgewendeten Kosten nach Absatz 1; sie sind, soweit erforderlich, durch Schätzung zu ermitteln. </w:t>
      </w:r>
      <w:r>
        <w:rPr>
          <w:rStyle w:val="Satznummer"/>
        </w:rPr>
        <w:t>2</w:t>
      </w:r>
      <w:r>
        <w:t>Dabei ist der Abnutzungsgrad der Bauteile und Einrichtungen, die von einer modernisierenden Erneuerung erfasst werden, angemessen zu berücksichtigen.</w:t>
      </w:r>
    </w:p>
    <w:p>
      <w:r>
        <w:t>(3) Werden Modernisierungsmaßnahmen für mehrere Wohnungen durchgeführt, so sind die Kosten angemessen auf die einzelnen Wohnungen aufzuteilen.</w:t>
      </w:r>
    </w:p>
    <w:p>
      <w:r>
        <w:t xml:space="preserve">(3a) </w:t>
      </w:r>
      <w:r>
        <w:rPr>
          <w:rStyle w:val="Satznummer"/>
        </w:rPr>
        <w:t>1</w:t>
      </w:r>
      <w:r>
        <w:t xml:space="preserve">Bei Erhöhungen der jährlichen Miete nach Absatz 1 darf sich die monatliche Miete innerhalb von sechs Jahren, von Erhöhungen nach </w:t>
      </w:r>
      <w:hyperlink w:anchor="b763" w:history="1">
        <w:r>
          <w:rPr>
            <w:color w:val="0A3A8C"/>
            <w:u w:val="single"/>
          </w:rPr>
          <w:t xml:space="preserve">§ 558</w:t>
        </w:r>
      </w:hyperlink>
      <w:r>
        <w:t xml:space="preserve"> oder </w:t>
      </w:r>
      <w:hyperlink w:anchor="b776" w:history="1">
        <w:r>
          <w:rPr>
            <w:color w:val="0A3A8C"/>
            <w:u w:val="single"/>
          </w:rPr>
          <w:t xml:space="preserve">§ 560</w:t>
        </w:r>
      </w:hyperlink>
      <w:r>
        <w:t xml:space="preserve"> abgesehen, nicht um mehr als 3 Euro je Quadratmeter Wohnfläche erhöhen. </w:t>
      </w:r>
      <w:r>
        <w:rPr>
          <w:rStyle w:val="Satznummer"/>
        </w:rPr>
        <w:t>2</w:t>
      </w:r>
      <w:r>
        <w:t xml:space="preserve">Beträgt die monatliche Miete vor der Mieterhöhung weniger als 7 Euro pro Quadratmeter Wohnfläche, so darf sie sich abweichend von Satz 1 nicht um mehr als 2 Euro je Quadratmeter Wohnfläche erhöhen. </w:t>
      </w:r>
      <w:r>
        <w:rPr>
          <w:rStyle w:val="Satznummer"/>
        </w:rPr>
        <w:t>3</w:t>
      </w:r>
      <w:r>
        <w:t xml:space="preserve">Sind bei einer Modernisierungsmaßnahme, die mittels Einbaus oder Aufstellung einer Heizungsanlage zum Zwecke der Inbetriebnahme in einem Gebäude durchgeführt wird und die zu einer Erhöhung der jährlichen Miete nach Absatz 1 berechtigt, zugleich die Voraussetzungen des </w:t>
      </w:r>
      <w:hyperlink w:anchor="b743" w:history="1">
        <w:r>
          <w:rPr>
            <w:color w:val="0A3A8C"/>
            <w:u w:val="single"/>
          </w:rPr>
          <w:t xml:space="preserve">§ 555b</w:t>
        </w:r>
      </w:hyperlink>
      <w:r>
        <w:t xml:space="preserve"> Nummer 1 oder Nummer 1a erfüllt, so darf sich die monatliche Miete insoweit um nicht mehr als 0,50 Euro je Quadratmeter Wohnfläche innerhalb von sechs Jahren erhöhen; die Sätze 1 und 2 bleiben unberührt.</w:t>
      </w:r>
    </w:p>
    <w:p>
      <w:r>
        <w:t xml:space="preserve">(4) </w:t>
      </w:r>
      <w:r>
        <w:rPr>
          <w:rStyle w:val="Satznummer"/>
        </w:rPr>
        <w:t>1</w:t>
      </w:r>
      <w:r>
        <w:t xml:space="preserve">Die Mieterhöhung ist ausgeschlossen, soweit sie auch unter Berücksichtigung der voraussichtlichen künftigen Betriebskosten für den Mieter eine Härte bedeuten würde, die auch unter Würdigung der berechtigten Interessen des Vermieters nicht zu rechtfertigen ist. </w:t>
      </w:r>
      <w:r>
        <w:rPr>
          <w:rStyle w:val="Satznummer"/>
        </w:rPr>
        <w:t>2</w:t>
      </w:r>
      <w:r>
        <w:t>Eine Abwägung nach Satz 1 findet nicht statt, wenn</w:t>
      </w:r>
    </w:p>
    <w:p>
      <w:pPr>
        <w:tabs>
          <w:tab w:pos="567" w:val="left"/>
        </w:tabs>
        <w:ind w:left="567" w:hanging="567"/>
      </w:pPr>
      <w:r>
        <w:t>1.</w:t>
      </w:r>
      <w:r>
        <w:tab/>
      </w:r>
      <w:r>
        <w:t>die Mietsache lediglich in einen Zustand versetzt wurde, der allgemein üblich ist, oder</w:t>
      </w:r>
    </w:p>
    <w:p>
      <w:pPr>
        <w:tabs>
          <w:tab w:pos="567" w:val="left"/>
        </w:tabs>
        <w:ind w:left="567" w:hanging="567"/>
      </w:pPr>
      <w:r>
        <w:t>2.</w:t>
      </w:r>
      <w:r>
        <w:tab/>
      </w:r>
      <w:r>
        <w:t xml:space="preserve">die Modernisierungsmaßnahme auf Grund von Umständen durchgeführt wurde, die der Vermieter nicht zu vertreten hatte, es sei denn, die Modernisierungsmaßnahme erfüllt auch die Voraussetzungen des </w:t>
      </w:r>
      <w:hyperlink w:anchor="b743" w:history="1">
        <w:r>
          <w:rPr>
            <w:color w:val="0A3A8C"/>
            <w:u w:val="single"/>
          </w:rPr>
          <w:t xml:space="preserve">§ 555b</w:t>
        </w:r>
      </w:hyperlink>
      <w:r>
        <w:t xml:space="preserve"> Nummer 1 oder Nummer 1a und wurde mittels Einbaus oder Aufstellung einer Heizungsanlage zum Zwecke der Inbetriebnahme in einem Gebäude durchgeführt.</w:t>
      </w:r>
    </w:p>
    <w:p>
      <w:r>
        <w:t xml:space="preserve">(5) </w:t>
      </w:r>
      <w:r>
        <w:rPr>
          <w:rStyle w:val="Satznummer"/>
        </w:rPr>
        <w:t>1</w:t>
      </w:r>
      <w:r>
        <w:t xml:space="preserve">Umstände, die eine Härte nach Absatz 4 Satz 1 begründen, sind nur zu berücksichtigen, wenn sie nach </w:t>
      </w:r>
      <w:hyperlink w:anchor="b745" w:history="1">
        <w:r>
          <w:rPr>
            <w:color w:val="0A3A8C"/>
            <w:u w:val="single"/>
          </w:rPr>
          <w:t xml:space="preserve">§ 555d</w:t>
        </w:r>
      </w:hyperlink>
      <w:r>
        <w:t xml:space="preserve"> Absatz 3 bis 5 rechtzeitig mitgeteilt worden sind. </w:t>
      </w:r>
      <w:r>
        <w:rPr>
          <w:rStyle w:val="Satznummer"/>
        </w:rPr>
        <w:t>2</w:t>
      </w:r>
      <w:r>
        <w:t>Die Bestimmungen über die Ausschlussfrist nach Satz 1 sind nicht anzuwenden, wenn die tatsächliche Mieterhöhung die angekündigte um mehr als 10 Prozent übersteigt.</w:t>
      </w:r>
    </w:p>
    <w:p>
      <w:r>
        <w:t>(6) Eine zum Nachteil des Mieters abweichende Vereinbarung ist unwirksam.</w:t>
      </w:r>
    </w:p>
    <w:p>
      <w:pPr>
        <w:pStyle w:val="Heading7"/>
      </w:pPr>
      <w:bookmarkStart w:id="783" w:name="b770"/>
      <w:r>
        <w:t>§ 559a Anrechnung von Drittmitteln</w:t>
      </w:r>
      <w:r>
        <w:t xml:space="preserve"> </w:t>
      </w:r>
      <w:r>
        <w:rPr>
          <w:rStyle w:val="Suchmarke"/>
        </w:rPr>
        <w:t>#559a#</w:t>
      </w:r>
      <w:bookmarkEnd w:id="783"/>
    </w:p>
    <w:p>
      <w:r>
        <w:t xml:space="preserve">(1) Kosten, die vom Mieter oder für diesen von einem Dritten übernommen oder die mit Zuschüssen aus öffentlichen Haushalten gedeckt werden, gehören nicht zu den aufgewendeten Kosten im Sinne des </w:t>
      </w:r>
      <w:hyperlink w:anchor="b769" w:history="1">
        <w:r>
          <w:rPr>
            <w:color w:val="0A3A8C"/>
            <w:u w:val="single"/>
          </w:rPr>
          <w:t xml:space="preserve">§ 559</w:t>
        </w:r>
      </w:hyperlink>
      <w:r>
        <w:t>.</w:t>
      </w:r>
    </w:p>
    <w:p>
      <w:r>
        <w:t xml:space="preserve">(2) </w:t>
      </w:r>
      <w:r>
        <w:rPr>
          <w:rStyle w:val="Satznummer"/>
        </w:rPr>
        <w:t>1</w:t>
      </w:r>
      <w:r>
        <w:t xml:space="preserve">Werden die Kosten für die Modernisierungsmaßnahmen ganz oder teilweise durch zinsverbilligte oder zinslose Darlehen aus öffentlichen Haushalten gedeckt, so verringert sich der Erhöhungsbetrag nach </w:t>
      </w:r>
      <w:hyperlink w:anchor="b769" w:history="1">
        <w:r>
          <w:rPr>
            <w:color w:val="0A3A8C"/>
            <w:u w:val="single"/>
          </w:rPr>
          <w:t xml:space="preserve">§ 559</w:t>
        </w:r>
      </w:hyperlink>
      <w:r>
        <w:t xml:space="preserve"> um den Jahresbetrag der Zinsermäßigung. </w:t>
      </w:r>
      <w:r>
        <w:rPr>
          <w:rStyle w:val="Satznummer"/>
        </w:rPr>
        <w:t>2</w:t>
      </w:r>
      <w:r>
        <w:t xml:space="preserve">Dieser wird errechnet aus dem Unterschied zwischen dem ermäßigten Zinssatz und dem marktüblichen Zinssatz für den Ursprungsbetrag des Darlehens. </w:t>
      </w:r>
      <w:r>
        <w:rPr>
          <w:rStyle w:val="Satznummer"/>
        </w:rPr>
        <w:t>3</w:t>
      </w:r>
      <w:r>
        <w:t xml:space="preserve">Maßgebend ist der marktübliche Zinssatz für erstrangige Hypotheken zum Zeitpunkt der Beendigung der Modernisierungsmaßnahmen. </w:t>
      </w:r>
      <w:r>
        <w:rPr>
          <w:rStyle w:val="Satznummer"/>
        </w:rPr>
        <w:t>4</w:t>
      </w:r>
      <w:r>
        <w:t>Werden Zuschüsse oder Darlehen zur Deckung von laufenden Aufwendungen gewährt, so verringert sich der Erhöhungsbetrag um den Jahresbetrag des Zuschusses oder Darlehens.</w:t>
      </w:r>
    </w:p>
    <w:p>
      <w:r>
        <w:t xml:space="preserve">(3) </w:t>
      </w:r>
      <w:r>
        <w:rPr>
          <w:rStyle w:val="Satznummer"/>
        </w:rPr>
        <w:t>1</w:t>
      </w:r>
      <w:r>
        <w:t xml:space="preserve">Ein Mieterdarlehen, eine Mietvorauszahlung oder eine von einem Dritten für den Mieter erbrachte Leistung für die Modernisierungsmaßnahmen stehen einem Darlehen aus öffentlichen Haushalten gleich. </w:t>
      </w:r>
      <w:r>
        <w:rPr>
          <w:rStyle w:val="Satznummer"/>
        </w:rPr>
        <w:t>2</w:t>
      </w:r>
      <w:r>
        <w:t>Mittel der Finanzierungsinstitute des Bundes oder eines Landes gelten als Mittel aus öffentlichen Haushalten.</w:t>
      </w:r>
    </w:p>
    <w:p>
      <w:r>
        <w:t>(4) Kann nicht festgestellt werden, in welcher Höhe Zuschüsse oder Darlehen für die einzelnen Wohnungen gewährt worden sind, so sind sie nach dem Verhältnis der für die einzelnen Wohnungen aufgewendeten Kosten aufzuteilen.</w:t>
      </w:r>
    </w:p>
    <w:p>
      <w:r>
        <w:t>(5) Eine zum Nachteil des Mieters abweichende Vereinbarung ist unwirksam.</w:t>
      </w:r>
    </w:p>
    <w:p>
      <w:pPr>
        <w:pStyle w:val="Heading7"/>
      </w:pPr>
      <w:bookmarkStart w:id="784" w:name="b771"/>
      <w:r>
        <w:t>§ 559b Geltendmachung der Erhöhung, Wirkung der Erhöhungserklärung</w:t>
      </w:r>
      <w:r>
        <w:t xml:space="preserve"> </w:t>
      </w:r>
      <w:r>
        <w:rPr>
          <w:rStyle w:val="Suchmarke"/>
        </w:rPr>
        <w:t>#559b#</w:t>
      </w:r>
      <w:bookmarkEnd w:id="784"/>
    </w:p>
    <w:p>
      <w:r>
        <w:t xml:space="preserve">(1) </w:t>
      </w:r>
      <w:r>
        <w:rPr>
          <w:rStyle w:val="Satznummer"/>
        </w:rPr>
        <w:t>1</w:t>
      </w:r>
      <w:r>
        <w:t xml:space="preserve">Die Mieterhöhung nach </w:t>
      </w:r>
      <w:hyperlink w:anchor="b769" w:history="1">
        <w:r>
          <w:rPr>
            <w:color w:val="0A3A8C"/>
            <w:u w:val="single"/>
          </w:rPr>
          <w:t xml:space="preserve">§ 559</w:t>
        </w:r>
      </w:hyperlink>
      <w:r>
        <w:t xml:space="preserve"> ist dem Mieter in Textform zu erklären. </w:t>
      </w:r>
      <w:r>
        <w:rPr>
          <w:rStyle w:val="Satznummer"/>
        </w:rPr>
        <w:t>2</w:t>
      </w:r>
      <w:r>
        <w:t xml:space="preserve">Die Erklärung ist nur wirksam, wenn in ihr die Erhöhung auf Grund der entstandenen Kosten berechnet und entsprechend den Voraussetzungen der </w:t>
      </w:r>
      <w:hyperlink w:anchor="b769" w:history="1">
        <w:r>
          <w:rPr>
            <w:color w:val="0A3A8C"/>
            <w:u w:val="single"/>
          </w:rPr>
          <w:t xml:space="preserve">§§ 559</w:t>
        </w:r>
      </w:hyperlink>
      <w:r>
        <w:t xml:space="preserve"> und </w:t>
      </w:r>
      <w:hyperlink w:anchor="b770" w:history="1">
        <w:r>
          <w:rPr>
            <w:color w:val="0A3A8C"/>
            <w:u w:val="single"/>
          </w:rPr>
          <w:t xml:space="preserve">559a</w:t>
        </w:r>
      </w:hyperlink>
      <w:r>
        <w:t xml:space="preserve"> erläutert wird. </w:t>
      </w:r>
      <w:r>
        <w:rPr>
          <w:rStyle w:val="Satznummer"/>
        </w:rPr>
        <w:t>3</w:t>
      </w:r>
      <w:hyperlink w:anchor="b744" w:history="1">
        <w:r>
          <w:rPr>
            <w:color w:val="0A3A8C"/>
            <w:u w:val="single"/>
          </w:rPr>
          <w:t xml:space="preserve">§ 555c</w:t>
        </w:r>
      </w:hyperlink>
      <w:r>
        <w:t xml:space="preserve"> Absatz 3 gilt entsprechend.</w:t>
      </w:r>
    </w:p>
    <w:p>
      <w:r>
        <w:t xml:space="preserve">(2) </w:t>
      </w:r>
      <w:r>
        <w:rPr>
          <w:rStyle w:val="Satznummer"/>
        </w:rPr>
        <w:t>1</w:t>
      </w:r>
      <w:r>
        <w:t xml:space="preserve">Der Mieter schuldet die erhöhte Miete mit Beginn des dritten Monats nach dem Zugang der Erklärung. </w:t>
      </w:r>
      <w:r>
        <w:rPr>
          <w:rStyle w:val="Satznummer"/>
        </w:rPr>
        <w:t>2</w:t>
      </w:r>
      <w:r>
        <w:t>Die Frist verlängert sich um sechs Monate, wenn</w:t>
      </w:r>
    </w:p>
    <w:p>
      <w:pPr>
        <w:tabs>
          <w:tab w:pos="567" w:val="left"/>
        </w:tabs>
        <w:ind w:left="567" w:hanging="567"/>
      </w:pPr>
      <w:r>
        <w:t>1.</w:t>
      </w:r>
      <w:r>
        <w:tab/>
      </w:r>
      <w:r>
        <w:t xml:space="preserve">der Vermieter dem Mieter die Modernisierungsmaßnahme nicht nach den Vorschriften des </w:t>
      </w:r>
      <w:hyperlink w:anchor="b744" w:history="1">
        <w:r>
          <w:rPr>
            <w:color w:val="0A3A8C"/>
            <w:u w:val="single"/>
          </w:rPr>
          <w:t xml:space="preserve">§ 555c</w:t>
        </w:r>
      </w:hyperlink>
      <w:r>
        <w:t xml:space="preserve"> Absatz 1 und 3 bis 5 angekündigt hat oder</w:t>
      </w:r>
    </w:p>
    <w:p>
      <w:pPr>
        <w:tabs>
          <w:tab w:pos="567" w:val="left"/>
        </w:tabs>
        <w:ind w:left="567" w:hanging="567"/>
      </w:pPr>
      <w:r>
        <w:t>2.</w:t>
      </w:r>
      <w:r>
        <w:tab/>
      </w:r>
      <w:r>
        <w:t>die tatsächliche Mieterhöhung die angekündigte um mehr als 10 Prozent übersteigt.</w:t>
      </w:r>
    </w:p>
    <w:p>
      <w:r>
        <w:t>(3) Eine zum Nachteil des Mieters abweichende Vereinbarung ist unwirksam.</w:t>
      </w:r>
    </w:p>
    <w:p>
      <w:pPr>
        <w:pStyle w:val="Heading7"/>
      </w:pPr>
      <w:bookmarkStart w:id="785" w:name="b772"/>
      <w:r>
        <w:t>§ 559c Vereinfachtes Verfahren</w:t>
      </w:r>
      <w:r>
        <w:t xml:space="preserve"> </w:t>
      </w:r>
      <w:r>
        <w:rPr>
          <w:rStyle w:val="Suchmarke"/>
        </w:rPr>
        <w:t>#559c#</w:t>
      </w:r>
      <w:bookmarkEnd w:id="785"/>
    </w:p>
    <w:p>
      <w:r>
        <w:t xml:space="preserve">(1) </w:t>
      </w:r>
      <w:r>
        <w:rPr>
          <w:rStyle w:val="Satznummer"/>
        </w:rPr>
        <w:t>1</w:t>
      </w:r>
      <w:r>
        <w:t xml:space="preserve">Übersteigen die für die Modernisierungsmaßnahme geltend gemachten Kosten für die Wohnung vor Abzug der Pauschale nach Satz 2 10 000 Euro nicht, so kann der Vermieter die Mieterhöhung nach einem vereinfachten Verfahren berechnen. </w:t>
      </w:r>
      <w:r>
        <w:rPr>
          <w:rStyle w:val="Satznummer"/>
        </w:rPr>
        <w:t>2</w:t>
      </w:r>
      <w:r>
        <w:t>Als Kosten, die für Erhaltungsmaßnahmen erforderlich gewesen wären (</w:t>
      </w:r>
      <w:hyperlink w:anchor="b769" w:history="1">
        <w:r>
          <w:rPr>
            <w:color w:val="0A3A8C"/>
            <w:u w:val="single"/>
          </w:rPr>
          <w:t xml:space="preserve">§ 559</w:t>
        </w:r>
      </w:hyperlink>
      <w:r>
        <w:t xml:space="preserve"> Absatz 2), werden pauschal 30 Prozent der nach Satz 1 geltend gemachten Kosten abgezogen. </w:t>
      </w:r>
      <w:r>
        <w:rPr>
          <w:rStyle w:val="Satznummer"/>
        </w:rPr>
        <w:t>3</w:t>
      </w:r>
      <w:hyperlink w:anchor="b769" w:history="1">
        <w:r>
          <w:rPr>
            <w:color w:val="0A3A8C"/>
            <w:u w:val="single"/>
          </w:rPr>
          <w:t xml:space="preserve">§ 559</w:t>
        </w:r>
      </w:hyperlink>
      <w:r>
        <w:t xml:space="preserve"> Absatz 4 und </w:t>
      </w:r>
      <w:hyperlink w:anchor="b770" w:history="1">
        <w:r>
          <w:rPr>
            <w:color w:val="0A3A8C"/>
            <w:u w:val="single"/>
          </w:rPr>
          <w:t xml:space="preserve">§ 559a</w:t>
        </w:r>
      </w:hyperlink>
      <w:r>
        <w:t xml:space="preserve"> Absatz 2 Satz 1 bis 3 finden keine Anwendung; dies gilt im Hinblick auf </w:t>
      </w:r>
      <w:hyperlink w:anchor="b769" w:history="1">
        <w:r>
          <w:rPr>
            <w:color w:val="0A3A8C"/>
            <w:u w:val="single"/>
          </w:rPr>
          <w:t xml:space="preserve">§ 559</w:t>
        </w:r>
      </w:hyperlink>
      <w:r>
        <w:t xml:space="preserve"> Absatz 4 nicht, wenn die Modernisierungsmaßnahme auch die Voraussetzungen des </w:t>
      </w:r>
      <w:hyperlink w:anchor="b743" w:history="1">
        <w:r>
          <w:rPr>
            <w:color w:val="0A3A8C"/>
            <w:u w:val="single"/>
          </w:rPr>
          <w:t xml:space="preserve">§ 555b</w:t>
        </w:r>
      </w:hyperlink>
      <w:r>
        <w:t xml:space="preserve"> Nummer 1 oder Nummer 1a erfüllt und mittels Einbaus oder Aufstellung einer Heizungsanlage zum Zwecke der Inbetriebnahme in einem Gebäude durchgeführt wurde.</w:t>
      </w:r>
    </w:p>
    <w:p>
      <w:r>
        <w:t xml:space="preserve">(2) Hat der Vermieter die Miete in den letzten fünf Jahren bereits nach Absatz 1 oder nach </w:t>
      </w:r>
      <w:hyperlink w:anchor="b769" w:history="1">
        <w:r>
          <w:rPr>
            <w:color w:val="0A3A8C"/>
            <w:u w:val="single"/>
          </w:rPr>
          <w:t xml:space="preserve">§ 559</w:t>
        </w:r>
      </w:hyperlink>
      <w:r>
        <w:t xml:space="preserve"> oder </w:t>
      </w:r>
      <w:hyperlink w:anchor="b774" w:history="1">
        <w:r>
          <w:rPr>
            <w:color w:val="0A3A8C"/>
            <w:u w:val="single"/>
          </w:rPr>
          <w:t xml:space="preserve">§ 559e</w:t>
        </w:r>
      </w:hyperlink>
      <w:r>
        <w:t xml:space="preserve"> erhöht, so mindern sich die Kosten, die nach Absatz 1 Satz 1 für die weitere Modernisierungsmaßnahme geltend gemacht werden können, um die Kosten, die in diesen früheren Verfahren für Modernisierungsmaßnahmen geltend gemacht wurden.</w:t>
      </w:r>
    </w:p>
    <w:p>
      <w:r>
        <w:t xml:space="preserve">(3) </w:t>
      </w:r>
      <w:r>
        <w:rPr>
          <w:rStyle w:val="Satznummer"/>
        </w:rPr>
        <w:t>1</w:t>
      </w:r>
      <w:hyperlink w:anchor="b771" w:history="1">
        <w:r>
          <w:rPr>
            <w:color w:val="0A3A8C"/>
            <w:u w:val="single"/>
          </w:rPr>
          <w:t xml:space="preserve">§ 559b</w:t>
        </w:r>
      </w:hyperlink>
      <w:r>
        <w:t xml:space="preserve"> gilt für das vereinfachte Verfahren entsprechend. </w:t>
      </w:r>
      <w:r>
        <w:rPr>
          <w:rStyle w:val="Satznummer"/>
        </w:rPr>
        <w:t>2</w:t>
      </w:r>
      <w:r>
        <w:t>Der Vermieter muss in der Mieterhöhungserklärung angeben, dass er die Mieterhöhung nach dem vereinfachten Verfahren berechnet hat.</w:t>
      </w:r>
    </w:p>
    <w:p>
      <w:r>
        <w:t xml:space="preserve">(4) </w:t>
      </w:r>
      <w:r>
        <w:rPr>
          <w:rStyle w:val="Satznummer"/>
        </w:rPr>
        <w:t>1</w:t>
      </w:r>
      <w:r>
        <w:t xml:space="preserve">Hat der Vermieter eine Mieterhöhung im vereinfachten Verfahren geltend gemacht, so kann er innerhalb von fünf Jahren nach Zugang der Mieterhöhungserklärung beim Mieter keine Mieterhöhungen nach </w:t>
      </w:r>
      <w:hyperlink w:anchor="b769" w:history="1">
        <w:r>
          <w:rPr>
            <w:color w:val="0A3A8C"/>
            <w:u w:val="single"/>
          </w:rPr>
          <w:t xml:space="preserve">§ 559</w:t>
        </w:r>
      </w:hyperlink>
      <w:r>
        <w:t xml:space="preserve"> oder </w:t>
      </w:r>
      <w:hyperlink w:anchor="b774" w:history="1">
        <w:r>
          <w:rPr>
            <w:color w:val="0A3A8C"/>
            <w:u w:val="single"/>
          </w:rPr>
          <w:t xml:space="preserve">§ 559e</w:t>
        </w:r>
      </w:hyperlink>
      <w:r>
        <w:t xml:space="preserve"> geltend machen. </w:t>
      </w:r>
      <w:r>
        <w:rPr>
          <w:rStyle w:val="Satznummer"/>
        </w:rPr>
        <w:t>2</w:t>
      </w:r>
      <w:r>
        <w:t>Dies gilt nicht,</w:t>
      </w:r>
    </w:p>
    <w:p>
      <w:pPr>
        <w:tabs>
          <w:tab w:pos="567" w:val="left"/>
        </w:tabs>
        <w:ind w:left="567" w:hanging="567"/>
      </w:pPr>
      <w:r>
        <w:t>1.</w:t>
      </w:r>
      <w:r>
        <w:tab/>
      </w:r>
      <w:r>
        <w:t>soweit der Vermieter in diesem Zeitraum Modernisierungsmaßnahmen auf Grund einer gesetzlichen Verpflichtung durchzuführen hat und er diese Verpflichtung bei Geltendmachung der Mieterhöhung im vereinfachten Verfahren nicht kannte oder kennen musste,</w:t>
      </w:r>
    </w:p>
    <w:p>
      <w:pPr>
        <w:tabs>
          <w:tab w:pos="567" w:val="left"/>
        </w:tabs>
        <w:ind w:left="567" w:hanging="567"/>
      </w:pPr>
      <w:r>
        <w:t>2.</w:t>
      </w:r>
      <w:r>
        <w:tab/>
      </w:r>
      <w:r>
        <w:t>sofern eine Modernisierungsmaßnahme auf Grund eines Beschlusses von Wohnungseigentümern durchgeführt wird, der frühestens zwei Jahre nach Zugang der Mieterhöhungserklärung beim Mieter gefasst wurde.</w:t>
      </w:r>
    </w:p>
    <w:p>
      <w:r>
        <w:t xml:space="preserve">(5) Für die Modernisierungsankündigung, die zu einer Mieterhöhung nach dem vereinfachten Verfahren führen soll, gilt </w:t>
      </w:r>
      <w:hyperlink w:anchor="b744" w:history="1">
        <w:r>
          <w:rPr>
            <w:color w:val="0A3A8C"/>
            <w:u w:val="single"/>
          </w:rPr>
          <w:t xml:space="preserve">§ 555c</w:t>
        </w:r>
      </w:hyperlink>
      <w:r>
        <w:t xml:space="preserve"> mit den Maßgaben, dass</w:t>
      </w:r>
    </w:p>
    <w:p>
      <w:pPr>
        <w:tabs>
          <w:tab w:pos="567" w:val="left"/>
        </w:tabs>
        <w:ind w:left="567" w:hanging="567"/>
      </w:pPr>
      <w:r>
        <w:t>1.</w:t>
      </w:r>
      <w:r>
        <w:tab/>
      </w:r>
      <w:r>
        <w:t>der Vermieter in der Modernisierungsankündigung angeben muss, dass er von dem vereinfachten Verfahren Gebrauch macht,</w:t>
      </w:r>
    </w:p>
    <w:p>
      <w:pPr>
        <w:tabs>
          <w:tab w:pos="567" w:val="left"/>
        </w:tabs>
        <w:ind w:left="567" w:hanging="567"/>
      </w:pPr>
      <w:r>
        <w:t>2.</w:t>
      </w:r>
      <w:r>
        <w:tab/>
      </w:r>
      <w:r>
        <w:t xml:space="preserve">es der Angabe der voraussichtlichen künftigen Betriebskosten nach </w:t>
      </w:r>
      <w:hyperlink w:anchor="b744" w:history="1">
        <w:r>
          <w:rPr>
            <w:color w:val="0A3A8C"/>
            <w:u w:val="single"/>
          </w:rPr>
          <w:t xml:space="preserve">§ 555c</w:t>
        </w:r>
      </w:hyperlink>
      <w:r>
        <w:t xml:space="preserve"> Absatz 1 Satz 2 Nummer 3 nicht bedarf.</w:t>
      </w:r>
    </w:p>
    <w:p>
      <w:pPr>
        <w:pStyle w:val="Heading7"/>
      </w:pPr>
      <w:bookmarkStart w:id="786" w:name="b773"/>
      <w:r>
        <w:t>§ 559d Pflichtverletzungen bei Ankündigung oder Durchführung einer baulichen Veränderung</w:t>
      </w:r>
      <w:r>
        <w:t xml:space="preserve"> </w:t>
      </w:r>
      <w:r>
        <w:rPr>
          <w:rStyle w:val="Suchmarke"/>
        </w:rPr>
        <w:t>#559d#</w:t>
      </w:r>
      <w:bookmarkEnd w:id="786"/>
    </w:p>
    <w:p>
      <w:r>
        <w:rPr>
          <w:rStyle w:val="Satznummer"/>
        </w:rPr>
        <w:t>1</w:t>
      </w:r>
      <w:r>
        <w:t>Es wird vermutet, dass der Vermieter seine Pflichten aus dem Schuldverhältnis verletzt hat, wenn</w:t>
      </w:r>
    </w:p>
    <w:p>
      <w:pPr>
        <w:tabs>
          <w:tab w:pos="567" w:val="left"/>
        </w:tabs>
        <w:ind w:left="567" w:hanging="567"/>
      </w:pPr>
      <w:r>
        <w:t>1.</w:t>
      </w:r>
      <w:r>
        <w:tab/>
      </w:r>
      <w:r>
        <w:t>mit der baulichen Veränderung nicht innerhalb von zwölf Monaten nach deren angekündigtem Beginn oder, wenn Angaben hierzu nicht erfolgt sind, nach Zugang der Ankündigung der baulichen Veränderung begonnen wird,</w:t>
      </w:r>
    </w:p>
    <w:p>
      <w:pPr>
        <w:tabs>
          <w:tab w:pos="567" w:val="left"/>
        </w:tabs>
        <w:ind w:left="567" w:hanging="567"/>
      </w:pPr>
      <w:r>
        <w:t>2.</w:t>
      </w:r>
      <w:r>
        <w:tab/>
      </w:r>
      <w:r>
        <w:t xml:space="preserve">in der Ankündigung nach </w:t>
      </w:r>
      <w:hyperlink w:anchor="b744" w:history="1">
        <w:r>
          <w:rPr>
            <w:color w:val="0A3A8C"/>
            <w:u w:val="single"/>
          </w:rPr>
          <w:t xml:space="preserve">§ 555c</w:t>
        </w:r>
      </w:hyperlink>
      <w:r>
        <w:t xml:space="preserve"> Absatz 1 ein Betrag für die zu erwartende Mieterhöhung angegeben wird, durch den die monatliche Miete mindestens verdoppelt würde,</w:t>
      </w:r>
    </w:p>
    <w:p>
      <w:pPr>
        <w:tabs>
          <w:tab w:pos="567" w:val="left"/>
        </w:tabs>
        <w:ind w:left="567" w:hanging="567"/>
      </w:pPr>
      <w:r>
        <w:t>3.</w:t>
      </w:r>
      <w:r>
        <w:tab/>
      </w:r>
      <w:r>
        <w:t>die bauliche Veränderung in einer Weise durchgeführt wird, die geeignet ist, zu erheblichen, objektiv nicht notwendigen Belastungen des Mieters zu führen, oder</w:t>
      </w:r>
    </w:p>
    <w:p>
      <w:pPr>
        <w:tabs>
          <w:tab w:pos="567" w:val="left"/>
        </w:tabs>
        <w:ind w:left="567" w:hanging="567"/>
      </w:pPr>
      <w:r>
        <w:t>4.</w:t>
      </w:r>
      <w:r>
        <w:tab/>
      </w:r>
      <w:r>
        <w:t>die Arbeiten nach Beginn der baulichen Veränderung mehr als zwölf Monate ruhen.</w:t>
      </w:r>
    </w:p>
    <w:p>
      <w:r>
        <w:rPr>
          <w:rStyle w:val="Satznummer"/>
        </w:rPr>
        <w:t>2</w:t>
      </w:r>
      <w:r>
        <w:t>Diese Vermutung gilt nicht, wenn der Vermieter darlegt, dass für das Verhalten im Einzelfall ein nachvollziehbarer objektiver Grund vorliegt.</w:t>
      </w:r>
    </w:p>
    <w:p>
      <w:pPr>
        <w:pStyle w:val="Heading7"/>
      </w:pPr>
      <w:bookmarkStart w:id="787" w:name="b774"/>
      <w:r>
        <w:t>§ 559e Mieterhöhung nach Einbau oder Aufstellung einer Heizungsanlage</w:t>
      </w:r>
      <w:r>
        <w:t xml:space="preserve"> </w:t>
      </w:r>
      <w:r>
        <w:rPr>
          <w:rStyle w:val="Suchmarke"/>
        </w:rPr>
        <w:t>#559e#</w:t>
      </w:r>
      <w:bookmarkEnd w:id="787"/>
    </w:p>
    <w:p>
      <w:r>
        <w:t xml:space="preserve">(1) </w:t>
      </w:r>
      <w:r>
        <w:rPr>
          <w:rStyle w:val="Satznummer"/>
        </w:rPr>
        <w:t>1</w:t>
      </w:r>
      <w:r>
        <w:t xml:space="preserve">Hat der Vermieter Modernisierungsmaßnahmen nach </w:t>
      </w:r>
      <w:hyperlink w:anchor="b743" w:history="1">
        <w:r>
          <w:rPr>
            <w:color w:val="0A3A8C"/>
            <w:u w:val="single"/>
          </w:rPr>
          <w:t xml:space="preserve">§ 555b</w:t>
        </w:r>
      </w:hyperlink>
      <w:r>
        <w:t xml:space="preserve"> Nummer 1a durchgeführt, welche die Voraussetzungen für Zuschüsse aus öffentlichen Haushalten dem Grunde nach erfüllen, und dabei Drittmittel nach § 559a in Anspruch genommen, so kann er die jährliche Miete um 10 Prozent der für die Wohnung aufgewendeten Kosten abzüglich der in Anspruch genommenen Drittmittel erhöhen. </w:t>
      </w:r>
      <w:r>
        <w:rPr>
          <w:rStyle w:val="Satznummer"/>
        </w:rPr>
        <w:t>2</w:t>
      </w:r>
      <w:r>
        <w:t xml:space="preserve">Wenn eine Förderung nicht erfolgt, obwohl die Voraussetzungen für eine Förderung dem Grunde nach erfüllt sind, kann der Vermieter die jährliche Miete nach Maßgabe des </w:t>
      </w:r>
      <w:hyperlink w:anchor="b769" w:history="1">
        <w:r>
          <w:rPr>
            <w:color w:val="0A3A8C"/>
            <w:u w:val="single"/>
          </w:rPr>
          <w:t xml:space="preserve">§ 559</w:t>
        </w:r>
      </w:hyperlink>
      <w:r>
        <w:t xml:space="preserve"> erhöhen.</w:t>
      </w:r>
    </w:p>
    <w:p>
      <w:r>
        <w:t xml:space="preserve">(2) </w:t>
      </w:r>
      <w:r>
        <w:rPr>
          <w:rStyle w:val="Satznummer"/>
        </w:rPr>
        <w:t>1</w:t>
      </w:r>
      <w:hyperlink w:anchor="b769" w:history="1">
        <w:r>
          <w:rPr>
            <w:color w:val="0A3A8C"/>
            <w:u w:val="single"/>
          </w:rPr>
          <w:t xml:space="preserve">§ 559</w:t>
        </w:r>
      </w:hyperlink>
      <w:r>
        <w:t xml:space="preserve"> Absatz 2 Satz 1 ist mit der Maßgabe anwendbar, dass Kosten, die für Erhaltungsmaßnahmen erforderlich gewesen wären, pauschal in Höhe von 15 Prozent nicht zu den aufgewendeten Kosten gehören. </w:t>
      </w:r>
      <w:r>
        <w:rPr>
          <w:rStyle w:val="Satznummer"/>
        </w:rPr>
        <w:t>2</w:t>
      </w:r>
      <w:r>
        <w:t>Dies gilt nicht, soweit Kosten durch den Einbau einer Heizungsanlage im Sinne des § 43 des Gebäudemodernisierungsgesetzes entstanden sind.</w:t>
      </w:r>
    </w:p>
    <w:p>
      <w:r>
        <w:t xml:space="preserve">(3) </w:t>
      </w:r>
      <w:r>
        <w:rPr>
          <w:rStyle w:val="Satznummer"/>
        </w:rPr>
        <w:t>1</w:t>
      </w:r>
      <w:hyperlink w:anchor="b769" w:history="1">
        <w:r>
          <w:rPr>
            <w:color w:val="0A3A8C"/>
            <w:u w:val="single"/>
          </w:rPr>
          <w:t xml:space="preserve">§ 559</w:t>
        </w:r>
      </w:hyperlink>
      <w:r>
        <w:t xml:space="preserve"> Absatz 3a Satz 1 ist mit der Maßgabe anwendbar, dass sich im Hinblick auf eine Modernisierungsmaßnahme nach </w:t>
      </w:r>
      <w:hyperlink w:anchor="b743" w:history="1">
        <w:r>
          <w:rPr>
            <w:color w:val="0A3A8C"/>
            <w:u w:val="single"/>
          </w:rPr>
          <w:t xml:space="preserve">§ 555b</w:t>
        </w:r>
      </w:hyperlink>
      <w:r>
        <w:t xml:space="preserve"> Nummer 1a die monatliche Miete um nicht mehr als 0,50 Euro je Quadratmeter Wohnfläche innerhalb von sechs Jahren erhöhen darf. </w:t>
      </w:r>
      <w:r>
        <w:rPr>
          <w:rStyle w:val="Satznummer"/>
        </w:rPr>
        <w:t>2</w:t>
      </w:r>
      <w:r>
        <w:t xml:space="preserve">Ist der Vermieter daneben zu Mieterhöhungen nach </w:t>
      </w:r>
      <w:hyperlink w:anchor="b769" w:history="1">
        <w:r>
          <w:rPr>
            <w:color w:val="0A3A8C"/>
            <w:u w:val="single"/>
          </w:rPr>
          <w:t xml:space="preserve">§ 559</w:t>
        </w:r>
      </w:hyperlink>
      <w:r>
        <w:t xml:space="preserve"> Absatz 1 berechtigt, so dürfen die in </w:t>
      </w:r>
      <w:hyperlink w:anchor="b769" w:history="1">
        <w:r>
          <w:rPr>
            <w:color w:val="0A3A8C"/>
            <w:u w:val="single"/>
          </w:rPr>
          <w:t xml:space="preserve">§ 559</w:t>
        </w:r>
      </w:hyperlink>
      <w:r>
        <w:t xml:space="preserve"> Absatz 3a Satz 1 und 2 genannten Grenzen nicht überschritten werden.</w:t>
      </w:r>
    </w:p>
    <w:p>
      <w:r>
        <w:t xml:space="preserve">(4) </w:t>
      </w:r>
      <w:hyperlink w:anchor="b769" w:history="1">
        <w:r>
          <w:rPr>
            <w:color w:val="0A3A8C"/>
            <w:u w:val="single"/>
          </w:rPr>
          <w:t xml:space="preserve">§ 559</w:t>
        </w:r>
      </w:hyperlink>
      <w:r>
        <w:t xml:space="preserve"> Absatz 3, 4 und 5 sowie die </w:t>
      </w:r>
      <w:hyperlink w:anchor="b771" w:history="1">
        <w:r>
          <w:rPr>
            <w:color w:val="0A3A8C"/>
            <w:u w:val="single"/>
          </w:rPr>
          <w:t xml:space="preserve">§§ 559b</w:t>
        </w:r>
      </w:hyperlink>
      <w:r>
        <w:t xml:space="preserve"> bis </w:t>
      </w:r>
      <w:hyperlink w:anchor="b773" w:history="1">
        <w:r>
          <w:rPr>
            <w:color w:val="0A3A8C"/>
            <w:u w:val="single"/>
          </w:rPr>
          <w:t xml:space="preserve">559d</w:t>
        </w:r>
      </w:hyperlink>
      <w:r>
        <w:t xml:space="preserve"> gelten entsprechend.</w:t>
      </w:r>
    </w:p>
    <w:p>
      <w:r>
        <w:t>(5) Eine zum Nachteil des Mieters abweichende Vereinbarung ist unwirksam.</w:t>
      </w:r>
    </w:p>
    <w:p>
      <w:pPr>
        <w:pStyle w:val="Heading7"/>
      </w:pPr>
      <w:bookmarkStart w:id="788" w:name="b775"/>
      <w:r>
        <w:t>§ 559f Mieterhöhung nach Einbau oder Aufstellung einer Wärmepumpe</w:t>
      </w:r>
      <w:r>
        <w:t xml:space="preserve"> </w:t>
      </w:r>
      <w:r>
        <w:rPr>
          <w:rStyle w:val="Suchmarke"/>
        </w:rPr>
        <w:t>#559f#</w:t>
      </w:r>
      <w:bookmarkEnd w:id="788"/>
    </w:p>
    <w:p>
      <w:r>
        <w:t xml:space="preserve">(1) </w:t>
      </w:r>
      <w:r>
        <w:rPr>
          <w:rStyle w:val="Satznummer"/>
        </w:rPr>
        <w:t>1</w:t>
      </w:r>
      <w:r>
        <w:t xml:space="preserve">Der Vermieter kann beim Einbau oder bei der Aufstellung einer Wärmepumpe eine Mieterhöhung aufgrund einer Modernisierungsmaßnahme nach § 559 Absatz 1 oder § 559e Absatz 1 in voller Höhe nur verlangen, wenn er den Nachweis erbracht hat, dass die Jahresarbeitszahl der Wärmepumpe bei mindestens 2,5 liegt. </w:t>
      </w:r>
      <w:r>
        <w:rPr>
          <w:rStyle w:val="Satznummer"/>
        </w:rPr>
        <w:t>2</w:t>
      </w:r>
      <w:r>
        <w:t>Dieser Nachweis ist nicht erforderlich, wenn das Gebäude</w:t>
      </w:r>
    </w:p>
    <w:p>
      <w:pPr>
        <w:tabs>
          <w:tab w:pos="567" w:val="left"/>
        </w:tabs>
        <w:ind w:left="567" w:hanging="567"/>
      </w:pPr>
      <w:r>
        <w:t>1.</w:t>
      </w:r>
      <w:r>
        <w:tab/>
      </w:r>
      <w:r>
        <w:t>nach 1996 errichtet worden ist,</w:t>
      </w:r>
    </w:p>
    <w:p>
      <w:pPr>
        <w:tabs>
          <w:tab w:pos="567" w:val="left"/>
        </w:tabs>
        <w:ind w:left="567" w:hanging="567"/>
      </w:pPr>
      <w:r>
        <w:t>2.</w:t>
      </w:r>
      <w:r>
        <w:tab/>
      </w:r>
      <w:r>
        <w:t>mindestens nach den Vorgaben der Wärmeschutzverordnung vom 16. August 1994 (BGBl. I S. 2121) in der bis zum Ablauf des 31. Januar 2002 geltenden Fassung erbaut worden ist oder der Gebäudeeigentümer nachweist, dass der Jahres-Heizwärmebedarf die Anforderungen nach der Wärmeschutzverordnung vom 16. August 1994 (BGBl. I S. 2121) in der bis zum Ablauf des 31. Januar 2002 geltenden Fassung nicht überschreitet,</w:t>
      </w:r>
    </w:p>
    <w:p>
      <w:pPr>
        <w:tabs>
          <w:tab w:pos="567" w:val="left"/>
        </w:tabs>
        <w:ind w:left="567" w:hanging="567"/>
      </w:pPr>
      <w:r>
        <w:t>3.</w:t>
      </w:r>
      <w:r>
        <w:tab/>
      </w:r>
      <w:r>
        <w:t>nach einer Sanierung mindestens den Anforderungen des § 38 des Gebäudemodernisierungsgesetzes entspricht oder</w:t>
      </w:r>
    </w:p>
    <w:p>
      <w:pPr>
        <w:tabs>
          <w:tab w:pos="567" w:val="left"/>
        </w:tabs>
        <w:ind w:left="567" w:hanging="567"/>
      </w:pPr>
      <w:r>
        <w:t>4.</w:t>
      </w:r>
      <w:r>
        <w:tab/>
      </w:r>
      <w:r>
        <w:t>mit einer Vorlauftemperatur beheizt werden kann, die nicht mehr als 55 Grad Celsius bei lokaler Norm-Außentemperatur beträgt.</w:t>
      </w:r>
    </w:p>
    <w:p>
      <w:r>
        <w:rPr>
          <w:rStyle w:val="Satznummer"/>
        </w:rPr>
        <w:t>3</w:t>
      </w:r>
      <w:r>
        <w:t xml:space="preserve">Der Nachweis nach Satz 1 muss von einem Fachunternehmer erbracht werden. </w:t>
      </w:r>
      <w:r>
        <w:rPr>
          <w:rStyle w:val="Satznummer"/>
        </w:rPr>
        <w:t>4</w:t>
      </w:r>
      <w:r>
        <w:t>Die Ermittlung der Jahresarbeitszahl erfolgt auf der Grundlage der Richtlinie VDI 4650 Blatt 1 Berichtigung 2024-08 oder eines vergleichbaren Verfahrens in der Regel vor der Inbetriebnahme der Anlage und nicht anhand von den Werten im Betrieb.</w:t>
      </w:r>
    </w:p>
    <w:p>
      <w:r>
        <w:t xml:space="preserve">(2) Sofern der Nachweis nach Absatz 1 Satz 1 nicht erbracht wird, kann der Vermieter für eine Mieterhöhung nach </w:t>
      </w:r>
      <w:hyperlink w:anchor="b769" w:history="1">
        <w:r>
          <w:rPr>
            <w:color w:val="0A3A8C"/>
            <w:u w:val="single"/>
          </w:rPr>
          <w:t xml:space="preserve">§ 559</w:t>
        </w:r>
      </w:hyperlink>
      <w:r>
        <w:t xml:space="preserve"> Absatz 1 oder </w:t>
      </w:r>
      <w:hyperlink w:anchor="b774" w:history="1">
        <w:r>
          <w:rPr>
            <w:color w:val="0A3A8C"/>
            <w:u w:val="single"/>
          </w:rPr>
          <w:t xml:space="preserve">§ 559e</w:t>
        </w:r>
      </w:hyperlink>
      <w:r>
        <w:t xml:space="preserve"> Absatz 1 nur die Hälfte der für die Wohnung aufgewendeten Kosten zugrunde legen.</w:t>
      </w:r>
    </w:p>
    <w:p>
      <w:pPr>
        <w:pStyle w:val="Heading7"/>
      </w:pPr>
      <w:bookmarkStart w:id="789" w:name="b776"/>
      <w:r>
        <w:t>§ 560 Veränderungen von Betriebskosten</w:t>
      </w:r>
      <w:r>
        <w:t xml:space="preserve"> </w:t>
      </w:r>
      <w:r>
        <w:rPr>
          <w:rStyle w:val="Suchmarke"/>
        </w:rPr>
        <w:t>#560#</w:t>
      </w:r>
      <w:bookmarkEnd w:id="789"/>
    </w:p>
    <w:p>
      <w:r>
        <w:t xml:space="preserve">(1) </w:t>
      </w:r>
      <w:r>
        <w:rPr>
          <w:rStyle w:val="Satznummer"/>
        </w:rPr>
        <w:t>1</w:t>
      </w:r>
      <w:r>
        <w:t xml:space="preserve">Bei einer Betriebskostenpauschale ist der Vermieter berechtigt, Erhöhungen der Betriebskosten durch Erklärung in Textform anteilig auf den Mieter umzulegen, soweit dies im Mietvertrag vereinbart ist. </w:t>
      </w:r>
      <w:r>
        <w:rPr>
          <w:rStyle w:val="Satznummer"/>
        </w:rPr>
        <w:t>2</w:t>
      </w:r>
      <w:r>
        <w:t>Die Erklärung ist nur wirksam, wenn in ihr der Grund für die Umlage bezeichnet und erläutert wird.</w:t>
      </w:r>
    </w:p>
    <w:p>
      <w:r>
        <w:t xml:space="preserve">(2) </w:t>
      </w:r>
      <w:r>
        <w:rPr>
          <w:rStyle w:val="Satznummer"/>
        </w:rPr>
        <w:t>1</w:t>
      </w:r>
      <w:r>
        <w:t xml:space="preserve">Der Mieter schuldet den auf ihn entfallenden Teil der Umlage mit Beginn des auf die Erklärung folgenden übernächsten Monats. </w:t>
      </w:r>
      <w:r>
        <w:rPr>
          <w:rStyle w:val="Satznummer"/>
        </w:rPr>
        <w:t>2</w:t>
      </w:r>
      <w:r>
        <w:t>Soweit die Erklärung darauf beruht, dass sich die Betriebskosten rückwirkend erhöht haben, wirkt sie auf den Zeitpunkt der Erhöhung der Betriebskosten, höchstens jedoch auf den Beginn des der Erklärung vorausgehenden Kalenderjahres zurück, sofern der Vermieter die Erklärung innerhalb von drei Monaten nach Kenntnis von der Erhöhung abgibt.</w:t>
      </w:r>
    </w:p>
    <w:p>
      <w:r>
        <w:t xml:space="preserve">(3) </w:t>
      </w:r>
      <w:r>
        <w:rPr>
          <w:rStyle w:val="Satznummer"/>
        </w:rPr>
        <w:t>1</w:t>
      </w:r>
      <w:r>
        <w:t xml:space="preserve">Ermäßigen sich die Betriebskosten, so ist eine Betriebskostenpauschale vom Zeitpunkt der Ermäßigung an entsprechend herabzusetzen. </w:t>
      </w:r>
      <w:r>
        <w:rPr>
          <w:rStyle w:val="Satznummer"/>
        </w:rPr>
        <w:t>2</w:t>
      </w:r>
      <w:r>
        <w:t>Die Ermäßigung ist dem Mieter unverzüglich mitzuteilen.</w:t>
      </w:r>
    </w:p>
    <w:p>
      <w:r>
        <w:t>(4) Sind Betriebskostenvorauszahlungen vereinbart worden, so kann jede Vertragspartei nach einer Abrechnung durch Erklärung in Textform eine Anpassung auf eine angemessene Höhe vornehmen.</w:t>
      </w:r>
    </w:p>
    <w:p>
      <w:r>
        <w:t>(5) Bei Veränderungen von Betriebskosten ist der Grundsatz der Wirtschaftlichkeit zu beachten.</w:t>
      </w:r>
    </w:p>
    <w:p>
      <w:r>
        <w:t>(6) Eine zum Nachteil des Mieters abweichende Vereinbarung ist unwirksam.</w:t>
      </w:r>
    </w:p>
    <w:p>
      <w:pPr>
        <w:pStyle w:val="Heading7"/>
      </w:pPr>
      <w:bookmarkStart w:id="790" w:name="b777"/>
      <w:r>
        <w:t>§ 561 Sonderkündigungsrecht des Mieters nach Mieterhöhung</w:t>
      </w:r>
      <w:r>
        <w:t xml:space="preserve"> </w:t>
      </w:r>
      <w:r>
        <w:rPr>
          <w:rStyle w:val="Suchmarke"/>
        </w:rPr>
        <w:t>#561#</w:t>
      </w:r>
      <w:bookmarkEnd w:id="790"/>
    </w:p>
    <w:p>
      <w:r>
        <w:t xml:space="preserve">(1) </w:t>
      </w:r>
      <w:r>
        <w:rPr>
          <w:rStyle w:val="Satznummer"/>
        </w:rPr>
        <w:t>1</w:t>
      </w:r>
      <w:r>
        <w:t xml:space="preserve">Macht der Vermieter eine Mieterhöhung nach </w:t>
      </w:r>
      <w:hyperlink w:anchor="b763" w:history="1">
        <w:r>
          <w:rPr>
            <w:color w:val="0A3A8C"/>
            <w:u w:val="single"/>
          </w:rPr>
          <w:t xml:space="preserve">§ 558</w:t>
        </w:r>
      </w:hyperlink>
      <w:r>
        <w:t xml:space="preserve"> oder </w:t>
      </w:r>
      <w:hyperlink w:anchor="b769" w:history="1">
        <w:r>
          <w:rPr>
            <w:color w:val="0A3A8C"/>
            <w:u w:val="single"/>
          </w:rPr>
          <w:t xml:space="preserve">§ 559</w:t>
        </w:r>
      </w:hyperlink>
      <w:r>
        <w:t xml:space="preserve"> geltend, so kann der Mieter bis zum Ablauf des zweiten Monats nach dem Zugang der Erklärung des Vermieters das Mietverhältnis außerordentlich zum Ablauf des übernächsten Monats kündigen. </w:t>
      </w:r>
      <w:r>
        <w:rPr>
          <w:rStyle w:val="Satznummer"/>
        </w:rPr>
        <w:t>2</w:t>
      </w:r>
      <w:r>
        <w:t>Kündigt der Mieter, so tritt die Mieterhöhung nicht ein.</w:t>
      </w:r>
    </w:p>
    <w:p>
      <w:r>
        <w:t>(2) Eine zum Nachteil des Mieters abweichende Vereinbarung ist unwirksam.</w:t>
      </w:r>
    </w:p>
    <w:p>
      <w:pPr>
        <w:pStyle w:val="Heading5"/>
      </w:pPr>
      <w:bookmarkStart w:id="791" w:name="b778"/>
      <w:r>
        <w:t>Kapitel 3 Pfandrecht des Vermieters</w:t>
      </w:r>
      <w:bookmarkEnd w:id="791"/>
    </w:p>
    <w:p>
      <w:pPr>
        <w:pStyle w:val="Heading6"/>
      </w:pPr>
      <w:bookmarkStart w:id="792" w:name="b779"/>
      <w:r>
        <w:t>§ 562 Umfang des Vermieterpfandrechts</w:t>
      </w:r>
      <w:r>
        <w:t xml:space="preserve"> </w:t>
      </w:r>
      <w:r>
        <w:rPr>
          <w:rStyle w:val="Suchmarke"/>
        </w:rPr>
        <w:t>#562#</w:t>
      </w:r>
      <w:bookmarkEnd w:id="792"/>
    </w:p>
    <w:p>
      <w:r>
        <w:t xml:space="preserve">(1) </w:t>
      </w:r>
      <w:r>
        <w:rPr>
          <w:rStyle w:val="Satznummer"/>
        </w:rPr>
        <w:t>1</w:t>
      </w:r>
      <w:r>
        <w:t xml:space="preserve">Der Vermieter hat für seine Forderungen aus dem Mietverhältnis ein Pfandrecht an den eingebrachten Sachen des Mieters. </w:t>
      </w:r>
      <w:r>
        <w:rPr>
          <w:rStyle w:val="Satznummer"/>
        </w:rPr>
        <w:t>2</w:t>
      </w:r>
      <w:r>
        <w:t>Es erstreckt sich nicht auf die Sachen, die der Pfändung nicht unterliegen.</w:t>
      </w:r>
    </w:p>
    <w:p>
      <w:r>
        <w:t>(2) Für künftige Entschädigungsforderungen und für die Miete für eine spätere Zeit als das laufende und das folgende Mietjahr kann das Pfandrecht nicht geltend gemacht werden.</w:t>
      </w:r>
    </w:p>
    <w:p>
      <w:pPr>
        <w:pStyle w:val="Heading6"/>
      </w:pPr>
      <w:bookmarkStart w:id="793" w:name="b780"/>
      <w:r>
        <w:t>§ 562a Erlöschen des Vermieterpfandrechts</w:t>
      </w:r>
      <w:r>
        <w:t xml:space="preserve"> </w:t>
      </w:r>
      <w:r>
        <w:rPr>
          <w:rStyle w:val="Suchmarke"/>
        </w:rPr>
        <w:t>#562a#</w:t>
      </w:r>
      <w:bookmarkEnd w:id="793"/>
    </w:p>
    <w:p>
      <w:r>
        <w:rPr>
          <w:rStyle w:val="Satznummer"/>
        </w:rPr>
        <w:t>1</w:t>
      </w:r>
      <w:r>
        <w:t xml:space="preserve">Das Pfandrecht des Vermieters erlischt mit der Entfernung der Sachen von dem Grundstück, außer wenn diese ohne Wissen oder unter Widerspruch des Vermieters erfolgt. </w:t>
      </w:r>
      <w:r>
        <w:rPr>
          <w:rStyle w:val="Satznummer"/>
        </w:rPr>
        <w:t>2</w:t>
      </w:r>
      <w:r>
        <w:t>Der Vermieter kann nicht widersprechen, wenn sie den gewöhnlichen Lebensverhältnissen entspricht oder wenn die zurückbleibenden Sachen zur Sicherung des Vermieters offenbar ausreichen.</w:t>
      </w:r>
    </w:p>
    <w:p>
      <w:pPr>
        <w:pStyle w:val="Heading6"/>
      </w:pPr>
      <w:bookmarkStart w:id="794" w:name="b781"/>
      <w:r>
        <w:t>§ 562b Selbsthilferecht, Herausgabeanspruch</w:t>
      </w:r>
      <w:r>
        <w:t xml:space="preserve"> </w:t>
      </w:r>
      <w:r>
        <w:rPr>
          <w:rStyle w:val="Suchmarke"/>
        </w:rPr>
        <w:t>#562b#</w:t>
      </w:r>
      <w:bookmarkEnd w:id="794"/>
    </w:p>
    <w:p>
      <w:r>
        <w:t xml:space="preserve">(1) </w:t>
      </w:r>
      <w:r>
        <w:rPr>
          <w:rStyle w:val="Satznummer"/>
        </w:rPr>
        <w:t>1</w:t>
      </w:r>
      <w:r>
        <w:t xml:space="preserve">Der Vermieter darf die Entfernung der Sachen, die seinem Pfandrecht unterliegen, auch ohne Anrufen des Gerichts verhindern, soweit er berechtigt ist, der Entfernung zu widersprechen. </w:t>
      </w:r>
      <w:r>
        <w:rPr>
          <w:rStyle w:val="Satznummer"/>
        </w:rPr>
        <w:t>2</w:t>
      </w:r>
      <w:r>
        <w:t>Wenn der Mieter auszieht, darf der Vermieter diese Sachen in seinen Besitz nehmen.</w:t>
      </w:r>
    </w:p>
    <w:p>
      <w:r>
        <w:t xml:space="preserve">(2) </w:t>
      </w:r>
      <w:r>
        <w:rPr>
          <w:rStyle w:val="Satznummer"/>
        </w:rPr>
        <w:t>1</w:t>
      </w:r>
      <w:r>
        <w:t xml:space="preserve">Sind die Sachen ohne Wissen oder unter Widerspruch des Vermieters entfernt worden, so kann er die Herausgabe zum Zwecke der Zurückschaffung auf das Grundstück und, wenn der Mieter ausgezogen ist, die Überlassung des Besitzes verlangen. </w:t>
      </w:r>
      <w:r>
        <w:rPr>
          <w:rStyle w:val="Satznummer"/>
        </w:rPr>
        <w:t>2</w:t>
      </w:r>
      <w:r>
        <w:t>Das Pfandrecht erlischt mit dem Ablauf eines Monats, nachdem der Vermieter von der Entfernung der Sachen Kenntnis erlangt hat, wenn er diesen Anspruch nicht vorher gerichtlich geltend gemacht hat.</w:t>
      </w:r>
    </w:p>
    <w:p>
      <w:pPr>
        <w:pStyle w:val="Heading6"/>
      </w:pPr>
      <w:bookmarkStart w:id="795" w:name="b782"/>
      <w:r>
        <w:t>§ 562c Abwendung des Pfandrechts durch Sicherheitsleistung</w:t>
      </w:r>
      <w:r>
        <w:t xml:space="preserve"> </w:t>
      </w:r>
      <w:r>
        <w:rPr>
          <w:rStyle w:val="Suchmarke"/>
        </w:rPr>
        <w:t>#562c#</w:t>
      </w:r>
      <w:bookmarkEnd w:id="795"/>
    </w:p>
    <w:p>
      <w:r>
        <w:rPr>
          <w:rStyle w:val="Satznummer"/>
        </w:rPr>
        <w:t>1</w:t>
      </w:r>
      <w:r>
        <w:t xml:space="preserve">Der Mieter kann die Geltendmachung des Pfandrechts des Vermieters durch Sicherheitsleistung abwenden. </w:t>
      </w:r>
      <w:r>
        <w:rPr>
          <w:rStyle w:val="Satznummer"/>
        </w:rPr>
        <w:t>2</w:t>
      </w:r>
      <w:r>
        <w:t>Er kann jede einzelne Sache dadurch von dem Pfandrecht befreien, dass er in Höhe ihres Wertes Sicherheit leistet.</w:t>
      </w:r>
    </w:p>
    <w:p>
      <w:pPr>
        <w:pStyle w:val="Heading6"/>
      </w:pPr>
      <w:bookmarkStart w:id="796" w:name="b783"/>
      <w:r>
        <w:t>§ 562d Pfändung durch Dritte</w:t>
      </w:r>
      <w:r>
        <w:t xml:space="preserve"> </w:t>
      </w:r>
      <w:r>
        <w:rPr>
          <w:rStyle w:val="Suchmarke"/>
        </w:rPr>
        <w:t>#562d#</w:t>
      </w:r>
      <w:bookmarkEnd w:id="796"/>
    </w:p>
    <w:p>
      <w:r>
        <w:t>Wird eine Sache, die dem Pfandrecht des Vermieters unterliegt, für einen anderen Gläubiger gepfändet, so kann diesem gegenüber das Pfandrecht nicht wegen der Miete für eine frühere Zeit als das letzte Jahr vor der Pfändung geltend gemacht werden.</w:t>
      </w:r>
    </w:p>
    <w:p>
      <w:pPr>
        <w:pStyle w:val="Heading5"/>
      </w:pPr>
      <w:bookmarkStart w:id="797" w:name="b784"/>
      <w:r>
        <w:t>Kapitel 4 Wechsel der Vertragsparteien</w:t>
      </w:r>
      <w:bookmarkEnd w:id="797"/>
    </w:p>
    <w:p>
      <w:pPr>
        <w:pStyle w:val="Heading6"/>
      </w:pPr>
      <w:bookmarkStart w:id="798" w:name="b785"/>
      <w:r>
        <w:t>§ 563 Eintrittsrecht bei Tod des Mieters</w:t>
      </w:r>
      <w:r>
        <w:t xml:space="preserve"> </w:t>
      </w:r>
      <w:r>
        <w:rPr>
          <w:rStyle w:val="Suchmarke"/>
        </w:rPr>
        <w:t>#563#</w:t>
      </w:r>
      <w:bookmarkEnd w:id="798"/>
    </w:p>
    <w:p>
      <w:r>
        <w:t>(1) Der Ehegatte oder Lebenspartner, der mit dem Mieter einen gemeinsamen Haushalt führt, tritt mit dem Tod des Mieters in das Mietverhältnis ein.</w:t>
      </w:r>
    </w:p>
    <w:p>
      <w:r>
        <w:t xml:space="preserve">(2) </w:t>
      </w:r>
      <w:r>
        <w:rPr>
          <w:rStyle w:val="Satznummer"/>
        </w:rPr>
        <w:t>1</w:t>
      </w:r>
      <w:r>
        <w:t xml:space="preserve">Leben in dem gemeinsamen Haushalt Kinder des Mieters, treten diese mit dem Tod des Mieters in das Mietverhältnis ein, wenn nicht der Ehegatte oder Lebenspartner eintritt. </w:t>
      </w:r>
      <w:r>
        <w:rPr>
          <w:rStyle w:val="Satznummer"/>
        </w:rPr>
        <w:t>2</w:t>
      </w:r>
      <w:r>
        <w:t xml:space="preserve">Andere Familienangehörige, die mit dem Mieter einen gemeinsamen Haushalt führen, treten mit dem Tod des Mieters in das Mietverhältnis ein, wenn nicht der Ehegatte oder der Lebenspartner eintritt. </w:t>
      </w:r>
      <w:r>
        <w:rPr>
          <w:rStyle w:val="Satznummer"/>
        </w:rPr>
        <w:t>3</w:t>
      </w:r>
      <w:r>
        <w:t>Dasselbe gilt für Personen, die mit dem Mieter einen auf Dauer angelegten gemeinsamen Haushalt führen.</w:t>
      </w:r>
    </w:p>
    <w:p>
      <w:r>
        <w:t xml:space="preserve">(3) </w:t>
      </w:r>
      <w:r>
        <w:rPr>
          <w:rStyle w:val="Satznummer"/>
        </w:rPr>
        <w:t>1</w:t>
      </w:r>
      <w:r>
        <w:t xml:space="preserve">Erklären eingetretene Personen im Sinne des Absatzes 1 oder 2 innerhalb eines Monats, nachdem sie vom Tod des Mieters Kenntnis erlangt haben, dem Vermieter, dass sie das Mietverhältnis nicht fortsetzen wollen, gilt der Eintritt als nicht erfolgt. </w:t>
      </w:r>
      <w:r>
        <w:rPr>
          <w:rStyle w:val="Satznummer"/>
        </w:rPr>
        <w:t>2</w:t>
      </w:r>
      <w:r>
        <w:t xml:space="preserve">Für geschäftsunfähige oder in der Geschäftsfähigkeit beschränkte Personen gilt </w:t>
      </w:r>
      <w:hyperlink w:anchor="b250" w:history="1">
        <w:r>
          <w:rPr>
            <w:color w:val="0A3A8C"/>
            <w:u w:val="single"/>
          </w:rPr>
          <w:t xml:space="preserve">§ 210</w:t>
        </w:r>
      </w:hyperlink>
      <w:r>
        <w:t xml:space="preserve"> entsprechend. </w:t>
      </w:r>
      <w:r>
        <w:rPr>
          <w:rStyle w:val="Satznummer"/>
        </w:rPr>
        <w:t>3</w:t>
      </w:r>
      <w:r>
        <w:t>Sind mehrere Personen in das Mietverhältnis eingetreten, so kann jeder die Erklärung für sich abgeben.</w:t>
      </w:r>
    </w:p>
    <w:p>
      <w:r>
        <w:t>(4) Der Vermieter kann das Mietverhältnis innerhalb eines Monats, nachdem er von dem endgültigen Eintritt in das Mietverhältnis Kenntnis erlangt hat, außerordentlich mit der gesetzlichen Frist kündigen, wenn in der Person des Eingetretenen ein wichtiger Grund vorliegt.</w:t>
      </w:r>
    </w:p>
    <w:p>
      <w:r>
        <w:t>(5) Eine abweichende Vereinbarung zum Nachteil des Mieters oder solcher Personen, die nach Absatz 1 oder 2 eintrittsberechtigt sind, ist unwirksam.</w:t>
      </w:r>
    </w:p>
    <w:p>
      <w:pPr>
        <w:pStyle w:val="Heading6"/>
      </w:pPr>
      <w:bookmarkStart w:id="799" w:name="b786"/>
      <w:r>
        <w:t>§ 563a Fortsetzung mit überlebenden Mietern</w:t>
      </w:r>
      <w:r>
        <w:t xml:space="preserve"> </w:t>
      </w:r>
      <w:r>
        <w:rPr>
          <w:rStyle w:val="Suchmarke"/>
        </w:rPr>
        <w:t>#563a#</w:t>
      </w:r>
      <w:bookmarkEnd w:id="799"/>
    </w:p>
    <w:p>
      <w:r>
        <w:t xml:space="preserve">(1) Sind mehrere Personen im Sinne des </w:t>
      </w:r>
      <w:hyperlink w:anchor="b785" w:history="1">
        <w:r>
          <w:rPr>
            <w:color w:val="0A3A8C"/>
            <w:u w:val="single"/>
          </w:rPr>
          <w:t xml:space="preserve">§ 563</w:t>
        </w:r>
      </w:hyperlink>
      <w:r>
        <w:t xml:space="preserve"> gemeinsam Mieter, so wird das Mietverhältnis beim Tod eines Mieters mit den überlebenden Mietern fortgesetzt.</w:t>
      </w:r>
    </w:p>
    <w:p>
      <w:r>
        <w:t>(2) Die überlebenden Mieter können das Mietverhältnis innerhalb eines Monats, nachdem sie vom Tod des Mieters Kenntnis erlangt haben, außerordentlich mit der gesetzlichen Frist kündigen.</w:t>
      </w:r>
    </w:p>
    <w:p>
      <w:r>
        <w:t>(3) Eine abweichende Vereinbarung zum Nachteil der Mieter ist unwirksam.</w:t>
      </w:r>
    </w:p>
    <w:p>
      <w:pPr>
        <w:pStyle w:val="Heading6"/>
      </w:pPr>
      <w:bookmarkStart w:id="800" w:name="b787"/>
      <w:r>
        <w:t>§ 563b Haftung bei Eintritt oder Fortsetzung</w:t>
      </w:r>
      <w:r>
        <w:t xml:space="preserve"> </w:t>
      </w:r>
      <w:r>
        <w:rPr>
          <w:rStyle w:val="Suchmarke"/>
        </w:rPr>
        <w:t>#563b#</w:t>
      </w:r>
      <w:bookmarkEnd w:id="800"/>
    </w:p>
    <w:p>
      <w:r>
        <w:t xml:space="preserve">(1) </w:t>
      </w:r>
      <w:r>
        <w:rPr>
          <w:rStyle w:val="Satznummer"/>
        </w:rPr>
        <w:t>1</w:t>
      </w:r>
      <w:r>
        <w:t xml:space="preserve">Die Personen, die nach § 563 in das Mietverhältnis eingetreten sind oder mit denen es nach </w:t>
      </w:r>
      <w:hyperlink w:anchor="b786" w:history="1">
        <w:r>
          <w:rPr>
            <w:color w:val="0A3A8C"/>
            <w:u w:val="single"/>
          </w:rPr>
          <w:t xml:space="preserve">§ 563a</w:t>
        </w:r>
      </w:hyperlink>
      <w:r>
        <w:t xml:space="preserve"> fortgesetzt wird, haften neben dem Erben für die bis zum Tod des Mieters entstandenen Verbindlichkeiten als Gesamtschuldner. </w:t>
      </w:r>
      <w:r>
        <w:rPr>
          <w:rStyle w:val="Satznummer"/>
        </w:rPr>
        <w:t>2</w:t>
      </w:r>
      <w:r>
        <w:t>Im Verhältnis zu diesen Personen haftet der Erbe allein, soweit nichts anderes bestimmt ist.</w:t>
      </w:r>
    </w:p>
    <w:p>
      <w:r>
        <w:t xml:space="preserve">(2) Hat der Mieter die Miete für einen nach seinem Tod liegenden Zeitraum im Voraus entrichtet, sind die Personen, die nach § 563 in das Mietverhältnis eingetreten sind oder mit denen es nach </w:t>
      </w:r>
      <w:hyperlink w:anchor="b786" w:history="1">
        <w:r>
          <w:rPr>
            <w:color w:val="0A3A8C"/>
            <w:u w:val="single"/>
          </w:rPr>
          <w:t xml:space="preserve">§ 563a</w:t>
        </w:r>
      </w:hyperlink>
      <w:r>
        <w:t xml:space="preserve"> fortgesetzt wird, verpflichtet, dem Erben dasjenige herauszugeben, was sie infolge der Vorausentrichtung der Miete ersparen oder erlangen.</w:t>
      </w:r>
    </w:p>
    <w:p>
      <w:r>
        <w:t xml:space="preserve">(3) Der Vermieter kann, falls der verstorbene Mieter keine Sicherheit geleistet hat, von den Personen, die nach § 563 in das Mietverhältnis eingetreten sind oder mit denen es nach </w:t>
      </w:r>
      <w:hyperlink w:anchor="b786" w:history="1">
        <w:r>
          <w:rPr>
            <w:color w:val="0A3A8C"/>
            <w:u w:val="single"/>
          </w:rPr>
          <w:t xml:space="preserve">§ 563a</w:t>
        </w:r>
      </w:hyperlink>
      <w:r>
        <w:t xml:space="preserve"> fortgesetzt wird, nach Maßgabe des </w:t>
      </w:r>
      <w:hyperlink w:anchor="b736" w:history="1">
        <w:r>
          <w:rPr>
            <w:color w:val="0A3A8C"/>
            <w:u w:val="single"/>
          </w:rPr>
          <w:t xml:space="preserve">§ 551</w:t>
        </w:r>
      </w:hyperlink>
      <w:r>
        <w:t xml:space="preserve"> eine Sicherheitsleistung verlangen.</w:t>
      </w:r>
    </w:p>
    <w:p>
      <w:pPr>
        <w:pStyle w:val="Heading6"/>
      </w:pPr>
      <w:bookmarkStart w:id="801" w:name="b788"/>
      <w:r>
        <w:t>§ 564 Fortsetzung des Mietverhältnisses mit dem Erben, außerordentliche Kündigung</w:t>
      </w:r>
      <w:r>
        <w:t xml:space="preserve"> </w:t>
      </w:r>
      <w:r>
        <w:rPr>
          <w:rStyle w:val="Suchmarke"/>
        </w:rPr>
        <w:t>#564#</w:t>
      </w:r>
      <w:bookmarkEnd w:id="801"/>
    </w:p>
    <w:p>
      <w:r>
        <w:rPr>
          <w:rStyle w:val="Satznummer"/>
        </w:rPr>
        <w:t>1</w:t>
      </w:r>
      <w:r>
        <w:t xml:space="preserve">Treten beim Tod des Mieters keine Personen im Sinne des § 563 in das Mietverhältnis ein oder wird es nicht mit ihnen nach </w:t>
      </w:r>
      <w:hyperlink w:anchor="b786" w:history="1">
        <w:r>
          <w:rPr>
            <w:color w:val="0A3A8C"/>
            <w:u w:val="single"/>
          </w:rPr>
          <w:t xml:space="preserve">§ 563a</w:t>
        </w:r>
      </w:hyperlink>
      <w:r>
        <w:t xml:space="preserve"> fortgesetzt, so wird es mit dem Erben fortgesetzt. </w:t>
      </w:r>
      <w:r>
        <w:rPr>
          <w:rStyle w:val="Satznummer"/>
        </w:rPr>
        <w:t>2</w:t>
      </w:r>
      <w:r>
        <w:t>In diesem Fall ist sowohl der Erbe als auch der Vermieter berechtigt, das Mietverhältnis innerhalb eines Monats außerordentlich mit der gesetzlichen Frist zu kündigen, nachdem sie vom Tod des Mieters und davon Kenntnis erlangt haben, dass ein Eintritt in das Mietverhältnis oder dessen Fortsetzung nicht erfolgt sind.</w:t>
      </w:r>
    </w:p>
    <w:p>
      <w:pPr>
        <w:pStyle w:val="Heading6"/>
      </w:pPr>
      <w:bookmarkStart w:id="802" w:name="b789"/>
      <w:r>
        <w:t>§ 565 Gewerbliche Weitervermietung</w:t>
      </w:r>
      <w:r>
        <w:t xml:space="preserve"> </w:t>
      </w:r>
      <w:r>
        <w:rPr>
          <w:rStyle w:val="Suchmarke"/>
        </w:rPr>
        <w:t>#565#</w:t>
      </w:r>
      <w:bookmarkEnd w:id="802"/>
    </w:p>
    <w:p>
      <w:r>
        <w:t xml:space="preserve">(1) </w:t>
      </w:r>
      <w:r>
        <w:rPr>
          <w:rStyle w:val="Satznummer"/>
        </w:rPr>
        <w:t>1</w:t>
      </w:r>
      <w:r>
        <w:t xml:space="preserve">Soll der Mieter nach dem Mietvertrag den gemieteten Wohnraum gewerblich einem Dritten zu Wohnzwecken weitervermieten, so tritt der Vermieter bei der Beendigung des Mietverhältnisses in die Rechte und Pflichten aus dem Mietverhältnis zwischen dem Mieter und dem Dritten ein. </w:t>
      </w:r>
      <w:r>
        <w:rPr>
          <w:rStyle w:val="Satznummer"/>
        </w:rPr>
        <w:t>2</w:t>
      </w:r>
      <w:r>
        <w:t>Schließt der Vermieter erneut einen Mietvertrag zur gewerblichen Weitervermietung ab, so tritt der Mieter anstelle der bisherigen Vertragspartei in die Rechte und Pflichten aus dem Mietverhältnis mit dem Dritten ein.</w:t>
      </w:r>
    </w:p>
    <w:p>
      <w:r>
        <w:t xml:space="preserve">(2) Die </w:t>
      </w:r>
      <w:hyperlink w:anchor="b791" w:history="1">
        <w:r>
          <w:rPr>
            <w:color w:val="0A3A8C"/>
            <w:u w:val="single"/>
          </w:rPr>
          <w:t xml:space="preserve">§§ 566a</w:t>
        </w:r>
      </w:hyperlink>
      <w:r>
        <w:t xml:space="preserve"> bis </w:t>
      </w:r>
      <w:hyperlink w:anchor="b795" w:history="1">
        <w:r>
          <w:rPr>
            <w:color w:val="0A3A8C"/>
            <w:u w:val="single"/>
          </w:rPr>
          <w:t xml:space="preserve">566e</w:t>
        </w:r>
      </w:hyperlink>
      <w:r>
        <w:t xml:space="preserve"> gelten entsprechend.</w:t>
      </w:r>
    </w:p>
    <w:p>
      <w:r>
        <w:t>(3) Eine zum Nachteil des Dritten abweichende Vereinbarung ist unwirksam.</w:t>
      </w:r>
    </w:p>
    <w:p>
      <w:pPr>
        <w:pStyle w:val="Heading6"/>
      </w:pPr>
      <w:bookmarkStart w:id="803" w:name="b790"/>
      <w:r>
        <w:t>§ 566 Kauf bricht nicht Miete</w:t>
      </w:r>
      <w:r>
        <w:t xml:space="preserve"> </w:t>
      </w:r>
      <w:r>
        <w:rPr>
          <w:rStyle w:val="Suchmarke"/>
        </w:rPr>
        <w:t>#566#</w:t>
      </w:r>
      <w:bookmarkEnd w:id="803"/>
    </w:p>
    <w:p>
      <w:r>
        <w:t>(1) Wird der vermietete Wohnraum nach der Überlassung an den Mieter von dem Vermieter an einen Dritten veräußert, so tritt der Erwerber anstelle des Vermieters in die sich während der Dauer seines Eigentums aus dem Mietverhältnis ergebenden Rechte und Pflichten ein.</w:t>
      </w:r>
    </w:p>
    <w:p>
      <w:r>
        <w:t xml:space="preserve">(2) </w:t>
      </w:r>
      <w:r>
        <w:rPr>
          <w:rStyle w:val="Satznummer"/>
        </w:rPr>
        <w:t>1</w:t>
      </w:r>
      <w:r>
        <w:t xml:space="preserve">Erfüllt der Erwerber die Pflichten nicht, so haftet der Vermieter für den von dem Erwerber zu ersetzenden Schaden wie ein Bürge, der auf die Einrede der Vorausklage verzichtet hat. </w:t>
      </w:r>
      <w:r>
        <w:rPr>
          <w:rStyle w:val="Satznummer"/>
        </w:rPr>
        <w:t>2</w:t>
      </w:r>
      <w:r>
        <w:t>Erlangt der Mieter von dem Übergang des Eigentums durch Mitteilung des Vermieters Kenntnis, so wird der Vermieter von der Haftung befreit, wenn nicht der Mieter das Mietverhältnis zum ersten Termin kündigt, zu dem die Kündigung zulässig ist.</w:t>
      </w:r>
    </w:p>
    <w:p>
      <w:pPr>
        <w:pStyle w:val="Heading6"/>
      </w:pPr>
      <w:bookmarkStart w:id="804" w:name="b791"/>
      <w:r>
        <w:t>§ 566a Mietsicherheit</w:t>
      </w:r>
      <w:r>
        <w:t xml:space="preserve"> </w:t>
      </w:r>
      <w:r>
        <w:rPr>
          <w:rStyle w:val="Suchmarke"/>
        </w:rPr>
        <w:t>#566a#</w:t>
      </w:r>
      <w:bookmarkEnd w:id="804"/>
    </w:p>
    <w:p>
      <w:r>
        <w:rPr>
          <w:rStyle w:val="Satznummer"/>
        </w:rPr>
        <w:t>1</w:t>
      </w:r>
      <w:r>
        <w:t xml:space="preserve">Hat der Mieter des veräußerten Wohnraums dem Vermieter für die Erfüllung seiner Pflichten Sicherheit geleistet, so tritt der Erwerber in die dadurch begründeten Rechte und Pflichten ein. </w:t>
      </w:r>
      <w:r>
        <w:rPr>
          <w:rStyle w:val="Satznummer"/>
        </w:rPr>
        <w:t>2</w:t>
      </w:r>
      <w:r>
        <w:t>Kann bei Beendigung des Mietverhältnisses der Mieter die Sicherheit von dem Erwerber nicht erlangen, so ist der Vermieter weiterhin zur Rückgewähr verpflichtet.</w:t>
      </w:r>
    </w:p>
    <w:p>
      <w:pPr>
        <w:pStyle w:val="Heading6"/>
      </w:pPr>
      <w:bookmarkStart w:id="805" w:name="b792"/>
      <w:r>
        <w:t>§ 566b Vorausverfügung über die Miete</w:t>
      </w:r>
      <w:r>
        <w:t xml:space="preserve"> </w:t>
      </w:r>
      <w:r>
        <w:rPr>
          <w:rStyle w:val="Suchmarke"/>
        </w:rPr>
        <w:t>#566b#</w:t>
      </w:r>
      <w:bookmarkEnd w:id="805"/>
    </w:p>
    <w:p>
      <w:r>
        <w:t xml:space="preserve">(1) </w:t>
      </w:r>
      <w:r>
        <w:rPr>
          <w:rStyle w:val="Satznummer"/>
        </w:rPr>
        <w:t>1</w:t>
      </w:r>
      <w:r>
        <w:t xml:space="preserve">Hat der Vermieter vor dem Übergang des Eigentums über die Miete verfügt, die auf die Zeit der Berechtigung des Erwerbers entfällt, so ist die Verfügung wirksam, soweit sie sich auf die Miete für den zur Zeit des Eigentumsübergangs laufenden Kalendermonat bezieht. </w:t>
      </w:r>
      <w:r>
        <w:rPr>
          <w:rStyle w:val="Satznummer"/>
        </w:rPr>
        <w:t>2</w:t>
      </w:r>
      <w:r>
        <w:t>Geht das Eigentum nach dem 15. Tag des Monats über, so ist die Verfügung auch wirksam, soweit sie sich auf die Miete für den folgenden Kalendermonat bezieht.</w:t>
      </w:r>
    </w:p>
    <w:p>
      <w:r>
        <w:t>(2) Eine Verfügung über die Miete für eine spätere Zeit muss der Erwerber gegen sich gelten lassen, wenn er sie zur Zeit des Übergangs des Eigentums kennt.</w:t>
      </w:r>
    </w:p>
    <w:p>
      <w:pPr>
        <w:pStyle w:val="Heading6"/>
      </w:pPr>
      <w:bookmarkStart w:id="806" w:name="b793"/>
      <w:r>
        <w:t>§ 566c Vereinbarung zwischen Mieter und Vermieter über die Miete</w:t>
      </w:r>
      <w:r>
        <w:t xml:space="preserve"> </w:t>
      </w:r>
      <w:r>
        <w:rPr>
          <w:rStyle w:val="Suchmarke"/>
        </w:rPr>
        <w:t>#566c#</w:t>
      </w:r>
      <w:bookmarkEnd w:id="806"/>
    </w:p>
    <w:p>
      <w:r>
        <w:rPr>
          <w:rStyle w:val="Satznummer"/>
        </w:rPr>
        <w:t>1</w:t>
      </w:r>
      <w:r>
        <w:t xml:space="preserve">Ein Rechtsgeschäft, das zwischen dem Mieter und dem Vermieter über die Mietforderung vorgenommen wird, insbesondere die Entrichtung der Miete, ist dem Erwerber gegenüber wirksam, soweit es sich nicht auf die Miete für eine spätere Zeit als den Kalendermonat bezieht, in welchem der Mieter von dem Übergang des Eigentums Kenntnis erlangt. </w:t>
      </w:r>
      <w:r>
        <w:rPr>
          <w:rStyle w:val="Satznummer"/>
        </w:rPr>
        <w:t>2</w:t>
      </w:r>
      <w:r>
        <w:t xml:space="preserve">Erlangt der Mieter die Kenntnis nach dem 15. Tag des Monats, so ist das Rechtsgeschäft auch wirksam, soweit es sich auf die Miete für den folgenden Kalendermonat bezieht. </w:t>
      </w:r>
      <w:r>
        <w:rPr>
          <w:rStyle w:val="Satznummer"/>
        </w:rPr>
        <w:t>3</w:t>
      </w:r>
      <w:r>
        <w:t>Ein Rechtsgeschäft, das nach dem Übergang des Eigentums vorgenommen wird, ist jedoch unwirksam, wenn der Mieter bei der Vornahme des Rechtsgeschäfts von dem Übergang des Eigentums Kenntnis hat.</w:t>
      </w:r>
    </w:p>
    <w:p>
      <w:pPr>
        <w:pStyle w:val="Heading6"/>
      </w:pPr>
      <w:bookmarkStart w:id="807" w:name="b794"/>
      <w:r>
        <w:t>§ 566d Aufrechnung durch den Mieter</w:t>
      </w:r>
      <w:r>
        <w:t xml:space="preserve"> </w:t>
      </w:r>
      <w:r>
        <w:rPr>
          <w:rStyle w:val="Suchmarke"/>
        </w:rPr>
        <w:t>#566d#</w:t>
      </w:r>
      <w:bookmarkEnd w:id="807"/>
    </w:p>
    <w:p>
      <w:r>
        <w:rPr>
          <w:rStyle w:val="Satznummer"/>
        </w:rPr>
        <w:t>1</w:t>
      </w:r>
      <w:r>
        <w:t xml:space="preserve">Soweit die Entrichtung der Miete an den Vermieter nach § 566c dem Erwerber gegenüber wirksam ist, kann der Mieter gegen die Mietforderung des Erwerbers eine ihm gegen den Vermieter zustehende Forderung aufrechnen. </w:t>
      </w:r>
      <w:r>
        <w:rPr>
          <w:rStyle w:val="Satznummer"/>
        </w:rPr>
        <w:t>2</w:t>
      </w:r>
      <w:r>
        <w:t>Die Aufrechnung ist ausgeschlossen, wenn der Mieter die Gegenforderung erworben hat, nachdem er von dem Übergang des Eigentums Kenntnis erlangt hat, oder wenn die Gegenforderung erst nach der Erlangung der Kenntnis und später als die Miete fällig geworden ist.</w:t>
      </w:r>
    </w:p>
    <w:p>
      <w:pPr>
        <w:pStyle w:val="Heading6"/>
      </w:pPr>
      <w:bookmarkStart w:id="808" w:name="b795"/>
      <w:r>
        <w:t>§ 566e Mitteilung des Eigentumsübergangs durch den Vermieter</w:t>
      </w:r>
      <w:r>
        <w:t xml:space="preserve"> </w:t>
      </w:r>
      <w:r>
        <w:rPr>
          <w:rStyle w:val="Suchmarke"/>
        </w:rPr>
        <w:t>#566e#</w:t>
      </w:r>
      <w:bookmarkEnd w:id="808"/>
    </w:p>
    <w:p>
      <w:r>
        <w:t>(1) Teilt der Vermieter dem Mieter mit, dass er das Eigentum an dem vermieteten Wohnraum auf einen Dritten übertragen hat, so muss er in Ansehung der Mietforderung dem Mieter gegenüber die mitgeteilte Übertragung gegen sich gelten lassen, auch wenn sie nicht erfolgt oder nicht wirksam ist.</w:t>
      </w:r>
    </w:p>
    <w:p>
      <w:r>
        <w:t>(2) Die Mitteilung kann nur mit Zustimmung desjenigen zurückgenommen werden, der als der neue Eigentümer bezeichnet worden ist.</w:t>
      </w:r>
    </w:p>
    <w:p>
      <w:pPr>
        <w:pStyle w:val="Heading6"/>
      </w:pPr>
      <w:bookmarkStart w:id="809" w:name="b796"/>
      <w:r>
        <w:t>§ 567 Belastung des Wohnraums durch den Vermieter</w:t>
      </w:r>
      <w:r>
        <w:t xml:space="preserve"> </w:t>
      </w:r>
      <w:r>
        <w:rPr>
          <w:rStyle w:val="Suchmarke"/>
        </w:rPr>
        <w:t>#567#</w:t>
      </w:r>
      <w:bookmarkEnd w:id="809"/>
    </w:p>
    <w:p>
      <w:r>
        <w:rPr>
          <w:rStyle w:val="Satznummer"/>
        </w:rPr>
        <w:t>1</w:t>
      </w:r>
      <w:r>
        <w:t xml:space="preserve">Wird der vermietete Wohnraum nach der Überlassung an den Mieter von dem Vermieter mit dem Recht eines Dritten belastet, so sind die </w:t>
      </w:r>
      <w:hyperlink w:anchor="b790" w:history="1">
        <w:r>
          <w:rPr>
            <w:color w:val="0A3A8C"/>
            <w:u w:val="single"/>
          </w:rPr>
          <w:t xml:space="preserve">§§ 566</w:t>
        </w:r>
      </w:hyperlink>
      <w:r>
        <w:t xml:space="preserve"> bis </w:t>
      </w:r>
      <w:hyperlink w:anchor="b795" w:history="1">
        <w:r>
          <w:rPr>
            <w:color w:val="0A3A8C"/>
            <w:u w:val="single"/>
          </w:rPr>
          <w:t xml:space="preserve">566e</w:t>
        </w:r>
      </w:hyperlink>
      <w:r>
        <w:t xml:space="preserve"> entsprechend anzuwenden, wenn durch die Ausübung des Rechts dem Mieter der vertragsgemäße Gebrauch entzogen wird. </w:t>
      </w:r>
      <w:r>
        <w:rPr>
          <w:rStyle w:val="Satznummer"/>
        </w:rPr>
        <w:t>2</w:t>
      </w:r>
      <w:r>
        <w:t>Wird der Mieter durch die Ausübung des Rechts in dem vertragsgemäßen Gebrauch beschränkt, so ist der Dritte dem Mieter gegenüber verpflichtet, die Ausübung zu unterlassen, soweit sie den vertragsgemäßen Gebrauch beeinträchtigen würde.</w:t>
      </w:r>
    </w:p>
    <w:p>
      <w:pPr>
        <w:pStyle w:val="Heading6"/>
      </w:pPr>
      <w:bookmarkStart w:id="810" w:name="b797"/>
      <w:r>
        <w:t>§ 567a Veräußerung oder Belastung vor der Überlassung des Wohnraums</w:t>
      </w:r>
      <w:r>
        <w:t xml:space="preserve"> </w:t>
      </w:r>
      <w:r>
        <w:rPr>
          <w:rStyle w:val="Suchmarke"/>
        </w:rPr>
        <w:t>#567a#</w:t>
      </w:r>
      <w:bookmarkEnd w:id="810"/>
    </w:p>
    <w:p>
      <w:r>
        <w:t xml:space="preserve">Hat vor der Überlassung des vermieteten Wohnraums an den Mieter der Vermieter den Wohnraum an einen Dritten veräußert oder mit einem Recht belastet, durch dessen Ausübung der vertragsgemäße Gebrauch dem Mieter entzogen oder beschränkt wird, so gilt das Gleiche wie in den Fällen des </w:t>
      </w:r>
      <w:hyperlink w:anchor="b790" w:history="1">
        <w:r>
          <w:rPr>
            <w:color w:val="0A3A8C"/>
            <w:u w:val="single"/>
          </w:rPr>
          <w:t xml:space="preserve">§ 566</w:t>
        </w:r>
      </w:hyperlink>
      <w:r>
        <w:t xml:space="preserve"> Abs. 1 und des </w:t>
      </w:r>
      <w:hyperlink w:anchor="b796" w:history="1">
        <w:r>
          <w:rPr>
            <w:color w:val="0A3A8C"/>
            <w:u w:val="single"/>
          </w:rPr>
          <w:t xml:space="preserve">§ 567</w:t>
        </w:r>
      </w:hyperlink>
      <w:r>
        <w:t>, wenn der Erwerber dem Vermieter gegenüber die Erfüllung der sich aus dem Mietverhältnis ergebenden Pflichten übernommen hat.</w:t>
      </w:r>
    </w:p>
    <w:p>
      <w:pPr>
        <w:pStyle w:val="Heading6"/>
      </w:pPr>
      <w:bookmarkStart w:id="811" w:name="b798"/>
      <w:r>
        <w:t>§ 567b Weiterveräußerung oder Belastung durch Erwerber</w:t>
      </w:r>
      <w:r>
        <w:t xml:space="preserve"> </w:t>
      </w:r>
      <w:r>
        <w:rPr>
          <w:rStyle w:val="Suchmarke"/>
        </w:rPr>
        <w:t>#567b#</w:t>
      </w:r>
      <w:bookmarkEnd w:id="811"/>
    </w:p>
    <w:p>
      <w:r>
        <w:rPr>
          <w:rStyle w:val="Satznummer"/>
        </w:rPr>
        <w:t>1</w:t>
      </w:r>
      <w:r>
        <w:t xml:space="preserve">Wird der vermietete Wohnraum von dem Erwerber weiterveräußert oder belastet, so sind </w:t>
      </w:r>
      <w:hyperlink w:anchor="b790" w:history="1">
        <w:r>
          <w:rPr>
            <w:color w:val="0A3A8C"/>
            <w:u w:val="single"/>
          </w:rPr>
          <w:t xml:space="preserve">§ 566</w:t>
        </w:r>
      </w:hyperlink>
      <w:r>
        <w:t xml:space="preserve"> Abs. 1 und die </w:t>
      </w:r>
      <w:hyperlink w:anchor="b791" w:history="1">
        <w:r>
          <w:rPr>
            <w:color w:val="0A3A8C"/>
            <w:u w:val="single"/>
          </w:rPr>
          <w:t xml:space="preserve">§§ 566a</w:t>
        </w:r>
      </w:hyperlink>
      <w:r>
        <w:t xml:space="preserve"> bis </w:t>
      </w:r>
      <w:hyperlink w:anchor="b797" w:history="1">
        <w:r>
          <w:rPr>
            <w:color w:val="0A3A8C"/>
            <w:u w:val="single"/>
          </w:rPr>
          <w:t xml:space="preserve">567a</w:t>
        </w:r>
      </w:hyperlink>
      <w:r>
        <w:t xml:space="preserve"> entsprechend anzuwenden. </w:t>
      </w:r>
      <w:r>
        <w:rPr>
          <w:rStyle w:val="Satznummer"/>
        </w:rPr>
        <w:t>2</w:t>
      </w:r>
      <w:r>
        <w:t xml:space="preserve">Erfüllt der neue Erwerber die sich aus dem Mietverhältnis ergebenden Pflichten nicht, so haftet der Vermieter dem Mieter nach </w:t>
      </w:r>
      <w:hyperlink w:anchor="b790" w:history="1">
        <w:r>
          <w:rPr>
            <w:color w:val="0A3A8C"/>
            <w:u w:val="single"/>
          </w:rPr>
          <w:t xml:space="preserve">§ 566</w:t>
        </w:r>
      </w:hyperlink>
      <w:r>
        <w:t xml:space="preserve"> Abs. 2.</w:t>
      </w:r>
    </w:p>
    <w:p>
      <w:pPr>
        <w:pStyle w:val="Heading5"/>
      </w:pPr>
      <w:bookmarkStart w:id="812" w:name="b799"/>
      <w:r>
        <w:t>Kapitel 5 Beendigung des Mietverhältnisses</w:t>
      </w:r>
      <w:bookmarkEnd w:id="812"/>
    </w:p>
    <w:p>
      <w:pPr>
        <w:pStyle w:val="Heading6"/>
      </w:pPr>
      <w:bookmarkStart w:id="813" w:name="b800"/>
      <w:r>
        <w:t>Unterkapitel 1 Allgemeine Vorschriften</w:t>
      </w:r>
      <w:bookmarkEnd w:id="813"/>
    </w:p>
    <w:p>
      <w:pPr>
        <w:pStyle w:val="Heading7"/>
      </w:pPr>
      <w:bookmarkStart w:id="814" w:name="b801"/>
      <w:r>
        <w:t>§ 568 Form und Inhalt der Kündigung</w:t>
      </w:r>
      <w:r>
        <w:t xml:space="preserve"> </w:t>
      </w:r>
      <w:r>
        <w:rPr>
          <w:rStyle w:val="Suchmarke"/>
        </w:rPr>
        <w:t>#568#</w:t>
      </w:r>
      <w:bookmarkEnd w:id="814"/>
    </w:p>
    <w:p>
      <w:r>
        <w:t>(1) Die Kündigung des Mietverhältnisses bedarf der schriftlichen Form.</w:t>
      </w:r>
    </w:p>
    <w:p>
      <w:r>
        <w:t xml:space="preserve">(2) Der Vermieter soll den Mieter auf die Möglichkeit, die Form und die Frist des Widerspruchs nach den </w:t>
      </w:r>
      <w:hyperlink w:anchor="b812" w:history="1">
        <w:r>
          <w:rPr>
            <w:color w:val="0A3A8C"/>
            <w:u w:val="single"/>
          </w:rPr>
          <w:t xml:space="preserve">§§ 574</w:t>
        </w:r>
      </w:hyperlink>
      <w:r>
        <w:t xml:space="preserve"> bis </w:t>
      </w:r>
      <w:hyperlink w:anchor="b814" w:history="1">
        <w:r>
          <w:rPr>
            <w:color w:val="0A3A8C"/>
            <w:u w:val="single"/>
          </w:rPr>
          <w:t xml:space="preserve">574b</w:t>
        </w:r>
      </w:hyperlink>
      <w:r>
        <w:t xml:space="preserve"> rechtzeitig hinweisen.</w:t>
      </w:r>
    </w:p>
    <w:p>
      <w:pPr>
        <w:pStyle w:val="Heading7"/>
      </w:pPr>
      <w:bookmarkStart w:id="815" w:name="b802"/>
      <w:r>
        <w:t>§ 569 Außerordentliche fristlose Kündigung aus wichtigem Grund</w:t>
      </w:r>
      <w:r>
        <w:t xml:space="preserve"> </w:t>
      </w:r>
      <w:r>
        <w:rPr>
          <w:rStyle w:val="Suchmarke"/>
        </w:rPr>
        <w:t>#569#</w:t>
      </w:r>
      <w:bookmarkEnd w:id="815"/>
    </w:p>
    <w:p>
      <w:r>
        <w:t xml:space="preserve">(1) </w:t>
      </w:r>
      <w:r>
        <w:rPr>
          <w:rStyle w:val="Satznummer"/>
        </w:rPr>
        <w:t>1</w:t>
      </w:r>
      <w:r>
        <w:t xml:space="preserve">Ein wichtiger Grund im Sinne des </w:t>
      </w:r>
      <w:hyperlink w:anchor="b724" w:history="1">
        <w:r>
          <w:rPr>
            <w:color w:val="0A3A8C"/>
            <w:u w:val="single"/>
          </w:rPr>
          <w:t xml:space="preserve">§ 543</w:t>
        </w:r>
      </w:hyperlink>
      <w:r>
        <w:t xml:space="preserve"> Abs. 1 liegt für den Mieter auch vor, wenn der gemietete Wohnraum so beschaffen ist, dass seine Benutzung mit einer erheblichen Gefährdung der Gesundheit verbunden ist. </w:t>
      </w:r>
      <w:r>
        <w:rPr>
          <w:rStyle w:val="Satznummer"/>
        </w:rPr>
        <w:t>2</w:t>
      </w:r>
      <w:r>
        <w:t>Dies gilt auch, wenn der Mieter die Gefahr bringende Beschaffenheit bei Vertragsschluss gekannt oder darauf verzichtet hat, die ihm wegen dieser Beschaffenheit zustehenden Rechte geltend zu machen.</w:t>
      </w:r>
    </w:p>
    <w:p>
      <w:r>
        <w:t xml:space="preserve">(2) Ein wichtiger Grund im Sinne des </w:t>
      </w:r>
      <w:hyperlink w:anchor="b724" w:history="1">
        <w:r>
          <w:rPr>
            <w:color w:val="0A3A8C"/>
            <w:u w:val="single"/>
          </w:rPr>
          <w:t xml:space="preserve">§ 543</w:t>
        </w:r>
      </w:hyperlink>
      <w:r>
        <w:t xml:space="preserve"> Abs. 1 liegt ferner vor, wenn eine Vertragspartei den Hausfrieden nachhaltig stört, so dass dem Kündigenden unter Berücksichtigung aller Umstände des Einzelfalls, insbesondere eines Verschuldens der Vertragsparteien, und unter Abwägung der beiderseitigen Interessen die Fortsetzung des Mietverhältnisses bis zum Ablauf der Kündigungsfrist oder bis zur sonstigen Beendigung des Mietverhältnisses nicht zugemutet werden kann.</w:t>
      </w:r>
    </w:p>
    <w:p>
      <w:r>
        <w:t xml:space="preserve">(2a) </w:t>
      </w:r>
      <w:r>
        <w:rPr>
          <w:rStyle w:val="Satznummer"/>
        </w:rPr>
        <w:t>1</w:t>
      </w:r>
      <w:r>
        <w:t xml:space="preserve">Ein wichtiger Grund im Sinne des </w:t>
      </w:r>
      <w:hyperlink w:anchor="b724" w:history="1">
        <w:r>
          <w:rPr>
            <w:color w:val="0A3A8C"/>
            <w:u w:val="single"/>
          </w:rPr>
          <w:t xml:space="preserve">§ 543</w:t>
        </w:r>
      </w:hyperlink>
      <w:r>
        <w:t xml:space="preserve"> Absatz 1 liegt ferner vor, wenn der Mieter mit einer Sicherheitsleistung nach § 551 in Höhe eines Betrages im Verzug ist, der der zweifachen Monatsmiete entspricht. </w:t>
      </w:r>
      <w:r>
        <w:rPr>
          <w:rStyle w:val="Satznummer"/>
        </w:rPr>
        <w:t>2</w:t>
      </w:r>
      <w:r>
        <w:t xml:space="preserve">Die als Pauschale oder als Vorauszahlung ausgewiesenen Betriebskosten sind bei der Berechnung der Monatsmiete nach Satz 1 nicht zu berücksichtigen. </w:t>
      </w:r>
      <w:r>
        <w:rPr>
          <w:rStyle w:val="Satznummer"/>
        </w:rPr>
        <w:t>3</w:t>
      </w:r>
      <w:r>
        <w:t xml:space="preserve">Einer Abhilfefrist oder einer Abmahnung nach </w:t>
      </w:r>
      <w:hyperlink w:anchor="b724" w:history="1">
        <w:r>
          <w:rPr>
            <w:color w:val="0A3A8C"/>
            <w:u w:val="single"/>
          </w:rPr>
          <w:t xml:space="preserve">§ 543</w:t>
        </w:r>
      </w:hyperlink>
      <w:r>
        <w:t xml:space="preserve"> Absatz 3 Satz 1 bedarf es nicht. </w:t>
      </w:r>
      <w:r>
        <w:rPr>
          <w:rStyle w:val="Satznummer"/>
        </w:rPr>
        <w:t>4</w:t>
      </w:r>
      <w:r>
        <w:t xml:space="preserve">Absatz 3 Nummer 2 Satz 1 sowie </w:t>
      </w:r>
      <w:hyperlink w:anchor="b724" w:history="1">
        <w:r>
          <w:rPr>
            <w:color w:val="0A3A8C"/>
            <w:u w:val="single"/>
          </w:rPr>
          <w:t xml:space="preserve">§ 543</w:t>
        </w:r>
      </w:hyperlink>
      <w:r>
        <w:t xml:space="preserve"> Absatz 2 Satz 2 sind entsprechend anzuwenden.</w:t>
      </w:r>
    </w:p>
    <w:p>
      <w:r>
        <w:t xml:space="preserve">(3) Ergänzend zu </w:t>
      </w:r>
      <w:hyperlink w:anchor="b724" w:history="1">
        <w:r>
          <w:rPr>
            <w:color w:val="0A3A8C"/>
            <w:u w:val="single"/>
          </w:rPr>
          <w:t xml:space="preserve">§ 543</w:t>
        </w:r>
      </w:hyperlink>
      <w:r>
        <w:t xml:space="preserve"> Abs. 2 Satz 1 Nr. 3 gilt:</w:t>
      </w:r>
    </w:p>
    <w:p>
      <w:pPr>
        <w:tabs>
          <w:tab w:pos="567" w:val="left"/>
        </w:tabs>
        <w:ind w:left="567" w:hanging="567"/>
      </w:pPr>
      <w:r>
        <w:t>1.</w:t>
      </w:r>
      <w:r>
        <w:tab/>
      </w:r>
      <w:r>
        <w:t xml:space="preserve">Im Falle des § 543 Abs. 2 Satz 1 Nr. 3 Buchstabe a ist der rückständige Teil der Miete nur dann als nicht unerheblich anzusehen, wenn er die Miete für einen Monat übersteigt. </w:t>
      </w:r>
      <w:r>
        <w:rPr>
          <w:rStyle w:val="Satznummer"/>
        </w:rPr>
        <w:t>2</w:t>
      </w:r>
      <w:r>
        <w:t>Dies gilt nicht, wenn der Wohnraum nur zum vorübergehenden Gebrauch vermietet ist.</w:t>
      </w:r>
    </w:p>
    <w:p>
      <w:pPr>
        <w:tabs>
          <w:tab w:pos="567" w:val="left"/>
        </w:tabs>
        <w:ind w:left="567" w:hanging="567"/>
      </w:pPr>
      <w:r>
        <w:t>2.</w:t>
      </w:r>
      <w:r>
        <w:tab/>
      </w:r>
      <w:r>
        <w:t xml:space="preserve">Die Kündigung wird auch dann unwirksam, wenn der Vermieter spätestens bis zum Ablauf von zwei Monaten nach Eintritt der Rechtshängigkeit des Räumungsanspruchs hinsichtlich der fälligen Miete und der fälligen Entschädigung nach </w:t>
      </w:r>
      <w:hyperlink w:anchor="b728" w:history="1">
        <w:r>
          <w:rPr>
            <w:color w:val="0A3A8C"/>
            <w:u w:val="single"/>
          </w:rPr>
          <w:t xml:space="preserve">§ 546a</w:t>
        </w:r>
      </w:hyperlink>
      <w:r>
        <w:t xml:space="preserve"> Abs. 1 befriedigt wird oder sich eine öffentliche Stelle zur Befriedigung verpflichtet. </w:t>
      </w:r>
      <w:r>
        <w:rPr>
          <w:rStyle w:val="Satznummer"/>
        </w:rPr>
        <w:t>2</w:t>
      </w:r>
      <w:r>
        <w:t>Dies gilt nicht, wenn der Kündigung vor nicht länger als zwei Jahren bereits eine nach Satz 1 unwirksam gewordene Kündigung vorausgegangen ist.</w:t>
      </w:r>
    </w:p>
    <w:p>
      <w:pPr>
        <w:tabs>
          <w:tab w:pos="567" w:val="left"/>
        </w:tabs>
        <w:ind w:left="567" w:hanging="567"/>
      </w:pPr>
      <w:r>
        <w:t>3.</w:t>
      </w:r>
      <w:r>
        <w:tab/>
      </w:r>
      <w:r>
        <w:t xml:space="preserve">Ist der Mieter rechtskräftig zur Zahlung einer erhöhten Miete nach den </w:t>
      </w:r>
      <w:hyperlink w:anchor="b763" w:history="1">
        <w:r>
          <w:rPr>
            <w:color w:val="0A3A8C"/>
            <w:u w:val="single"/>
          </w:rPr>
          <w:t xml:space="preserve">§§ 558</w:t>
        </w:r>
      </w:hyperlink>
      <w:r>
        <w:t xml:space="preserve"> bis </w:t>
      </w:r>
      <w:hyperlink w:anchor="b776" w:history="1">
        <w:r>
          <w:rPr>
            <w:color w:val="0A3A8C"/>
            <w:u w:val="single"/>
          </w:rPr>
          <w:t xml:space="preserve">560</w:t>
        </w:r>
      </w:hyperlink>
      <w:r>
        <w:t xml:space="preserve"> verurteilt worden, so kann der Vermieter das Mietverhältnis wegen Zahlungsverzugs des Mieters nicht vor Ablauf von zwei Monaten nach rechtskräftiger Verurteilung kündigen, wenn nicht die Voraussetzungen der außerordentlichen fristlosen Kündigung schon wegen der bisher geschuldeten Miete erfüllt sind.</w:t>
      </w:r>
    </w:p>
    <w:p>
      <w:r>
        <w:t>(4) Der zur Kündigung führende wichtige Grund ist in dem Kündigungsschreiben anzugeben.</w:t>
      </w:r>
    </w:p>
    <w:p>
      <w:r>
        <w:t xml:space="preserve">(5) </w:t>
      </w:r>
      <w:r>
        <w:rPr>
          <w:rStyle w:val="Satznummer"/>
        </w:rPr>
        <w:t>1</w:t>
      </w:r>
      <w:r>
        <w:t xml:space="preserve">Eine Vereinbarung, die zum Nachteil des Mieters von den Absätzen 1 bis 3 dieser Vorschrift oder von </w:t>
      </w:r>
      <w:hyperlink w:anchor="b724" w:history="1">
        <w:r>
          <w:rPr>
            <w:color w:val="0A3A8C"/>
            <w:u w:val="single"/>
          </w:rPr>
          <w:t xml:space="preserve">§ 543</w:t>
        </w:r>
      </w:hyperlink>
      <w:r>
        <w:t xml:space="preserve"> abweicht, ist unwirksam. </w:t>
      </w:r>
      <w:r>
        <w:rPr>
          <w:rStyle w:val="Satznummer"/>
        </w:rPr>
        <w:t>2</w:t>
      </w:r>
      <w:r>
        <w:t>Ferner ist eine Vereinbarung unwirksam, nach der der Vermieter berechtigt sein soll, aus anderen als den im Gesetz zugelassenen Gründen außerordentlich fristlos zu kündigen.</w:t>
      </w:r>
    </w:p>
    <w:p>
      <w:pPr>
        <w:pStyle w:val="Heading7"/>
      </w:pPr>
      <w:bookmarkStart w:id="816" w:name="b803"/>
      <w:r>
        <w:t>§ 570 Ausschluss des Zurückbehaltungsrechts</w:t>
      </w:r>
      <w:r>
        <w:t xml:space="preserve"> </w:t>
      </w:r>
      <w:r>
        <w:rPr>
          <w:rStyle w:val="Suchmarke"/>
        </w:rPr>
        <w:t>#570#</w:t>
      </w:r>
      <w:bookmarkEnd w:id="816"/>
    </w:p>
    <w:p>
      <w:r>
        <w:t>Dem Mieter steht kein Zurückbehaltungsrecht gegen den Rückgabeanspruch des Vermieters zu.</w:t>
      </w:r>
    </w:p>
    <w:p>
      <w:pPr>
        <w:pStyle w:val="Heading7"/>
      </w:pPr>
      <w:bookmarkStart w:id="817" w:name="b804"/>
      <w:r>
        <w:t>§ 571 Weiterer Schadensersatz bei verspäteter Rückgabe von Wohnraum</w:t>
      </w:r>
      <w:r>
        <w:t xml:space="preserve"> </w:t>
      </w:r>
      <w:r>
        <w:rPr>
          <w:rStyle w:val="Suchmarke"/>
        </w:rPr>
        <w:t>#571#</w:t>
      </w:r>
      <w:bookmarkEnd w:id="817"/>
    </w:p>
    <w:p>
      <w:r>
        <w:t xml:space="preserve">(1) </w:t>
      </w:r>
      <w:r>
        <w:rPr>
          <w:rStyle w:val="Satznummer"/>
        </w:rPr>
        <w:t>1</w:t>
      </w:r>
      <w:r>
        <w:t xml:space="preserve">Gibt der Mieter den gemieteten Wohnraum nach Beendigung des Mietverhältnisses nicht zurück, so kann der Vermieter einen weiteren Schaden im Sinne des </w:t>
      </w:r>
      <w:hyperlink w:anchor="b728" w:history="1">
        <w:r>
          <w:rPr>
            <w:color w:val="0A3A8C"/>
            <w:u w:val="single"/>
          </w:rPr>
          <w:t xml:space="preserve">§ 546a</w:t>
        </w:r>
      </w:hyperlink>
      <w:r>
        <w:t xml:space="preserve"> Abs. 2 nur geltend machen, wenn die Rückgabe infolge von Umständen unterblieben ist, die der Mieter zu vertreten hat. </w:t>
      </w:r>
      <w:r>
        <w:rPr>
          <w:rStyle w:val="Satznummer"/>
        </w:rPr>
        <w:t>2</w:t>
      </w:r>
      <w:r>
        <w:t xml:space="preserve">Der Schaden ist nur insoweit zu ersetzen, als die Billigkeit eine Schadloshaltung erfordert. </w:t>
      </w:r>
      <w:r>
        <w:rPr>
          <w:rStyle w:val="Satznummer"/>
        </w:rPr>
        <w:t>3</w:t>
      </w:r>
      <w:r>
        <w:t>Dies gilt nicht, wenn der Mieter gekündigt hat.</w:t>
      </w:r>
    </w:p>
    <w:p>
      <w:r>
        <w:t>(2) Wird dem Mieter nach § 721 oder § 794a der Zivilprozessordnung eine Räumungsfrist gewährt, so ist er für die Zeit von der Beendigung des Mietverhältnisses bis zum Ablauf der Räumungsfrist zum Ersatz eines weiteren Schadens nicht verpflichtet.</w:t>
      </w:r>
    </w:p>
    <w:p>
      <w:r>
        <w:t>(3) Eine zum Nachteil des Mieters abweichende Vereinbarung ist unwirksam.</w:t>
      </w:r>
    </w:p>
    <w:p>
      <w:pPr>
        <w:pStyle w:val="Heading7"/>
      </w:pPr>
      <w:bookmarkStart w:id="818" w:name="b805"/>
      <w:r>
        <w:t>§ 572 Vereinbartes Rücktrittsrecht; Mietverhältnis unter auflösender Bedingung</w:t>
      </w:r>
      <w:r>
        <w:t xml:space="preserve"> </w:t>
      </w:r>
      <w:r>
        <w:rPr>
          <w:rStyle w:val="Suchmarke"/>
        </w:rPr>
        <w:t>#572#</w:t>
      </w:r>
      <w:bookmarkEnd w:id="818"/>
    </w:p>
    <w:p>
      <w:r>
        <w:t>(1) Auf eine Vereinbarung, nach der der Vermieter berechtigt sein soll, nach Überlassung des Wohnraums an den Mieter vom Vertrag zurückzutreten, kann der Vermieter sich nicht berufen.</w:t>
      </w:r>
    </w:p>
    <w:p>
      <w:r>
        <w:t>(2) Ferner kann der Vermieter sich nicht auf eine Vereinbarung berufen, nach der das Mietverhältnis zum Nachteil des Mieters auflösend bedingt ist.</w:t>
      </w:r>
    </w:p>
    <w:p>
      <w:pPr>
        <w:pStyle w:val="Heading6"/>
      </w:pPr>
      <w:bookmarkStart w:id="819" w:name="b806"/>
      <w:r>
        <w:t>Unterkapitel 2 Mietverhältnisse auf unbestimmte Zeit</w:t>
      </w:r>
      <w:bookmarkEnd w:id="819"/>
    </w:p>
    <w:p>
      <w:pPr>
        <w:pStyle w:val="Heading7"/>
      </w:pPr>
      <w:bookmarkStart w:id="820" w:name="b807"/>
      <w:r>
        <w:t>§ 573 Ordentliche Kündigung des Vermieters</w:t>
      </w:r>
      <w:r>
        <w:t xml:space="preserve"> </w:t>
      </w:r>
      <w:r>
        <w:rPr>
          <w:rStyle w:val="Suchmarke"/>
        </w:rPr>
        <w:t>#573#</w:t>
      </w:r>
      <w:bookmarkEnd w:id="820"/>
    </w:p>
    <w:p>
      <w:r>
        <w:t xml:space="preserve">(1) </w:t>
      </w:r>
      <w:r>
        <w:rPr>
          <w:rStyle w:val="Satznummer"/>
        </w:rPr>
        <w:t>1</w:t>
      </w:r>
      <w:r>
        <w:t xml:space="preserve">Der Vermieter kann nur kündigen, wenn er ein berechtigtes Interesse an der Beendigung des Mietverhältnisses hat. </w:t>
      </w:r>
      <w:r>
        <w:rPr>
          <w:rStyle w:val="Satznummer"/>
        </w:rPr>
        <w:t>2</w:t>
      </w:r>
      <w:r>
        <w:t>Die Kündigung zum Zwecke der Mieterhöhung ist ausgeschlossen.</w:t>
      </w:r>
    </w:p>
    <w:p>
      <w:r>
        <w:t>(2) Ein berechtigtes Interesse des Vermieters an der Beendigung des Mietverhältnisses liegt insbesondere vor, wenn</w:t>
      </w:r>
    </w:p>
    <w:p>
      <w:pPr>
        <w:tabs>
          <w:tab w:pos="567" w:val="left"/>
        </w:tabs>
        <w:ind w:left="567" w:hanging="567"/>
      </w:pPr>
      <w:r>
        <w:t>1.</w:t>
      </w:r>
      <w:r>
        <w:tab/>
      </w:r>
      <w:r>
        <w:t>der Mieter seine vertraglichen Pflichten schuldhaft nicht unerheblich verletzt hat,</w:t>
      </w:r>
    </w:p>
    <w:p>
      <w:pPr>
        <w:tabs>
          <w:tab w:pos="567" w:val="left"/>
        </w:tabs>
        <w:ind w:left="567" w:hanging="567"/>
      </w:pPr>
      <w:r>
        <w:t>2.</w:t>
      </w:r>
      <w:r>
        <w:tab/>
      </w:r>
      <w:r>
        <w:t>der Vermieter die Räume als Wohnung für sich, seine Familienangehörigen oder Angehörige seines Haushalts benötigt oder</w:t>
      </w:r>
    </w:p>
    <w:p>
      <w:pPr>
        <w:tabs>
          <w:tab w:pos="567" w:val="left"/>
        </w:tabs>
        <w:ind w:left="567" w:hanging="567"/>
      </w:pPr>
      <w:r>
        <w:t>3.</w:t>
      </w:r>
      <w:r>
        <w:tab/>
      </w:r>
      <w:r>
        <w:t>der Vermieter durch die Fortsetzung des Mietverhältnisses an einer angemessenen wirtschaftlichen Verwertung des Grundstücks gehindert und dadurch erhebliche Nachteile erleiden würde; die Möglichkeit, durch eine anderweitige Vermietung als Wohnraum eine höhere Miete zu erzielen, bleibt außer Betracht; der Vermieter kann sich auch nicht darauf berufen, dass er die Mieträume im Zusammenhang mit einer beabsichtigten oder nach Überlassung an den Mieter erfolgten Begründung von Wohnungseigentum veräußern will.</w:t>
      </w:r>
    </w:p>
    <w:p>
      <w:r>
        <w:t xml:space="preserve">(3) </w:t>
      </w:r>
      <w:r>
        <w:rPr>
          <w:rStyle w:val="Satznummer"/>
        </w:rPr>
        <w:t>1</w:t>
      </w:r>
      <w:r>
        <w:t xml:space="preserve">Die Gründe für ein berechtigtes Interesse des Vermieters sind in dem Kündigungsschreiben anzugeben. </w:t>
      </w:r>
      <w:r>
        <w:rPr>
          <w:rStyle w:val="Satznummer"/>
        </w:rPr>
        <w:t>2</w:t>
      </w:r>
      <w:r>
        <w:t>Andere Gründe werden nur berücksichtigt, soweit sie nachträglich entstanden sind.</w:t>
      </w:r>
    </w:p>
    <w:p>
      <w:r>
        <w:t>(4) Eine zum Nachteil des Mieters abweichende Vereinbarung ist unwirksam.</w:t>
      </w:r>
    </w:p>
    <w:p>
      <w:pPr>
        <w:pStyle w:val="Heading7"/>
      </w:pPr>
      <w:bookmarkStart w:id="821" w:name="b808"/>
      <w:r>
        <w:t>§ 573a Erleichterte Kündigung des Vermieters</w:t>
      </w:r>
      <w:r>
        <w:t xml:space="preserve"> </w:t>
      </w:r>
      <w:r>
        <w:rPr>
          <w:rStyle w:val="Suchmarke"/>
        </w:rPr>
        <w:t>#573a#</w:t>
      </w:r>
      <w:bookmarkEnd w:id="821"/>
    </w:p>
    <w:p>
      <w:r>
        <w:t xml:space="preserve">(1) </w:t>
      </w:r>
      <w:r>
        <w:rPr>
          <w:rStyle w:val="Satznummer"/>
        </w:rPr>
        <w:t>1</w:t>
      </w:r>
      <w:r>
        <w:t xml:space="preserve">Ein Mietverhältnis über eine Wohnung in einem vom Vermieter selbst bewohnten Gebäude mit nicht mehr als zwei Wohnungen kann der Vermieter auch kündigen, ohne dass es eines berechtigten Interesses im Sinne des </w:t>
      </w:r>
      <w:hyperlink w:anchor="b807" w:history="1">
        <w:r>
          <w:rPr>
            <w:color w:val="0A3A8C"/>
            <w:u w:val="single"/>
          </w:rPr>
          <w:t xml:space="preserve">§ 573</w:t>
        </w:r>
      </w:hyperlink>
      <w:r>
        <w:t xml:space="preserve"> bedarf. </w:t>
      </w:r>
      <w:r>
        <w:rPr>
          <w:rStyle w:val="Satznummer"/>
        </w:rPr>
        <w:t>2</w:t>
      </w:r>
      <w:r>
        <w:t>Die Kündigungsfrist verlängert sich in diesem Fall um drei Monate.</w:t>
      </w:r>
    </w:p>
    <w:p>
      <w:r>
        <w:t>(2) Absatz 1 gilt entsprechend für Wohnraum innerhalb der vom Vermieter selbst bewohnten Wohnung, sofern der Wohnraum nicht nach § 549 Abs. 2 Nr. 2 vom Mieterschutz ausgenommen ist.</w:t>
      </w:r>
    </w:p>
    <w:p>
      <w:r>
        <w:t>(3) In dem Kündigungsschreiben ist anzugeben, dass die Kündigung auf die Voraussetzungen des Absatzes 1 oder 2 gestützt wird.</w:t>
      </w:r>
    </w:p>
    <w:p>
      <w:r>
        <w:t>(4) Eine zum Nachteil des Mieters abweichende Vereinbarung ist unwirksam.</w:t>
      </w:r>
    </w:p>
    <w:p>
      <w:pPr>
        <w:pStyle w:val="Heading7"/>
      </w:pPr>
      <w:bookmarkStart w:id="822" w:name="b809"/>
      <w:r>
        <w:t>§ 573b Teilkündigung des Vermieters</w:t>
      </w:r>
      <w:r>
        <w:t xml:space="preserve"> </w:t>
      </w:r>
      <w:r>
        <w:rPr>
          <w:rStyle w:val="Suchmarke"/>
        </w:rPr>
        <w:t>#573b#</w:t>
      </w:r>
      <w:bookmarkEnd w:id="822"/>
    </w:p>
    <w:p>
      <w:r>
        <w:t xml:space="preserve">(1) Der Vermieter kann nicht zum Wohnen bestimmte Nebenräume oder Teile eines Grundstücks ohne ein berechtigtes Interesse im Sinne des </w:t>
      </w:r>
      <w:hyperlink w:anchor="b807" w:history="1">
        <w:r>
          <w:rPr>
            <w:color w:val="0A3A8C"/>
            <w:u w:val="single"/>
          </w:rPr>
          <w:t xml:space="preserve">§ 573</w:t>
        </w:r>
      </w:hyperlink>
      <w:r>
        <w:t xml:space="preserve"> kündigen, wenn er die Kündigung auf diese Räume oder Grundstücksteile beschränkt und sie dazu verwenden will,</w:t>
      </w:r>
    </w:p>
    <w:p>
      <w:pPr>
        <w:tabs>
          <w:tab w:pos="567" w:val="left"/>
        </w:tabs>
        <w:ind w:left="567" w:hanging="567"/>
      </w:pPr>
      <w:r>
        <w:t>1.</w:t>
      </w:r>
      <w:r>
        <w:tab/>
      </w:r>
      <w:r>
        <w:t>Wohnraum zum Zwecke der Vermietung zu schaffen oder</w:t>
      </w:r>
    </w:p>
    <w:p>
      <w:pPr>
        <w:tabs>
          <w:tab w:pos="567" w:val="left"/>
        </w:tabs>
        <w:ind w:left="567" w:hanging="567"/>
      </w:pPr>
      <w:r>
        <w:t>2.</w:t>
      </w:r>
      <w:r>
        <w:tab/>
      </w:r>
      <w:r>
        <w:t>den neu zu schaffenden und den vorhandenen Wohnraum mit Nebenräumen oder Grundstücksteilen auszustatten.</w:t>
      </w:r>
    </w:p>
    <w:p>
      <w:r>
        <w:t>(2) Die Kündigung ist spätestens am dritten Werktag eines Kalendermonats zum Ablauf des übernächsten Monats zulässig.</w:t>
      </w:r>
    </w:p>
    <w:p>
      <w:r>
        <w:t>(3) Verzögert sich der Beginn der Bauarbeiten, so kann der Mieter eine Verlängerung des Mietverhältnisses um einen entsprechenden Zeitraum verlangen.</w:t>
      </w:r>
    </w:p>
    <w:p>
      <w:r>
        <w:t>(4) Der Mieter kann eine angemessene Senkung der Miete verlangen.</w:t>
      </w:r>
    </w:p>
    <w:p>
      <w:r>
        <w:t>(5) Eine zum Nachteil des Mieters abweichende Vereinbarung ist unwirksam.</w:t>
      </w:r>
    </w:p>
    <w:p>
      <w:pPr>
        <w:pStyle w:val="Heading7"/>
      </w:pPr>
      <w:bookmarkStart w:id="823" w:name="b810"/>
      <w:r>
        <w:t>§ 573c Fristen der ordentlichen Kündigung</w:t>
      </w:r>
      <w:r>
        <w:t xml:space="preserve"> </w:t>
      </w:r>
      <w:r>
        <w:rPr>
          <w:rStyle w:val="Suchmarke"/>
        </w:rPr>
        <w:t>#573c#</w:t>
      </w:r>
      <w:bookmarkEnd w:id="823"/>
    </w:p>
    <w:p>
      <w:r>
        <w:t xml:space="preserve">(1) </w:t>
      </w:r>
      <w:r>
        <w:rPr>
          <w:rStyle w:val="Satznummer"/>
        </w:rPr>
        <w:t>1</w:t>
      </w:r>
      <w:r>
        <w:t xml:space="preserve">Die Kündigung ist spätestens am dritten Werktag eines Kalendermonats zum Ablauf des übernächsten Monats zulässig. </w:t>
      </w:r>
      <w:r>
        <w:rPr>
          <w:rStyle w:val="Satznummer"/>
        </w:rPr>
        <w:t>2</w:t>
      </w:r>
      <w:r>
        <w:t>Die Kündigungsfrist für den Vermieter verlängert sich nach fünf und acht Jahren seit der Überlassung des Wohnraums um jeweils drei Monate.</w:t>
      </w:r>
    </w:p>
    <w:p>
      <w:r>
        <w:t>(2) Bei Wohnraum, der nur zum vorübergehenden Gebrauch vermietet worden ist, kann eine kürzere Kündigungsfrist vereinbart werden.</w:t>
      </w:r>
    </w:p>
    <w:p>
      <w:r>
        <w:t xml:space="preserve">(3) Bei Wohnraum nach </w:t>
      </w:r>
      <w:hyperlink w:anchor="b734" w:history="1">
        <w:r>
          <w:rPr>
            <w:color w:val="0A3A8C"/>
            <w:u w:val="single"/>
          </w:rPr>
          <w:t xml:space="preserve">§ 549</w:t>
        </w:r>
      </w:hyperlink>
      <w:r>
        <w:t xml:space="preserve"> Abs. 2 Nr. 2 ist die Kündigung spätestens am 15. eines Monats zum Ablauf dieses Monats zulässig.</w:t>
      </w:r>
    </w:p>
    <w:p>
      <w:r>
        <w:t>(4) Eine zum Nachteil des Mieters von Absatz 1 oder 3 abweichende Vereinbarung ist unwirksam.</w:t>
      </w:r>
    </w:p>
    <w:p>
      <w:pPr>
        <w:pStyle w:val="Heading7"/>
      </w:pPr>
      <w:bookmarkStart w:id="824" w:name="b811"/>
      <w:r>
        <w:t>§ 573d Außerordentliche Kündigung mit gesetzlicher Frist</w:t>
      </w:r>
      <w:r>
        <w:t xml:space="preserve"> </w:t>
      </w:r>
      <w:r>
        <w:rPr>
          <w:rStyle w:val="Suchmarke"/>
        </w:rPr>
        <w:t>#573d#</w:t>
      </w:r>
      <w:bookmarkEnd w:id="824"/>
    </w:p>
    <w:p>
      <w:r>
        <w:t xml:space="preserve">(1) Kann ein Mietverhältnis außerordentlich mit der gesetzlichen Frist gekündigt werden, so gelten mit Ausnahme der Kündigung gegenüber Erben des Mieters nach </w:t>
      </w:r>
      <w:hyperlink w:anchor="b788" w:history="1">
        <w:r>
          <w:rPr>
            <w:color w:val="0A3A8C"/>
            <w:u w:val="single"/>
          </w:rPr>
          <w:t xml:space="preserve">§ 564</w:t>
        </w:r>
      </w:hyperlink>
      <w:r>
        <w:t xml:space="preserve"> die </w:t>
      </w:r>
      <w:hyperlink w:anchor="b807" w:history="1">
        <w:r>
          <w:rPr>
            <w:color w:val="0A3A8C"/>
            <w:u w:val="single"/>
          </w:rPr>
          <w:t xml:space="preserve">§§ 573</w:t>
        </w:r>
      </w:hyperlink>
      <w:r>
        <w:t xml:space="preserve"> und </w:t>
      </w:r>
      <w:hyperlink w:anchor="b808" w:history="1">
        <w:r>
          <w:rPr>
            <w:color w:val="0A3A8C"/>
            <w:u w:val="single"/>
          </w:rPr>
          <w:t xml:space="preserve">573a</w:t>
        </w:r>
      </w:hyperlink>
      <w:r>
        <w:t xml:space="preserve"> entsprechend.</w:t>
      </w:r>
    </w:p>
    <w:p>
      <w:r>
        <w:t xml:space="preserve">(2) </w:t>
      </w:r>
      <w:r>
        <w:rPr>
          <w:rStyle w:val="Satznummer"/>
        </w:rPr>
        <w:t>1</w:t>
      </w:r>
      <w:r>
        <w:t xml:space="preserve">Die Kündigung ist spätestens am dritten Werktag eines Kalendermonats zum Ablauf des übernächsten Monats zulässig, bei Wohnraum nach </w:t>
      </w:r>
      <w:hyperlink w:anchor="b734" w:history="1">
        <w:r>
          <w:rPr>
            <w:color w:val="0A3A8C"/>
            <w:u w:val="single"/>
          </w:rPr>
          <w:t xml:space="preserve">§ 549</w:t>
        </w:r>
      </w:hyperlink>
      <w:r>
        <w:t xml:space="preserve"> Abs. 2 Nr. 2 spätestens am 15. eines Monats zum Ablauf dieses Monats (gesetzliche Frist). </w:t>
      </w:r>
      <w:r>
        <w:rPr>
          <w:rStyle w:val="Satznummer"/>
        </w:rPr>
        <w:t>2</w:t>
      </w:r>
      <w:hyperlink w:anchor="b808" w:history="1">
        <w:r>
          <w:rPr>
            <w:color w:val="0A3A8C"/>
            <w:u w:val="single"/>
          </w:rPr>
          <w:t xml:space="preserve">§ 573a</w:t>
        </w:r>
      </w:hyperlink>
      <w:r>
        <w:t xml:space="preserve"> Abs. 1 Satz 2 findet keine Anwendung.</w:t>
      </w:r>
    </w:p>
    <w:p>
      <w:r>
        <w:t>(3) Eine zum Nachteil des Mieters abweichende Vereinbarung ist unwirksam.</w:t>
      </w:r>
    </w:p>
    <w:p>
      <w:pPr>
        <w:pStyle w:val="Heading7"/>
      </w:pPr>
      <w:bookmarkStart w:id="825" w:name="b812"/>
      <w:r>
        <w:t>§ 574 Widerspruch des Mieters gegen die Kündigung</w:t>
      </w:r>
      <w:r>
        <w:t xml:space="preserve"> </w:t>
      </w:r>
      <w:r>
        <w:rPr>
          <w:rStyle w:val="Suchmarke"/>
        </w:rPr>
        <w:t>#574#</w:t>
      </w:r>
      <w:bookmarkEnd w:id="825"/>
    </w:p>
    <w:p>
      <w:r>
        <w:t xml:space="preserve">(1) </w:t>
      </w:r>
      <w:r>
        <w:rPr>
          <w:rStyle w:val="Satznummer"/>
        </w:rPr>
        <w:t>1</w:t>
      </w:r>
      <w:r>
        <w:t xml:space="preserve">Der Mieter kann der Kündigung des Vermieters widersprechen und von ihm die Fortsetzung des Mietverhältnisses verlangen, wenn die Beendigung des Mietverhältnisses für den Mieter, seine Familie oder einen anderen Angehörigen seines Haushalts eine Härte bedeuten würde, die auch unter Würdigung der berechtigten Interessen des Vermieters nicht zu rechtfertigen ist. </w:t>
      </w:r>
      <w:r>
        <w:rPr>
          <w:rStyle w:val="Satznummer"/>
        </w:rPr>
        <w:t>2</w:t>
      </w:r>
      <w:r>
        <w:t>Dies gilt nicht, wenn ein Grund vorliegt, der den Vermieter zur außerordentlichen fristlosen Kündigung berechtigt.</w:t>
      </w:r>
    </w:p>
    <w:p>
      <w:r>
        <w:t>(2) Eine Härte liegt auch vor, wenn angemessener Ersatzwohnraum zu zumutbaren Bedingungen nicht beschafft werden kann.</w:t>
      </w:r>
    </w:p>
    <w:p>
      <w:r>
        <w:t xml:space="preserve">(3) Bei der Würdigung der berechtigten Interessen des Vermieters werden nur die in dem Kündigungsschreiben nach </w:t>
      </w:r>
      <w:hyperlink w:anchor="b807" w:history="1">
        <w:r>
          <w:rPr>
            <w:color w:val="0A3A8C"/>
            <w:u w:val="single"/>
          </w:rPr>
          <w:t xml:space="preserve">§ 573</w:t>
        </w:r>
      </w:hyperlink>
      <w:r>
        <w:t xml:space="preserve"> Abs. 3 angegebenen Gründe berücksichtigt, außer wenn die Gründe nachträglich entstanden sind.</w:t>
      </w:r>
    </w:p>
    <w:p>
      <w:r>
        <w:t>(4) Eine zum Nachteil des Mieters abweichende Vereinbarung ist unwirksam.</w:t>
      </w:r>
    </w:p>
    <w:p>
      <w:pPr>
        <w:pStyle w:val="Heading7"/>
      </w:pPr>
      <w:bookmarkStart w:id="826" w:name="b813"/>
      <w:r>
        <w:t>§ 574a Fortsetzung des Mietverhältnisses nach Widerspruch</w:t>
      </w:r>
      <w:r>
        <w:t xml:space="preserve"> </w:t>
      </w:r>
      <w:r>
        <w:rPr>
          <w:rStyle w:val="Suchmarke"/>
        </w:rPr>
        <w:t>#574a#</w:t>
      </w:r>
      <w:bookmarkEnd w:id="826"/>
    </w:p>
    <w:p>
      <w:r>
        <w:t xml:space="preserve">(1) </w:t>
      </w:r>
      <w:r>
        <w:rPr>
          <w:rStyle w:val="Satznummer"/>
        </w:rPr>
        <w:t>1</w:t>
      </w:r>
      <w:r>
        <w:t xml:space="preserve">Im Falle des </w:t>
      </w:r>
      <w:hyperlink w:anchor="b812" w:history="1">
        <w:r>
          <w:rPr>
            <w:color w:val="0A3A8C"/>
            <w:u w:val="single"/>
          </w:rPr>
          <w:t xml:space="preserve">§ 574</w:t>
        </w:r>
      </w:hyperlink>
      <w:r>
        <w:t xml:space="preserve"> kann der Mieter verlangen, dass das Mietverhältnis so lange fortgesetzt wird, wie dies unter Berücksichtigung aller Umstände angemessen ist. </w:t>
      </w:r>
      <w:r>
        <w:rPr>
          <w:rStyle w:val="Satznummer"/>
        </w:rPr>
        <w:t>2</w:t>
      </w:r>
      <w:r>
        <w:t>Ist dem Vermieter nicht zuzumuten, das Mietverhältnis zu den bisherigen Vertragsbedingungen fortzusetzen, so kann der Mieter nur verlangen, dass es unter einer angemessenen Änderung der Bedingungen fortgesetzt wird.</w:t>
      </w:r>
    </w:p>
    <w:p>
      <w:r>
        <w:t xml:space="preserve">(2) </w:t>
      </w:r>
      <w:r>
        <w:rPr>
          <w:rStyle w:val="Satznummer"/>
        </w:rPr>
        <w:t>1</w:t>
      </w:r>
      <w:r>
        <w:t xml:space="preserve">Kommt keine Einigung zustande, so werden die Fortsetzung des Mietverhältnisses, deren Dauer sowie die Bedingungen, zu denen es fortgesetzt wird, durch Urteil bestimmt. </w:t>
      </w:r>
      <w:r>
        <w:rPr>
          <w:rStyle w:val="Satznummer"/>
        </w:rPr>
        <w:t>2</w:t>
      </w:r>
      <w:r>
        <w:t>Ist ungewiss, wann voraussichtlich die Umstände wegfallen, auf Grund derer die Beendigung des Mietverhältnisses eine Härte bedeutet, so kann bestimmt werden, dass das Mietverhältnis auf unbestimmte Zeit fortgesetzt wird.</w:t>
      </w:r>
    </w:p>
    <w:p>
      <w:r>
        <w:t>(3) Eine zum Nachteil des Mieters abweichende Vereinbarung ist unwirksam.</w:t>
      </w:r>
    </w:p>
    <w:p>
      <w:pPr>
        <w:pStyle w:val="Heading7"/>
      </w:pPr>
      <w:bookmarkStart w:id="827" w:name="b814"/>
      <w:r>
        <w:t>§ 574b Form und Frist des Widerspruchs</w:t>
      </w:r>
      <w:r>
        <w:t xml:space="preserve"> </w:t>
      </w:r>
      <w:r>
        <w:rPr>
          <w:rStyle w:val="Suchmarke"/>
        </w:rPr>
        <w:t>#574b#</w:t>
      </w:r>
      <w:bookmarkEnd w:id="827"/>
    </w:p>
    <w:p>
      <w:r>
        <w:t xml:space="preserve">(1) </w:t>
      </w:r>
      <w:r>
        <w:rPr>
          <w:rStyle w:val="Satznummer"/>
        </w:rPr>
        <w:t>1</w:t>
      </w:r>
      <w:r>
        <w:t xml:space="preserve">Der Widerspruch des Mieters gegen die Kündigung ist in Textform zu erklären. </w:t>
      </w:r>
      <w:r>
        <w:rPr>
          <w:rStyle w:val="Satznummer"/>
        </w:rPr>
        <w:t>2</w:t>
      </w:r>
      <w:r>
        <w:t>Auf Verlangen des Vermieters soll der Mieter über die Gründe des Widerspruchs unverzüglich Auskunft erteilen.</w:t>
      </w:r>
    </w:p>
    <w:p>
      <w:r>
        <w:t xml:space="preserve">(2) </w:t>
      </w:r>
      <w:r>
        <w:rPr>
          <w:rStyle w:val="Satznummer"/>
        </w:rPr>
        <w:t>1</w:t>
      </w:r>
      <w:r>
        <w:t xml:space="preserve">Der Vermieter kann die Fortsetzung des Mietverhältnisses ablehnen, wenn der Mieter ihm den Widerspruch nicht spätestens zwei Monate vor der Beendigung des Mietverhältnisses erklärt hat. </w:t>
      </w:r>
      <w:r>
        <w:rPr>
          <w:rStyle w:val="Satznummer"/>
        </w:rPr>
        <w:t>2</w:t>
      </w:r>
      <w:r>
        <w:t>Hat der Vermieter nicht rechtzeitig vor Ablauf der Widerspruchsfrist auf die Möglichkeit des Widerspruchs sowie auf dessen Form und Frist hingewiesen, so kann der Mieter den Widerspruch noch im ersten Termin des Räumungsrechtsstreits erklären.</w:t>
      </w:r>
    </w:p>
    <w:p>
      <w:r>
        <w:t>(3) Eine zum Nachteil des Mieters abweichende Vereinbarung ist unwirksam.</w:t>
      </w:r>
    </w:p>
    <w:p>
      <w:pPr>
        <w:pStyle w:val="Heading7"/>
      </w:pPr>
      <w:bookmarkStart w:id="828" w:name="b815"/>
      <w:r>
        <w:t>§ 574c Weitere Fortsetzung des Mietverhältnisses bei unvorhergesehenen Umständen</w:t>
      </w:r>
      <w:r>
        <w:t xml:space="preserve"> </w:t>
      </w:r>
      <w:r>
        <w:rPr>
          <w:rStyle w:val="Suchmarke"/>
        </w:rPr>
        <w:t>#574c#</w:t>
      </w:r>
      <w:bookmarkEnd w:id="828"/>
    </w:p>
    <w:p>
      <w:r>
        <w:t xml:space="preserve">(1) Ist auf Grund der </w:t>
      </w:r>
      <w:hyperlink w:anchor="b812" w:history="1">
        <w:r>
          <w:rPr>
            <w:color w:val="0A3A8C"/>
            <w:u w:val="single"/>
          </w:rPr>
          <w:t xml:space="preserve">§§ 574</w:t>
        </w:r>
      </w:hyperlink>
      <w:r>
        <w:t xml:space="preserve"> bis </w:t>
      </w:r>
      <w:hyperlink w:anchor="b814" w:history="1">
        <w:r>
          <w:rPr>
            <w:color w:val="0A3A8C"/>
            <w:u w:val="single"/>
          </w:rPr>
          <w:t xml:space="preserve">574b</w:t>
        </w:r>
      </w:hyperlink>
      <w:r>
        <w:t xml:space="preserve"> durch Einigung oder Urteil bestimmt worden, dass das Mietverhältnis auf bestimmte Zeit fortgesetzt wird, so kann der Mieter dessen weitere Fortsetzung nur verlangen, wenn dies durch eine wesentliche Änderung der Umstände gerechtfertigt ist oder wenn Umstände nicht eingetreten sind, deren vorgesehener Eintritt für die Zeitdauer der Fortsetzung bestimmend gewesen war.</w:t>
      </w:r>
    </w:p>
    <w:p>
      <w:r>
        <w:t xml:space="preserve">(2) </w:t>
      </w:r>
      <w:r>
        <w:rPr>
          <w:rStyle w:val="Satznummer"/>
        </w:rPr>
        <w:t>1</w:t>
      </w:r>
      <w:r>
        <w:t xml:space="preserve">Kündigt der Vermieter ein Mietverhältnis, dessen Fortsetzung auf unbestimmte Zeit durch Urteil bestimmt worden ist, so kann der Mieter der Kündigung widersprechen und vom Vermieter verlangen, das Mietverhältnis auf unbestimmte Zeit fortzusetzen. </w:t>
      </w:r>
      <w:r>
        <w:rPr>
          <w:rStyle w:val="Satznummer"/>
        </w:rPr>
        <w:t>2</w:t>
      </w:r>
      <w:r>
        <w:t xml:space="preserve">Haben sich die Umstände verändert, die für die Fortsetzung bestimmend gewesen waren, so kann der Mieter eine Fortsetzung des Mietverhältnisses nur nach </w:t>
      </w:r>
      <w:hyperlink w:anchor="b812" w:history="1">
        <w:r>
          <w:rPr>
            <w:color w:val="0A3A8C"/>
            <w:u w:val="single"/>
          </w:rPr>
          <w:t xml:space="preserve">§ 574</w:t>
        </w:r>
      </w:hyperlink>
      <w:r>
        <w:t xml:space="preserve"> verlangen; unerhebliche Veränderungen bleiben außer Betracht.</w:t>
      </w:r>
    </w:p>
    <w:p>
      <w:r>
        <w:t>(3) Eine zum Nachteil des Mieters abweichende Vereinbarung ist unwirksam.</w:t>
      </w:r>
    </w:p>
    <w:p>
      <w:pPr>
        <w:pStyle w:val="Heading6"/>
      </w:pPr>
      <w:bookmarkStart w:id="829" w:name="b816"/>
      <w:r>
        <w:t>Unterkapitel 3 Mietverhältnisse auf bestimmte Zeit</w:t>
      </w:r>
      <w:bookmarkEnd w:id="829"/>
    </w:p>
    <w:p>
      <w:pPr>
        <w:pStyle w:val="Heading7"/>
      </w:pPr>
      <w:bookmarkStart w:id="830" w:name="b817"/>
      <w:r>
        <w:t>§ 575 Zeitmietvertrag</w:t>
      </w:r>
      <w:r>
        <w:t xml:space="preserve"> </w:t>
      </w:r>
      <w:r>
        <w:rPr>
          <w:rStyle w:val="Suchmarke"/>
        </w:rPr>
        <w:t>#575#</w:t>
      </w:r>
      <w:bookmarkEnd w:id="830"/>
    </w:p>
    <w:p>
      <w:r>
        <w:t xml:space="preserve">(1) </w:t>
      </w:r>
      <w:r>
        <w:rPr>
          <w:rStyle w:val="Satznummer"/>
        </w:rPr>
        <w:t>1</w:t>
      </w:r>
      <w:r>
        <w:t>Ein Mietverhältnis kann auf bestimmte Zeit eingegangen werden, wenn der Vermieter nach Ablauf der Mietzeit</w:t>
      </w:r>
    </w:p>
    <w:p>
      <w:pPr>
        <w:tabs>
          <w:tab w:pos="567" w:val="left"/>
        </w:tabs>
        <w:ind w:left="567" w:hanging="567"/>
      </w:pPr>
      <w:r>
        <w:t>1.</w:t>
      </w:r>
      <w:r>
        <w:tab/>
      </w:r>
      <w:r>
        <w:t>die Räume als Wohnung für sich, seine Familienangehörigen oder Angehörige seines Haushalts nutzen will,</w:t>
      </w:r>
    </w:p>
    <w:p>
      <w:pPr>
        <w:tabs>
          <w:tab w:pos="567" w:val="left"/>
        </w:tabs>
        <w:ind w:left="567" w:hanging="567"/>
      </w:pPr>
      <w:r>
        <w:t>2.</w:t>
      </w:r>
      <w:r>
        <w:tab/>
      </w:r>
      <w:r>
        <w:t>in zulässiger Weise die Räume beseitigen oder so wesentlich verändern oder instand setzen will, dass die Maßnahmen durch eine Fortsetzung des Mietverhältnisses erheblich erschwert würden, oder</w:t>
      </w:r>
    </w:p>
    <w:p>
      <w:pPr>
        <w:tabs>
          <w:tab w:pos="567" w:val="left"/>
        </w:tabs>
        <w:ind w:left="567" w:hanging="567"/>
      </w:pPr>
      <w:r>
        <w:t>3.</w:t>
      </w:r>
      <w:r>
        <w:tab/>
      </w:r>
      <w:r>
        <w:t>die Räume an einen zur Dienstleistung Verpflichteten vermieten will</w:t>
      </w:r>
    </w:p>
    <w:p>
      <w:r>
        <w:t xml:space="preserve">und er dem Mieter den Grund der Befristung bei Vertragsschluss schriftlich mitteilt. </w:t>
      </w:r>
      <w:r>
        <w:rPr>
          <w:rStyle w:val="Satznummer"/>
        </w:rPr>
        <w:t>2</w:t>
      </w:r>
      <w:r>
        <w:t>Anderenfalls gilt das Mietverhältnis als auf unbestimmte Zeit abgeschlossen.</w:t>
      </w:r>
    </w:p>
    <w:p>
      <w:r>
        <w:t xml:space="preserve">(2) </w:t>
      </w:r>
      <w:r>
        <w:rPr>
          <w:rStyle w:val="Satznummer"/>
        </w:rPr>
        <w:t>1</w:t>
      </w:r>
      <w:r>
        <w:t xml:space="preserve">Der Mieter kann vom Vermieter frühestens vier Monate vor Ablauf der Befristung verlangen, dass dieser ihm binnen eines Monats mitteilt, ob der Befristungsgrund noch besteht. </w:t>
      </w:r>
      <w:r>
        <w:rPr>
          <w:rStyle w:val="Satznummer"/>
        </w:rPr>
        <w:t>2</w:t>
      </w:r>
      <w:r>
        <w:t>Erfolgt die Mitteilung später, so kann der Mieter eine Verlängerung des Mietverhältnisses um den Zeitraum der Verspätung verlangen.</w:t>
      </w:r>
    </w:p>
    <w:p>
      <w:r>
        <w:t xml:space="preserve">(3) </w:t>
      </w:r>
      <w:r>
        <w:rPr>
          <w:rStyle w:val="Satznummer"/>
        </w:rPr>
        <w:t>1</w:t>
      </w:r>
      <w:r>
        <w:t xml:space="preserve">Tritt der Grund der Befristung erst später ein, so kann der Mieter eine Verlängerung des Mietverhältnisses um einen entsprechenden Zeitraum verlangen. </w:t>
      </w:r>
      <w:r>
        <w:rPr>
          <w:rStyle w:val="Satznummer"/>
        </w:rPr>
        <w:t>2</w:t>
      </w:r>
      <w:r>
        <w:t xml:space="preserve">Entfällt der Grund, so kann der Mieter eine Verlängerung auf unbestimmte Zeit verlangen. </w:t>
      </w:r>
      <w:r>
        <w:rPr>
          <w:rStyle w:val="Satznummer"/>
        </w:rPr>
        <w:t>3</w:t>
      </w:r>
      <w:r>
        <w:t>Die Beweislast für den Eintritt des Befristungsgrundes und die Dauer der Verzögerung trifft den Vermieter.</w:t>
      </w:r>
    </w:p>
    <w:p>
      <w:r>
        <w:t>(4) Eine zum Nachteil des Mieters abweichende Vereinbarung ist unwirksam.</w:t>
      </w:r>
    </w:p>
    <w:p>
      <w:pPr>
        <w:pStyle w:val="Heading7"/>
      </w:pPr>
      <w:bookmarkStart w:id="831" w:name="b818"/>
      <w:r>
        <w:t>§ 575a Außerordentliche Kündigung mit gesetzlicher Frist</w:t>
      </w:r>
      <w:r>
        <w:t xml:space="preserve"> </w:t>
      </w:r>
      <w:r>
        <w:rPr>
          <w:rStyle w:val="Suchmarke"/>
        </w:rPr>
        <w:t>#575a#</w:t>
      </w:r>
      <w:bookmarkEnd w:id="831"/>
    </w:p>
    <w:p>
      <w:r>
        <w:t xml:space="preserve">(1) Kann ein Mietverhältnis, das auf bestimmte Zeit eingegangen ist, außerordentlich mit der gesetzlichen Frist gekündigt werden, so gelten mit Ausnahme der Kündigung gegenüber Erben des Mieters nach </w:t>
      </w:r>
      <w:hyperlink w:anchor="b788" w:history="1">
        <w:r>
          <w:rPr>
            <w:color w:val="0A3A8C"/>
            <w:u w:val="single"/>
          </w:rPr>
          <w:t xml:space="preserve">§ 564</w:t>
        </w:r>
      </w:hyperlink>
      <w:r>
        <w:t xml:space="preserve"> die </w:t>
      </w:r>
      <w:hyperlink w:anchor="b807" w:history="1">
        <w:r>
          <w:rPr>
            <w:color w:val="0A3A8C"/>
            <w:u w:val="single"/>
          </w:rPr>
          <w:t xml:space="preserve">§§ 573</w:t>
        </w:r>
      </w:hyperlink>
      <w:r>
        <w:t xml:space="preserve"> und </w:t>
      </w:r>
      <w:hyperlink w:anchor="b808" w:history="1">
        <w:r>
          <w:rPr>
            <w:color w:val="0A3A8C"/>
            <w:u w:val="single"/>
          </w:rPr>
          <w:t xml:space="preserve">573a</w:t>
        </w:r>
      </w:hyperlink>
      <w:r>
        <w:t xml:space="preserve"> entsprechend.</w:t>
      </w:r>
    </w:p>
    <w:p>
      <w:r>
        <w:t xml:space="preserve">(2) Die </w:t>
      </w:r>
      <w:hyperlink w:anchor="b812" w:history="1">
        <w:r>
          <w:rPr>
            <w:color w:val="0A3A8C"/>
            <w:u w:val="single"/>
          </w:rPr>
          <w:t xml:space="preserve">§§ 574</w:t>
        </w:r>
      </w:hyperlink>
      <w:r>
        <w:t xml:space="preserve"> bis </w:t>
      </w:r>
      <w:hyperlink w:anchor="b815" w:history="1">
        <w:r>
          <w:rPr>
            <w:color w:val="0A3A8C"/>
            <w:u w:val="single"/>
          </w:rPr>
          <w:t xml:space="preserve">574c</w:t>
        </w:r>
      </w:hyperlink>
      <w:r>
        <w:t xml:space="preserve"> gelten entsprechend mit der Maßgabe, dass die Fortsetzung des Mietverhältnisses höchstens bis zum vertraglich bestimmten Zeitpunkt der Beendigung verlangt werden kann.</w:t>
      </w:r>
    </w:p>
    <w:p>
      <w:r>
        <w:t xml:space="preserve">(3) </w:t>
      </w:r>
      <w:r>
        <w:rPr>
          <w:rStyle w:val="Satznummer"/>
        </w:rPr>
        <w:t>1</w:t>
      </w:r>
      <w:r>
        <w:t xml:space="preserve">Die Kündigung ist spätestens am dritten Werktag eines Kalendermonats zum Ablauf des übernächsten Monats zulässig, bei Wohnraum nach </w:t>
      </w:r>
      <w:hyperlink w:anchor="b734" w:history="1">
        <w:r>
          <w:rPr>
            <w:color w:val="0A3A8C"/>
            <w:u w:val="single"/>
          </w:rPr>
          <w:t xml:space="preserve">§ 549</w:t>
        </w:r>
      </w:hyperlink>
      <w:r>
        <w:t xml:space="preserve"> Abs. 2 Nr. 2 spätestens am 15. eines Monats zum Ablauf dieses Monats (gesetzliche Frist). </w:t>
      </w:r>
      <w:r>
        <w:rPr>
          <w:rStyle w:val="Satznummer"/>
        </w:rPr>
        <w:t>2</w:t>
      </w:r>
      <w:hyperlink w:anchor="b808" w:history="1">
        <w:r>
          <w:rPr>
            <w:color w:val="0A3A8C"/>
            <w:u w:val="single"/>
          </w:rPr>
          <w:t xml:space="preserve">§ 573a</w:t>
        </w:r>
      </w:hyperlink>
      <w:r>
        <w:t xml:space="preserve"> Abs. 1 Satz 2 findet keine Anwendung.</w:t>
      </w:r>
    </w:p>
    <w:p>
      <w:r>
        <w:t>(4) Eine zum Nachteil des Mieters abweichende Vereinbarung ist unwirksam.</w:t>
      </w:r>
    </w:p>
    <w:p>
      <w:pPr>
        <w:pStyle w:val="Heading6"/>
      </w:pPr>
      <w:bookmarkStart w:id="832" w:name="b819"/>
      <w:r>
        <w:t>Unterkapitel 4 Werkwohnungen</w:t>
      </w:r>
      <w:bookmarkEnd w:id="832"/>
    </w:p>
    <w:p>
      <w:pPr>
        <w:pStyle w:val="Heading7"/>
      </w:pPr>
      <w:bookmarkStart w:id="833" w:name="b820"/>
      <w:r>
        <w:t>§ 576 Fristen der ordentlichen Kündigung bei Werkmietwohnungen</w:t>
      </w:r>
      <w:r>
        <w:t xml:space="preserve"> </w:t>
      </w:r>
      <w:r>
        <w:rPr>
          <w:rStyle w:val="Suchmarke"/>
        </w:rPr>
        <w:t>#576#</w:t>
      </w:r>
      <w:bookmarkEnd w:id="833"/>
    </w:p>
    <w:p>
      <w:r>
        <w:t xml:space="preserve">(1) Ist Wohnraum mit Rücksicht auf das Bestehen eines Dienstverhältnisses vermietet, so kann der Vermieter nach Beendigung des Dienstverhältnisses abweichend von </w:t>
      </w:r>
      <w:hyperlink w:anchor="b810" w:history="1">
        <w:r>
          <w:rPr>
            <w:color w:val="0A3A8C"/>
            <w:u w:val="single"/>
          </w:rPr>
          <w:t xml:space="preserve">§ 573c</w:t>
        </w:r>
      </w:hyperlink>
      <w:r>
        <w:t xml:space="preserve"> Abs. 1 Satz 2 mit folgenden Fristen kündigen:</w:t>
      </w:r>
    </w:p>
    <w:p>
      <w:pPr>
        <w:tabs>
          <w:tab w:pos="567" w:val="left"/>
        </w:tabs>
        <w:ind w:left="567" w:hanging="567"/>
      </w:pPr>
      <w:r>
        <w:t>1.</w:t>
      </w:r>
      <w:r>
        <w:tab/>
      </w:r>
      <w:r>
        <w:t>bei Wohnraum, der dem Mieter weniger als zehn Jahre überlassen war, spätestens am dritten Werktag eines Kalendermonats zum Ablauf des übernächsten Monats, wenn der Wohnraum für einen anderen zur Dienstleistung Verpflichteten benötigt wird;</w:t>
      </w:r>
    </w:p>
    <w:p>
      <w:pPr>
        <w:tabs>
          <w:tab w:pos="567" w:val="left"/>
        </w:tabs>
        <w:ind w:left="567" w:hanging="567"/>
      </w:pPr>
      <w:r>
        <w:t>2.</w:t>
      </w:r>
      <w:r>
        <w:tab/>
      </w:r>
      <w:r>
        <w:t>spätestens am dritten Werktag eines Kalendermonats zum Ablauf dieses Monats, wenn das Dienstverhältnis seiner Art nach die Überlassung von Wohnraum erfordert hat, der in unmittelbarer Beziehung oder Nähe zur Arbeitsstätte steht, und der Wohnraum aus dem gleichen Grund für einen anderen zur Dienstleistung Verpflichteten benötigt wird.</w:t>
      </w:r>
    </w:p>
    <w:p>
      <w:r>
        <w:t>(2) Eine zum Nachteil des Mieters abweichende Vereinbarung ist unwirksam.</w:t>
      </w:r>
    </w:p>
    <w:p>
      <w:pPr>
        <w:pStyle w:val="Heading7"/>
      </w:pPr>
      <w:bookmarkStart w:id="834" w:name="b821"/>
      <w:r>
        <w:t>§ 576a Besonderheiten des Widerspruchsrechts bei Werkmietwohnungen</w:t>
      </w:r>
      <w:r>
        <w:t xml:space="preserve"> </w:t>
      </w:r>
      <w:r>
        <w:rPr>
          <w:rStyle w:val="Suchmarke"/>
        </w:rPr>
        <w:t>#576a#</w:t>
      </w:r>
      <w:bookmarkEnd w:id="834"/>
    </w:p>
    <w:p>
      <w:r>
        <w:t xml:space="preserve">(1) Bei der Anwendung der </w:t>
      </w:r>
      <w:hyperlink w:anchor="b812" w:history="1">
        <w:r>
          <w:rPr>
            <w:color w:val="0A3A8C"/>
            <w:u w:val="single"/>
          </w:rPr>
          <w:t xml:space="preserve">§§ 574</w:t>
        </w:r>
      </w:hyperlink>
      <w:r>
        <w:t xml:space="preserve"> bis </w:t>
      </w:r>
      <w:hyperlink w:anchor="b815" w:history="1">
        <w:r>
          <w:rPr>
            <w:color w:val="0A3A8C"/>
            <w:u w:val="single"/>
          </w:rPr>
          <w:t xml:space="preserve">574c</w:t>
        </w:r>
      </w:hyperlink>
      <w:r>
        <w:t xml:space="preserve"> auf Werkmietwohnungen sind auch die Belange des Dienstberechtigten zu berücksichtigen.</w:t>
      </w:r>
    </w:p>
    <w:p>
      <w:r>
        <w:t xml:space="preserve">(2) Die </w:t>
      </w:r>
      <w:hyperlink w:anchor="b812" w:history="1">
        <w:r>
          <w:rPr>
            <w:color w:val="0A3A8C"/>
            <w:u w:val="single"/>
          </w:rPr>
          <w:t xml:space="preserve">§§ 574</w:t>
        </w:r>
      </w:hyperlink>
      <w:r>
        <w:t xml:space="preserve"> bis </w:t>
      </w:r>
      <w:hyperlink w:anchor="b815" w:history="1">
        <w:r>
          <w:rPr>
            <w:color w:val="0A3A8C"/>
            <w:u w:val="single"/>
          </w:rPr>
          <w:t xml:space="preserve">574c</w:t>
        </w:r>
      </w:hyperlink>
      <w:r>
        <w:t xml:space="preserve"> gelten nicht, wenn</w:t>
      </w:r>
    </w:p>
    <w:p>
      <w:pPr>
        <w:tabs>
          <w:tab w:pos="567" w:val="left"/>
        </w:tabs>
        <w:ind w:left="567" w:hanging="567"/>
      </w:pPr>
      <w:r>
        <w:t>1.</w:t>
      </w:r>
      <w:r>
        <w:tab/>
      </w:r>
      <w:r>
        <w:t xml:space="preserve">der Vermieter nach </w:t>
      </w:r>
      <w:hyperlink w:anchor="b820" w:history="1">
        <w:r>
          <w:rPr>
            <w:color w:val="0A3A8C"/>
            <w:u w:val="single"/>
          </w:rPr>
          <w:t xml:space="preserve">§ 576</w:t>
        </w:r>
      </w:hyperlink>
      <w:r>
        <w:t xml:space="preserve"> Abs. 1 Nr. 2 gekündigt hat;</w:t>
      </w:r>
    </w:p>
    <w:p>
      <w:pPr>
        <w:tabs>
          <w:tab w:pos="567" w:val="left"/>
        </w:tabs>
        <w:ind w:left="567" w:hanging="567"/>
      </w:pPr>
      <w:r>
        <w:t>2.</w:t>
      </w:r>
      <w:r>
        <w:tab/>
      </w:r>
      <w:r>
        <w:t>der Mieter das Dienstverhältnis gelöst hat, ohne dass ihm von dem Dienstberechtigten gesetzlich begründeter Anlass dazu gegeben war, oder der Mieter durch sein Verhalten dem Dienstberechtigten gesetzlich begründeten Anlass zur Auflösung des Dienstverhältnisses gegeben hat.</w:t>
      </w:r>
    </w:p>
    <w:p>
      <w:r>
        <w:t>(3) Eine zum Nachteil des Mieters abweichende Vereinbarung ist unwirksam.</w:t>
      </w:r>
    </w:p>
    <w:p>
      <w:pPr>
        <w:pStyle w:val="Heading7"/>
      </w:pPr>
      <w:bookmarkStart w:id="835" w:name="b822"/>
      <w:r>
        <w:t>§ 576b Entsprechende Geltung des Mietrechts bei Werkdienstwohnungen</w:t>
      </w:r>
      <w:r>
        <w:t xml:space="preserve"> </w:t>
      </w:r>
      <w:r>
        <w:rPr>
          <w:rStyle w:val="Suchmarke"/>
        </w:rPr>
        <w:t>#576b#</w:t>
      </w:r>
      <w:bookmarkEnd w:id="835"/>
    </w:p>
    <w:p>
      <w:r>
        <w:t>(1) Ist Wohnraum im Rahmen eines Dienstverhältnisses überlassen, so gelten für die Beendigung des Rechtsverhältnisses hinsichtlich des Wohnraums die Vorschriften über Mietverhältnisse entsprechend, wenn der zur Dienstleistung Verpflichtete den Wohnraum überwiegend mit Einrichtungsgegenständen ausgestattet hat oder in dem Wohnraum mit seiner Familie oder Personen lebt, mit denen er einen auf Dauer angelegten gemeinsamen Haushalt führt.</w:t>
      </w:r>
    </w:p>
    <w:p>
      <w:r>
        <w:t>(2) Eine zum Nachteil des Mieters abweichende Vereinbarung ist unwirksam.</w:t>
      </w:r>
    </w:p>
    <w:p>
      <w:pPr>
        <w:pStyle w:val="Heading5"/>
      </w:pPr>
      <w:bookmarkStart w:id="836" w:name="b823"/>
      <w:r>
        <w:t>Kapitel 6 Besonderheiten bei der Bildung von Wohnungseigentum an vermieteten Wohnungen</w:t>
      </w:r>
      <w:bookmarkEnd w:id="836"/>
    </w:p>
    <w:p>
      <w:pPr>
        <w:pStyle w:val="Heading6"/>
      </w:pPr>
      <w:bookmarkStart w:id="837" w:name="b824"/>
      <w:r>
        <w:t>§ 577 Vorkaufsrecht des Mieters</w:t>
      </w:r>
      <w:r>
        <w:t xml:space="preserve"> </w:t>
      </w:r>
      <w:r>
        <w:rPr>
          <w:rStyle w:val="Suchmarke"/>
        </w:rPr>
        <w:t>#577#</w:t>
      </w:r>
      <w:bookmarkEnd w:id="837"/>
    </w:p>
    <w:p>
      <w:r>
        <w:t xml:space="preserve">(1) </w:t>
      </w:r>
      <w:r>
        <w:rPr>
          <w:rStyle w:val="Satznummer"/>
        </w:rPr>
        <w:t>1</w:t>
      </w:r>
      <w:r>
        <w:t xml:space="preserve">Werden vermietete Wohnräume, an denen nach der Überlassung an den Mieter Wohnungseigentum begründet worden ist oder begründet werden soll, an einen Dritten verkauft, so ist der Mieter zum Vorkauf berechtigt. </w:t>
      </w:r>
      <w:r>
        <w:rPr>
          <w:rStyle w:val="Satznummer"/>
        </w:rPr>
        <w:t>2</w:t>
      </w:r>
      <w:r>
        <w:t xml:space="preserve">Dies gilt nicht, wenn der Vermieter die Wohnräume an einen Familienangehörigen oder an einen Angehörigen seines Haushalts verkauft. </w:t>
      </w:r>
      <w:r>
        <w:rPr>
          <w:rStyle w:val="Satznummer"/>
        </w:rPr>
        <w:t>3</w:t>
      </w:r>
      <w:r>
        <w:t>Soweit sich nicht aus den nachfolgenden Absätzen etwas anderes ergibt, finden auf das Vorkaufsrecht die Vorschriften über den Vorkauf Anwendung.</w:t>
      </w:r>
    </w:p>
    <w:p>
      <w:r>
        <w:t>(2) Die Mitteilung des Verkäufers oder des Dritten über den Inhalt des Kaufvertrags ist mit einer Unterrichtung des Mieters über sein Vorkaufsrecht zu verbinden.</w:t>
      </w:r>
    </w:p>
    <w:p>
      <w:r>
        <w:t>(3) Die Ausübung des Vorkaufsrechts erfolgt durch schriftliche Erklärung des Mieters gegenüber dem Verkäufer.</w:t>
      </w:r>
    </w:p>
    <w:p>
      <w:r>
        <w:t xml:space="preserve">(4) Stirbt der Mieter, so geht das Vorkaufsrecht auf diejenigen über, die in das Mietverhältnis nach </w:t>
      </w:r>
      <w:hyperlink w:anchor="b785" w:history="1">
        <w:r>
          <w:rPr>
            <w:color w:val="0A3A8C"/>
            <w:u w:val="single"/>
          </w:rPr>
          <w:t xml:space="preserve">§ 563</w:t>
        </w:r>
      </w:hyperlink>
      <w:r>
        <w:t xml:space="preserve"> Abs. 1 oder 2 eintreten.</w:t>
      </w:r>
    </w:p>
    <w:p>
      <w:r>
        <w:t>(5) Eine zum Nachteil des Mieters abweichende Vereinbarung ist unwirksam.</w:t>
      </w:r>
    </w:p>
    <w:p>
      <w:pPr>
        <w:pStyle w:val="Heading6"/>
      </w:pPr>
      <w:bookmarkStart w:id="838" w:name="b825"/>
      <w:r>
        <w:t>§ 577a Kündigungsbeschränkung bei Wohnungsumwandlung</w:t>
      </w:r>
      <w:r>
        <w:t xml:space="preserve"> </w:t>
      </w:r>
      <w:r>
        <w:rPr>
          <w:rStyle w:val="Suchmarke"/>
        </w:rPr>
        <w:t>#577a#</w:t>
      </w:r>
      <w:bookmarkEnd w:id="838"/>
    </w:p>
    <w:p>
      <w:r>
        <w:t xml:space="preserve">(1) Ist an vermieteten Wohnräumen nach der Überlassung an den Mieter Wohnungseigentum begründet und das Wohnungseigentum veräußert worden, so kann sich ein Erwerber auf berechtigte Interessen im Sinne des </w:t>
      </w:r>
      <w:hyperlink w:anchor="b807" w:history="1">
        <w:r>
          <w:rPr>
            <w:color w:val="0A3A8C"/>
            <w:u w:val="single"/>
          </w:rPr>
          <w:t xml:space="preserve">§ 573</w:t>
        </w:r>
      </w:hyperlink>
      <w:r>
        <w:t xml:space="preserve"> Abs. 2 Nr. 2 oder 3 erst nach Ablauf von drei Jahren seit der Veräußerung berufen.</w:t>
      </w:r>
    </w:p>
    <w:p>
      <w:r>
        <w:t xml:space="preserve">(1a) </w:t>
      </w:r>
      <w:r>
        <w:rPr>
          <w:rStyle w:val="Satznummer"/>
        </w:rPr>
        <w:t>1</w:t>
      </w:r>
      <w:r>
        <w:t>Die Kündigungsbeschränkung nach Absatz 1 gilt entsprechend, wenn vermieteter Wohnraum nach der Überlassung an den Mieter</w:t>
      </w:r>
    </w:p>
    <w:p>
      <w:pPr>
        <w:tabs>
          <w:tab w:pos="567" w:val="left"/>
        </w:tabs>
        <w:ind w:left="567" w:hanging="567"/>
      </w:pPr>
      <w:r>
        <w:t>1.</w:t>
      </w:r>
      <w:r>
        <w:tab/>
      </w:r>
      <w:r>
        <w:t>an eine Personengesellschaft oder an mehrere Erwerber veräußert worden ist oder</w:t>
      </w:r>
    </w:p>
    <w:p>
      <w:pPr>
        <w:tabs>
          <w:tab w:pos="567" w:val="left"/>
        </w:tabs>
        <w:ind w:left="567" w:hanging="567"/>
      </w:pPr>
      <w:r>
        <w:t>2.</w:t>
      </w:r>
      <w:r>
        <w:tab/>
      </w:r>
      <w:r>
        <w:t>zu Gunsten einer Personengesellschaft oder mehrerer Erwerber mit einem Recht belastet worden ist, durch dessen Ausübung dem Mieter der vertragsgemäße Gebrauch entzogen wird.</w:t>
      </w:r>
    </w:p>
    <w:p>
      <w:r>
        <w:rPr>
          <w:rStyle w:val="Satznummer"/>
        </w:rPr>
        <w:t>2</w:t>
      </w:r>
      <w:r>
        <w:t>Satz 1 ist nicht anzuwenden, wenn die Gesellschafter oder Erwerber derselben Familie oder demselben Haushalt angehören oder vor Überlassung des Wohnraums an den Mieter Wohnungseigentum begründet worden ist.</w:t>
      </w:r>
    </w:p>
    <w:p>
      <w:r>
        <w:t xml:space="preserve">(2) </w:t>
      </w:r>
      <w:r>
        <w:rPr>
          <w:rStyle w:val="Satznummer"/>
        </w:rPr>
        <w:t>1</w:t>
      </w:r>
      <w:r>
        <w:t xml:space="preserve">Die Frist nach Absatz 1 oder nach Absatz 1a beträgt bis zu zehn Jahre, wenn die ausreichende Versorgung der Bevölkerung mit Mietwohnungen zu angemessenen Bedingungen in einer Gemeinde oder einem Teil einer Gemeinde besonders gefährdet ist und diese Gebiete nach Satz 2 bestimmt sind. </w:t>
      </w:r>
      <w:r>
        <w:rPr>
          <w:rStyle w:val="Satznummer"/>
        </w:rPr>
        <w:t>2</w:t>
      </w:r>
      <w:r>
        <w:t>Die Landesregierungen werden ermächtigt, diese Gebiete und die Frist nach Satz 1 durch Rechtsverordnung für die Dauer von jeweils höchstens zehn Jahren zu bestimmen.</w:t>
      </w:r>
    </w:p>
    <w:p>
      <w:r>
        <w:t xml:space="preserve">(2a) Wird nach einer Veräußerung oder Belastung im Sinne des Absatzes 1a Wohnungseigentum begründet, so beginnt die Frist, innerhalb der eine Kündigung nach </w:t>
      </w:r>
      <w:hyperlink w:anchor="b807" w:history="1">
        <w:r>
          <w:rPr>
            <w:color w:val="0A3A8C"/>
            <w:u w:val="single"/>
          </w:rPr>
          <w:t xml:space="preserve">§ 573</w:t>
        </w:r>
      </w:hyperlink>
      <w:r>
        <w:t xml:space="preserve"> Absatz 2 Nummer 2 oder 3 ausgeschlossen ist, bereits mit der Veräußerung oder Belastung nach Absatz 1a.</w:t>
      </w:r>
    </w:p>
    <w:p>
      <w:r>
        <w:t>(3) Eine zum Nachteil des Mieters abweichende Vereinbarung ist unwirksam.</w:t>
      </w:r>
    </w:p>
    <w:p>
      <w:pPr>
        <w:pStyle w:val="Heading4"/>
      </w:pPr>
      <w:bookmarkStart w:id="839" w:name="b826"/>
      <w:r>
        <w:t>Untertitel 3 Mietverhältnisse über andere Sachen und digitale Produkte</w:t>
      </w:r>
      <w:bookmarkEnd w:id="839"/>
    </w:p>
    <w:p>
      <w:pPr>
        <w:pStyle w:val="Heading5"/>
      </w:pPr>
      <w:bookmarkStart w:id="840" w:name="b827"/>
      <w:r>
        <w:t>§ 578 Mietverhältnisse über Grundstücke und Räume</w:t>
      </w:r>
      <w:r>
        <w:t xml:space="preserve"> </w:t>
      </w:r>
      <w:r>
        <w:rPr>
          <w:rStyle w:val="Suchmarke"/>
        </w:rPr>
        <w:t>#578#</w:t>
      </w:r>
      <w:bookmarkEnd w:id="840"/>
    </w:p>
    <w:p>
      <w:r>
        <w:t xml:space="preserve">(1) </w:t>
      </w:r>
      <w:r>
        <w:rPr>
          <w:rStyle w:val="Satznummer"/>
        </w:rPr>
        <w:t>1</w:t>
      </w:r>
      <w:r>
        <w:t xml:space="preserve">Auf Mietverhältnisse über Grundstücke sind die Vorschriften der </w:t>
      </w:r>
      <w:hyperlink w:anchor="b739" w:history="1">
        <w:r>
          <w:rPr>
            <w:color w:val="0A3A8C"/>
            <w:u w:val="single"/>
          </w:rPr>
          <w:t xml:space="preserve">§§ 554</w:t>
        </w:r>
      </w:hyperlink>
      <w:r>
        <w:t xml:space="preserve">, </w:t>
      </w:r>
      <w:hyperlink w:anchor="b779" w:history="1">
        <w:r>
          <w:rPr>
            <w:color w:val="0A3A8C"/>
            <w:u w:val="single"/>
          </w:rPr>
          <w:t xml:space="preserve">562</w:t>
        </w:r>
      </w:hyperlink>
      <w:r>
        <w:t xml:space="preserve"> bis </w:t>
      </w:r>
      <w:hyperlink w:anchor="b783" w:history="1">
        <w:r>
          <w:rPr>
            <w:color w:val="0A3A8C"/>
            <w:u w:val="single"/>
          </w:rPr>
          <w:t xml:space="preserve">562d</w:t>
        </w:r>
      </w:hyperlink>
      <w:r>
        <w:t xml:space="preserve">, </w:t>
      </w:r>
      <w:hyperlink w:anchor="b790" w:history="1">
        <w:r>
          <w:rPr>
            <w:color w:val="0A3A8C"/>
            <w:u w:val="single"/>
          </w:rPr>
          <w:t xml:space="preserve">566</w:t>
        </w:r>
      </w:hyperlink>
      <w:r>
        <w:t xml:space="preserve"> bis </w:t>
      </w:r>
      <w:hyperlink w:anchor="b798" w:history="1">
        <w:r>
          <w:rPr>
            <w:color w:val="0A3A8C"/>
            <w:u w:val="single"/>
          </w:rPr>
          <w:t xml:space="preserve">567b</w:t>
        </w:r>
      </w:hyperlink>
      <w:r>
        <w:t xml:space="preserve"> sowie </w:t>
      </w:r>
      <w:hyperlink w:anchor="b803" w:history="1">
        <w:r>
          <w:rPr>
            <w:color w:val="0A3A8C"/>
            <w:u w:val="single"/>
          </w:rPr>
          <w:t xml:space="preserve">570</w:t>
        </w:r>
      </w:hyperlink>
      <w:r>
        <w:t xml:space="preserve"> entsprechend anzuwenden. </w:t>
      </w:r>
      <w:r>
        <w:rPr>
          <w:rStyle w:val="Satznummer"/>
        </w:rPr>
        <w:t>2</w:t>
      </w:r>
      <w:hyperlink w:anchor="b735" w:history="1">
        <w:r>
          <w:rPr>
            <w:color w:val="0A3A8C"/>
            <w:u w:val="single"/>
          </w:rPr>
          <w:t xml:space="preserve">§ 550</w:t>
        </w:r>
      </w:hyperlink>
      <w:r>
        <w:t xml:space="preserve"> ist mit der Maßgabe anzuwenden, dass ein Mietvertrag, der für längere Zeit als ein Jahr nicht in Textform geschlossen wird, für unbestimmte Zeit gilt.</w:t>
      </w:r>
    </w:p>
    <w:p>
      <w:r>
        <w:t xml:space="preserve">(2) </w:t>
      </w:r>
      <w:r>
        <w:rPr>
          <w:rStyle w:val="Satznummer"/>
        </w:rPr>
        <w:t>1</w:t>
      </w:r>
      <w:r>
        <w:t xml:space="preserve">Auf Mietverhältnisse über Räume, die keine Wohnräume sind, sind die in Absatz 1 genannten Vorschriften sowie </w:t>
      </w:r>
      <w:hyperlink w:anchor="b737" w:history="1">
        <w:r>
          <w:rPr>
            <w:color w:val="0A3A8C"/>
            <w:u w:val="single"/>
          </w:rPr>
          <w:t xml:space="preserve">§ 552</w:t>
        </w:r>
      </w:hyperlink>
      <w:r>
        <w:t xml:space="preserve"> Abs. 1, </w:t>
      </w:r>
      <w:hyperlink w:anchor="b742" w:history="1">
        <w:r>
          <w:rPr>
            <w:color w:val="0A3A8C"/>
            <w:u w:val="single"/>
          </w:rPr>
          <w:t xml:space="preserve">§ 555a</w:t>
        </w:r>
      </w:hyperlink>
      <w:r>
        <w:t xml:space="preserve"> Absatz 1 bis 3, </w:t>
      </w:r>
      <w:hyperlink w:anchor="b743" w:history="1">
        <w:r>
          <w:rPr>
            <w:color w:val="0A3A8C"/>
            <w:u w:val="single"/>
          </w:rPr>
          <w:t xml:space="preserve">§§ 555b</w:t>
        </w:r>
      </w:hyperlink>
      <w:r>
        <w:t xml:space="preserve">, </w:t>
      </w:r>
      <w:hyperlink w:anchor="b744" w:history="1">
        <w:r>
          <w:rPr>
            <w:color w:val="0A3A8C"/>
            <w:u w:val="single"/>
          </w:rPr>
          <w:t xml:space="preserve">555c</w:t>
        </w:r>
      </w:hyperlink>
      <w:r>
        <w:t xml:space="preserve"> Absatz 1 bis 4, </w:t>
      </w:r>
      <w:hyperlink w:anchor="b745" w:history="1">
        <w:r>
          <w:rPr>
            <w:color w:val="0A3A8C"/>
            <w:u w:val="single"/>
          </w:rPr>
          <w:t xml:space="preserve">§ 555d</w:t>
        </w:r>
      </w:hyperlink>
      <w:r>
        <w:t xml:space="preserve"> Absatz 1 bis 6, </w:t>
      </w:r>
      <w:hyperlink w:anchor="b746" w:history="1">
        <w:r>
          <w:rPr>
            <w:color w:val="0A3A8C"/>
            <w:u w:val="single"/>
          </w:rPr>
          <w:t xml:space="preserve">§ 555e</w:t>
        </w:r>
      </w:hyperlink>
      <w:r>
        <w:t xml:space="preserve"> Absatz 1 und 2, </w:t>
      </w:r>
      <w:hyperlink w:anchor="b747" w:history="1">
        <w:r>
          <w:rPr>
            <w:color w:val="0A3A8C"/>
            <w:u w:val="single"/>
          </w:rPr>
          <w:t xml:space="preserve">§ 555f</w:t>
        </w:r>
      </w:hyperlink>
      <w:r>
        <w:t xml:space="preserve"> und </w:t>
      </w:r>
      <w:hyperlink w:anchor="b802" w:history="1">
        <w:r>
          <w:rPr>
            <w:color w:val="0A3A8C"/>
            <w:u w:val="single"/>
          </w:rPr>
          <w:t xml:space="preserve">§ 569</w:t>
        </w:r>
      </w:hyperlink>
      <w:r>
        <w:t xml:space="preserve"> Abs. 2 entsprechend anzuwenden. </w:t>
      </w:r>
      <w:r>
        <w:rPr>
          <w:rStyle w:val="Satznummer"/>
        </w:rPr>
        <w:t>2</w:t>
      </w:r>
      <w:hyperlink w:anchor="b753" w:history="1">
        <w:r>
          <w:rPr>
            <w:color w:val="0A3A8C"/>
            <w:u w:val="single"/>
          </w:rPr>
          <w:t xml:space="preserve">§ 556c</w:t>
        </w:r>
      </w:hyperlink>
      <w:r>
        <w:t xml:space="preserve"> Absatz 1 und 2 sowie die auf Grund des </w:t>
      </w:r>
      <w:hyperlink w:anchor="b753" w:history="1">
        <w:r>
          <w:rPr>
            <w:color w:val="0A3A8C"/>
            <w:u w:val="single"/>
          </w:rPr>
          <w:t xml:space="preserve">§ 556c</w:t>
        </w:r>
      </w:hyperlink>
      <w:r>
        <w:t xml:space="preserve"> Absatz 3 erlassene Rechtsverordnung sind entsprechend anzuwenden, abweichende Vereinbarungen sind zulässig. </w:t>
      </w:r>
      <w:r>
        <w:rPr>
          <w:rStyle w:val="Satznummer"/>
        </w:rPr>
        <w:t>3</w:t>
      </w:r>
      <w:r>
        <w:t xml:space="preserve">Sind die Räume zum Aufenthalt von Menschen bestimmt, so gilt außerdem </w:t>
      </w:r>
      <w:hyperlink w:anchor="b802" w:history="1">
        <w:r>
          <w:rPr>
            <w:color w:val="0A3A8C"/>
            <w:u w:val="single"/>
          </w:rPr>
          <w:t xml:space="preserve">§ 569</w:t>
        </w:r>
      </w:hyperlink>
      <w:r>
        <w:t xml:space="preserve"> Abs. 1 entsprechend.</w:t>
      </w:r>
    </w:p>
    <w:p>
      <w:r>
        <w:t xml:space="preserve">(3) </w:t>
      </w:r>
      <w:r>
        <w:rPr>
          <w:rStyle w:val="Satznummer"/>
        </w:rPr>
        <w:t>1</w:t>
      </w:r>
      <w:r>
        <w:t xml:space="preserve">Auf Verträge über die Anmietung von Räumen durch eine juristische Person des öffentlichen Rechts oder einen anerkannten privaten Träger der Wohlfahrtspflege, die geschlossen werden, um die Räume Personen mit dringendem Wohnungsbedarf zum Wohnen zu überlassen, sind die in den Absätzen 1 und 2 genannten Vorschriften sowie die </w:t>
      </w:r>
      <w:hyperlink w:anchor="b760" w:history="1">
        <w:r>
          <w:rPr>
            <w:color w:val="0A3A8C"/>
            <w:u w:val="single"/>
          </w:rPr>
          <w:t xml:space="preserve">§§ 557</w:t>
        </w:r>
      </w:hyperlink>
      <w:r>
        <w:t xml:space="preserve">, </w:t>
      </w:r>
      <w:hyperlink w:anchor="b761" w:history="1">
        <w:r>
          <w:rPr>
            <w:color w:val="0A3A8C"/>
            <w:u w:val="single"/>
          </w:rPr>
          <w:t xml:space="preserve">557a</w:t>
        </w:r>
      </w:hyperlink>
      <w:r>
        <w:t xml:space="preserve"> Absatz 1 bis 3 und 5, </w:t>
      </w:r>
      <w:hyperlink w:anchor="b762" w:history="1">
        <w:r>
          <w:rPr>
            <w:color w:val="0A3A8C"/>
            <w:u w:val="single"/>
          </w:rPr>
          <w:t xml:space="preserve">§ 557b</w:t>
        </w:r>
      </w:hyperlink>
      <w:r>
        <w:t xml:space="preserve"> Absatz 1 bis 3 und 5, die </w:t>
      </w:r>
      <w:hyperlink w:anchor="b763" w:history="1">
        <w:r>
          <w:rPr>
            <w:color w:val="0A3A8C"/>
            <w:u w:val="single"/>
          </w:rPr>
          <w:t xml:space="preserve">§§ 558</w:t>
        </w:r>
      </w:hyperlink>
      <w:r>
        <w:t xml:space="preserve"> bis </w:t>
      </w:r>
      <w:hyperlink w:anchor="b773" w:history="1">
        <w:r>
          <w:rPr>
            <w:color w:val="0A3A8C"/>
            <w:u w:val="single"/>
          </w:rPr>
          <w:t xml:space="preserve">559d</w:t>
        </w:r>
      </w:hyperlink>
      <w:r>
        <w:t xml:space="preserve">, </w:t>
      </w:r>
      <w:hyperlink w:anchor="b777" w:history="1">
        <w:r>
          <w:rPr>
            <w:color w:val="0A3A8C"/>
            <w:u w:val="single"/>
          </w:rPr>
          <w:t xml:space="preserve">561</w:t>
        </w:r>
      </w:hyperlink>
      <w:r>
        <w:t xml:space="preserve">, </w:t>
      </w:r>
      <w:hyperlink w:anchor="b801" w:history="1">
        <w:r>
          <w:rPr>
            <w:color w:val="0A3A8C"/>
            <w:u w:val="single"/>
          </w:rPr>
          <w:t xml:space="preserve">568</w:t>
        </w:r>
      </w:hyperlink>
      <w:r>
        <w:t xml:space="preserve"> Absatz 1, </w:t>
      </w:r>
      <w:hyperlink w:anchor="b802" w:history="1">
        <w:r>
          <w:rPr>
            <w:color w:val="0A3A8C"/>
            <w:u w:val="single"/>
          </w:rPr>
          <w:t xml:space="preserve">§ 569</w:t>
        </w:r>
      </w:hyperlink>
      <w:r>
        <w:t xml:space="preserve"> Absatz 3 bis 5, die </w:t>
      </w:r>
      <w:hyperlink w:anchor="b807" w:history="1">
        <w:r>
          <w:rPr>
            <w:color w:val="0A3A8C"/>
            <w:u w:val="single"/>
          </w:rPr>
          <w:t xml:space="preserve">§§ 573</w:t>
        </w:r>
      </w:hyperlink>
      <w:r>
        <w:t xml:space="preserve"> bis </w:t>
      </w:r>
      <w:hyperlink w:anchor="b811" w:history="1">
        <w:r>
          <w:rPr>
            <w:color w:val="0A3A8C"/>
            <w:u w:val="single"/>
          </w:rPr>
          <w:t xml:space="preserve">573d</w:t>
        </w:r>
      </w:hyperlink>
      <w:r>
        <w:t xml:space="preserve">, </w:t>
      </w:r>
      <w:hyperlink w:anchor="b817" w:history="1">
        <w:r>
          <w:rPr>
            <w:color w:val="0A3A8C"/>
            <w:u w:val="single"/>
          </w:rPr>
          <w:t xml:space="preserve">575</w:t>
        </w:r>
      </w:hyperlink>
      <w:r>
        <w:t xml:space="preserve">, </w:t>
      </w:r>
      <w:hyperlink w:anchor="b818" w:history="1">
        <w:r>
          <w:rPr>
            <w:color w:val="0A3A8C"/>
            <w:u w:val="single"/>
          </w:rPr>
          <w:t xml:space="preserve">575a</w:t>
        </w:r>
      </w:hyperlink>
      <w:r>
        <w:t xml:space="preserve"> Absatz 1, 3 und 4, die </w:t>
      </w:r>
      <w:hyperlink w:anchor="b824" w:history="1">
        <w:r>
          <w:rPr>
            <w:color w:val="0A3A8C"/>
            <w:u w:val="single"/>
          </w:rPr>
          <w:t xml:space="preserve">§§ 577</w:t>
        </w:r>
      </w:hyperlink>
      <w:r>
        <w:t xml:space="preserve"> und </w:t>
      </w:r>
      <w:hyperlink w:anchor="b825" w:history="1">
        <w:r>
          <w:rPr>
            <w:color w:val="0A3A8C"/>
            <w:u w:val="single"/>
          </w:rPr>
          <w:t xml:space="preserve">577a</w:t>
        </w:r>
      </w:hyperlink>
      <w:r>
        <w:t xml:space="preserve"> entsprechend anzuwenden. </w:t>
      </w:r>
      <w:r>
        <w:rPr>
          <w:rStyle w:val="Satznummer"/>
        </w:rPr>
        <w:t>2</w:t>
      </w:r>
      <w:r>
        <w:t xml:space="preserve">Solche Verträge können zusätzlich zu den in </w:t>
      </w:r>
      <w:hyperlink w:anchor="b817" w:history="1">
        <w:r>
          <w:rPr>
            <w:color w:val="0A3A8C"/>
            <w:u w:val="single"/>
          </w:rPr>
          <w:t xml:space="preserve">§ 575</w:t>
        </w:r>
      </w:hyperlink>
      <w:r>
        <w:t xml:space="preserve"> Absatz 1 Satz 1 genannten Gründen auch dann auf bestimmte Zeit geschlossen werden, wenn der Vermieter die Räume nach Ablauf der Mietzeit für ihm obliegende oder ihm übertragene öffentliche Aufgaben nutzen will.</w:t>
      </w:r>
    </w:p>
    <w:p>
      <w:pPr>
        <w:pStyle w:val="Heading5"/>
      </w:pPr>
      <w:bookmarkStart w:id="841" w:name="b828"/>
      <w:r>
        <w:t>§ 578a Mietverhältnisse über eingetragene Schiffe</w:t>
      </w:r>
      <w:r>
        <w:t xml:space="preserve"> </w:t>
      </w:r>
      <w:r>
        <w:rPr>
          <w:rStyle w:val="Suchmarke"/>
        </w:rPr>
        <w:t>#578a#</w:t>
      </w:r>
      <w:bookmarkEnd w:id="841"/>
    </w:p>
    <w:p>
      <w:r>
        <w:t xml:space="preserve">(1) Die Vorschriften der </w:t>
      </w:r>
      <w:hyperlink w:anchor="b790" w:history="1">
        <w:r>
          <w:rPr>
            <w:color w:val="0A3A8C"/>
            <w:u w:val="single"/>
          </w:rPr>
          <w:t xml:space="preserve">§§ 566</w:t>
        </w:r>
      </w:hyperlink>
      <w:r>
        <w:t xml:space="preserve">, </w:t>
      </w:r>
      <w:hyperlink w:anchor="b791" w:history="1">
        <w:r>
          <w:rPr>
            <w:color w:val="0A3A8C"/>
            <w:u w:val="single"/>
          </w:rPr>
          <w:t xml:space="preserve">566a</w:t>
        </w:r>
      </w:hyperlink>
      <w:r>
        <w:t xml:space="preserve">, </w:t>
      </w:r>
      <w:hyperlink w:anchor="b795" w:history="1">
        <w:r>
          <w:rPr>
            <w:color w:val="0A3A8C"/>
            <w:u w:val="single"/>
          </w:rPr>
          <w:t xml:space="preserve">566e</w:t>
        </w:r>
      </w:hyperlink>
      <w:r>
        <w:t xml:space="preserve"> bis </w:t>
      </w:r>
      <w:hyperlink w:anchor="b798" w:history="1">
        <w:r>
          <w:rPr>
            <w:color w:val="0A3A8C"/>
            <w:u w:val="single"/>
          </w:rPr>
          <w:t xml:space="preserve">567b</w:t>
        </w:r>
      </w:hyperlink>
      <w:r>
        <w:t xml:space="preserve"> gelten im Falle der Veräußerung oder Belastung eines im Schiffsregister eingetragenen Schiffs entsprechend.</w:t>
      </w:r>
    </w:p>
    <w:p>
      <w:r>
        <w:t xml:space="preserve">(2) </w:t>
      </w:r>
      <w:r>
        <w:rPr>
          <w:rStyle w:val="Satznummer"/>
        </w:rPr>
        <w:t>1</w:t>
      </w:r>
      <w:r>
        <w:t xml:space="preserve">Eine Verfügung, die der Vermieter vor dem Übergang des Eigentums über die Miete getroffen hat, die auf die Zeit der Berechtigung des Erwerbers entfällt, ist dem Erwerber gegenüber wirksam. </w:t>
      </w:r>
      <w:r>
        <w:rPr>
          <w:rStyle w:val="Satznummer"/>
        </w:rPr>
        <w:t>2</w:t>
      </w:r>
      <w:r>
        <w:t xml:space="preserve">Das Gleiche gilt für ein Rechtsgeschäft, das zwischen dem Mieter und dem Vermieter über die Mietforderung vorgenommen wird, insbesondere die Entrichtung der Miete; ein Rechtsgeschäft, das nach dem Übergang des Eigentums vorgenommen wird, ist jedoch unwirksam, wenn der Mieter bei der Vornahme des Rechtsgeschäfts von dem Übergang des Eigentums Kenntnis hat. </w:t>
      </w:r>
      <w:r>
        <w:rPr>
          <w:rStyle w:val="Satznummer"/>
        </w:rPr>
        <w:t>3</w:t>
      </w:r>
      <w:hyperlink w:anchor="b794" w:history="1">
        <w:r>
          <w:rPr>
            <w:color w:val="0A3A8C"/>
            <w:u w:val="single"/>
          </w:rPr>
          <w:t xml:space="preserve">§ 566d</w:t>
        </w:r>
      </w:hyperlink>
      <w:r>
        <w:t xml:space="preserve"> gilt entsprechend.</w:t>
      </w:r>
    </w:p>
    <w:p>
      <w:pPr>
        <w:pStyle w:val="Heading5"/>
      </w:pPr>
      <w:bookmarkStart w:id="842" w:name="b829"/>
      <w:r>
        <w:t>§ 578b Verträge über die Miete digitaler Produkte</w:t>
      </w:r>
      <w:r>
        <w:t xml:space="preserve"> </w:t>
      </w:r>
      <w:r>
        <w:rPr>
          <w:rStyle w:val="Suchmarke"/>
        </w:rPr>
        <w:t>#578b#</w:t>
      </w:r>
      <w:bookmarkEnd w:id="842"/>
    </w:p>
    <w:p>
      <w:r>
        <w:t xml:space="preserve">(1) </w:t>
      </w:r>
      <w:r>
        <w:rPr>
          <w:rStyle w:val="Satznummer"/>
        </w:rPr>
        <w:t>1</w:t>
      </w:r>
      <w:r>
        <w:t>Auf einen Verbrauchervertrag, bei dem der Unternehmer sich verpflichtet, dem Verbraucher digitale Produkte zu vermieten, sind die folgenden Vorschriften nicht anzuwenden:</w:t>
      </w:r>
    </w:p>
    <w:p>
      <w:pPr>
        <w:tabs>
          <w:tab w:pos="567" w:val="left"/>
        </w:tabs>
        <w:ind w:left="567" w:hanging="567"/>
      </w:pPr>
      <w:r>
        <w:t>1.</w:t>
      </w:r>
      <w:r>
        <w:tab/>
      </w:r>
      <w:hyperlink w:anchor="b712" w:history="1">
        <w:r>
          <w:rPr>
            <w:color w:val="0A3A8C"/>
            <w:u w:val="single"/>
          </w:rPr>
          <w:t xml:space="preserve">§ 535</w:t>
        </w:r>
      </w:hyperlink>
      <w:r>
        <w:t xml:space="preserve"> Absatz 1 Satz 2 und die </w:t>
      </w:r>
      <w:hyperlink w:anchor="b713" w:history="1">
        <w:r>
          <w:rPr>
            <w:color w:val="0A3A8C"/>
            <w:u w:val="single"/>
          </w:rPr>
          <w:t xml:space="preserve">§§ 536</w:t>
        </w:r>
      </w:hyperlink>
      <w:r>
        <w:t xml:space="preserve"> bis </w:t>
      </w:r>
      <w:hyperlink w:anchor="b717" w:history="1">
        <w:r>
          <w:rPr>
            <w:color w:val="0A3A8C"/>
            <w:u w:val="single"/>
          </w:rPr>
          <w:t xml:space="preserve">536d</w:t>
        </w:r>
      </w:hyperlink>
      <w:r>
        <w:t xml:space="preserve"> über die Rechte bei Mängeln und</w:t>
      </w:r>
    </w:p>
    <w:p>
      <w:pPr>
        <w:tabs>
          <w:tab w:pos="567" w:val="left"/>
        </w:tabs>
        <w:ind w:left="567" w:hanging="567"/>
      </w:pPr>
      <w:r>
        <w:t>2.</w:t>
      </w:r>
      <w:r>
        <w:tab/>
      </w:r>
      <w:hyperlink w:anchor="b724" w:history="1">
        <w:r>
          <w:rPr>
            <w:color w:val="0A3A8C"/>
            <w:u w:val="single"/>
          </w:rPr>
          <w:t xml:space="preserve">§ 543</w:t>
        </w:r>
      </w:hyperlink>
      <w:r>
        <w:t xml:space="preserve"> Absatz 2 Satz 1 Nummer 1 und Absatz 4 über die Rechte bei unterbliebener Bereitstellung.</w:t>
      </w:r>
    </w:p>
    <w:p>
      <w:r>
        <w:rPr>
          <w:rStyle w:val="Satznummer"/>
        </w:rPr>
        <w:t>2</w:t>
      </w:r>
      <w:r>
        <w:t xml:space="preserve">An die Stelle der nach Satz 1 nicht anzuwendenden Vorschriften treten die Vorschriften des Abschnitts 3 Titel 2a. </w:t>
      </w:r>
      <w:r>
        <w:rPr>
          <w:rStyle w:val="Satznummer"/>
        </w:rPr>
        <w:t>3</w:t>
      </w:r>
      <w:r>
        <w:t>Der Anwendungsausschluss nach Satz 1 Nummer 2 gilt nicht, wenn der Vertrag die Bereitstellung eines körperlichen Datenträgers zum Gegenstand hat, der ausschließlich als Träger digitaler Inhalte dient.</w:t>
      </w:r>
    </w:p>
    <w:p>
      <w:r>
        <w:t xml:space="preserve">(2) </w:t>
      </w:r>
      <w:r>
        <w:rPr>
          <w:rStyle w:val="Satznummer"/>
        </w:rPr>
        <w:t>1</w:t>
      </w:r>
      <w:r>
        <w:t>Wenn der Verbraucher einen Verbrauchervertrag nach Absatz 1 wegen unterbliebener Bereitstellung (</w:t>
      </w:r>
      <w:hyperlink w:anchor="b409" w:history="1">
        <w:r>
          <w:rPr>
            <w:color w:val="0A3A8C"/>
            <w:u w:val="single"/>
          </w:rPr>
          <w:t xml:space="preserve">§ 327c</w:t>
        </w:r>
      </w:hyperlink>
      <w:r>
        <w:t>), Mangelhaftigkeit (</w:t>
      </w:r>
      <w:hyperlink w:anchor="b419" w:history="1">
        <w:r>
          <w:rPr>
            <w:color w:val="0A3A8C"/>
            <w:u w:val="single"/>
          </w:rPr>
          <w:t xml:space="preserve">§ 327m</w:t>
        </w:r>
      </w:hyperlink>
      <w:r>
        <w:t>) oder Änderung (</w:t>
      </w:r>
      <w:hyperlink w:anchor="b424" w:history="1">
        <w:r>
          <w:rPr>
            <w:color w:val="0A3A8C"/>
            <w:u w:val="single"/>
          </w:rPr>
          <w:t xml:space="preserve">§ 327r</w:t>
        </w:r>
      </w:hyperlink>
      <w:r>
        <w:t xml:space="preserve"> Absatz 3 und 4) des digitalen Produkts beendet, sind die </w:t>
      </w:r>
      <w:hyperlink w:anchor="b727" w:history="1">
        <w:r>
          <w:rPr>
            <w:color w:val="0A3A8C"/>
            <w:u w:val="single"/>
          </w:rPr>
          <w:t xml:space="preserve">§§ 546</w:t>
        </w:r>
      </w:hyperlink>
      <w:r>
        <w:t xml:space="preserve"> bis </w:t>
      </w:r>
      <w:hyperlink w:anchor="b730" w:history="1">
        <w:r>
          <w:rPr>
            <w:color w:val="0A3A8C"/>
            <w:u w:val="single"/>
          </w:rPr>
          <w:t xml:space="preserve">548</w:t>
        </w:r>
      </w:hyperlink>
      <w:r>
        <w:t xml:space="preserve"> nicht anzuwenden. </w:t>
      </w:r>
      <w:r>
        <w:rPr>
          <w:rStyle w:val="Satznummer"/>
        </w:rPr>
        <w:t>2</w:t>
      </w:r>
      <w:r>
        <w:t>An die Stelle der nach Satz 1 nicht anzuwendenden Vorschriften treten die Vorschriften des Abschnitts 3 Titel 2a.</w:t>
      </w:r>
    </w:p>
    <w:p>
      <w:r>
        <w:t>(3) Für einen Verbrauchervertrag, bei dem der Unternehmer sich verpflichtet, dem Verbraucher eine Sache zu vermieten, die ein digitales Produkt enthält oder mit ihm verbunden ist, gelten die Anwendungsausschlüsse nach den Absätzen 1 und 2 entsprechend für diejenigen Bestandteile des Vertrags, die das digitale Produkt betreffen.</w:t>
      </w:r>
    </w:p>
    <w:p>
      <w:r>
        <w:t xml:space="preserve">(4) </w:t>
      </w:r>
      <w:r>
        <w:rPr>
          <w:rStyle w:val="Satznummer"/>
        </w:rPr>
        <w:t>1</w:t>
      </w:r>
      <w:r>
        <w:t xml:space="preserve">Auf einen Vertrag zwischen Unternehmern, der der Bereitstellung digitaler Produkte gemäß eines Verbrauchervertrags nach Absatz 1 oder Absatz 3 dient, ist </w:t>
      </w:r>
      <w:hyperlink w:anchor="b714" w:history="1">
        <w:r>
          <w:rPr>
            <w:color w:val="0A3A8C"/>
            <w:u w:val="single"/>
          </w:rPr>
          <w:t xml:space="preserve">§ 536a</w:t>
        </w:r>
      </w:hyperlink>
      <w:r>
        <w:t xml:space="preserve"> Absatz 2 über den Anspruch des Unternehmers gegen den Vertriebspartner auf Ersatz von denjenigen Aufwendungen nicht anzuwenden, die er im Verhältnis zum Verbraucher nach </w:t>
      </w:r>
      <w:hyperlink w:anchor="b418" w:history="1">
        <w:r>
          <w:rPr>
            <w:color w:val="0A3A8C"/>
            <w:u w:val="single"/>
          </w:rPr>
          <w:t xml:space="preserve">§ 327l</w:t>
        </w:r>
      </w:hyperlink>
      <w:r>
        <w:t xml:space="preserve"> zu tragen hatte. </w:t>
      </w:r>
      <w:r>
        <w:rPr>
          <w:rStyle w:val="Satznummer"/>
        </w:rPr>
        <w:t>2</w:t>
      </w:r>
      <w:r>
        <w:t xml:space="preserve">An die Stelle des nach Satz 1 nicht anzuwendenden </w:t>
      </w:r>
      <w:hyperlink w:anchor="b714" w:history="1">
        <w:r>
          <w:rPr>
            <w:color w:val="0A3A8C"/>
            <w:u w:val="single"/>
          </w:rPr>
          <w:t xml:space="preserve">§ 536a</w:t>
        </w:r>
      </w:hyperlink>
      <w:r>
        <w:t xml:space="preserve"> Absatz 2 treten die Vorschriften des Abschnitts 3 Titel 2a Untertitel 2.</w:t>
      </w:r>
    </w:p>
    <w:p>
      <w:pPr>
        <w:pStyle w:val="Heading5"/>
      </w:pPr>
      <w:bookmarkStart w:id="843" w:name="b830"/>
      <w:r>
        <w:t>§ 579 Fälligkeit der Miete</w:t>
      </w:r>
      <w:r>
        <w:t xml:space="preserve"> </w:t>
      </w:r>
      <w:r>
        <w:rPr>
          <w:rStyle w:val="Suchmarke"/>
        </w:rPr>
        <w:t>#579#</w:t>
      </w:r>
      <w:bookmarkEnd w:id="843"/>
    </w:p>
    <w:p>
      <w:r>
        <w:t xml:space="preserve">(1) </w:t>
      </w:r>
      <w:r>
        <w:rPr>
          <w:rStyle w:val="Satznummer"/>
        </w:rPr>
        <w:t>1</w:t>
      </w:r>
      <w:r>
        <w:t xml:space="preserve">Die Miete für ein Grundstück und für bewegliche Sachen ist am Ende der Mietzeit zu entrichten. </w:t>
      </w:r>
      <w:r>
        <w:rPr>
          <w:rStyle w:val="Satznummer"/>
        </w:rPr>
        <w:t>2</w:t>
      </w:r>
      <w:r>
        <w:t xml:space="preserve">Ist die Miete nach Zeitabschnitten bemessen, so ist sie nach Ablauf der einzelnen Zeitabschnitte zu entrichten. </w:t>
      </w:r>
      <w:r>
        <w:rPr>
          <w:rStyle w:val="Satznummer"/>
        </w:rPr>
        <w:t>3</w:t>
      </w:r>
      <w:r>
        <w:t>Die Miete für ein Grundstück ist, sofern sie nicht nach kürzeren Zeitabschnitten bemessen ist, jeweils nach Ablauf eines Kalendervierteljahrs am ersten Werktag des folgenden Monats zu entrichten.</w:t>
      </w:r>
    </w:p>
    <w:p>
      <w:r>
        <w:t xml:space="preserve">(2) Für Mietverhältnisse über Räume gilt </w:t>
      </w:r>
      <w:hyperlink w:anchor="b752" w:history="1">
        <w:r>
          <w:rPr>
            <w:color w:val="0A3A8C"/>
            <w:u w:val="single"/>
          </w:rPr>
          <w:t xml:space="preserve">§ 556b</w:t>
        </w:r>
      </w:hyperlink>
      <w:r>
        <w:t xml:space="preserve"> Abs. 1 entsprechend.</w:t>
      </w:r>
    </w:p>
    <w:p>
      <w:pPr>
        <w:pStyle w:val="Heading5"/>
      </w:pPr>
      <w:bookmarkStart w:id="844" w:name="b831"/>
      <w:r>
        <w:t>§ 580 Außerordentliche Kündigung bei Tod des Mieters</w:t>
      </w:r>
      <w:r>
        <w:t xml:space="preserve"> </w:t>
      </w:r>
      <w:r>
        <w:rPr>
          <w:rStyle w:val="Suchmarke"/>
        </w:rPr>
        <w:t>#580#</w:t>
      </w:r>
      <w:bookmarkEnd w:id="844"/>
    </w:p>
    <w:p>
      <w:r>
        <w:t>Stirbt der Mieter, so ist sowohl der Erbe als auch der Vermieter berechtigt, das Mietverhältnis innerhalb eines Monats, nachdem sie vom Tod des Mieters Kenntnis erlangt haben, außerordentlich mit der gesetzlichen Frist zu kündigen.</w:t>
      </w:r>
    </w:p>
    <w:p>
      <w:pPr>
        <w:pStyle w:val="Heading5"/>
      </w:pPr>
      <w:bookmarkStart w:id="845" w:name="b832"/>
      <w:r>
        <w:t>§ 580a Kündigungsfristen</w:t>
      </w:r>
      <w:r>
        <w:t xml:space="preserve"> </w:t>
      </w:r>
      <w:r>
        <w:rPr>
          <w:rStyle w:val="Suchmarke"/>
        </w:rPr>
        <w:t>#580a#</w:t>
      </w:r>
      <w:bookmarkEnd w:id="845"/>
    </w:p>
    <w:p>
      <w:r>
        <w:t>(1) Bei einem Mietverhältnis über Grundstücke, über Räume, die keine Geschäftsräume sind, ist die ordentliche Kündigung zulässig,</w:t>
      </w:r>
    </w:p>
    <w:p>
      <w:pPr>
        <w:tabs>
          <w:tab w:pos="567" w:val="left"/>
        </w:tabs>
        <w:ind w:left="567" w:hanging="567"/>
      </w:pPr>
      <w:r>
        <w:t>1.</w:t>
      </w:r>
      <w:r>
        <w:tab/>
      </w:r>
      <w:r>
        <w:t>wenn die Miete nach Tagen bemessen ist, an jedem Tag zum Ablauf des folgenden Tages;</w:t>
      </w:r>
    </w:p>
    <w:p>
      <w:pPr>
        <w:tabs>
          <w:tab w:pos="567" w:val="left"/>
        </w:tabs>
        <w:ind w:left="567" w:hanging="567"/>
      </w:pPr>
      <w:r>
        <w:t>2.</w:t>
      </w:r>
      <w:r>
        <w:tab/>
      </w:r>
      <w:r>
        <w:t>wenn die Miete nach Wochen bemessen ist, spätestens am ersten Werktag einer Woche zum Ablauf des folgenden Sonnabends;</w:t>
      </w:r>
    </w:p>
    <w:p>
      <w:pPr>
        <w:tabs>
          <w:tab w:pos="567" w:val="left"/>
        </w:tabs>
        <w:ind w:left="567" w:hanging="567"/>
      </w:pPr>
      <w:r>
        <w:t>3.</w:t>
      </w:r>
      <w:r>
        <w:tab/>
      </w:r>
      <w:r>
        <w:t>wenn die Miete nach Monaten oder längeren Zeitabschnitten bemessen ist, spätestens am dritten Werktag eines Kalendermonats zum Ablauf des übernächsten Monats, bei einem Mietverhältnis über gewerblich genutzte unbebaute Grundstücke jedoch nur zum Ablauf eines Kalendervierteljahrs.</w:t>
      </w:r>
    </w:p>
    <w:p>
      <w:r>
        <w:t>(2) Bei einem Mietverhältnis über Geschäftsräume ist die ordentliche Kündigung spätestens am dritten Werktag eines Kalendervierteljahres zum Ablauf des nächsten Kalendervierteljahrs zulässig.</w:t>
      </w:r>
    </w:p>
    <w:p>
      <w:r>
        <w:t xml:space="preserve">(3) </w:t>
      </w:r>
      <w:r>
        <w:rPr>
          <w:rStyle w:val="Satznummer"/>
        </w:rPr>
        <w:t>1</w:t>
      </w:r>
      <w:r>
        <w:t>Bei einem Mietverhältnis über bewegliche Sachen oder digitale Produkte ist die ordentliche Kündigung zulässig,</w:t>
      </w:r>
    </w:p>
    <w:p>
      <w:pPr>
        <w:tabs>
          <w:tab w:pos="567" w:val="left"/>
        </w:tabs>
        <w:ind w:left="567" w:hanging="567"/>
      </w:pPr>
      <w:r>
        <w:t>1.</w:t>
      </w:r>
      <w:r>
        <w:tab/>
      </w:r>
      <w:r>
        <w:t>wenn die Miete nach Tagen bemessen ist, an jedem Tag zum Ablauf des folgenden Tages;</w:t>
      </w:r>
    </w:p>
    <w:p>
      <w:pPr>
        <w:tabs>
          <w:tab w:pos="567" w:val="left"/>
        </w:tabs>
        <w:ind w:left="567" w:hanging="567"/>
      </w:pPr>
      <w:r>
        <w:t>2.</w:t>
      </w:r>
      <w:r>
        <w:tab/>
      </w:r>
      <w:r>
        <w:t>wenn die Miete nach längeren Zeitabschnitten bemessen ist, spätestens am dritten Tag vor dem Tag, mit dessen Ablauf das Mietverhältnis enden soll.</w:t>
      </w:r>
    </w:p>
    <w:p>
      <w:r>
        <w:rPr>
          <w:rStyle w:val="Satznummer"/>
        </w:rPr>
        <w:t>2</w:t>
      </w:r>
      <w:r>
        <w:t>Die Vorschriften über die Beendigung von Verbraucherverträgen über digitale Produkte bleiben unberührt.</w:t>
      </w:r>
    </w:p>
    <w:p>
      <w:r>
        <w:t>(4) Absatz 1 Nr. 3, Absatz 2 und 3 Nr. 2 sind auch anzuwenden, wenn ein Mietverhältnis außerordentlich mit der gesetzlichen Frist gekündigt werden kann.</w:t>
      </w:r>
    </w:p>
    <w:p>
      <w:pPr>
        <w:pStyle w:val="Heading4"/>
      </w:pPr>
      <w:bookmarkStart w:id="846" w:name="b833"/>
      <w:r>
        <w:t>Untertitel 4 Pachtvertrag</w:t>
      </w:r>
      <w:bookmarkEnd w:id="846"/>
    </w:p>
    <w:p>
      <w:pPr>
        <w:pStyle w:val="Heading5"/>
      </w:pPr>
      <w:bookmarkStart w:id="847" w:name="b834"/>
      <w:r>
        <w:t>§ 581 Vertragstypische Pflichten beim Pachtvertrag</w:t>
      </w:r>
      <w:r>
        <w:t xml:space="preserve"> </w:t>
      </w:r>
      <w:r>
        <w:rPr>
          <w:rStyle w:val="Suchmarke"/>
        </w:rPr>
        <w:t>#581#</w:t>
      </w:r>
      <w:bookmarkEnd w:id="847"/>
    </w:p>
    <w:p>
      <w:r>
        <w:t xml:space="preserve">(1) </w:t>
      </w:r>
      <w:r>
        <w:rPr>
          <w:rStyle w:val="Satznummer"/>
        </w:rPr>
        <w:t>1</w:t>
      </w:r>
      <w:r>
        <w:t xml:space="preserve">Durch den Pachtvertrag wird der Verpächter verpflichtet, dem Pächter den Gebrauch des verpachteten Gegenstands und den Genuss der Früchte, soweit sie nach den Regeln einer ordnungsmäßigen Wirtschaft als Ertrag anzusehen sind, während der Pachtzeit zu gewähren. </w:t>
      </w:r>
      <w:r>
        <w:rPr>
          <w:rStyle w:val="Satznummer"/>
        </w:rPr>
        <w:t>2</w:t>
      </w:r>
      <w:r>
        <w:t>Der Pächter ist verpflichtet, dem Verpächter die vereinbarte Pacht zu entrichten.</w:t>
      </w:r>
    </w:p>
    <w:p>
      <w:r>
        <w:t xml:space="preserve">(2) Auf den Pachtvertrag mit Ausnahme des Landpachtvertrags sind, soweit sich nicht aus den </w:t>
      </w:r>
      <w:hyperlink w:anchor="b835" w:history="1">
        <w:r>
          <w:rPr>
            <w:color w:val="0A3A8C"/>
            <w:u w:val="single"/>
          </w:rPr>
          <w:t xml:space="preserve">§§ 582</w:t>
        </w:r>
      </w:hyperlink>
      <w:r>
        <w:t xml:space="preserve"> bis </w:t>
      </w:r>
      <w:hyperlink w:anchor="b841" w:history="1">
        <w:r>
          <w:rPr>
            <w:color w:val="0A3A8C"/>
            <w:u w:val="single"/>
          </w:rPr>
          <w:t xml:space="preserve">584b</w:t>
        </w:r>
      </w:hyperlink>
      <w:r>
        <w:t xml:space="preserve"> etwas anderes ergibt, die Vorschriften über den Mietvertrag entsprechend anzuwenden.</w:t>
      </w:r>
    </w:p>
    <w:p>
      <w:pPr>
        <w:pStyle w:val="Heading5"/>
      </w:pPr>
      <w:bookmarkStart w:id="848" w:name="b835"/>
      <w:r>
        <w:t>§ 582 Erhaltung des Inventars</w:t>
      </w:r>
      <w:r>
        <w:t xml:space="preserve"> </w:t>
      </w:r>
      <w:r>
        <w:rPr>
          <w:rStyle w:val="Suchmarke"/>
        </w:rPr>
        <w:t>#582#</w:t>
      </w:r>
      <w:bookmarkEnd w:id="848"/>
    </w:p>
    <w:p>
      <w:r>
        <w:t>(1) Wird ein Grundstück mit Inventar verpachtet, so obliegt dem Pächter die Erhaltung der einzelnen Inventarstücke.</w:t>
      </w:r>
    </w:p>
    <w:p>
      <w:r>
        <w:t xml:space="preserve">(2) </w:t>
      </w:r>
      <w:r>
        <w:rPr>
          <w:rStyle w:val="Satznummer"/>
        </w:rPr>
        <w:t>1</w:t>
      </w:r>
      <w:r>
        <w:t xml:space="preserve">Der Verpächter ist verpflichtet, Inventarstücke zu ersetzen, die infolge eines vom Pächter nicht zu vertretenden Umstands in Abgang kommen. </w:t>
      </w:r>
      <w:r>
        <w:rPr>
          <w:rStyle w:val="Satznummer"/>
        </w:rPr>
        <w:t>2</w:t>
      </w:r>
      <w:r>
        <w:t>Der Pächter hat jedoch den gewöhnlichen Abgang der zum Inventar gehörenden Tiere insoweit zu ersetzen, als dies einer ordnungsmäßigen Wirtschaft entspricht.</w:t>
      </w:r>
    </w:p>
    <w:p>
      <w:pPr>
        <w:pStyle w:val="Heading5"/>
      </w:pPr>
      <w:bookmarkStart w:id="849" w:name="b836"/>
      <w:r>
        <w:t>§ 582a Inventarübernahme zum Schätzwert</w:t>
      </w:r>
      <w:r>
        <w:t xml:space="preserve"> </w:t>
      </w:r>
      <w:r>
        <w:rPr>
          <w:rStyle w:val="Suchmarke"/>
        </w:rPr>
        <w:t>#582a#</w:t>
      </w:r>
      <w:bookmarkEnd w:id="849"/>
    </w:p>
    <w:p>
      <w:r>
        <w:t xml:space="preserve">(1) </w:t>
      </w:r>
      <w:r>
        <w:rPr>
          <w:rStyle w:val="Satznummer"/>
        </w:rPr>
        <w:t>1</w:t>
      </w:r>
      <w:r>
        <w:t xml:space="preserve">Übernimmt der Pächter eines Grundstücks das Inventar zum Schätzwert mit der Verpflichtung, es bei Beendigung des Pachtverhältnisses zum Schätzwert zurückzugewähren, so trägt er die Gefahr des zufälligen Untergangs und der zufälligen Verschlechterung des Inventars. </w:t>
      </w:r>
      <w:r>
        <w:rPr>
          <w:rStyle w:val="Satznummer"/>
        </w:rPr>
        <w:t>2</w:t>
      </w:r>
      <w:r>
        <w:t>Innerhalb der Grenzen einer ordnungsmäßigen Wirtschaft kann er über die einzelnen Inventarstücke verfügen.</w:t>
      </w:r>
    </w:p>
    <w:p>
      <w:r>
        <w:t xml:space="preserve">(2) </w:t>
      </w:r>
      <w:r>
        <w:rPr>
          <w:rStyle w:val="Satznummer"/>
        </w:rPr>
        <w:t>1</w:t>
      </w:r>
      <w:r>
        <w:t xml:space="preserve">Der Pächter hat das Inventar in dem Zustand zu erhalten und in dem Umfang laufend zu ersetzen, der den Regeln einer ordnungsmäßigen Wirtschaft entspricht. </w:t>
      </w:r>
      <w:r>
        <w:rPr>
          <w:rStyle w:val="Satznummer"/>
        </w:rPr>
        <w:t>2</w:t>
      </w:r>
      <w:r>
        <w:t>Die von ihm angeschafften Stücke werden mit der Einverleibung in das Inventar Eigentum des Verpächters.</w:t>
      </w:r>
    </w:p>
    <w:p>
      <w:r>
        <w:t xml:space="preserve">(3) </w:t>
      </w:r>
      <w:r>
        <w:rPr>
          <w:rStyle w:val="Satznummer"/>
        </w:rPr>
        <w:t>1</w:t>
      </w:r>
      <w:r>
        <w:t xml:space="preserve">Bei Beendigung des Pachtverhältnisses hat der Pächter das vorhandene Inventar dem Verpächter zurückzugewähren. </w:t>
      </w:r>
      <w:r>
        <w:rPr>
          <w:rStyle w:val="Satznummer"/>
        </w:rPr>
        <w:t>2</w:t>
      </w:r>
      <w:r>
        <w:t xml:space="preserve">Der Verpächter kann die Übernahme derjenigen von dem Pächter angeschafften Inventarstücke ablehnen, welche nach den Regeln einer ordnungsmäßigen Wirtschaft für das Grundstück überflüssig oder zu wertvoll sind; mit der Ablehnung geht das Eigentum an den abgelehnten Stücken auf den Pächter über. </w:t>
      </w:r>
      <w:r>
        <w:rPr>
          <w:rStyle w:val="Satznummer"/>
        </w:rPr>
        <w:t>3</w:t>
      </w:r>
      <w:r>
        <w:t xml:space="preserve">Besteht zwischen dem Gesamtschätzwert des übernommenen und dem des zurückzugewährenden Inventars ein Unterschied, so ist dieser in Geld auszugleichen. </w:t>
      </w:r>
      <w:r>
        <w:rPr>
          <w:rStyle w:val="Satznummer"/>
        </w:rPr>
        <w:t>4</w:t>
      </w:r>
      <w:r>
        <w:t>Den Schätzwerten sind die Preise im Zeitpunkt der Beendigung des Pachtverhältnisses zugrunde zu legen.</w:t>
      </w:r>
    </w:p>
    <w:p>
      <w:pPr>
        <w:pStyle w:val="Heading5"/>
      </w:pPr>
      <w:bookmarkStart w:id="850" w:name="b837"/>
      <w:r>
        <w:t>§ 583 Pächterpfandrecht am Inventar</w:t>
      </w:r>
      <w:r>
        <w:t xml:space="preserve"> </w:t>
      </w:r>
      <w:r>
        <w:rPr>
          <w:rStyle w:val="Suchmarke"/>
        </w:rPr>
        <w:t>#583#</w:t>
      </w:r>
      <w:bookmarkEnd w:id="850"/>
    </w:p>
    <w:p>
      <w:r>
        <w:t>(1) Dem Pächter eines Grundstücks steht für die Forderungen gegen den Verpächter, die sich auf das mitgepachtete Inventar beziehen, ein Pfandrecht an den in seinen Besitz gelangten Inventarstücken zu.</w:t>
      </w:r>
    </w:p>
    <w:p>
      <w:r>
        <w:t xml:space="preserve">(2) </w:t>
      </w:r>
      <w:r>
        <w:rPr>
          <w:rStyle w:val="Satznummer"/>
        </w:rPr>
        <w:t>1</w:t>
      </w:r>
      <w:r>
        <w:t xml:space="preserve">Der Verpächter kann die Geltendmachung des Pfandrechts des Pächters durch Sicherheitsleistung abwenden. </w:t>
      </w:r>
      <w:r>
        <w:rPr>
          <w:rStyle w:val="Satznummer"/>
        </w:rPr>
        <w:t>2</w:t>
      </w:r>
      <w:r>
        <w:t>Er kann jedes einzelne Inventarstück dadurch von dem Pfandrecht befreien, dass er in Höhe des Wertes Sicherheit leistet.</w:t>
      </w:r>
    </w:p>
    <w:p>
      <w:pPr>
        <w:pStyle w:val="Heading5"/>
      </w:pPr>
      <w:bookmarkStart w:id="851" w:name="b838"/>
      <w:r>
        <w:t>§ 583a Verfügungsbeschränkungen bei Inventar</w:t>
      </w:r>
      <w:r>
        <w:t xml:space="preserve"> </w:t>
      </w:r>
      <w:r>
        <w:rPr>
          <w:rStyle w:val="Suchmarke"/>
        </w:rPr>
        <w:t>#583a#</w:t>
      </w:r>
      <w:bookmarkEnd w:id="851"/>
    </w:p>
    <w:p>
      <w:r>
        <w:t>Vertragsbestimmungen, die den Pächter eines Betriebs verpflichten, nicht oder nicht ohne Einwilligung des Verpächters über Inventarstücke zu verfügen oder Inventar an den Verpächter zu veräußern, sind nur wirksam, wenn sich der Verpächter verpflichtet, das Inventar bei der Beendigung des Pachtverhältnisses zum Schätzwert zu erwerben.</w:t>
      </w:r>
    </w:p>
    <w:p>
      <w:pPr>
        <w:pStyle w:val="Heading5"/>
      </w:pPr>
      <w:bookmarkStart w:id="852" w:name="b839"/>
      <w:r>
        <w:t>§ 584 Kündigungsfrist</w:t>
      </w:r>
      <w:r>
        <w:t xml:space="preserve"> </w:t>
      </w:r>
      <w:r>
        <w:rPr>
          <w:rStyle w:val="Suchmarke"/>
        </w:rPr>
        <w:t>#584#</w:t>
      </w:r>
      <w:bookmarkEnd w:id="852"/>
    </w:p>
    <w:p>
      <w:r>
        <w:t>(1) Ist bei dem Pachtverhältnis über ein Grundstück oder ein Recht die Pachtzeit nicht bestimmt, so ist die Kündigung nur für den Schluss eines Pachtjahrs zulässig; sie hat spätestens am dritten Werktag des halben Jahres zu erfolgen, mit dessen Ablauf die Pacht enden soll.</w:t>
      </w:r>
    </w:p>
    <w:p>
      <w:r>
        <w:t>(2) Dies gilt auch, wenn das Pachtverhältnis außerordentlich mit der gesetzlichen Frist gekündigt werden kann.</w:t>
      </w:r>
    </w:p>
    <w:p>
      <w:pPr>
        <w:pStyle w:val="Heading5"/>
      </w:pPr>
      <w:bookmarkStart w:id="853" w:name="b840"/>
      <w:r>
        <w:t>§ 584a Ausschluss bestimmter mietrechtlicher Kündigungsrechte</w:t>
      </w:r>
      <w:r>
        <w:t xml:space="preserve"> </w:t>
      </w:r>
      <w:r>
        <w:rPr>
          <w:rStyle w:val="Suchmarke"/>
        </w:rPr>
        <w:t>#584a#</w:t>
      </w:r>
      <w:bookmarkEnd w:id="853"/>
    </w:p>
    <w:p>
      <w:r>
        <w:t xml:space="preserve">(1) Dem Pächter steht das in </w:t>
      </w:r>
      <w:hyperlink w:anchor="b721" w:history="1">
        <w:r>
          <w:rPr>
            <w:color w:val="0A3A8C"/>
            <w:u w:val="single"/>
          </w:rPr>
          <w:t xml:space="preserve">§ 540</w:t>
        </w:r>
      </w:hyperlink>
      <w:r>
        <w:t xml:space="preserve"> Abs. 1 bestimmte Kündigungsrecht nicht zu.</w:t>
      </w:r>
    </w:p>
    <w:p>
      <w:r>
        <w:t xml:space="preserve">(2) Der Verpächter ist nicht berechtigt, das Pachtverhältnis nach </w:t>
      </w:r>
      <w:hyperlink w:anchor="b831" w:history="1">
        <w:r>
          <w:rPr>
            <w:color w:val="0A3A8C"/>
            <w:u w:val="single"/>
          </w:rPr>
          <w:t xml:space="preserve">§ 580</w:t>
        </w:r>
      </w:hyperlink>
      <w:r>
        <w:t xml:space="preserve"> zu kündigen.</w:t>
      </w:r>
    </w:p>
    <w:p>
      <w:pPr>
        <w:pStyle w:val="Heading5"/>
      </w:pPr>
      <w:bookmarkStart w:id="854" w:name="b841"/>
      <w:r>
        <w:t>§ 584b Verspätete Rückgabe</w:t>
      </w:r>
      <w:r>
        <w:t xml:space="preserve"> </w:t>
      </w:r>
      <w:r>
        <w:rPr>
          <w:rStyle w:val="Suchmarke"/>
        </w:rPr>
        <w:t>#584b#</w:t>
      </w:r>
      <w:bookmarkEnd w:id="854"/>
    </w:p>
    <w:p>
      <w:r>
        <w:rPr>
          <w:rStyle w:val="Satznummer"/>
        </w:rPr>
        <w:t>1</w:t>
      </w:r>
      <w:r>
        <w:t xml:space="preserve">Gibt der Pächter den gepachteten Gegenstand nach der Beendigung des Pachtverhältnisses nicht zurück, so kann der Verpächter für die Dauer der Vorenthaltung als Entschädigung die vereinbarte Pacht nach dem Verhältnis verlangen, in dem die Nutzungen, die der Pächter während dieser Zeit gezogen hat oder hätte ziehen können, zu den Nutzungen des ganzen Pachtjahrs stehen. </w:t>
      </w:r>
      <w:r>
        <w:rPr>
          <w:rStyle w:val="Satznummer"/>
        </w:rPr>
        <w:t>2</w:t>
      </w:r>
      <w:r>
        <w:t>Die Geltendmachung eines weiteren Schadens ist nicht ausgeschlossen.</w:t>
      </w:r>
    </w:p>
    <w:p>
      <w:pPr>
        <w:pStyle w:val="Heading4"/>
      </w:pPr>
      <w:bookmarkStart w:id="855" w:name="b842"/>
      <w:r>
        <w:t>Untertitel 5 Landpachtvertrag</w:t>
      </w:r>
      <w:bookmarkEnd w:id="855"/>
    </w:p>
    <w:p>
      <w:pPr>
        <w:pStyle w:val="Heading5"/>
      </w:pPr>
      <w:bookmarkStart w:id="856" w:name="b843"/>
      <w:r>
        <w:t>§ 585 Begriff des Landpachtvertrags</w:t>
      </w:r>
      <w:r>
        <w:t xml:space="preserve"> </w:t>
      </w:r>
      <w:r>
        <w:rPr>
          <w:rStyle w:val="Suchmarke"/>
        </w:rPr>
        <w:t>#585#</w:t>
      </w:r>
      <w:bookmarkEnd w:id="856"/>
    </w:p>
    <w:p>
      <w:r>
        <w:t xml:space="preserve">(1) </w:t>
      </w:r>
      <w:r>
        <w:rPr>
          <w:rStyle w:val="Satznummer"/>
        </w:rPr>
        <w:t>1</w:t>
      </w:r>
      <w:r>
        <w:t xml:space="preserve">Durch den Landpachtvertrag wird ein Grundstück mit den seiner Bewirtschaftung dienenden Wohn- oder Wirtschaftsgebäuden (Betrieb) oder ein Grundstück ohne solche Gebäude überwiegend zur Landwirtschaft verpachtet. </w:t>
      </w:r>
      <w:r>
        <w:rPr>
          <w:rStyle w:val="Satznummer"/>
        </w:rPr>
        <w:t>2</w:t>
      </w:r>
      <w:r>
        <w:t>Landwirtschaft sind die Bodenbewirtschaftung und die mit der Bodennutzung verbundene Tierhaltung, um pflanzliche oder tierische Erzeugnisse zu gewinnen, sowie die gartenbauliche Erzeugung.</w:t>
      </w:r>
    </w:p>
    <w:p>
      <w:r>
        <w:t xml:space="preserve">(2) Für Landpachtverträge gelten </w:t>
      </w:r>
      <w:hyperlink w:anchor="b834" w:history="1">
        <w:r>
          <w:rPr>
            <w:color w:val="0A3A8C"/>
            <w:u w:val="single"/>
          </w:rPr>
          <w:t xml:space="preserve">§ 581</w:t>
        </w:r>
      </w:hyperlink>
      <w:r>
        <w:t xml:space="preserve"> Abs. 1 und die </w:t>
      </w:r>
      <w:hyperlink w:anchor="b835" w:history="1">
        <w:r>
          <w:rPr>
            <w:color w:val="0A3A8C"/>
            <w:u w:val="single"/>
          </w:rPr>
          <w:t xml:space="preserve">§§ 582</w:t>
        </w:r>
      </w:hyperlink>
      <w:r>
        <w:t xml:space="preserve"> bis </w:t>
      </w:r>
      <w:hyperlink w:anchor="b838" w:history="1">
        <w:r>
          <w:rPr>
            <w:color w:val="0A3A8C"/>
            <w:u w:val="single"/>
          </w:rPr>
          <w:t xml:space="preserve">583a</w:t>
        </w:r>
      </w:hyperlink>
      <w:r>
        <w:t xml:space="preserve"> sowie die nachfolgenden besonderen Vorschriften.</w:t>
      </w:r>
    </w:p>
    <w:p>
      <w:r>
        <w:t>(3) Die Vorschriften über Landpachtverträge gelten auch für Pachtverhältnisse über forstwirtschaftliche Grundstücke, wenn die Grundstücke zur Nutzung in einem überwiegend landwirtschaftlichen Betrieb verpachtet werden.</w:t>
      </w:r>
    </w:p>
    <w:p>
      <w:pPr>
        <w:pStyle w:val="Heading5"/>
      </w:pPr>
      <w:bookmarkStart w:id="857" w:name="b844"/>
      <w:r>
        <w:t>§ 585a Form des Landpachtvertrags</w:t>
      </w:r>
      <w:r>
        <w:t xml:space="preserve"> </w:t>
      </w:r>
      <w:r>
        <w:rPr>
          <w:rStyle w:val="Suchmarke"/>
        </w:rPr>
        <w:t>#585a#</w:t>
      </w:r>
      <w:bookmarkEnd w:id="857"/>
    </w:p>
    <w:p>
      <w:r>
        <w:t>Wird der Landpachtvertrag für längere Zeit als zwei Jahre nicht in Textform geschlossen, so gilt er für unbestimmte Zeit.</w:t>
      </w:r>
    </w:p>
    <w:p>
      <w:pPr>
        <w:pStyle w:val="Heading5"/>
      </w:pPr>
      <w:bookmarkStart w:id="858" w:name="b845"/>
      <w:r>
        <w:t>§ 585b Beschreibung der Pachtsache</w:t>
      </w:r>
      <w:r>
        <w:t xml:space="preserve"> </w:t>
      </w:r>
      <w:r>
        <w:rPr>
          <w:rStyle w:val="Suchmarke"/>
        </w:rPr>
        <w:t>#585b#</w:t>
      </w:r>
      <w:bookmarkEnd w:id="858"/>
    </w:p>
    <w:p>
      <w:r>
        <w:t xml:space="preserve">(1) </w:t>
      </w:r>
      <w:r>
        <w:rPr>
          <w:rStyle w:val="Satznummer"/>
        </w:rPr>
        <w:t>1</w:t>
      </w:r>
      <w:r>
        <w:t xml:space="preserve">Der Verpächter und der Pächter sollen bei Beginn des Pachtverhältnisses gemeinsam eine Beschreibung der Pachtsache anfertigen, in der ihr Umfang sowie der Zustand, in dem sie sich bei der Überlassung befindet, festgestellt werden. </w:t>
      </w:r>
      <w:r>
        <w:rPr>
          <w:rStyle w:val="Satznummer"/>
        </w:rPr>
        <w:t>2</w:t>
      </w:r>
      <w:r>
        <w:t xml:space="preserve">Dies gilt für die Beendigung des Pachtverhältnisses entsprechend. </w:t>
      </w:r>
      <w:r>
        <w:rPr>
          <w:rStyle w:val="Satznummer"/>
        </w:rPr>
        <w:t>3</w:t>
      </w:r>
      <w:r>
        <w:t>Die Beschreibung soll mit der Angabe des Tages der Anfertigung versehen werden und ist von beiden Teilen zu unterschreiben.</w:t>
      </w:r>
    </w:p>
    <w:p>
      <w:r>
        <w:t xml:space="preserve">(2) </w:t>
      </w:r>
      <w:r>
        <w:rPr>
          <w:rStyle w:val="Satznummer"/>
        </w:rPr>
        <w:t>1</w:t>
      </w:r>
      <w:r>
        <w:t xml:space="preserve">Weigert sich ein Vertragsteil, bei der Anfertigung einer Beschreibung mitzuwirken, oder ergeben sich bei der Anfertigung Meinungsverschiedenheiten tatsächlicher Art, so kann jeder Vertragsteil verlangen, dass eine Beschreibung durch einen Sachverständigen angefertigt wird, es sei denn, dass seit der Überlassung der Pachtsache mehr als neun Monate oder seit der Beendigung des Pachtverhältnisses mehr als drei Monate verstrichen sind; der Sachverständige wird auf Antrag durch das Landwirtschaftsgericht ernannt. </w:t>
      </w:r>
      <w:r>
        <w:rPr>
          <w:rStyle w:val="Satznummer"/>
        </w:rPr>
        <w:t>2</w:t>
      </w:r>
      <w:r>
        <w:t>Die insoweit entstehenden Kosten trägt jeder Vertragsteil zur Hälfte.</w:t>
      </w:r>
    </w:p>
    <w:p>
      <w:r>
        <w:t>(3) Ist eine Beschreibung der genannten Art angefertigt, so wird im Verhältnis der Vertragsteile zueinander vermutet, dass sie richtig ist.</w:t>
      </w:r>
    </w:p>
    <w:p>
      <w:pPr>
        <w:pStyle w:val="Heading5"/>
      </w:pPr>
      <w:bookmarkStart w:id="859" w:name="b846"/>
      <w:r>
        <w:t>§ 586 Vertragstypische Pflichten beim Landpachtvertrag</w:t>
      </w:r>
      <w:r>
        <w:t xml:space="preserve"> </w:t>
      </w:r>
      <w:r>
        <w:rPr>
          <w:rStyle w:val="Suchmarke"/>
        </w:rPr>
        <w:t>#586#</w:t>
      </w:r>
      <w:bookmarkEnd w:id="859"/>
    </w:p>
    <w:p>
      <w:r>
        <w:t xml:space="preserve">(1) </w:t>
      </w:r>
      <w:r>
        <w:rPr>
          <w:rStyle w:val="Satznummer"/>
        </w:rPr>
        <w:t>1</w:t>
      </w:r>
      <w:r>
        <w:t xml:space="preserve">Der Verpächter hat die Pachtsache dem Pächter in einem zu der vertragsmäßigen Nutzung geeigneten Zustand zu überlassen und sie während der Pachtzeit in diesem Zustand zu erhalten. </w:t>
      </w:r>
      <w:r>
        <w:rPr>
          <w:rStyle w:val="Satznummer"/>
        </w:rPr>
        <w:t>2</w:t>
      </w:r>
      <w:r>
        <w:t xml:space="preserve">Der Pächter hat jedoch die gewöhnlichen Ausbesserungen der Pachtsache, insbesondere die der Wohn- und Wirtschaftsgebäude, der Wege, Gräben, Dränungen und Einfriedigungen, auf seine Kosten durchzuführen. </w:t>
      </w:r>
      <w:r>
        <w:rPr>
          <w:rStyle w:val="Satznummer"/>
        </w:rPr>
        <w:t>3</w:t>
      </w:r>
      <w:r>
        <w:t>Er ist zur ordnungsmäßigen Bewirtschaftung der Pachtsache verpflichtet.</w:t>
      </w:r>
    </w:p>
    <w:p>
      <w:r>
        <w:t xml:space="preserve">(2) Für die Haftung des Verpächters für Sach- und Rechtsmängel der Pachtsache sowie für die Rechte und Pflichten des Pächters wegen solcher Mängel gelten die Vorschriften des </w:t>
      </w:r>
      <w:hyperlink w:anchor="b713" w:history="1">
        <w:r>
          <w:rPr>
            <w:color w:val="0A3A8C"/>
            <w:u w:val="single"/>
          </w:rPr>
          <w:t xml:space="preserve">§ 536</w:t>
        </w:r>
      </w:hyperlink>
      <w:r>
        <w:t xml:space="preserve"> Abs. 1 bis 3 und der </w:t>
      </w:r>
      <w:hyperlink w:anchor="b714" w:history="1">
        <w:r>
          <w:rPr>
            <w:color w:val="0A3A8C"/>
            <w:u w:val="single"/>
          </w:rPr>
          <w:t xml:space="preserve">§§ 536a</w:t>
        </w:r>
      </w:hyperlink>
      <w:r>
        <w:t xml:space="preserve"> bis </w:t>
      </w:r>
      <w:hyperlink w:anchor="b717" w:history="1">
        <w:r>
          <w:rPr>
            <w:color w:val="0A3A8C"/>
            <w:u w:val="single"/>
          </w:rPr>
          <w:t xml:space="preserve">536d</w:t>
        </w:r>
      </w:hyperlink>
      <w:r>
        <w:t xml:space="preserve"> entsprechend.</w:t>
      </w:r>
    </w:p>
    <w:p>
      <w:pPr>
        <w:pStyle w:val="Heading5"/>
      </w:pPr>
      <w:bookmarkStart w:id="860" w:name="b847"/>
      <w:r>
        <w:t>§ 586a Lasten der Pachtsache</w:t>
      </w:r>
      <w:r>
        <w:t xml:space="preserve"> </w:t>
      </w:r>
      <w:r>
        <w:rPr>
          <w:rStyle w:val="Suchmarke"/>
        </w:rPr>
        <w:t>#586a#</w:t>
      </w:r>
      <w:bookmarkEnd w:id="860"/>
    </w:p>
    <w:p>
      <w:r>
        <w:t>Der Verpächter hat die auf der Pachtsache ruhenden Lasten zu tragen.</w:t>
      </w:r>
    </w:p>
    <w:p>
      <w:pPr>
        <w:pStyle w:val="Heading5"/>
      </w:pPr>
      <w:bookmarkStart w:id="861" w:name="b848"/>
      <w:r>
        <w:t>§ 587 Fälligkeit der Pacht; Entrichtung der Pacht bei persönlicher Verhinderung des Pächters</w:t>
      </w:r>
      <w:r>
        <w:t xml:space="preserve"> </w:t>
      </w:r>
      <w:r>
        <w:rPr>
          <w:rStyle w:val="Suchmarke"/>
        </w:rPr>
        <w:t>#587#</w:t>
      </w:r>
      <w:bookmarkEnd w:id="861"/>
    </w:p>
    <w:p>
      <w:r>
        <w:t xml:space="preserve">(1) </w:t>
      </w:r>
      <w:r>
        <w:rPr>
          <w:rStyle w:val="Satznummer"/>
        </w:rPr>
        <w:t>1</w:t>
      </w:r>
      <w:r>
        <w:t xml:space="preserve">Die Pacht ist am Ende der Pachtzeit zu entrichten. </w:t>
      </w:r>
      <w:r>
        <w:rPr>
          <w:rStyle w:val="Satznummer"/>
        </w:rPr>
        <w:t>2</w:t>
      </w:r>
      <w:r>
        <w:t>Ist die Pacht nach Zeitabschnitten bemessen, so ist sie am ersten Werktag nach dem Ablauf der einzelnen Zeitabschnitte zu entrichten.</w:t>
      </w:r>
    </w:p>
    <w:p>
      <w:r>
        <w:t xml:space="preserve">(2) </w:t>
      </w:r>
      <w:r>
        <w:rPr>
          <w:rStyle w:val="Satznummer"/>
        </w:rPr>
        <w:t>1</w:t>
      </w:r>
      <w:r>
        <w:t xml:space="preserve">Der Pächter wird von der Entrichtung der Pacht nicht dadurch befreit, dass er durch einen in seiner Person liegenden Grund an der Ausübung des ihm zustehenden Nutzungsrechts verhindert ist. </w:t>
      </w:r>
      <w:r>
        <w:rPr>
          <w:rStyle w:val="Satznummer"/>
        </w:rPr>
        <w:t>2</w:t>
      </w:r>
      <w:hyperlink w:anchor="b718" w:history="1">
        <w:r>
          <w:rPr>
            <w:color w:val="0A3A8C"/>
            <w:u w:val="single"/>
          </w:rPr>
          <w:t xml:space="preserve">§ 537</w:t>
        </w:r>
      </w:hyperlink>
      <w:r>
        <w:t xml:space="preserve"> Abs. 1 Satz 2 und Abs. 2 gilt entsprechend.</w:t>
      </w:r>
    </w:p>
    <w:p>
      <w:pPr>
        <w:pStyle w:val="Heading5"/>
      </w:pPr>
      <w:bookmarkStart w:id="862" w:name="b849"/>
      <w:r>
        <w:t>§ 588 Maßnahmen zur Erhaltung oder Verbesserung</w:t>
      </w:r>
      <w:r>
        <w:t xml:space="preserve"> </w:t>
      </w:r>
      <w:r>
        <w:rPr>
          <w:rStyle w:val="Suchmarke"/>
        </w:rPr>
        <w:t>#588#</w:t>
      </w:r>
      <w:bookmarkEnd w:id="862"/>
    </w:p>
    <w:p>
      <w:r>
        <w:t>(1) Der Pächter hat Einwirkungen auf die Pachtsache zu dulden, die zu ihrer Erhaltung erforderlich sind.</w:t>
      </w:r>
    </w:p>
    <w:p>
      <w:r>
        <w:t xml:space="preserve">(2) </w:t>
      </w:r>
      <w:r>
        <w:rPr>
          <w:rStyle w:val="Satznummer"/>
        </w:rPr>
        <w:t>1</w:t>
      </w:r>
      <w:r>
        <w:t xml:space="preserve">Maßnahmen zur Verbesserung der Pachtsache hat der Pächter zu dulden, es sei denn, dass die Maßnahme für ihn eine Härte bedeuten würde, die auch unter Würdigung der berechtigten Interessen des Verpächters nicht zu rechtfertigen ist. </w:t>
      </w:r>
      <w:r>
        <w:rPr>
          <w:rStyle w:val="Satznummer"/>
        </w:rPr>
        <w:t>2</w:t>
      </w:r>
      <w:r>
        <w:t xml:space="preserve">Der Verpächter hat die dem Pächter durch die Maßnahme entstandenen Aufwendungen und entgangenen Erträge in einem den Umständen nach angemessenen Umfang zu ersetzen. </w:t>
      </w:r>
      <w:r>
        <w:rPr>
          <w:rStyle w:val="Satznummer"/>
        </w:rPr>
        <w:t>3</w:t>
      </w:r>
      <w:r>
        <w:t>Auf Verlangen hat der Verpächter Vorschuss zu leisten.</w:t>
      </w:r>
    </w:p>
    <w:p>
      <w:r>
        <w:t>(3) Soweit der Pächter infolge von Maßnahmen nach Absatz 2 Satz 1 höhere Erträge erzielt oder bei ordnungsmäßiger Bewirtschaftung erzielen könnte, kann der Verpächter verlangen, dass der Pächter in eine angemessene Erhöhung der Pacht einwilligt, es sei denn, dass dem Pächter eine Erhöhung der Pacht nach den Verhältnissen des Betriebs nicht zugemutet werden kann.</w:t>
      </w:r>
    </w:p>
    <w:p>
      <w:r>
        <w:t xml:space="preserve">(4) </w:t>
      </w:r>
      <w:r>
        <w:rPr>
          <w:rStyle w:val="Satznummer"/>
        </w:rPr>
        <w:t>1</w:t>
      </w:r>
      <w:r>
        <w:t xml:space="preserve">Über Streitigkeiten nach den Absätzen 1 und 2 entscheidet auf Antrag das Landwirtschaftsgericht. </w:t>
      </w:r>
      <w:r>
        <w:rPr>
          <w:rStyle w:val="Satznummer"/>
        </w:rPr>
        <w:t>2</w:t>
      </w:r>
      <w:r>
        <w:t>Verweigert der Pächter in den Fällen des Absatzes 3 seine Einwilligung, so kann sie das Landwirtschaftsgericht auf Antrag des Verpächters ersetzen.</w:t>
      </w:r>
    </w:p>
    <w:p>
      <w:pPr>
        <w:pStyle w:val="Heading5"/>
      </w:pPr>
      <w:bookmarkStart w:id="863" w:name="b850"/>
      <w:r>
        <w:t>§ 589 Nutzungsüberlassung an Dritte</w:t>
      </w:r>
      <w:r>
        <w:t xml:space="preserve"> </w:t>
      </w:r>
      <w:r>
        <w:rPr>
          <w:rStyle w:val="Suchmarke"/>
        </w:rPr>
        <w:t>#589#</w:t>
      </w:r>
      <w:bookmarkEnd w:id="863"/>
    </w:p>
    <w:p>
      <w:r>
        <w:t>(1) Der Pächter ist ohne Erlaubnis des Verpächters nicht berechtigt,</w:t>
      </w:r>
    </w:p>
    <w:p>
      <w:pPr>
        <w:tabs>
          <w:tab w:pos="567" w:val="left"/>
        </w:tabs>
        <w:ind w:left="567" w:hanging="567"/>
      </w:pPr>
      <w:r>
        <w:t>1.</w:t>
      </w:r>
      <w:r>
        <w:tab/>
      </w:r>
      <w:r>
        <w:t>die Nutzung der Pachtsache einem Dritten zu überlassen, insbesondere die Sache weiter zu verpachten,</w:t>
      </w:r>
    </w:p>
    <w:p>
      <w:pPr>
        <w:tabs>
          <w:tab w:pos="567" w:val="left"/>
        </w:tabs>
        <w:ind w:left="567" w:hanging="567"/>
      </w:pPr>
      <w:r>
        <w:t>2.</w:t>
      </w:r>
      <w:r>
        <w:tab/>
      </w:r>
      <w:r>
        <w:t>die Pachtsache ganz oder teilweise einem landwirtschaftlichen Zusammenschluss zum Zwecke der gemeinsamen Nutzung zu überlassen.</w:t>
      </w:r>
    </w:p>
    <w:p>
      <w:r>
        <w:t>(2) Überlässt der Pächter die Nutzung der Pachtsache einem Dritten, so hat er ein Verschulden, das dem Dritten bei der Nutzung zur Last fällt, zu vertreten, auch wenn der Verpächter die Erlaubnis zur Überlassung erteilt hat.</w:t>
      </w:r>
    </w:p>
    <w:p>
      <w:pPr>
        <w:pStyle w:val="Heading5"/>
      </w:pPr>
      <w:bookmarkStart w:id="864" w:name="b851"/>
      <w:r>
        <w:t>§ 590 Änderung der landwirtschaftlichen Bestimmung oder der bisherigen Nutzung</w:t>
      </w:r>
      <w:r>
        <w:t xml:space="preserve"> </w:t>
      </w:r>
      <w:r>
        <w:rPr>
          <w:rStyle w:val="Suchmarke"/>
        </w:rPr>
        <w:t>#590#</w:t>
      </w:r>
      <w:bookmarkEnd w:id="864"/>
    </w:p>
    <w:p>
      <w:r>
        <w:t>(1) Der Pächter darf die landwirtschaftliche Bestimmung der Pachtsache nur mit vorheriger Erlaubnis des Verpächters ändern.</w:t>
      </w:r>
    </w:p>
    <w:p>
      <w:r>
        <w:t xml:space="preserve">(2) </w:t>
      </w:r>
      <w:r>
        <w:rPr>
          <w:rStyle w:val="Satznummer"/>
        </w:rPr>
        <w:t>1</w:t>
      </w:r>
      <w:r>
        <w:t xml:space="preserve">Zur Änderung der bisherigen Nutzung der Pachtsache ist die vorherige Erlaubnis des Verpächters nur dann erforderlich, wenn durch die Änderung die Art der Nutzung über die Pachtzeit hinaus beeinflusst wird. </w:t>
      </w:r>
      <w:r>
        <w:rPr>
          <w:rStyle w:val="Satznummer"/>
        </w:rPr>
        <w:t>2</w:t>
      </w:r>
      <w:r>
        <w:t xml:space="preserve">Der Pächter darf Gebäude nur mit vorheriger Erlaubnis des Verpächters errichten. </w:t>
      </w:r>
      <w:r>
        <w:rPr>
          <w:rStyle w:val="Satznummer"/>
        </w:rPr>
        <w:t>3</w:t>
      </w:r>
      <w:r>
        <w:t xml:space="preserve">Verweigert der Verpächter die Erlaubnis, so kann sie auf Antrag des Pächters durch das Landwirtschaftsgericht ersetzt werden, soweit die Änderung zur Erhaltung oder nachhaltigen Verbesserung der Rentabilität des Betriebs geeignet erscheint und dem Verpächter bei Berücksichtigung seiner berechtigten Interessen zugemutet werden kann. </w:t>
      </w:r>
      <w:r>
        <w:rPr>
          <w:rStyle w:val="Satznummer"/>
        </w:rPr>
        <w:t>4</w:t>
      </w:r>
      <w:r>
        <w:t xml:space="preserve">Dies gilt nicht, wenn der Pachtvertrag gekündigt ist oder das Pachtverhältnis in weniger als drei Jahren endet. </w:t>
      </w:r>
      <w:r>
        <w:rPr>
          <w:rStyle w:val="Satznummer"/>
        </w:rPr>
        <w:t>5</w:t>
      </w:r>
      <w:r>
        <w:t xml:space="preserve">Das Landwirtschaftsgericht kann die Erlaubnis unter Bedingungen und Auflagen ersetzen, insbesondere eine Sicherheitsleistung anordnen sowie Art und Umfang der Sicherheit bestimmen. </w:t>
      </w:r>
      <w:r>
        <w:rPr>
          <w:rStyle w:val="Satznummer"/>
        </w:rPr>
        <w:t>6</w:t>
      </w:r>
      <w:r>
        <w:t>Ist die Veranlassung für die Sicherheitsleistung weggefallen, so entscheidet auf Antrag das Landwirtschaftsgericht über die Rückgabe der Sicherheit; § 109 der Zivilprozessordnung gilt entsprechend.</w:t>
      </w:r>
    </w:p>
    <w:p>
      <w:r>
        <w:t xml:space="preserve">(3) Hat der Pächter das nach § 582a zum Schätzwert übernommene Inventar im Zusammenhang mit einer Änderung der Nutzung der Pachtsache wesentlich vermindert, so kann der Verpächter schon während der Pachtzeit einen Geldausgleich in entsprechender Anwendung des </w:t>
      </w:r>
      <w:hyperlink w:anchor="b836" w:history="1">
        <w:r>
          <w:rPr>
            <w:color w:val="0A3A8C"/>
            <w:u w:val="single"/>
          </w:rPr>
          <w:t xml:space="preserve">§ 582a</w:t>
        </w:r>
      </w:hyperlink>
      <w:r>
        <w:t xml:space="preserve"> Abs. 3 verlangen, es sei denn, dass der Erlös der veräußerten Inventarstücke zu einer zur Höhe des Erlöses in angemessenem Verhältnis stehenden Verbesserung der Pachtsache nach </w:t>
      </w:r>
      <w:hyperlink w:anchor="b854" w:history="1">
        <w:r>
          <w:rPr>
            <w:color w:val="0A3A8C"/>
            <w:u w:val="single"/>
          </w:rPr>
          <w:t xml:space="preserve">§ 591</w:t>
        </w:r>
      </w:hyperlink>
      <w:r>
        <w:t xml:space="preserve"> verwendet worden ist.</w:t>
      </w:r>
    </w:p>
    <w:p>
      <w:pPr>
        <w:pStyle w:val="Heading5"/>
      </w:pPr>
      <w:bookmarkStart w:id="865" w:name="b852"/>
      <w:r>
        <w:t>§ 590a Vertragswidriger Gebrauch</w:t>
      </w:r>
      <w:r>
        <w:t xml:space="preserve"> </w:t>
      </w:r>
      <w:r>
        <w:rPr>
          <w:rStyle w:val="Suchmarke"/>
        </w:rPr>
        <w:t>#590a#</w:t>
      </w:r>
      <w:bookmarkEnd w:id="865"/>
    </w:p>
    <w:p>
      <w:r>
        <w:t>Macht der Pächter von der Pachtsache einen vertragswidrigen Gebrauch und setzt er den Gebrauch ungeachtet einer Abmahnung des Verpächters fort, so kann der Verpächter auf Unterlassung klagen.</w:t>
      </w:r>
    </w:p>
    <w:p>
      <w:pPr>
        <w:pStyle w:val="Heading5"/>
      </w:pPr>
      <w:bookmarkStart w:id="866" w:name="b853"/>
      <w:r>
        <w:t>§ 590b Notwendige Verwendungen</w:t>
      </w:r>
      <w:r>
        <w:t xml:space="preserve"> </w:t>
      </w:r>
      <w:r>
        <w:rPr>
          <w:rStyle w:val="Suchmarke"/>
        </w:rPr>
        <w:t>#590b#</w:t>
      </w:r>
      <w:bookmarkEnd w:id="866"/>
    </w:p>
    <w:p>
      <w:r>
        <w:t>Der Verpächter ist verpflichtet, dem Pächter die notwendigen Verwendungen auf die Pachtsache zu ersetzen.</w:t>
      </w:r>
    </w:p>
    <w:p>
      <w:pPr>
        <w:pStyle w:val="Heading5"/>
      </w:pPr>
      <w:bookmarkStart w:id="867" w:name="b854"/>
      <w:r>
        <w:t>§ 591 Wertverbessernde Verwendungen</w:t>
      </w:r>
      <w:r>
        <w:t xml:space="preserve"> </w:t>
      </w:r>
      <w:r>
        <w:rPr>
          <w:rStyle w:val="Suchmarke"/>
        </w:rPr>
        <w:t>#591#</w:t>
      </w:r>
      <w:bookmarkEnd w:id="867"/>
    </w:p>
    <w:p>
      <w:r>
        <w:t>(1) Andere als notwendige Verwendungen, denen der Verpächter zugestimmt hat, hat er dem Pächter bei Beendigung des Pachtverhältnisses zu ersetzen, soweit die Verwendungen den Wert der Pachtsache über die Pachtzeit hinaus erhöhen (Mehrwert).</w:t>
      </w:r>
    </w:p>
    <w:p>
      <w:r>
        <w:t xml:space="preserve">(2) </w:t>
      </w:r>
      <w:r>
        <w:rPr>
          <w:rStyle w:val="Satznummer"/>
        </w:rPr>
        <w:t>1</w:t>
      </w:r>
      <w:r>
        <w:t xml:space="preserve">Weigert sich der Verpächter, den Verwendungen zuzustimmen, so kann die Zustimmung auf Antrag des Pächters durch das Landwirtschaftsgericht ersetzt werden, soweit die Verwendungen zur Erhaltung oder nachhaltigen Verbesserung der Rentabilität des Betriebs geeignet sind und dem Verpächter bei Berücksichtigung seiner berechtigten Interessen zugemutet werden können. </w:t>
      </w:r>
      <w:r>
        <w:rPr>
          <w:rStyle w:val="Satznummer"/>
        </w:rPr>
        <w:t>2</w:t>
      </w:r>
      <w:r>
        <w:t xml:space="preserve">Dies gilt nicht, wenn der Pachtvertrag gekündigt ist oder das Pachtverhältnis in weniger als drei Jahren endet. </w:t>
      </w:r>
      <w:r>
        <w:rPr>
          <w:rStyle w:val="Satznummer"/>
        </w:rPr>
        <w:t>3</w:t>
      </w:r>
      <w:r>
        <w:t>Das Landwirtschaftsgericht kann die Zustimmung unter Bedingungen und Auflagen ersetzen.</w:t>
      </w:r>
    </w:p>
    <w:p>
      <w:r>
        <w:t xml:space="preserve">(3) </w:t>
      </w:r>
      <w:r>
        <w:rPr>
          <w:rStyle w:val="Satznummer"/>
        </w:rPr>
        <w:t>1</w:t>
      </w:r>
      <w:r>
        <w:t xml:space="preserve">Das Landwirtschaftsgericht kann auf Antrag auch über den Mehrwert Bestimmungen treffen und ihn festsetzen. </w:t>
      </w:r>
      <w:r>
        <w:rPr>
          <w:rStyle w:val="Satznummer"/>
        </w:rPr>
        <w:t>2</w:t>
      </w:r>
      <w:r>
        <w:t xml:space="preserve">Es kann bestimmen, dass der Verpächter den Mehrwert nur in Teilbeträgen zu ersetzen hat, und kann Bedingungen für die Bewilligung solcher Teilzahlungen festsetzen. </w:t>
      </w:r>
      <w:r>
        <w:rPr>
          <w:rStyle w:val="Satznummer"/>
        </w:rPr>
        <w:t>3</w:t>
      </w:r>
      <w:r>
        <w:t xml:space="preserve">Ist dem Verpächter ein Ersatz des Mehrwerts bei Beendigung des Pachtverhältnisses auch in Teilbeträgen nicht zuzumuten, so kann der Pächter nur verlangen, dass das Pachtverhältnis zu den bisherigen Bedingungen so lange fortgesetzt wird, bis der Mehrwert der Pachtsache abgegolten ist. </w:t>
      </w:r>
      <w:r>
        <w:rPr>
          <w:rStyle w:val="Satznummer"/>
        </w:rPr>
        <w:t>4</w:t>
      </w:r>
      <w:r>
        <w:t>Kommt keine Einigung zustande, so entscheidet auf Antrag das Landwirtschaftsgericht über eine Fortsetzung des Pachtverhältnisses.</w:t>
      </w:r>
    </w:p>
    <w:p>
      <w:pPr>
        <w:pStyle w:val="Heading5"/>
      </w:pPr>
      <w:bookmarkStart w:id="868" w:name="b855"/>
      <w:r>
        <w:t>§ 591a Wegnahme von Einrichtungen</w:t>
      </w:r>
      <w:r>
        <w:t xml:space="preserve"> </w:t>
      </w:r>
      <w:r>
        <w:rPr>
          <w:rStyle w:val="Suchmarke"/>
        </w:rPr>
        <w:t>#591a#</w:t>
      </w:r>
      <w:bookmarkEnd w:id="868"/>
    </w:p>
    <w:p>
      <w:r>
        <w:rPr>
          <w:rStyle w:val="Satznummer"/>
        </w:rPr>
        <w:t>1</w:t>
      </w:r>
      <w:r>
        <w:t xml:space="preserve">Der Pächter ist berechtigt, eine Einrichtung, mit der er die Sache versehen hat, wegzunehmen. </w:t>
      </w:r>
      <w:r>
        <w:rPr>
          <w:rStyle w:val="Satznummer"/>
        </w:rPr>
        <w:t>2</w:t>
      </w:r>
      <w:r>
        <w:t xml:space="preserve">Der Verpächter kann die Ausübung des Wegnahmerechts durch Zahlung einer angemessenen Entschädigung abwenden, es sei denn, dass der Pächter ein berechtigtes Interesse an der Wegnahme hat. </w:t>
      </w:r>
      <w:r>
        <w:rPr>
          <w:rStyle w:val="Satznummer"/>
        </w:rPr>
        <w:t>3</w:t>
      </w:r>
      <w:r>
        <w:t>Eine Vereinbarung, durch die das Wegnahmerecht des Pächters ausgeschlossen wird, ist nur wirksam, wenn ein angemessener Ausgleich vorgesehen ist.</w:t>
      </w:r>
    </w:p>
    <w:p>
      <w:pPr>
        <w:pStyle w:val="Heading5"/>
      </w:pPr>
      <w:bookmarkStart w:id="869" w:name="b856"/>
      <w:r>
        <w:t>§ 591b Verjährung von Ersatzansprüchen</w:t>
      </w:r>
      <w:r>
        <w:t xml:space="preserve"> </w:t>
      </w:r>
      <w:r>
        <w:rPr>
          <w:rStyle w:val="Suchmarke"/>
        </w:rPr>
        <w:t>#591b#</w:t>
      </w:r>
      <w:bookmarkEnd w:id="869"/>
    </w:p>
    <w:p>
      <w:r>
        <w:t>(1) Die Ersatzansprüche des Verpächters wegen Veränderung oder Verschlechterung der verpachteten Sache sowie die Ansprüche des Pächters auf Ersatz von Verwendungen oder auf Gestattung der Wegnahme einer Einrichtung verjähren in sechs Monaten.</w:t>
      </w:r>
    </w:p>
    <w:p>
      <w:r>
        <w:t xml:space="preserve">(2) </w:t>
      </w:r>
      <w:r>
        <w:rPr>
          <w:rStyle w:val="Satznummer"/>
        </w:rPr>
        <w:t>1</w:t>
      </w:r>
      <w:r>
        <w:t xml:space="preserve">Die Verjährung der Ersatzansprüche des Verpächters beginnt mit dem Zeitpunkt, in welchem er die Sache zurückerhält. </w:t>
      </w:r>
      <w:r>
        <w:rPr>
          <w:rStyle w:val="Satznummer"/>
        </w:rPr>
        <w:t>2</w:t>
      </w:r>
      <w:r>
        <w:t>Die Verjährung der Ansprüche des Pächters beginnt mit der Beendigung des Pachtverhältnisses.</w:t>
      </w:r>
    </w:p>
    <w:p>
      <w:r>
        <w:t>(3) Mit der Verjährung des Anspruchs des Verpächters auf Rückgabe der Sache verjähren auch die Ersatzansprüche des Verpächters.</w:t>
      </w:r>
    </w:p>
    <w:p>
      <w:pPr>
        <w:pStyle w:val="Heading5"/>
      </w:pPr>
      <w:bookmarkStart w:id="870" w:name="b857"/>
      <w:r>
        <w:t>§ 592 Verpächterpfandrecht</w:t>
      </w:r>
      <w:r>
        <w:t xml:space="preserve"> </w:t>
      </w:r>
      <w:r>
        <w:rPr>
          <w:rStyle w:val="Suchmarke"/>
        </w:rPr>
        <w:t>#592#</w:t>
      </w:r>
      <w:bookmarkEnd w:id="870"/>
    </w:p>
    <w:p>
      <w:r>
        <w:rPr>
          <w:rStyle w:val="Satznummer"/>
        </w:rPr>
        <w:t>1</w:t>
      </w:r>
      <w:r>
        <w:t xml:space="preserve">Der Verpächter hat für seine Forderungen aus dem Pachtverhältnis ein Pfandrecht an den eingebrachten Sachen des Pächters sowie an den Früchten der Pachtsache. </w:t>
      </w:r>
      <w:r>
        <w:rPr>
          <w:rStyle w:val="Satznummer"/>
        </w:rPr>
        <w:t>2</w:t>
      </w:r>
      <w:r>
        <w:t xml:space="preserve">Für künftige Entschädigungsforderungen kann das Pfandrecht nicht geltend gemacht werden. </w:t>
      </w:r>
      <w:r>
        <w:rPr>
          <w:rStyle w:val="Satznummer"/>
        </w:rPr>
        <w:t>3</w:t>
      </w:r>
      <w:r>
        <w:t xml:space="preserve">Das Pfandrecht erstreckt sich nur auf Sachen, die der Pfändung unterliegen; betreibt der Pächter Landwirtschaft, erstreckt sich das Pfandrecht auch auf Sachen im Sinne des § 811 Absatz 1 Nummer 1 Buchstabe b und Tiere im Sinne des § 811 Absatz 1 Nummer 8 Buchstabe b der Zivilprozessordnung. </w:t>
      </w:r>
      <w:r>
        <w:rPr>
          <w:rStyle w:val="Satznummer"/>
        </w:rPr>
        <w:t>4</w:t>
      </w:r>
      <w:r>
        <w:t xml:space="preserve">Die Vorschriften der </w:t>
      </w:r>
      <w:hyperlink w:anchor="b780" w:history="1">
        <w:r>
          <w:rPr>
            <w:color w:val="0A3A8C"/>
            <w:u w:val="single"/>
          </w:rPr>
          <w:t xml:space="preserve">§§ 562a</w:t>
        </w:r>
      </w:hyperlink>
      <w:r>
        <w:t xml:space="preserve"> bis </w:t>
      </w:r>
      <w:hyperlink w:anchor="b782" w:history="1">
        <w:r>
          <w:rPr>
            <w:color w:val="0A3A8C"/>
            <w:u w:val="single"/>
          </w:rPr>
          <w:t xml:space="preserve">562c</w:t>
        </w:r>
      </w:hyperlink>
      <w:r>
        <w:t xml:space="preserve"> gelten entsprechend.</w:t>
      </w:r>
    </w:p>
    <w:p>
      <w:pPr>
        <w:pStyle w:val="Heading5"/>
      </w:pPr>
      <w:bookmarkStart w:id="871" w:name="b858"/>
      <w:r>
        <w:t>§ 593 Änderung von Landpachtverträgen</w:t>
      </w:r>
      <w:r>
        <w:t xml:space="preserve"> </w:t>
      </w:r>
      <w:r>
        <w:rPr>
          <w:rStyle w:val="Suchmarke"/>
        </w:rPr>
        <w:t>#593#</w:t>
      </w:r>
      <w:bookmarkEnd w:id="871"/>
    </w:p>
    <w:p>
      <w:r>
        <w:t xml:space="preserve">(1) </w:t>
      </w:r>
      <w:r>
        <w:rPr>
          <w:rStyle w:val="Satznummer"/>
        </w:rPr>
        <w:t>1</w:t>
      </w:r>
      <w:r>
        <w:t xml:space="preserve">Haben sich nach Abschluss des Pachtvertrags die Verhältnisse, die für die Festsetzung der Vertragsleistungen maßgebend waren, nachhaltig so geändert, dass die gegenseitigen Verpflichtungen in ein grobes Missverhältnis zueinander geraten sind, so kann jeder Vertragsteil eine Änderung des Vertrags mit Ausnahme der Pachtdauer verlangen. </w:t>
      </w:r>
      <w:r>
        <w:rPr>
          <w:rStyle w:val="Satznummer"/>
        </w:rPr>
        <w:t>2</w:t>
      </w:r>
      <w:r>
        <w:t>Verbessert oder verschlechtert sich infolge der Bewirtschaftung der Pachtsache durch den Pächter deren Ertrag, so kann, soweit nichts anderes vereinbart ist, eine Änderung der Pacht nicht verlangt werden.</w:t>
      </w:r>
    </w:p>
    <w:p>
      <w:r>
        <w:t xml:space="preserve">(2) </w:t>
      </w:r>
      <w:r>
        <w:rPr>
          <w:rStyle w:val="Satznummer"/>
        </w:rPr>
        <w:t>1</w:t>
      </w:r>
      <w:r>
        <w:t xml:space="preserve">Eine Änderung kann frühestens zwei Jahre nach Beginn des Pachtverhältnisses oder nach dem Wirksamwerden der letzten Änderung der Vertragsleistungen verlangt werden. </w:t>
      </w:r>
      <w:r>
        <w:rPr>
          <w:rStyle w:val="Satznummer"/>
        </w:rPr>
        <w:t>2</w:t>
      </w:r>
      <w:r>
        <w:t>Dies gilt nicht, wenn verwüstende Naturereignisse, gegen die ein Versicherungsschutz nicht üblich ist, das Verhältnis der Vertragsleistungen grundlegend und nachhaltig verändert haben.</w:t>
      </w:r>
    </w:p>
    <w:p>
      <w:r>
        <w:t>(3) Die Änderung kann nicht für eine frühere Zeit als für das Pachtjahr verlangt werden, in dem das Änderungsverlangen erklärt wird.</w:t>
      </w:r>
    </w:p>
    <w:p>
      <w:r>
        <w:t>(4) Weigert sich ein Vertragsteil, in eine Änderung des Vertrags einzuwilligen, so kann der andere Teil die Entscheidung des Landwirtschaftsgerichts beantragen.</w:t>
      </w:r>
    </w:p>
    <w:p>
      <w:r>
        <w:t xml:space="preserve">(5) </w:t>
      </w:r>
      <w:r>
        <w:rPr>
          <w:rStyle w:val="Satznummer"/>
        </w:rPr>
        <w:t>1</w:t>
      </w:r>
      <w:r>
        <w:t xml:space="preserve">Auf das Recht, eine Änderung des Vertrags nach den Absätzen 1 bis 4 zu verlangen, kann nicht verzichtet werden. </w:t>
      </w:r>
      <w:r>
        <w:rPr>
          <w:rStyle w:val="Satznummer"/>
        </w:rPr>
        <w:t>2</w:t>
      </w:r>
      <w:r>
        <w:t>Eine Vereinbarung, dass einem Vertragsteil besondere Nachteile oder Vorteile erwachsen sollen, wenn er die Rechte nach den Absätzen 1 bis 4 ausübt oder nicht ausübt, ist unwirksam.</w:t>
      </w:r>
    </w:p>
    <w:p>
      <w:pPr>
        <w:pStyle w:val="Heading5"/>
      </w:pPr>
      <w:bookmarkStart w:id="872" w:name="b859"/>
      <w:r>
        <w:t>§ 593a Betriebsübergabe</w:t>
      </w:r>
      <w:r>
        <w:t xml:space="preserve"> </w:t>
      </w:r>
      <w:r>
        <w:rPr>
          <w:rStyle w:val="Suchmarke"/>
        </w:rPr>
        <w:t>#593a#</w:t>
      </w:r>
      <w:bookmarkEnd w:id="872"/>
    </w:p>
    <w:p>
      <w:r>
        <w:rPr>
          <w:rStyle w:val="Satznummer"/>
        </w:rPr>
        <w:t>1</w:t>
      </w:r>
      <w:r>
        <w:t xml:space="preserve">Wird bei der Übergabe eines Betriebs im Wege der vorweggenommenen Erbfolge ein zugepachtetes Grundstück, das der Landwirtschaft dient, mit übergeben, so tritt der Übernehmer anstelle des Pächters in den Pachtvertrag ein. </w:t>
      </w:r>
      <w:r>
        <w:rPr>
          <w:rStyle w:val="Satznummer"/>
        </w:rPr>
        <w:t>2</w:t>
      </w:r>
      <w:r>
        <w:t xml:space="preserve">Der Verpächter ist von der Betriebsübergabe jedoch unverzüglich zu benachrichtigen. </w:t>
      </w:r>
      <w:r>
        <w:rPr>
          <w:rStyle w:val="Satznummer"/>
        </w:rPr>
        <w:t>3</w:t>
      </w:r>
      <w:r>
        <w:t>Ist die ordnungsmäßige Bewirtschaftung der Pachtsache durch den Übernehmer nicht gewährleistet, so ist der Verpächter berechtigt, das Pachtverhältnis außerordentlich mit der gesetzlichen Frist zu kündigen.</w:t>
      </w:r>
    </w:p>
    <w:p>
      <w:pPr>
        <w:pStyle w:val="Heading5"/>
      </w:pPr>
      <w:bookmarkStart w:id="873" w:name="b860"/>
      <w:r>
        <w:t>§ 593b Veräußerung oder Belastung des verpachteten Grundstücks</w:t>
      </w:r>
      <w:r>
        <w:t xml:space="preserve"> </w:t>
      </w:r>
      <w:r>
        <w:rPr>
          <w:rStyle w:val="Suchmarke"/>
        </w:rPr>
        <w:t>#593b#</w:t>
      </w:r>
      <w:bookmarkEnd w:id="873"/>
    </w:p>
    <w:p>
      <w:r>
        <w:t xml:space="preserve">Wird das verpachtete Grundstück veräußert oder mit dem Recht eines Dritten belastet, so gelten die </w:t>
      </w:r>
      <w:hyperlink w:anchor="b790" w:history="1">
        <w:r>
          <w:rPr>
            <w:color w:val="0A3A8C"/>
            <w:u w:val="single"/>
          </w:rPr>
          <w:t xml:space="preserve">§§ 566</w:t>
        </w:r>
      </w:hyperlink>
      <w:r>
        <w:t xml:space="preserve"> bis </w:t>
      </w:r>
      <w:hyperlink w:anchor="b798" w:history="1">
        <w:r>
          <w:rPr>
            <w:color w:val="0A3A8C"/>
            <w:u w:val="single"/>
          </w:rPr>
          <w:t xml:space="preserve">567b</w:t>
        </w:r>
      </w:hyperlink>
      <w:r>
        <w:t xml:space="preserve"> entsprechend.</w:t>
      </w:r>
    </w:p>
    <w:p>
      <w:pPr>
        <w:pStyle w:val="Heading5"/>
      </w:pPr>
      <w:bookmarkStart w:id="874" w:name="b861"/>
      <w:r>
        <w:t>§ 594 Ende und Verlängerung des Pachtverhältnisses</w:t>
      </w:r>
      <w:r>
        <w:t xml:space="preserve"> </w:t>
      </w:r>
      <w:r>
        <w:rPr>
          <w:rStyle w:val="Suchmarke"/>
        </w:rPr>
        <w:t>#594#</w:t>
      </w:r>
      <w:bookmarkEnd w:id="874"/>
    </w:p>
    <w:p>
      <w:r>
        <w:rPr>
          <w:rStyle w:val="Satznummer"/>
        </w:rPr>
        <w:t>1</w:t>
      </w:r>
      <w:r>
        <w:t xml:space="preserve">Das Pachtverhältnis endet mit dem Ablauf der Zeit, für die es eingegangen ist. </w:t>
      </w:r>
      <w:r>
        <w:rPr>
          <w:rStyle w:val="Satznummer"/>
        </w:rPr>
        <w:t>2</w:t>
      </w:r>
      <w:r>
        <w:t xml:space="preserve">Es verlängert sich bei Pachtverträgen, die auf mindestens drei Jahre geschlossen worden sind, auf unbestimmte Zeit, wenn auf die Anfrage eines Vertragsteils, ob der andere Teil zur Fortsetzung des Pachtverhältnisses bereit ist, dieser nicht binnen einer Frist von drei Monaten die Fortsetzung ablehnt. </w:t>
      </w:r>
      <w:r>
        <w:rPr>
          <w:rStyle w:val="Satznummer"/>
        </w:rPr>
        <w:t>3</w:t>
      </w:r>
      <w:r>
        <w:t xml:space="preserve">Die Anfrage und die Ablehnung bedürfen der schriftlichen Form. </w:t>
      </w:r>
      <w:r>
        <w:rPr>
          <w:rStyle w:val="Satznummer"/>
        </w:rPr>
        <w:t>4</w:t>
      </w:r>
      <w:r>
        <w:t>Die Anfrage ist ohne Wirkung, wenn in ihr nicht auf die Folge der Nichtbeachtung ausdrücklich hingewiesen wird und wenn sie nicht innerhalb des drittletzten Pachtjahrs gestellt wird.</w:t>
      </w:r>
    </w:p>
    <w:p>
      <w:pPr>
        <w:pStyle w:val="Heading5"/>
      </w:pPr>
      <w:bookmarkStart w:id="875" w:name="b862"/>
      <w:r>
        <w:t>§ 594a Kündigungsfristen</w:t>
      </w:r>
      <w:r>
        <w:t xml:space="preserve"> </w:t>
      </w:r>
      <w:r>
        <w:rPr>
          <w:rStyle w:val="Suchmarke"/>
        </w:rPr>
        <w:t>#594a#</w:t>
      </w:r>
      <w:bookmarkEnd w:id="875"/>
    </w:p>
    <w:p>
      <w:r>
        <w:t xml:space="preserve">(1) </w:t>
      </w:r>
      <w:r>
        <w:rPr>
          <w:rStyle w:val="Satznummer"/>
        </w:rPr>
        <w:t>1</w:t>
      </w:r>
      <w:r>
        <w:t xml:space="preserve">Ist die Pachtzeit nicht bestimmt, so kann jeder Vertragsteil das Pachtverhältnis spätestens am dritten Werktag eines Pachtjahrs für den Schluss des nächsten Pachtjahrs kündigen. </w:t>
      </w:r>
      <w:r>
        <w:rPr>
          <w:rStyle w:val="Satznummer"/>
        </w:rPr>
        <w:t>2</w:t>
      </w:r>
      <w:r>
        <w:t xml:space="preserve">Im Zweifel gilt das Kalenderjahr als Pachtjahr. </w:t>
      </w:r>
      <w:r>
        <w:rPr>
          <w:rStyle w:val="Satznummer"/>
        </w:rPr>
        <w:t>3</w:t>
      </w:r>
      <w:r>
        <w:t>Die Vereinbarung einer kürzeren Frist bedarf der Textform.</w:t>
      </w:r>
    </w:p>
    <w:p>
      <w:r>
        <w:t>(2) Für die Fälle, in denen das Pachtverhältnis außerordentlich mit der gesetzlichen Frist vorzeitig gekündigt werden kann, ist die Kündigung nur für den Schluss eines Pachtjahrs zulässig; sie hat spätestens am dritten Werktag des halben Jahres zu erfolgen, mit dessen Ablauf die Pacht enden soll.</w:t>
      </w:r>
    </w:p>
    <w:p>
      <w:pPr>
        <w:pStyle w:val="Heading5"/>
      </w:pPr>
      <w:bookmarkStart w:id="876" w:name="b863"/>
      <w:r>
        <w:t>§ 594b Vertrag über mehr als 30 Jahre</w:t>
      </w:r>
      <w:r>
        <w:t xml:space="preserve"> </w:t>
      </w:r>
      <w:r>
        <w:rPr>
          <w:rStyle w:val="Suchmarke"/>
        </w:rPr>
        <w:t>#594b#</w:t>
      </w:r>
      <w:bookmarkEnd w:id="876"/>
    </w:p>
    <w:p>
      <w:r>
        <w:rPr>
          <w:rStyle w:val="Satznummer"/>
        </w:rPr>
        <w:t>1</w:t>
      </w:r>
      <w:r>
        <w:t xml:space="preserve">Wird ein Pachtvertrag für eine längere Zeit als 30 Jahre geschlossen, so kann nach 30 Jahren jeder Vertragsteil das Pachtverhältnis spätestens am dritten Werktag eines Pachtjahrs für den Schluss des nächsten Pachtjahrs kündigen. </w:t>
      </w:r>
      <w:r>
        <w:rPr>
          <w:rStyle w:val="Satznummer"/>
        </w:rPr>
        <w:t>2</w:t>
      </w:r>
      <w:r>
        <w:t>Die Kündigung ist nicht zulässig, wenn der Vertrag für die Lebenszeit des Verpächters oder des Pächters geschlossen ist.</w:t>
      </w:r>
    </w:p>
    <w:p>
      <w:pPr>
        <w:pStyle w:val="Heading5"/>
      </w:pPr>
      <w:bookmarkStart w:id="877" w:name="b864"/>
      <w:r>
        <w:t>§ 594c Kündigung bei Berufsunfähigkeit des Pächters</w:t>
      </w:r>
      <w:r>
        <w:t xml:space="preserve"> </w:t>
      </w:r>
      <w:r>
        <w:rPr>
          <w:rStyle w:val="Suchmarke"/>
        </w:rPr>
        <w:t>#594c#</w:t>
      </w:r>
      <w:bookmarkEnd w:id="877"/>
    </w:p>
    <w:p>
      <w:r>
        <w:rPr>
          <w:rStyle w:val="Satznummer"/>
        </w:rPr>
        <w:t>1</w:t>
      </w:r>
      <w:r>
        <w:t xml:space="preserve">Ist der Pächter berufsunfähig im Sinne der Vorschriften der gesetzlichen Rentenversicherung geworden, so kann er das Pachtverhältnis außerordentlich mit der gesetzlichen Frist kündigen, wenn der Verpächter der Überlassung der Pachtsache zur Nutzung an einen Dritten, der eine ordnungsmäßige Bewirtschaftung gewährleistet, widerspricht. </w:t>
      </w:r>
      <w:r>
        <w:rPr>
          <w:rStyle w:val="Satznummer"/>
        </w:rPr>
        <w:t>2</w:t>
      </w:r>
      <w:r>
        <w:t>Eine abweichende Vereinbarung ist unwirksam.</w:t>
      </w:r>
    </w:p>
    <w:p>
      <w:pPr>
        <w:pStyle w:val="Heading5"/>
      </w:pPr>
      <w:bookmarkStart w:id="878" w:name="b865"/>
      <w:r>
        <w:t>§ 594d Tod des Pächters</w:t>
      </w:r>
      <w:r>
        <w:t xml:space="preserve"> </w:t>
      </w:r>
      <w:r>
        <w:rPr>
          <w:rStyle w:val="Suchmarke"/>
        </w:rPr>
        <w:t>#594d#</w:t>
      </w:r>
      <w:bookmarkEnd w:id="878"/>
    </w:p>
    <w:p>
      <w:r>
        <w:t>(1) Stirbt der Pächter, so sind sowohl seine Erben als auch der Verpächter innerhalb eines Monats, nachdem sie vom Tod des Pächters Kenntnis erlangt haben, berechtigt, das Pachtverhältnis mit einer Frist von sechs Monaten zum Ende eines Kalendervierteljahrs zu kündigen.</w:t>
      </w:r>
    </w:p>
    <w:p>
      <w:r>
        <w:t xml:space="preserve">(2) </w:t>
      </w:r>
      <w:r>
        <w:rPr>
          <w:rStyle w:val="Satznummer"/>
        </w:rPr>
        <w:t>1</w:t>
      </w:r>
      <w:r>
        <w:t xml:space="preserve">Die Erben können der Kündigung des Verpächters widersprechen und die Fortsetzung des Pachtverhältnisses verlangen, wenn die ordnungsmäßige Bewirtschaftung der Pachtsache durch sie oder durch einen von ihnen beauftragten Miterben oder Dritten gewährleistet erscheint. </w:t>
      </w:r>
      <w:r>
        <w:rPr>
          <w:rStyle w:val="Satznummer"/>
        </w:rPr>
        <w:t>2</w:t>
      </w:r>
      <w:r>
        <w:t xml:space="preserve">Der Verpächter kann die Fortsetzung des Pachtverhältnisses ablehnen, wenn die Erben den Widerspruch nicht spätestens drei Monate vor Ablauf des Pachtverhältnisses erklärt und die Umstände mitgeteilt haben, nach denen die weitere ordnungsmäßige Bewirtschaftung der Pachtsache gewährleistet erscheint. </w:t>
      </w:r>
      <w:r>
        <w:rPr>
          <w:rStyle w:val="Satznummer"/>
        </w:rPr>
        <w:t>3</w:t>
      </w:r>
      <w:r>
        <w:t xml:space="preserve">Die Widerspruchserklärung und die Mitteilung bedürfen der Textform. </w:t>
      </w:r>
      <w:r>
        <w:rPr>
          <w:rStyle w:val="Satznummer"/>
        </w:rPr>
        <w:t>4</w:t>
      </w:r>
      <w:r>
        <w:t>Kommt keine Einigung zustande, so entscheidet auf Antrag das Landwirtschaftsgericht.</w:t>
      </w:r>
    </w:p>
    <w:p>
      <w:r>
        <w:t xml:space="preserve">(3) Gegenüber einer Kündigung des Verpächters nach Absatz 1 ist ein Fortsetzungsverlangen des Erben nach </w:t>
      </w:r>
      <w:hyperlink w:anchor="b868" w:history="1">
        <w:r>
          <w:rPr>
            <w:color w:val="0A3A8C"/>
            <w:u w:val="single"/>
          </w:rPr>
          <w:t xml:space="preserve">§ 595</w:t>
        </w:r>
      </w:hyperlink>
      <w:r>
        <w:t xml:space="preserve"> ausgeschlossen.</w:t>
      </w:r>
    </w:p>
    <w:p>
      <w:pPr>
        <w:pStyle w:val="Heading5"/>
      </w:pPr>
      <w:bookmarkStart w:id="879" w:name="b866"/>
      <w:r>
        <w:t>§ 594e Außerordentliche fristlose Kündigung aus wichtigem Grund</w:t>
      </w:r>
      <w:r>
        <w:t xml:space="preserve"> </w:t>
      </w:r>
      <w:r>
        <w:rPr>
          <w:rStyle w:val="Suchmarke"/>
        </w:rPr>
        <w:t>#594e#</w:t>
      </w:r>
      <w:bookmarkEnd w:id="879"/>
    </w:p>
    <w:p>
      <w:r>
        <w:t xml:space="preserve">(1) Die außerordentliche fristlose Kündigung des Pachtverhältnisses ist in entsprechender Anwendung der </w:t>
      </w:r>
      <w:hyperlink w:anchor="b724" w:history="1">
        <w:r>
          <w:rPr>
            <w:color w:val="0A3A8C"/>
            <w:u w:val="single"/>
          </w:rPr>
          <w:t xml:space="preserve">§§ 543</w:t>
        </w:r>
      </w:hyperlink>
      <w:r>
        <w:t xml:space="preserve">, </w:t>
      </w:r>
      <w:hyperlink w:anchor="b802" w:history="1">
        <w:r>
          <w:rPr>
            <w:color w:val="0A3A8C"/>
            <w:u w:val="single"/>
          </w:rPr>
          <w:t xml:space="preserve">569</w:t>
        </w:r>
      </w:hyperlink>
      <w:r>
        <w:t xml:space="preserve"> Abs. 1 und 2 zulässig.</w:t>
      </w:r>
    </w:p>
    <w:p>
      <w:r>
        <w:t xml:space="preserve">(2) </w:t>
      </w:r>
      <w:r>
        <w:rPr>
          <w:rStyle w:val="Satznummer"/>
        </w:rPr>
        <w:t>1</w:t>
      </w:r>
      <w:r>
        <w:t xml:space="preserve">Abweichend von § 543 Abs. 2 Nr. 3 Buchstaben a und b liegt ein wichtiger Grund insbesondere vor, wenn der Pächter mit der Entrichtung der Pacht oder eines nicht unerheblichen Teils der Pacht länger als drei Monate in Verzug ist. </w:t>
      </w:r>
      <w:r>
        <w:rPr>
          <w:rStyle w:val="Satznummer"/>
        </w:rPr>
        <w:t>2</w:t>
      </w:r>
      <w:r>
        <w:t>Ist die Pacht nach Zeitabschnitten von weniger als einem Jahr bemessen, so ist die Kündigung erst zulässig, wenn der Pächter für zwei aufeinander folgende Termine mit der Entrichtung der Pacht oder eines nicht unerheblichen Teils der Pacht in Verzug ist.</w:t>
      </w:r>
    </w:p>
    <w:p>
      <w:pPr>
        <w:pStyle w:val="Heading5"/>
      </w:pPr>
      <w:bookmarkStart w:id="880" w:name="b867"/>
      <w:r>
        <w:t>§ 594f Schriftform der Kündigung</w:t>
      </w:r>
      <w:r>
        <w:t xml:space="preserve"> </w:t>
      </w:r>
      <w:r>
        <w:rPr>
          <w:rStyle w:val="Suchmarke"/>
        </w:rPr>
        <w:t>#594f#</w:t>
      </w:r>
      <w:bookmarkEnd w:id="880"/>
    </w:p>
    <w:p>
      <w:r>
        <w:t>Die Kündigung bedarf der schriftlichen Form.</w:t>
      </w:r>
    </w:p>
    <w:p>
      <w:pPr>
        <w:pStyle w:val="Heading5"/>
      </w:pPr>
      <w:bookmarkStart w:id="881" w:name="b868"/>
      <w:r>
        <w:t>§ 595 Fortsetzung des Pachtverhältnisses</w:t>
      </w:r>
      <w:r>
        <w:t xml:space="preserve"> </w:t>
      </w:r>
      <w:r>
        <w:rPr>
          <w:rStyle w:val="Suchmarke"/>
        </w:rPr>
        <w:t>#595#</w:t>
      </w:r>
      <w:bookmarkEnd w:id="881"/>
    </w:p>
    <w:p>
      <w:r>
        <w:t xml:space="preserve">(1) </w:t>
      </w:r>
      <w:r>
        <w:rPr>
          <w:rStyle w:val="Satznummer"/>
        </w:rPr>
        <w:t>1</w:t>
      </w:r>
      <w:r>
        <w:t>Der Pächter kann vom Verpächter die Fortsetzung des Pachtverhältnisses verlangen, wenn</w:t>
      </w:r>
    </w:p>
    <w:p>
      <w:pPr>
        <w:tabs>
          <w:tab w:pos="567" w:val="left"/>
        </w:tabs>
        <w:ind w:left="567" w:hanging="567"/>
      </w:pPr>
      <w:r>
        <w:t>1.</w:t>
      </w:r>
      <w:r>
        <w:tab/>
      </w:r>
      <w:r>
        <w:t>bei einem Betriebspachtverhältnis der Betrieb seine wirtschaftliche Lebensgrundlage bildet,</w:t>
      </w:r>
    </w:p>
    <w:p>
      <w:pPr>
        <w:tabs>
          <w:tab w:pos="567" w:val="left"/>
        </w:tabs>
        <w:ind w:left="567" w:hanging="567"/>
      </w:pPr>
      <w:r>
        <w:t>2.</w:t>
      </w:r>
      <w:r>
        <w:tab/>
      </w:r>
      <w:r>
        <w:t>bei dem Pachtverhältnis über ein Grundstück der Pächter auf dieses Grundstück zur Aufrechterhaltung seines Betriebs, der seine wirtschaftliche Lebensgrundlage bildet, angewiesen ist</w:t>
      </w:r>
    </w:p>
    <w:p>
      <w:r>
        <w:t xml:space="preserve">und die vertragsmäßige Beendigung des Pachtverhältnisses für den Pächter oder seine Familie eine Härte bedeuten würde, die auch unter Würdigung der berechtigten Interessen des Verpächters nicht zu rechtfertigen ist. </w:t>
      </w:r>
      <w:r>
        <w:rPr>
          <w:rStyle w:val="Satznummer"/>
        </w:rPr>
        <w:t>2</w:t>
      </w:r>
      <w:r>
        <w:t>Die Fortsetzung kann unter diesen Voraussetzungen wiederholt verlangt werden.</w:t>
      </w:r>
    </w:p>
    <w:p>
      <w:r>
        <w:t xml:space="preserve">(2) </w:t>
      </w:r>
      <w:r>
        <w:rPr>
          <w:rStyle w:val="Satznummer"/>
        </w:rPr>
        <w:t>1</w:t>
      </w:r>
      <w:r>
        <w:t xml:space="preserve">Im Falle des Absatzes 1 kann der Pächter verlangen, dass das Pachtverhältnis so lange fortgesetzt wird, wie dies unter Berücksichtigung aller Umstände angemessen ist. </w:t>
      </w:r>
      <w:r>
        <w:rPr>
          <w:rStyle w:val="Satznummer"/>
        </w:rPr>
        <w:t>2</w:t>
      </w:r>
      <w:r>
        <w:t>Ist dem Verpächter nicht zuzumuten, das Pachtverhältnis nach den bisher geltenden Vertragsbedingungen fortzusetzen, so kann der Pächter nur verlangen, dass es unter einer angemessenen Änderung der Bedingungen fortgesetzt wird.</w:t>
      </w:r>
    </w:p>
    <w:p>
      <w:r>
        <w:t>(3) Der Pächter kann die Fortsetzung des Pachtverhältnisses nicht verlangen, wenn</w:t>
      </w:r>
    </w:p>
    <w:p>
      <w:pPr>
        <w:tabs>
          <w:tab w:pos="567" w:val="left"/>
        </w:tabs>
        <w:ind w:left="567" w:hanging="567"/>
      </w:pPr>
      <w:r>
        <w:t>1.</w:t>
      </w:r>
      <w:r>
        <w:tab/>
      </w:r>
      <w:r>
        <w:t>er das Pachtverhältnis gekündigt hat,</w:t>
      </w:r>
    </w:p>
    <w:p>
      <w:pPr>
        <w:tabs>
          <w:tab w:pos="567" w:val="left"/>
        </w:tabs>
        <w:ind w:left="567" w:hanging="567"/>
      </w:pPr>
      <w:r>
        <w:t>2.</w:t>
      </w:r>
      <w:r>
        <w:tab/>
      </w:r>
      <w:r>
        <w:t>der Verpächter zur außerordentlichen fristlosen Kündigung oder im Falle des § 593a zur außerordentlichen Kündigung mit der gesetzlichen Frist berechtigt ist,</w:t>
      </w:r>
    </w:p>
    <w:p>
      <w:pPr>
        <w:tabs>
          <w:tab w:pos="567" w:val="left"/>
        </w:tabs>
        <w:ind w:left="567" w:hanging="567"/>
      </w:pPr>
      <w:r>
        <w:t>3.</w:t>
      </w:r>
      <w:r>
        <w:tab/>
      </w:r>
      <w:r>
        <w:t>die Laufzeit des Vertrags bei einem Pachtverhältnis über einen Betrieb, der Zupachtung von Grundstücken, durch die ein Betrieb entsteht, oder bei einem Pachtverhältnis über Moor- und Ödland, das vom Pächter kultiviert worden ist, auf mindestens 18 Jahre, bei der Pacht anderer Grundstücke auf mindestens zwölf Jahre vereinbart ist,</w:t>
      </w:r>
    </w:p>
    <w:p>
      <w:pPr>
        <w:tabs>
          <w:tab w:pos="567" w:val="left"/>
        </w:tabs>
        <w:ind w:left="567" w:hanging="567"/>
      </w:pPr>
      <w:r>
        <w:t>4.</w:t>
      </w:r>
      <w:r>
        <w:tab/>
      </w:r>
      <w:r>
        <w:t>der Verpächter die nur vorübergehend verpachtete Sache in eigene Nutzung nehmen oder zur Erfüllung gesetzlicher oder sonstiger öffentlicher Aufgaben verwenden will.</w:t>
      </w:r>
    </w:p>
    <w:p>
      <w:r>
        <w:t xml:space="preserve">(4) </w:t>
      </w:r>
      <w:r>
        <w:rPr>
          <w:rStyle w:val="Satznummer"/>
        </w:rPr>
        <w:t>1</w:t>
      </w:r>
      <w:r>
        <w:t xml:space="preserve">Die Erklärung des Pächters, mit der er die Fortsetzung des Pachtverhältnisses verlangt, bedarf der Textform. </w:t>
      </w:r>
      <w:r>
        <w:rPr>
          <w:rStyle w:val="Satznummer"/>
        </w:rPr>
        <w:t>2</w:t>
      </w:r>
      <w:r>
        <w:t>Auf Verlangen des Verpächters soll der Pächter über die Gründe des Fortsetzungsverlangens unverzüglich Auskunft erteilen.</w:t>
      </w:r>
    </w:p>
    <w:p>
      <w:r>
        <w:t xml:space="preserve">(5) </w:t>
      </w:r>
      <w:r>
        <w:rPr>
          <w:rStyle w:val="Satznummer"/>
        </w:rPr>
        <w:t>1</w:t>
      </w:r>
      <w:r>
        <w:t xml:space="preserve">Der Verpächter kann die Fortsetzung des Pachtverhältnisses ablehnen, wenn der Pächter die Fortsetzung nicht mindestens ein Jahr vor Beendigung des Pachtverhältnisses vom Verpächter verlangt oder auf eine Anfrage des Verpächters nach </w:t>
      </w:r>
      <w:hyperlink w:anchor="b861" w:history="1">
        <w:r>
          <w:rPr>
            <w:color w:val="0A3A8C"/>
            <w:u w:val="single"/>
          </w:rPr>
          <w:t xml:space="preserve">§ 594</w:t>
        </w:r>
      </w:hyperlink>
      <w:r>
        <w:t xml:space="preserve"> die Fortsetzung abgelehnt hat. </w:t>
      </w:r>
      <w:r>
        <w:rPr>
          <w:rStyle w:val="Satznummer"/>
        </w:rPr>
        <w:t>2</w:t>
      </w:r>
      <w:r>
        <w:t>Ist eine zwölfmonatige oder kürzere Kündigungsfrist vereinbart, so genügt es, wenn das Verlangen innerhalb eines Monats nach Zugang der Kündigung erklärt wird.</w:t>
      </w:r>
    </w:p>
    <w:p>
      <w:r>
        <w:t xml:space="preserve">(6) </w:t>
      </w:r>
      <w:r>
        <w:rPr>
          <w:rStyle w:val="Satznummer"/>
        </w:rPr>
        <w:t>1</w:t>
      </w:r>
      <w:r>
        <w:t xml:space="preserve">Kommt keine Einigung zustande, so entscheidet auf Antrag das Landwirtschaftsgericht über eine Fortsetzung und über die Dauer des Pachtverhältnisses sowie über die Bedingungen, zu denen es fortgesetzt wird. </w:t>
      </w:r>
      <w:r>
        <w:rPr>
          <w:rStyle w:val="Satznummer"/>
        </w:rPr>
        <w:t>2</w:t>
      </w:r>
      <w:r>
        <w:t xml:space="preserve">Das Gericht kann die Fortsetzung des Pachtverhältnisses jedoch nur bis zu einem Zeitpunkt anordnen, der die in Absatz 3 Nr. 3 genannten Fristen, ausgehend vom Beginn des laufenden Pachtverhältnisses, nicht übersteigt. </w:t>
      </w:r>
      <w:r>
        <w:rPr>
          <w:rStyle w:val="Satznummer"/>
        </w:rPr>
        <w:t>3</w:t>
      </w:r>
      <w:r>
        <w:t>Die Fortsetzung kann auch auf einen Teil der Pachtsache beschränkt werden.</w:t>
      </w:r>
    </w:p>
    <w:p>
      <w:r>
        <w:t xml:space="preserve">(7) </w:t>
      </w:r>
      <w:r>
        <w:rPr>
          <w:rStyle w:val="Satznummer"/>
        </w:rPr>
        <w:t>1</w:t>
      </w:r>
      <w:r>
        <w:t xml:space="preserve">Der Pächter hat den Antrag auf gerichtliche Entscheidung spätestens neun Monate vor Beendigung des Pachtverhältnisses und im Falle einer zwölfmonatigen oder kürzeren Kündigungsfrist zwei Monate nach Zugang der Kündigung bei dem Landwirtschaftsgericht zu stellen. </w:t>
      </w:r>
      <w:r>
        <w:rPr>
          <w:rStyle w:val="Satznummer"/>
        </w:rPr>
        <w:t>2</w:t>
      </w:r>
      <w:r>
        <w:t>Das Gericht kann den Antrag nachträglich zulassen, wenn es zur Vermeidung einer unbilligen Härte geboten erscheint und der Pachtvertrag noch nicht abgelaufen ist.</w:t>
      </w:r>
    </w:p>
    <w:p>
      <w:r>
        <w:t xml:space="preserve">(8) </w:t>
      </w:r>
      <w:r>
        <w:rPr>
          <w:rStyle w:val="Satznummer"/>
        </w:rPr>
        <w:t>1</w:t>
      </w:r>
      <w:r>
        <w:t xml:space="preserve">Auf das Recht, die Verlängerung eines Pachtverhältnisses nach den Absätzen 1 bis 7 zu verlangen, kann nur verzichtet werden, wenn der Verzicht zur Beilegung eines Pachtstreits vor Gericht oder vor einer berufsständischen Pachtschlichtungsstelle erklärt wird. </w:t>
      </w:r>
      <w:r>
        <w:rPr>
          <w:rStyle w:val="Satznummer"/>
        </w:rPr>
        <w:t>2</w:t>
      </w:r>
      <w:r>
        <w:t>Eine Vereinbarung, dass einem Vertragsteil besondere Nachteile oder besondere Vorteile erwachsen sollen, wenn er die Rechte nach den Absätzen 1 bis 7 ausübt oder nicht ausübt, ist unwirksam.</w:t>
      </w:r>
    </w:p>
    <w:p>
      <w:pPr>
        <w:pStyle w:val="Heading5"/>
      </w:pPr>
      <w:bookmarkStart w:id="882" w:name="b869"/>
      <w:r>
        <w:t>§ 595a Vorzeitige Kündigung von Landpachtverträgen</w:t>
      </w:r>
      <w:r>
        <w:t xml:space="preserve"> </w:t>
      </w:r>
      <w:r>
        <w:rPr>
          <w:rStyle w:val="Suchmarke"/>
        </w:rPr>
        <w:t>#595a#</w:t>
      </w:r>
      <w:bookmarkEnd w:id="882"/>
    </w:p>
    <w:p>
      <w:r>
        <w:t>(1) Soweit die Vertragsteile zur außerordentlichen Kündigung eines Landpachtverhältnisses mit der gesetzlichen Frist berechtigt sind, steht ihnen dieses Recht auch nach Verlängerung des Landpachtverhältnisses oder Änderung des Landpachtvertrags zu.</w:t>
      </w:r>
    </w:p>
    <w:p>
      <w:r>
        <w:t xml:space="preserve">(2) </w:t>
      </w:r>
      <w:r>
        <w:rPr>
          <w:rStyle w:val="Satznummer"/>
        </w:rPr>
        <w:t>1</w:t>
      </w:r>
      <w:r>
        <w:t xml:space="preserve">Auf Antrag eines Vertragsteils kann das Landwirtschaftsgericht Anordnungen über die Abwicklung eines vorzeitig beendeten oder eines teilweise beendeten Landpachtvertrags treffen. </w:t>
      </w:r>
      <w:r>
        <w:rPr>
          <w:rStyle w:val="Satznummer"/>
        </w:rPr>
        <w:t>2</w:t>
      </w:r>
      <w:r>
        <w:t>Wird die Verlängerung eines Landpachtvertrags auf einen Teil der Pachtsache beschränkt, kann das Landwirtschaftsgericht die Pacht für diesen Teil festsetzen.</w:t>
      </w:r>
    </w:p>
    <w:p>
      <w:r>
        <w:t xml:space="preserve">(3) </w:t>
      </w:r>
      <w:r>
        <w:rPr>
          <w:rStyle w:val="Satznummer"/>
        </w:rPr>
        <w:t>1</w:t>
      </w:r>
      <w:r>
        <w:t xml:space="preserve">Der Inhalt von Anordnungen des Landwirtschaftsgerichts gilt unter den Vertragsteilen als Vertragsinhalt. </w:t>
      </w:r>
      <w:r>
        <w:rPr>
          <w:rStyle w:val="Satznummer"/>
        </w:rPr>
        <w:t>2</w:t>
      </w:r>
      <w:r>
        <w:t>Über Streitigkeiten, die diesen Vertragsinhalt betreffen, entscheidet auf Antrag das Landwirtschaftsgericht.</w:t>
      </w:r>
    </w:p>
    <w:p>
      <w:pPr>
        <w:pStyle w:val="Heading5"/>
      </w:pPr>
      <w:bookmarkStart w:id="883" w:name="b870"/>
      <w:r>
        <w:t>§ 596 Rückgabe der Pachtsache</w:t>
      </w:r>
      <w:r>
        <w:t xml:space="preserve"> </w:t>
      </w:r>
      <w:r>
        <w:rPr>
          <w:rStyle w:val="Suchmarke"/>
        </w:rPr>
        <w:t>#596#</w:t>
      </w:r>
      <w:bookmarkEnd w:id="883"/>
    </w:p>
    <w:p>
      <w:r>
        <w:t>(1) Der Pächter ist verpflichtet, die Pachtsache nach Beendigung des Pachtverhältnisses in dem Zustand zurückzugeben, der einer bis zur Rückgabe fortgesetzten ordnungsmäßigen Bewirtschaftung entspricht.</w:t>
      </w:r>
    </w:p>
    <w:p>
      <w:r>
        <w:t>(2) Dem Pächter steht wegen seiner Ansprüche gegen den Verpächter ein Zurückbehaltungsrecht am Grundstück nicht zu.</w:t>
      </w:r>
    </w:p>
    <w:p>
      <w:r>
        <w:t>(3) Hat der Pächter die Nutzung der Pachtsache einem Dritten überlassen, so kann der Verpächter die Sache nach Beendigung des Pachtverhältnisses auch von dem Dritten zurückfordern.</w:t>
      </w:r>
    </w:p>
    <w:p>
      <w:pPr>
        <w:pStyle w:val="Heading5"/>
      </w:pPr>
      <w:bookmarkStart w:id="884" w:name="b871"/>
      <w:r>
        <w:t>§ 596a Ersatzpflicht bei vorzeitigem Pachtende</w:t>
      </w:r>
      <w:r>
        <w:t xml:space="preserve"> </w:t>
      </w:r>
      <w:r>
        <w:rPr>
          <w:rStyle w:val="Suchmarke"/>
        </w:rPr>
        <w:t>#596a#</w:t>
      </w:r>
      <w:bookmarkEnd w:id="884"/>
    </w:p>
    <w:p>
      <w:r>
        <w:t xml:space="preserve">(1) </w:t>
      </w:r>
      <w:r>
        <w:rPr>
          <w:rStyle w:val="Satznummer"/>
        </w:rPr>
        <w:t>1</w:t>
      </w:r>
      <w:r>
        <w:t xml:space="preserve">Endet das Pachtverhältnis im Laufe eines Pachtjahrs, so hat der Verpächter dem Pächter den Wert der noch nicht getrennten, jedoch nach den Regeln einer ordnungsmäßigen Bewirtschaftung vor dem Ende des Pachtjahrs zu trennenden Früchte zu ersetzen. </w:t>
      </w:r>
      <w:r>
        <w:rPr>
          <w:rStyle w:val="Satznummer"/>
        </w:rPr>
        <w:t>2</w:t>
      </w:r>
      <w:r>
        <w:t>Dabei ist das Ernterisiko angemessen zu berücksichtigen.</w:t>
      </w:r>
    </w:p>
    <w:p>
      <w:r>
        <w:t>(2) Lässt sich der in Absatz 1 bezeichnete Wert aus jahreszeitlich bedingten Gründen nicht feststellen, so hat der Verpächter dem Pächter die Aufwendungen auf diese Früchte insoweit zu ersetzen, als sie einer ordnungsmäßigen Bewirtschaftung entsprechen.</w:t>
      </w:r>
    </w:p>
    <w:p>
      <w:r>
        <w:t xml:space="preserve">(3) </w:t>
      </w:r>
      <w:r>
        <w:rPr>
          <w:rStyle w:val="Satznummer"/>
        </w:rPr>
        <w:t>1</w:t>
      </w:r>
      <w:r>
        <w:t xml:space="preserve">Absatz 1 gilt auch für das zum Einschlag vorgesehene, aber noch nicht eingeschlagene Holz. </w:t>
      </w:r>
      <w:r>
        <w:rPr>
          <w:rStyle w:val="Satznummer"/>
        </w:rPr>
        <w:t>2</w:t>
      </w:r>
      <w:r>
        <w:t xml:space="preserve">Hat der Pächter mehr Holz eingeschlagen, als bei ordnungsmäßiger Nutzung zulässig war, so hat er dem Verpächter den Wert der die normale Nutzung übersteigenden Holzmenge zu ersetzen. </w:t>
      </w:r>
      <w:r>
        <w:rPr>
          <w:rStyle w:val="Satznummer"/>
        </w:rPr>
        <w:t>3</w:t>
      </w:r>
      <w:r>
        <w:t>Die Geltendmachung eines weiteren Schadens ist nicht ausgeschlossen.</w:t>
      </w:r>
    </w:p>
    <w:p>
      <w:pPr>
        <w:pStyle w:val="Heading5"/>
      </w:pPr>
      <w:bookmarkStart w:id="885" w:name="b872"/>
      <w:r>
        <w:t>§ 596b Rücklassungspflicht</w:t>
      </w:r>
      <w:r>
        <w:t xml:space="preserve"> </w:t>
      </w:r>
      <w:r>
        <w:rPr>
          <w:rStyle w:val="Suchmarke"/>
        </w:rPr>
        <w:t>#596b#</w:t>
      </w:r>
      <w:bookmarkEnd w:id="885"/>
    </w:p>
    <w:p>
      <w:r>
        <w:t>(1) Der Pächter eines Betriebs hat von den bei Beendigung des Pachtverhältnisses vorhandenen landwirtschaftlichen Erzeugnissen so viel zurückzulassen, wie zur Fortführung der Wirtschaft bis zur nächsten Ernte nötig ist, auch wenn er bei Beginn des Pachtverhältnisses solche Erzeugnisse nicht übernommen hat.</w:t>
      </w:r>
    </w:p>
    <w:p>
      <w:r>
        <w:t>(2) Soweit der Pächter nach Absatz 1 Erzeugnisse in größerer Menge oder besserer Beschaffenheit zurückzulassen verpflichtet ist, als er bei Beginn des Pachtverhältnisses übernommen hat, kann er vom Verpächter Ersatz des Wertes verlangen.</w:t>
      </w:r>
    </w:p>
    <w:p>
      <w:pPr>
        <w:pStyle w:val="Heading5"/>
      </w:pPr>
      <w:bookmarkStart w:id="886" w:name="b873"/>
      <w:r>
        <w:t>§ 597 Verspätete Rückgabe</w:t>
      </w:r>
      <w:r>
        <w:t xml:space="preserve"> </w:t>
      </w:r>
      <w:r>
        <w:rPr>
          <w:rStyle w:val="Suchmarke"/>
        </w:rPr>
        <w:t>#597#</w:t>
      </w:r>
      <w:bookmarkEnd w:id="886"/>
    </w:p>
    <w:p>
      <w:r>
        <w:rPr>
          <w:rStyle w:val="Satznummer"/>
        </w:rPr>
        <w:t>1</w:t>
      </w:r>
      <w:r>
        <w:t xml:space="preserve">Gibt der Pächter die Pachtsache nach Beendigung des Pachtverhältnisses nicht zurück, so kann der Verpächter für die Dauer der Vorenthaltung als Entschädigung die vereinbarte Pacht verlangen. </w:t>
      </w:r>
      <w:r>
        <w:rPr>
          <w:rStyle w:val="Satznummer"/>
        </w:rPr>
        <w:t>2</w:t>
      </w:r>
      <w:r>
        <w:t>Die Geltendmachung eines weiteren Schadens ist nicht ausgeschlossen.</w:t>
      </w:r>
    </w:p>
    <w:p>
      <w:pPr>
        <w:pStyle w:val="Heading3"/>
      </w:pPr>
      <w:bookmarkStart w:id="887" w:name="b874"/>
      <w:r>
        <w:t>Titel 6 Leihe</w:t>
      </w:r>
      <w:bookmarkEnd w:id="887"/>
    </w:p>
    <w:p>
      <w:pPr>
        <w:pStyle w:val="Heading4"/>
      </w:pPr>
      <w:bookmarkStart w:id="888" w:name="b875"/>
      <w:r>
        <w:t>§ 598 Vertragstypische Pflichten bei der Leihe</w:t>
      </w:r>
      <w:r>
        <w:t xml:space="preserve"> </w:t>
      </w:r>
      <w:r>
        <w:rPr>
          <w:rStyle w:val="Suchmarke"/>
        </w:rPr>
        <w:t>#598#</w:t>
      </w:r>
      <w:bookmarkEnd w:id="888"/>
    </w:p>
    <w:p>
      <w:r>
        <w:t>Durch den Leihvertrag wird der Verleiher einer Sache verpflichtet, dem Entleiher den Gebrauch der Sache unentgeltlich zu gestatten.</w:t>
      </w:r>
    </w:p>
    <w:p>
      <w:pPr>
        <w:pStyle w:val="Heading4"/>
      </w:pPr>
      <w:bookmarkStart w:id="889" w:name="b876"/>
      <w:r>
        <w:t>§ 599 Haftung des Verleihers</w:t>
      </w:r>
      <w:r>
        <w:t xml:space="preserve"> </w:t>
      </w:r>
      <w:r>
        <w:rPr>
          <w:rStyle w:val="Suchmarke"/>
        </w:rPr>
        <w:t>#599#</w:t>
      </w:r>
      <w:bookmarkEnd w:id="889"/>
    </w:p>
    <w:p>
      <w:r>
        <w:t>Der Verleiher hat nur Vorsatz und grobe Fahrlässigkeit zu vertreten.</w:t>
      </w:r>
    </w:p>
    <w:p>
      <w:pPr>
        <w:pStyle w:val="Heading4"/>
      </w:pPr>
      <w:bookmarkStart w:id="890" w:name="b877"/>
      <w:r>
        <w:t>§ 600 Mängelhaftung</w:t>
      </w:r>
      <w:r>
        <w:t xml:space="preserve"> </w:t>
      </w:r>
      <w:r>
        <w:rPr>
          <w:rStyle w:val="Suchmarke"/>
        </w:rPr>
        <w:t>#600#</w:t>
      </w:r>
      <w:bookmarkEnd w:id="890"/>
    </w:p>
    <w:p>
      <w:r>
        <w:t>Verschweigt der Verleiher arglistig einen Mangel im Recht oder einen Fehler der verliehenen Sache, so ist er verpflichtet, dem Entleiher den daraus entstehenden Schaden zu ersetzen.</w:t>
      </w:r>
    </w:p>
    <w:p>
      <w:pPr>
        <w:pStyle w:val="Heading4"/>
      </w:pPr>
      <w:bookmarkStart w:id="891" w:name="b878"/>
      <w:r>
        <w:t>§ 601 Verwendungsersatz</w:t>
      </w:r>
      <w:r>
        <w:t xml:space="preserve"> </w:t>
      </w:r>
      <w:r>
        <w:rPr>
          <w:rStyle w:val="Suchmarke"/>
        </w:rPr>
        <w:t>#601#</w:t>
      </w:r>
      <w:bookmarkEnd w:id="891"/>
    </w:p>
    <w:p>
      <w:r>
        <w:t>(1) Der Entleiher hat die gewöhnlichen Kosten der Erhaltung der geliehenen Sache, bei der Leihe eines Tieres insbesondere die Fütterungskosten, zu tragen.</w:t>
      </w:r>
    </w:p>
    <w:p>
      <w:r>
        <w:t xml:space="preserve">(2) </w:t>
      </w:r>
      <w:r>
        <w:rPr>
          <w:rStyle w:val="Satznummer"/>
        </w:rPr>
        <w:t>1</w:t>
      </w:r>
      <w:r>
        <w:t xml:space="preserve">Die Verpflichtung des Verleihers zum Ersatz anderer Verwendungen bestimmt sich nach den Vorschriften über die Geschäftsführung ohne Auftrag. </w:t>
      </w:r>
      <w:r>
        <w:rPr>
          <w:rStyle w:val="Satznummer"/>
        </w:rPr>
        <w:t>2</w:t>
      </w:r>
      <w:r>
        <w:t>Der Entleiher ist berechtigt, eine Einrichtung, mit der er die Sache versehen hat, wegzunehmen.</w:t>
      </w:r>
    </w:p>
    <w:p>
      <w:pPr>
        <w:pStyle w:val="Heading4"/>
      </w:pPr>
      <w:bookmarkStart w:id="892" w:name="b879"/>
      <w:r>
        <w:t>§ 602 Abnutzung der Sache</w:t>
      </w:r>
      <w:r>
        <w:t xml:space="preserve"> </w:t>
      </w:r>
      <w:r>
        <w:rPr>
          <w:rStyle w:val="Suchmarke"/>
        </w:rPr>
        <w:t>#602#</w:t>
      </w:r>
      <w:bookmarkEnd w:id="892"/>
    </w:p>
    <w:p>
      <w:r>
        <w:t>Veränderungen oder Verschlechterungen der geliehenen Sache, die durch den vertragsmäßigen Gebrauch herbeigeführt werden, hat der Entleiher nicht zu vertreten.</w:t>
      </w:r>
    </w:p>
    <w:p>
      <w:pPr>
        <w:pStyle w:val="Heading4"/>
      </w:pPr>
      <w:bookmarkStart w:id="893" w:name="b880"/>
      <w:r>
        <w:t>§ 603 Vertragsmäßiger Gebrauch</w:t>
      </w:r>
      <w:r>
        <w:t xml:space="preserve"> </w:t>
      </w:r>
      <w:r>
        <w:rPr>
          <w:rStyle w:val="Suchmarke"/>
        </w:rPr>
        <w:t>#603#</w:t>
      </w:r>
      <w:bookmarkEnd w:id="893"/>
    </w:p>
    <w:p>
      <w:r>
        <w:rPr>
          <w:rStyle w:val="Satznummer"/>
        </w:rPr>
        <w:t>1</w:t>
      </w:r>
      <w:r>
        <w:t xml:space="preserve">Der Entleiher darf von der geliehenen Sache keinen anderen als den vertragsmäßigen Gebrauch machen. </w:t>
      </w:r>
      <w:r>
        <w:rPr>
          <w:rStyle w:val="Satznummer"/>
        </w:rPr>
        <w:t>2</w:t>
      </w:r>
      <w:r>
        <w:t>Er ist ohne die Erlaubnis des Verleihers nicht berechtigt, den Gebrauch der Sache einem Dritten zu überlassen.</w:t>
      </w:r>
    </w:p>
    <w:p>
      <w:pPr>
        <w:pStyle w:val="Heading4"/>
      </w:pPr>
      <w:bookmarkStart w:id="894" w:name="b881"/>
      <w:r>
        <w:t>§ 604 Rückgabepflicht</w:t>
      </w:r>
      <w:r>
        <w:t xml:space="preserve"> </w:t>
      </w:r>
      <w:r>
        <w:rPr>
          <w:rStyle w:val="Suchmarke"/>
        </w:rPr>
        <w:t>#604#</w:t>
      </w:r>
      <w:bookmarkEnd w:id="894"/>
    </w:p>
    <w:p>
      <w:r>
        <w:t>(1) Der Entleiher ist verpflichtet, die geliehene Sache nach dem Ablauf der für die Leihe bestimmten Zeit zurückzugeben.</w:t>
      </w:r>
    </w:p>
    <w:p>
      <w:r>
        <w:t xml:space="preserve">(2) </w:t>
      </w:r>
      <w:r>
        <w:rPr>
          <w:rStyle w:val="Satznummer"/>
        </w:rPr>
        <w:t>1</w:t>
      </w:r>
      <w:r>
        <w:t xml:space="preserve">Ist eine Zeit nicht bestimmt, so ist die Sache zurückzugeben, nachdem der Entleiher den sich aus dem Zweck der Leihe ergebenden Gebrauch gemacht hat. </w:t>
      </w:r>
      <w:r>
        <w:rPr>
          <w:rStyle w:val="Satznummer"/>
        </w:rPr>
        <w:t>2</w:t>
      </w:r>
      <w:r>
        <w:t>Der Verleiher kann die Sache schon vorher zurückfordern, wenn so viel Zeit verstrichen ist, dass der Entleiher den Gebrauch hätte machen können.</w:t>
      </w:r>
    </w:p>
    <w:p>
      <w:r>
        <w:t>(3) Ist die Dauer der Leihe weder bestimmt noch aus dem Zweck zu entnehmen, so kann der Verleiher die Sache jederzeit zurückfordern.</w:t>
      </w:r>
    </w:p>
    <w:p>
      <w:r>
        <w:t>(4) Überlässt der Entleiher den Gebrauch der Sache einem Dritten, so kann der Verleiher sie nach der Beendigung der Leihe auch von dem Dritten zurückfordern.</w:t>
      </w:r>
    </w:p>
    <w:p>
      <w:r>
        <w:t>(5) Die Verjährung des Anspruchs auf Rückgabe der Sache beginnt mit der Beendigung der Leihe.</w:t>
      </w:r>
    </w:p>
    <w:p>
      <w:pPr>
        <w:pStyle w:val="Heading4"/>
      </w:pPr>
      <w:bookmarkStart w:id="895" w:name="b882"/>
      <w:r>
        <w:t>§ 605 Kündigungsrecht</w:t>
      </w:r>
      <w:r>
        <w:t xml:space="preserve"> </w:t>
      </w:r>
      <w:r>
        <w:rPr>
          <w:rStyle w:val="Suchmarke"/>
        </w:rPr>
        <w:t>#605#</w:t>
      </w:r>
      <w:bookmarkEnd w:id="895"/>
    </w:p>
    <w:p>
      <w:r>
        <w:t>Der Verleiher kann die Leihe kündigen:</w:t>
      </w:r>
    </w:p>
    <w:p>
      <w:pPr>
        <w:tabs>
          <w:tab w:pos="567" w:val="left"/>
        </w:tabs>
        <w:ind w:left="567" w:hanging="567"/>
      </w:pPr>
      <w:r>
        <w:t>1.</w:t>
      </w:r>
      <w:r>
        <w:tab/>
      </w:r>
      <w:r>
        <w:t>wenn er infolge eines nicht vorhergesehenen Umstandes der verliehenen Sache bedarf,</w:t>
      </w:r>
    </w:p>
    <w:p>
      <w:pPr>
        <w:tabs>
          <w:tab w:pos="567" w:val="left"/>
        </w:tabs>
        <w:ind w:left="567" w:hanging="567"/>
      </w:pPr>
      <w:r>
        <w:t>2.</w:t>
      </w:r>
      <w:r>
        <w:tab/>
      </w:r>
      <w:r>
        <w:t>wenn der Entleiher einen vertragswidrigen Gebrauch von der Sache macht, insbesondere unbefugt den Gebrauch einem Dritten überlässt, oder die Sache durch Vernachlässigung der ihm obliegenden Sorgfalt erheblich gefährdet,</w:t>
      </w:r>
    </w:p>
    <w:p>
      <w:pPr>
        <w:tabs>
          <w:tab w:pos="567" w:val="left"/>
        </w:tabs>
        <w:ind w:left="567" w:hanging="567"/>
      </w:pPr>
      <w:r>
        <w:t>3.</w:t>
      </w:r>
      <w:r>
        <w:tab/>
      </w:r>
      <w:r>
        <w:t>wenn der Entleiher stirbt.</w:t>
      </w:r>
    </w:p>
    <w:p>
      <w:pPr>
        <w:pStyle w:val="Heading4"/>
      </w:pPr>
      <w:bookmarkStart w:id="896" w:name="b883"/>
      <w:r>
        <w:t>§ 606 Kurze Verjährung</w:t>
      </w:r>
      <w:r>
        <w:t xml:space="preserve"> </w:t>
      </w:r>
      <w:r>
        <w:rPr>
          <w:rStyle w:val="Suchmarke"/>
        </w:rPr>
        <w:t>#606#</w:t>
      </w:r>
      <w:bookmarkEnd w:id="896"/>
    </w:p>
    <w:p>
      <w:r>
        <w:rPr>
          <w:rStyle w:val="Satznummer"/>
        </w:rPr>
        <w:t>1</w:t>
      </w:r>
      <w:r>
        <w:t xml:space="preserve">Die Ersatzansprüche des Verleihers wegen Veränderungen oder Verschlechterungen der verliehenen Sache sowie die Ansprüche des Entleihers auf Ersatz von Verwendungen oder auf Gestattung der Wegnahme einer Einrichtung verjähren in sechs Monaten. </w:t>
      </w:r>
      <w:r>
        <w:rPr>
          <w:rStyle w:val="Satznummer"/>
        </w:rPr>
        <w:t>2</w:t>
      </w:r>
      <w:r>
        <w:t xml:space="preserve">Die Vorschriften des </w:t>
      </w:r>
      <w:hyperlink w:anchor="b730" w:history="1">
        <w:r>
          <w:rPr>
            <w:color w:val="0A3A8C"/>
            <w:u w:val="single"/>
          </w:rPr>
          <w:t xml:space="preserve">§ 548</w:t>
        </w:r>
      </w:hyperlink>
      <w:r>
        <w:t xml:space="preserve"> Abs. 1 Satz 2 und 3, Abs. 2 finden entsprechende Anwendung.</w:t>
      </w:r>
    </w:p>
    <w:p>
      <w:pPr>
        <w:pStyle w:val="Heading3"/>
      </w:pPr>
      <w:bookmarkStart w:id="897" w:name="b884"/>
      <w:r>
        <w:t>Titel 7 Sachdarlehensvertrag</w:t>
      </w:r>
      <w:bookmarkEnd w:id="897"/>
    </w:p>
    <w:p>
      <w:pPr>
        <w:pStyle w:val="Heading4"/>
      </w:pPr>
      <w:bookmarkStart w:id="898" w:name="b885"/>
      <w:r>
        <w:t>§ 607 Vertragstypische Pflichten beim Sachdarlehensvertrag</w:t>
      </w:r>
      <w:r>
        <w:t xml:space="preserve"> </w:t>
      </w:r>
      <w:r>
        <w:rPr>
          <w:rStyle w:val="Suchmarke"/>
        </w:rPr>
        <w:t>#607#</w:t>
      </w:r>
      <w:bookmarkEnd w:id="898"/>
    </w:p>
    <w:p>
      <w:r>
        <w:t xml:space="preserve">(1) </w:t>
      </w:r>
      <w:r>
        <w:rPr>
          <w:rStyle w:val="Satznummer"/>
        </w:rPr>
        <w:t>1</w:t>
      </w:r>
      <w:r>
        <w:t xml:space="preserve">Durch den Sachdarlehensvertrag wird der Darlehensgeber verpflichtet, dem Darlehensnehmer eine vereinbarte vertretbare Sache zu überlassen. </w:t>
      </w:r>
      <w:r>
        <w:rPr>
          <w:rStyle w:val="Satznummer"/>
        </w:rPr>
        <w:t>2</w:t>
      </w:r>
      <w:r>
        <w:t>Der Darlehensnehmer ist zur Zahlung eines Darlehensentgelts und bei Fälligkeit zur Rückerstattung von Sachen gleicher Art, Güte und Menge verpflichtet.</w:t>
      </w:r>
    </w:p>
    <w:p>
      <w:r>
        <w:t>(2) Die Vorschriften dieses Titels finden keine Anwendung auf die Überlassung von Geld.</w:t>
      </w:r>
    </w:p>
    <w:p>
      <w:pPr>
        <w:pStyle w:val="Heading4"/>
      </w:pPr>
      <w:bookmarkStart w:id="899" w:name="b886"/>
      <w:r>
        <w:t>§ 608 Kündigung</w:t>
      </w:r>
      <w:r>
        <w:t xml:space="preserve"> </w:t>
      </w:r>
      <w:r>
        <w:rPr>
          <w:rStyle w:val="Suchmarke"/>
        </w:rPr>
        <w:t>#608#</w:t>
      </w:r>
      <w:bookmarkEnd w:id="899"/>
    </w:p>
    <w:p>
      <w:r>
        <w:t>(1) Ist für die Rückerstattung der überlassenen Sache eine Zeit nicht bestimmt, hängt die Fälligkeit davon ab, dass der Darlehensgeber oder der Darlehensnehmer kündigt.</w:t>
      </w:r>
    </w:p>
    <w:p>
      <w:r>
        <w:t>(2) Ein auf unbestimmte Zeit abgeschlossener Sachdarlehensvertrag kann, soweit nicht ein anderes vereinbart ist, jederzeit vom Darlehensgeber oder Darlehensnehmer ganz oder teilweise gekündigt werden.</w:t>
      </w:r>
    </w:p>
    <w:p>
      <w:pPr>
        <w:pStyle w:val="Heading4"/>
      </w:pPr>
      <w:bookmarkStart w:id="900" w:name="b887"/>
      <w:r>
        <w:t>§ 609 Entgelt</w:t>
      </w:r>
      <w:r>
        <w:t xml:space="preserve"> </w:t>
      </w:r>
      <w:r>
        <w:rPr>
          <w:rStyle w:val="Suchmarke"/>
        </w:rPr>
        <w:t>#609#</w:t>
      </w:r>
      <w:bookmarkEnd w:id="900"/>
    </w:p>
    <w:p>
      <w:r>
        <w:t>Ein Entgelt hat der Darlehensnehmer spätestens bei Rückerstattung der überlassenen Sache zu bezahlen.</w:t>
      </w:r>
    </w:p>
    <w:p>
      <w:pPr>
        <w:pStyle w:val="Heading4"/>
      </w:pPr>
      <w:bookmarkStart w:id="901" w:name="b888"/>
      <w:r>
        <w:t>§ 610</w:t>
      </w:r>
      <w:r>
        <w:t xml:space="preserve"> </w:t>
      </w:r>
      <w:r>
        <w:rPr>
          <w:rStyle w:val="Suchmarke"/>
        </w:rPr>
        <w:t>#610#</w:t>
      </w:r>
      <w:bookmarkEnd w:id="901"/>
    </w:p>
    <w:p>
      <w:r>
        <w:t>(weggefallen)</w:t>
      </w:r>
    </w:p>
    <w:p>
      <w:pPr>
        <w:pStyle w:val="Heading3"/>
      </w:pPr>
      <w:bookmarkStart w:id="902" w:name="b889"/>
      <w:r>
        <w:t>Titel 8 Dienstvertrag und ähnliche Verträge</w:t>
      </w:r>
      <w:bookmarkEnd w:id="902"/>
    </w:p>
    <w:p>
      <w:hyperlink w:anchor="f889_1" w:history="1">
        <w:r>
          <w:rPr>
            <w:rStyle w:val="Fussnotenmarke"/>
            <w:u w:val="single"/>
            <w:color w:val="0A3A8C"/>
          </w:rPr>
          <w:t>1</w:t>
        </w:r>
      </w:hyperlink>
    </w:p>
    <w:p>
      <w:pPr>
        <w:pStyle w:val="Fußnote"/>
      </w:pPr>
      <w:bookmarkStart w:id="903" w:name="f889_1"/>
      <w:r>
        <w:rPr>
          <w:rStyle w:val="Zusatz"/>
          <w:b/>
        </w:rPr>
        <w:t xml:space="preserve">Fußnote 1: </w:t>
      </w:r>
      <w:r>
        <w:rPr>
          <w:b/>
        </w:rPr>
        <w:t>Amtlicher Hinweis:</w:t>
      </w:r>
      <w:r>
        <w:br/>
      </w:r>
      <w:r>
        <w:t>Dieser Titel dient der Umsetzung</w:t>
      </w:r>
      <w:bookmarkEnd w:id="903"/>
    </w:p>
    <w:p>
      <w:pPr>
        <w:pStyle w:val="Fußnote"/>
        <w:tabs>
          <w:tab w:pos="567" w:val="left"/>
        </w:tabs>
        <w:ind w:left="567" w:hanging="567"/>
      </w:pPr>
      <w:r>
        <w:t>1.</w:t>
      </w:r>
      <w:r>
        <w:tab/>
      </w:r>
      <w:r>
        <w:t>der Richtlinie 76/207/EWG des Rates vom 9. Februar 1976 zur Verwirklichung des Grundsatzes der Gleichbehandlung von Männern und Frauen hinsichtlich des Zugangs zur Beschäftigung, zur Berufsbildung und zum beruflichen Aufstieg sowie in Bezug auf die Arbeitsbedingungen (ABl. EG Nr. L 39 S. 40) und</w:t>
      </w:r>
    </w:p>
    <w:p>
      <w:pPr>
        <w:pStyle w:val="Fußnote"/>
        <w:tabs>
          <w:tab w:pos="567" w:val="left"/>
        </w:tabs>
        <w:ind w:left="567" w:hanging="567"/>
      </w:pPr>
      <w:r>
        <w:t>2.</w:t>
      </w:r>
      <w:r>
        <w:tab/>
      </w:r>
      <w:r>
        <w:t>der Richtlinie 77/187/EWG des Rates vom 14. Februar 1977 zur Angleichung der Rechtsvorschriften der Mitgliedstaaten über die Wahrung von Ansprüchen der Arbeitnehmer beim Übergang von Unternehmen, Betrieben oder Betriebsteilen (ABl. EG Nr. L 61 S. 26).</w:t>
      </w:r>
    </w:p>
    <w:p>
      <w:pPr>
        <w:pStyle w:val="Heading4"/>
      </w:pPr>
      <w:bookmarkStart w:id="904" w:name="b890"/>
      <w:r>
        <w:t>Untertitel 1 Dienstvertrag</w:t>
      </w:r>
      <w:bookmarkEnd w:id="904"/>
    </w:p>
    <w:p>
      <w:pPr>
        <w:pStyle w:val="Heading5"/>
      </w:pPr>
      <w:bookmarkStart w:id="905" w:name="b891"/>
      <w:r>
        <w:t>§ 611 Vertragstypische Pflichten beim Dienstvertrag</w:t>
      </w:r>
      <w:r>
        <w:t xml:space="preserve"> </w:t>
      </w:r>
      <w:r>
        <w:rPr>
          <w:rStyle w:val="Suchmarke"/>
        </w:rPr>
        <w:t>#611#</w:t>
      </w:r>
      <w:bookmarkEnd w:id="905"/>
    </w:p>
    <w:p>
      <w:r>
        <w:t>(1) Durch den Dienstvertrag wird derjenige, welcher Dienste zusagt, zur Leistung der versprochenen Dienste, der andere Teil zur Gewährung der vereinbarten Vergütung verpflichtet.</w:t>
      </w:r>
    </w:p>
    <w:p>
      <w:r>
        <w:t>(2) Gegenstand des Dienstvertrags können Dienste jeder Art sein.</w:t>
      </w:r>
    </w:p>
    <w:p>
      <w:pPr>
        <w:pStyle w:val="Heading5"/>
      </w:pPr>
      <w:bookmarkStart w:id="906" w:name="b892"/>
      <w:r>
        <w:t>§ 611a Arbeitsvertrag</w:t>
      </w:r>
      <w:r>
        <w:t xml:space="preserve"> </w:t>
      </w:r>
      <w:r>
        <w:rPr>
          <w:rStyle w:val="Suchmarke"/>
        </w:rPr>
        <w:t>#611a#</w:t>
      </w:r>
      <w:bookmarkEnd w:id="906"/>
    </w:p>
    <w:p>
      <w:r>
        <w:t xml:space="preserve">(1) </w:t>
      </w:r>
      <w:r>
        <w:rPr>
          <w:rStyle w:val="Satznummer"/>
        </w:rPr>
        <w:t>1</w:t>
      </w:r>
      <w:r>
        <w:t xml:space="preserve">Durch den Arbeitsvertrag wird der Arbeitnehmer im Dienste eines anderen zur Leistung weisungsgebundener, fremdbestimmter Arbeit in persönlicher Abhängigkeit verpflichtet. </w:t>
      </w:r>
      <w:r>
        <w:rPr>
          <w:rStyle w:val="Satznummer"/>
        </w:rPr>
        <w:t>2</w:t>
      </w:r>
      <w:r>
        <w:t xml:space="preserve">Das Weisungsrecht kann Inhalt, Durchführung, Zeit und Ort der Tätigkeit betreffen. </w:t>
      </w:r>
      <w:r>
        <w:rPr>
          <w:rStyle w:val="Satznummer"/>
        </w:rPr>
        <w:t>3</w:t>
      </w:r>
      <w:r>
        <w:t xml:space="preserve">Weisungsgebunden ist, wer nicht im Wesentlichen frei seine Tätigkeit gestalten und seine Arbeitszeit bestimmen kann. </w:t>
      </w:r>
      <w:r>
        <w:rPr>
          <w:rStyle w:val="Satznummer"/>
        </w:rPr>
        <w:t>4</w:t>
      </w:r>
      <w:r>
        <w:t xml:space="preserve">Der Grad der persönlichen Abhängigkeit hängt dabei auch von der Eigenart der jeweiligen Tätigkeit ab. </w:t>
      </w:r>
      <w:r>
        <w:rPr>
          <w:rStyle w:val="Satznummer"/>
        </w:rPr>
        <w:t>5</w:t>
      </w:r>
      <w:r>
        <w:t xml:space="preserve">Für die Feststellung, ob ein Arbeitsvertrag vorliegt, ist eine Gesamtbetrachtung aller Umstände vorzunehmen. </w:t>
      </w:r>
      <w:r>
        <w:rPr>
          <w:rStyle w:val="Satznummer"/>
        </w:rPr>
        <w:t>6</w:t>
      </w:r>
      <w:r>
        <w:t>Zeigt die tatsächliche Durchführung des Vertragsverhältnisses, dass es sich um ein Arbeitsverhältnis handelt, kommt es auf die Bezeichnung im Vertrag nicht an.</w:t>
      </w:r>
    </w:p>
    <w:p>
      <w:r>
        <w:t>(2) Der Arbeitgeber ist zur Zahlung der vereinbarten Vergütung verpflichtet.</w:t>
      </w:r>
    </w:p>
    <w:p>
      <w:pPr>
        <w:pStyle w:val="Heading5"/>
      </w:pPr>
      <w:bookmarkStart w:id="907" w:name="b893"/>
      <w:r>
        <w:t>§ 611b (weggefallen)</w:t>
      </w:r>
      <w:r>
        <w:t xml:space="preserve"> </w:t>
      </w:r>
      <w:r>
        <w:rPr>
          <w:rStyle w:val="Suchmarke"/>
        </w:rPr>
        <w:t>#611b#</w:t>
      </w:r>
      <w:bookmarkEnd w:id="907"/>
    </w:p>
    <w:p>
      <w:pPr>
        <w:pStyle w:val="Heading5"/>
      </w:pPr>
      <w:bookmarkStart w:id="908" w:name="b894"/>
      <w:r>
        <w:t>§ 612 Vergütung</w:t>
      </w:r>
      <w:r>
        <w:t xml:space="preserve"> </w:t>
      </w:r>
      <w:r>
        <w:rPr>
          <w:rStyle w:val="Suchmarke"/>
        </w:rPr>
        <w:t>#612#</w:t>
      </w:r>
      <w:bookmarkEnd w:id="908"/>
    </w:p>
    <w:p>
      <w:r>
        <w:t>(1) Eine Vergütung gilt als stillschweigend vereinbart, wenn die Dienstleistung den Umständen nach nur gegen eine Vergütung zu erwarten ist.</w:t>
      </w:r>
    </w:p>
    <w:p>
      <w:r>
        <w:t>(2) Ist die Höhe der Vergütung nicht bestimmt, so ist bei dem Bestehen einer Taxe die taxmäßige Vergütung, in Ermangelung einer Taxe die übliche Vergütung als vereinbart anzusehen.</w:t>
      </w:r>
    </w:p>
    <w:p>
      <w:r>
        <w:t>(3) (weggefallen)</w:t>
      </w:r>
    </w:p>
    <w:p>
      <w:pPr>
        <w:pStyle w:val="Heading5"/>
      </w:pPr>
      <w:bookmarkStart w:id="909" w:name="b895"/>
      <w:r>
        <w:t>§ 612a Maßregelungsverbot</w:t>
      </w:r>
      <w:r>
        <w:t xml:space="preserve"> </w:t>
      </w:r>
      <w:r>
        <w:rPr>
          <w:rStyle w:val="Suchmarke"/>
        </w:rPr>
        <w:t>#612a#</w:t>
      </w:r>
      <w:bookmarkEnd w:id="909"/>
    </w:p>
    <w:p>
      <w:r>
        <w:t>Der Arbeitgeber darf einen Arbeitnehmer bei einer Vereinbarung oder einer Maßnahme nicht benachteiligen, weil der Arbeitnehmer in zulässiger Weise seine Rechte ausübt.</w:t>
      </w:r>
    </w:p>
    <w:p>
      <w:pPr>
        <w:pStyle w:val="Heading5"/>
      </w:pPr>
      <w:bookmarkStart w:id="910" w:name="b896"/>
      <w:r>
        <w:t>§ 613 Unübertragbarkeit</w:t>
      </w:r>
      <w:r>
        <w:t xml:space="preserve"> </w:t>
      </w:r>
      <w:r>
        <w:rPr>
          <w:rStyle w:val="Suchmarke"/>
        </w:rPr>
        <w:t>#613#</w:t>
      </w:r>
      <w:bookmarkEnd w:id="910"/>
    </w:p>
    <w:p>
      <w:r>
        <w:rPr>
          <w:rStyle w:val="Satznummer"/>
        </w:rPr>
        <w:t>1</w:t>
      </w:r>
      <w:r>
        <w:t xml:space="preserve">Der zur Dienstleistung Verpflichtete hat die Dienste im Zweifel in Person zu leisten. </w:t>
      </w:r>
      <w:r>
        <w:rPr>
          <w:rStyle w:val="Satznummer"/>
        </w:rPr>
        <w:t>2</w:t>
      </w:r>
      <w:r>
        <w:t>Der Anspruch auf die Dienste ist im Zweifel nicht übertragbar.</w:t>
      </w:r>
    </w:p>
    <w:p>
      <w:pPr>
        <w:pStyle w:val="Heading5"/>
      </w:pPr>
      <w:bookmarkStart w:id="911" w:name="b897"/>
      <w:r>
        <w:t>§ 613a Rechte und Pflichten bei Betriebsübergang</w:t>
      </w:r>
      <w:r>
        <w:t xml:space="preserve"> </w:t>
      </w:r>
      <w:r>
        <w:rPr>
          <w:rStyle w:val="Suchmarke"/>
        </w:rPr>
        <w:t>#613a#</w:t>
      </w:r>
      <w:bookmarkEnd w:id="911"/>
    </w:p>
    <w:p>
      <w:r>
        <w:t xml:space="preserve">(1) </w:t>
      </w:r>
      <w:r>
        <w:rPr>
          <w:rStyle w:val="Satznummer"/>
        </w:rPr>
        <w:t>1</w:t>
      </w:r>
      <w:r>
        <w:t xml:space="preserve">Geht ein Betrieb oder Betriebsteil durch Rechtsgeschäft auf einen anderen Inhaber über, so tritt dieser in die Rechte und Pflichten aus den im Zeitpunkt des Übergangs bestehenden Arbeitsverhältnissen ein. </w:t>
      </w:r>
      <w:r>
        <w:rPr>
          <w:rStyle w:val="Satznummer"/>
        </w:rPr>
        <w:t>2</w:t>
      </w:r>
      <w:r>
        <w:t xml:space="preserve">Sind diese Rechte und Pflichten durch Rechtsnormen eines Tarifvertrags oder durch eine Betriebsvereinbarung geregelt, so werden sie Inhalt des Arbeitsverhältnisses zwischen dem neuen Inhaber und dem Arbeitnehmer und dürfen nicht vor Ablauf eines Jahres nach dem Zeitpunkt des Übergangs zum Nachteil des Arbeitnehmers geändert werden. </w:t>
      </w:r>
      <w:r>
        <w:rPr>
          <w:rStyle w:val="Satznummer"/>
        </w:rPr>
        <w:t>3</w:t>
      </w:r>
      <w:r>
        <w:t xml:space="preserve">Satz 2 gilt nicht, wenn die Rechte und Pflichten bei dem neuen Inhaber durch Rechtsnormen eines anderen Tarifvertrags oder durch eine andere Betriebsvereinbarung geregelt werden. </w:t>
      </w:r>
      <w:r>
        <w:rPr>
          <w:rStyle w:val="Satznummer"/>
        </w:rPr>
        <w:t>4</w:t>
      </w:r>
      <w:r>
        <w:t>Vor Ablauf der Frist nach Satz 2 können die Rechte und Pflichten geändert werden, wenn der Tarifvertrag oder die Betriebsvereinbarung nicht mehr gilt oder bei fehlender beiderseitiger Tarifgebundenheit im Geltungsbereich eines anderen Tarifvertrags dessen Anwendung zwischen dem neuen Inhaber und dem Arbeitnehmer vereinbart wird.</w:t>
      </w:r>
    </w:p>
    <w:p>
      <w:r>
        <w:t xml:space="preserve">(2) </w:t>
      </w:r>
      <w:r>
        <w:rPr>
          <w:rStyle w:val="Satznummer"/>
        </w:rPr>
        <w:t>1</w:t>
      </w:r>
      <w:r>
        <w:t xml:space="preserve">Der bisherige Arbeitgeber haftet neben dem neuen Inhaber für Verpflichtungen nach Absatz 1, soweit sie vor dem Zeitpunkt des Übergangs entstanden sind und vor Ablauf von einem Jahr nach diesem Zeitpunkt fällig werden, als Gesamtschuldner. </w:t>
      </w:r>
      <w:r>
        <w:rPr>
          <w:rStyle w:val="Satznummer"/>
        </w:rPr>
        <w:t>2</w:t>
      </w:r>
      <w:r>
        <w:t>Werden solche Verpflichtungen nach dem Zeitpunkt des Übergangs fällig, so haftet der bisherige Arbeitgeber für sie jedoch nur in dem Umfang, der dem im Zeitpunkt des Übergangs abgelaufenen Teil ihres Bemessungszeitraums entspricht.</w:t>
      </w:r>
    </w:p>
    <w:p>
      <w:r>
        <w:t>(3) Absatz 2 gilt nicht, wenn eine juristische Person oder eine Personenhandelsgesellschaft durch Umwandlung erlischt.</w:t>
      </w:r>
    </w:p>
    <w:p>
      <w:r>
        <w:t xml:space="preserve">(4) </w:t>
      </w:r>
      <w:r>
        <w:rPr>
          <w:rStyle w:val="Satznummer"/>
        </w:rPr>
        <w:t>1</w:t>
      </w:r>
      <w:r>
        <w:t xml:space="preserve">Die Kündigung des Arbeitsverhältnisses eines Arbeitnehmers durch den bisherigen Arbeitgeber oder durch den neuen Inhaber wegen des Übergangs eines Betriebs oder eines Betriebsteils ist unwirksam. </w:t>
      </w:r>
      <w:r>
        <w:rPr>
          <w:rStyle w:val="Satznummer"/>
        </w:rPr>
        <w:t>2</w:t>
      </w:r>
      <w:r>
        <w:t>Das Recht zur Kündigung des Arbeitsverhältnisses aus anderen Gründen bleibt unberührt.</w:t>
      </w:r>
    </w:p>
    <w:p>
      <w:r>
        <w:t>(5) Der bisherige Arbeitgeber oder der neue Inhaber hat die von einem Übergang betroffenen Arbeitnehmer vor dem Übergang in Textform zu unterrichten über:</w:t>
      </w:r>
    </w:p>
    <w:p>
      <w:pPr>
        <w:tabs>
          <w:tab w:pos="567" w:val="left"/>
        </w:tabs>
        <w:ind w:left="567" w:hanging="567"/>
      </w:pPr>
      <w:r>
        <w:t>1.</w:t>
      </w:r>
      <w:r>
        <w:tab/>
      </w:r>
      <w:r>
        <w:t>den Zeitpunkt oder den geplanten Zeitpunkt des Übergangs,</w:t>
      </w:r>
    </w:p>
    <w:p>
      <w:pPr>
        <w:tabs>
          <w:tab w:pos="567" w:val="left"/>
        </w:tabs>
        <w:ind w:left="567" w:hanging="567"/>
      </w:pPr>
      <w:r>
        <w:t>2.</w:t>
      </w:r>
      <w:r>
        <w:tab/>
      </w:r>
      <w:r>
        <w:t>den Grund für den Übergang,</w:t>
      </w:r>
    </w:p>
    <w:p>
      <w:pPr>
        <w:tabs>
          <w:tab w:pos="567" w:val="left"/>
        </w:tabs>
        <w:ind w:left="567" w:hanging="567"/>
      </w:pPr>
      <w:r>
        <w:t>3.</w:t>
      </w:r>
      <w:r>
        <w:tab/>
      </w:r>
      <w:r>
        <w:t>die rechtlichen, wirtschaftlichen und sozialen Folgen des Übergangs für die Arbeitnehmer und</w:t>
      </w:r>
    </w:p>
    <w:p>
      <w:pPr>
        <w:tabs>
          <w:tab w:pos="567" w:val="left"/>
        </w:tabs>
        <w:ind w:left="567" w:hanging="567"/>
      </w:pPr>
      <w:r>
        <w:t>4.</w:t>
      </w:r>
      <w:r>
        <w:tab/>
      </w:r>
      <w:r>
        <w:t>die hinsichtlich der Arbeitnehmer in Aussicht genommenen Maßnahmen.</w:t>
      </w:r>
    </w:p>
    <w:p>
      <w:r>
        <w:t xml:space="preserve">(6) </w:t>
      </w:r>
      <w:r>
        <w:rPr>
          <w:rStyle w:val="Satznummer"/>
        </w:rPr>
        <w:t>1</w:t>
      </w:r>
      <w:r>
        <w:t xml:space="preserve">Der Arbeitnehmer kann dem Übergang des Arbeitsverhältnisses innerhalb eines Monats nach Zugang der Unterrichtung nach Absatz 5 schriftlich widersprechen. </w:t>
      </w:r>
      <w:r>
        <w:rPr>
          <w:rStyle w:val="Satznummer"/>
        </w:rPr>
        <w:t>2</w:t>
      </w:r>
      <w:r>
        <w:t>Der Widerspruch kann gegenüber dem bisherigen Arbeitgeber oder dem neuen Inhaber erklärt werden.</w:t>
      </w:r>
    </w:p>
    <w:p>
      <w:pPr>
        <w:pStyle w:val="Heading5"/>
      </w:pPr>
      <w:bookmarkStart w:id="912" w:name="b898"/>
      <w:r>
        <w:t>§ 614 Fälligkeit der Vergütung</w:t>
      </w:r>
      <w:r>
        <w:t xml:space="preserve"> </w:t>
      </w:r>
      <w:r>
        <w:rPr>
          <w:rStyle w:val="Suchmarke"/>
        </w:rPr>
        <w:t>#614#</w:t>
      </w:r>
      <w:bookmarkEnd w:id="912"/>
    </w:p>
    <w:p>
      <w:r>
        <w:rPr>
          <w:rStyle w:val="Satznummer"/>
        </w:rPr>
        <w:t>1</w:t>
      </w:r>
      <w:r>
        <w:t xml:space="preserve">Die Vergütung ist nach der Leistung der Dienste zu entrichten. </w:t>
      </w:r>
      <w:r>
        <w:rPr>
          <w:rStyle w:val="Satznummer"/>
        </w:rPr>
        <w:t>2</w:t>
      </w:r>
      <w:r>
        <w:t>Ist die Vergütung nach Zeitabschnitten bemessen, so ist sie nach dem Ablauf der einzelnen Zeitabschnitte zu entrichten.</w:t>
      </w:r>
    </w:p>
    <w:p>
      <w:pPr>
        <w:pStyle w:val="Heading5"/>
      </w:pPr>
      <w:bookmarkStart w:id="913" w:name="b899"/>
      <w:r>
        <w:t>§ 615 Vergütung bei Annahmeverzug und bei Betriebsrisiko</w:t>
      </w:r>
      <w:r>
        <w:t xml:space="preserve"> </w:t>
      </w:r>
      <w:r>
        <w:rPr>
          <w:rStyle w:val="Suchmarke"/>
        </w:rPr>
        <w:t>#615#</w:t>
      </w:r>
      <w:bookmarkEnd w:id="913"/>
    </w:p>
    <w:p>
      <w:r>
        <w:rPr>
          <w:rStyle w:val="Satznummer"/>
        </w:rPr>
        <w:t>1</w:t>
      </w:r>
      <w:r>
        <w:t xml:space="preserve">Kommt der Dienstberechtigte mit der Annahme der Dienste in Verzug, so kann der Verpflichtete für die infolge des Verzugs nicht geleisteten Dienste die vereinbarte Vergütung verlangen, ohne zur Nachleistung verpflichtet zu sein. </w:t>
      </w:r>
      <w:r>
        <w:rPr>
          <w:rStyle w:val="Satznummer"/>
        </w:rPr>
        <w:t>2</w:t>
      </w:r>
      <w:r>
        <w:t xml:space="preserve">Er muss sich jedoch den Wert desjenigen anrechnen lassen, was er infolge des Unterbleibens der Dienstleistung erspart oder durch anderweitige Verwendung seiner Dienste erwirbt oder zu erwerben böswillig unterlässt. </w:t>
      </w:r>
      <w:r>
        <w:rPr>
          <w:rStyle w:val="Satznummer"/>
        </w:rPr>
        <w:t>3</w:t>
      </w:r>
      <w:r>
        <w:t>Die Sätze 1 und 2 gelten entsprechend in den Fällen, in denen der Arbeitgeber das Risiko des Arbeitsausfalls trägt.</w:t>
      </w:r>
    </w:p>
    <w:p>
      <w:pPr>
        <w:pStyle w:val="Heading5"/>
      </w:pPr>
      <w:bookmarkStart w:id="914" w:name="b900"/>
      <w:r>
        <w:t>§ 616 Vorübergehende Verhinderung</w:t>
      </w:r>
      <w:r>
        <w:t xml:space="preserve"> </w:t>
      </w:r>
      <w:r>
        <w:rPr>
          <w:rStyle w:val="Suchmarke"/>
        </w:rPr>
        <w:t>#616#</w:t>
      </w:r>
      <w:bookmarkEnd w:id="914"/>
    </w:p>
    <w:p>
      <w:r>
        <w:rPr>
          <w:rStyle w:val="Satznummer"/>
        </w:rPr>
        <w:t>1</w:t>
      </w:r>
      <w:r>
        <w:t xml:space="preserve">Der zur Dienstleistung Verpflichtete wird des Anspruchs auf die Vergütung nicht dadurch verlustig, dass er für eine verhältnismäßig nicht erhebliche Zeit durch einen in seiner Person liegenden Grund ohne sein Verschulden an der Dienstleistung verhindert wird. </w:t>
      </w:r>
      <w:r>
        <w:rPr>
          <w:rStyle w:val="Satznummer"/>
        </w:rPr>
        <w:t>2</w:t>
      </w:r>
      <w:r>
        <w:t>Er muss sich jedoch den Betrag anrechnen lassen, welcher ihm für die Zeit der Verhinderung aus einer auf Grund gesetzlicher Verpflichtung bestehenden Kranken- oder Unfallversicherung zukommt.</w:t>
      </w:r>
    </w:p>
    <w:p>
      <w:pPr>
        <w:pStyle w:val="Heading5"/>
      </w:pPr>
      <w:bookmarkStart w:id="915" w:name="b901"/>
      <w:r>
        <w:t>§ 617 Pflicht zur Krankenfürsorge</w:t>
      </w:r>
      <w:r>
        <w:t xml:space="preserve"> </w:t>
      </w:r>
      <w:r>
        <w:rPr>
          <w:rStyle w:val="Suchmarke"/>
        </w:rPr>
        <w:t>#617#</w:t>
      </w:r>
      <w:bookmarkEnd w:id="915"/>
    </w:p>
    <w:p>
      <w:r>
        <w:t xml:space="preserve">(1) </w:t>
      </w:r>
      <w:r>
        <w:rPr>
          <w:rStyle w:val="Satznummer"/>
        </w:rPr>
        <w:t>1</w:t>
      </w:r>
      <w:r>
        <w:t xml:space="preserve">Ist bei einem dauernden Dienstverhältnis, welches die Erwerbstätigkeit des Verpflichteten vollständig oder hauptsächlich in Anspruch nimmt, der Verpflichtete in die häusliche Gemeinschaft aufgenommen, so hat der Dienstberechtigte ihm im Falle der Erkrankung die erforderliche Verpflegung und ärztliche Behandlung bis zur Dauer von sechs Wochen, jedoch nicht über die Beendigung des Dienstverhältnisses hinaus, zu gewähren, sofern nicht die Erkrankung von dem Verpflichteten vorsätzlich oder durch grobe Fahrlässigkeit herbeigeführt worden ist. </w:t>
      </w:r>
      <w:r>
        <w:rPr>
          <w:rStyle w:val="Satznummer"/>
        </w:rPr>
        <w:t>2</w:t>
      </w:r>
      <w:r>
        <w:t xml:space="preserve">Die Verpflegung und ärztliche Behandlung kann durch Aufnahme des Verpflichteten in eine Krankenanstalt gewährt werden. </w:t>
      </w:r>
      <w:r>
        <w:rPr>
          <w:rStyle w:val="Satznummer"/>
        </w:rPr>
        <w:t>3</w:t>
      </w:r>
      <w:r>
        <w:t xml:space="preserve">Die Kosten können auf die für die Zeit der Erkrankung geschuldete Vergütung angerechnet werden. </w:t>
      </w:r>
      <w:r>
        <w:rPr>
          <w:rStyle w:val="Satznummer"/>
        </w:rPr>
        <w:t>4</w:t>
      </w:r>
      <w:r>
        <w:t xml:space="preserve">Wird das Dienstverhältnis wegen der Erkrankung von dem Dienstberechtigten nach </w:t>
      </w:r>
      <w:hyperlink w:anchor="b911" w:history="1">
        <w:r>
          <w:rPr>
            <w:color w:val="0A3A8C"/>
            <w:u w:val="single"/>
          </w:rPr>
          <w:t xml:space="preserve">§ 626</w:t>
        </w:r>
      </w:hyperlink>
      <w:r>
        <w:t xml:space="preserve"> gekündigt, so bleibt die dadurch herbeigeführte Beendigung des Dienstverhältnisses außer Betracht.</w:t>
      </w:r>
    </w:p>
    <w:p>
      <w:r>
        <w:t>(2) Die Verpflichtung des Dienstberechtigten tritt nicht ein, wenn für die Verpflegung und ärztliche Behandlung durch eine Versicherung oder durch eine Einrichtung der öffentlichen Krankenpflege Vorsorge getroffen ist.</w:t>
      </w:r>
    </w:p>
    <w:p>
      <w:pPr>
        <w:pStyle w:val="Heading5"/>
      </w:pPr>
      <w:bookmarkStart w:id="916" w:name="b902"/>
      <w:r>
        <w:t>§ 618 Pflicht zu Schutzmaßnahmen</w:t>
      </w:r>
      <w:r>
        <w:t xml:space="preserve"> </w:t>
      </w:r>
      <w:r>
        <w:rPr>
          <w:rStyle w:val="Suchmarke"/>
        </w:rPr>
        <w:t>#618#</w:t>
      </w:r>
      <w:bookmarkEnd w:id="916"/>
    </w:p>
    <w:p>
      <w:r>
        <w:t>(1) Der Dienstberechtigte hat Räume, Vorrichtungen oder Gerätschaften, die er zur Verrichtung der Dienste zu beschaffen hat, so einzurichten und zu unterhalten und Dienstleistungen, die unter seiner Anordnung oder seiner Leitung vorzunehmen sind, so zu regeln, dass der Verpflichtete gegen Gefahr für Leben und Gesundheit soweit geschützt ist, als die Natur der Dienstleistung es gestattet.</w:t>
      </w:r>
    </w:p>
    <w:p>
      <w:r>
        <w:t>(2) Ist der Verpflichtete in die häusliche Gemeinschaft aufgenommen, so hat der Dienstberechtigte in Ansehung des Wohn- und Schlafraums, der Verpflegung sowie der Arbeits- und Erholungszeit diejenigen Einrichtungen und Anordnungen zu treffen, welche mit Rücksicht auf die Gesundheit, die Sittlichkeit und die Religion des Verpflichteten erforderlich sind.</w:t>
      </w:r>
    </w:p>
    <w:p>
      <w:r>
        <w:t xml:space="preserve">(3) Erfüllt der Dienstberechtigte die ihm in Ansehung des Lebens und der Gesundheit des Verpflichteten obliegenden Verpflichtungen nicht, so finden auf seine Verpflichtung zum Schadensersatz die für unerlaubte Handlungen geltenden Vorschriften der </w:t>
      </w:r>
      <w:hyperlink w:anchor="b1297" w:history="1">
        <w:r>
          <w:rPr>
            <w:color w:val="0A3A8C"/>
            <w:u w:val="single"/>
          </w:rPr>
          <w:t xml:space="preserve">§§ 842</w:t>
        </w:r>
      </w:hyperlink>
      <w:r>
        <w:t xml:space="preserve"> bis </w:t>
      </w:r>
      <w:hyperlink w:anchor="b1301" w:history="1">
        <w:r>
          <w:rPr>
            <w:color w:val="0A3A8C"/>
            <w:u w:val="single"/>
          </w:rPr>
          <w:t xml:space="preserve">846</w:t>
        </w:r>
      </w:hyperlink>
      <w:r>
        <w:t xml:space="preserve"> entsprechende Anwendung.</w:t>
      </w:r>
    </w:p>
    <w:p>
      <w:pPr>
        <w:pStyle w:val="Heading5"/>
      </w:pPr>
      <w:bookmarkStart w:id="917" w:name="b903"/>
      <w:r>
        <w:t>§ 619 Unabdingbarkeit der Fürsorgepflichten</w:t>
      </w:r>
      <w:r>
        <w:t xml:space="preserve"> </w:t>
      </w:r>
      <w:r>
        <w:rPr>
          <w:rStyle w:val="Suchmarke"/>
        </w:rPr>
        <w:t>#619#</w:t>
      </w:r>
      <w:bookmarkEnd w:id="917"/>
    </w:p>
    <w:p>
      <w:r>
        <w:t xml:space="preserve">Die dem Dienstberechtigten nach den </w:t>
      </w:r>
      <w:hyperlink w:anchor="b901" w:history="1">
        <w:r>
          <w:rPr>
            <w:color w:val="0A3A8C"/>
            <w:u w:val="single"/>
          </w:rPr>
          <w:t xml:space="preserve">§§ 617</w:t>
        </w:r>
      </w:hyperlink>
      <w:r>
        <w:t xml:space="preserve">, </w:t>
      </w:r>
      <w:hyperlink w:anchor="b902" w:history="1">
        <w:r>
          <w:rPr>
            <w:color w:val="0A3A8C"/>
            <w:u w:val="single"/>
          </w:rPr>
          <w:t xml:space="preserve">618</w:t>
        </w:r>
      </w:hyperlink>
      <w:r>
        <w:t xml:space="preserve"> obliegenden Verpflichtungen können nicht im Voraus durch Vertrag aufgehoben oder beschränkt werden.</w:t>
      </w:r>
    </w:p>
    <w:p>
      <w:pPr>
        <w:pStyle w:val="Heading5"/>
      </w:pPr>
      <w:bookmarkStart w:id="918" w:name="b904"/>
      <w:r>
        <w:t>§ 619a Beweislast bei Haftung des Arbeitnehmers</w:t>
      </w:r>
      <w:r>
        <w:t xml:space="preserve"> </w:t>
      </w:r>
      <w:r>
        <w:rPr>
          <w:rStyle w:val="Suchmarke"/>
        </w:rPr>
        <w:t>#619a#</w:t>
      </w:r>
      <w:bookmarkEnd w:id="918"/>
    </w:p>
    <w:p>
      <w:r>
        <w:t xml:space="preserve">Abweichend von </w:t>
      </w:r>
      <w:hyperlink w:anchor="b324" w:history="1">
        <w:r>
          <w:rPr>
            <w:color w:val="0A3A8C"/>
            <w:u w:val="single"/>
          </w:rPr>
          <w:t xml:space="preserve">§ 280</w:t>
        </w:r>
      </w:hyperlink>
      <w:r>
        <w:t xml:space="preserve"> Abs. 1 hat der Arbeitnehmer dem Arbeitgeber Ersatz für den aus der Verletzung einer Pflicht aus dem Arbeitsverhältnis entstehenden Schaden nur zu leisten, wenn er die Pflichtverletzung zu vertreten hat.</w:t>
      </w:r>
    </w:p>
    <w:p>
      <w:pPr>
        <w:pStyle w:val="Heading5"/>
      </w:pPr>
      <w:bookmarkStart w:id="919" w:name="b905"/>
      <w:r>
        <w:t>§ 620 Beendigung des Dienstverhältnisses</w:t>
      </w:r>
      <w:r>
        <w:t xml:space="preserve"> </w:t>
      </w:r>
      <w:r>
        <w:rPr>
          <w:rStyle w:val="Suchmarke"/>
        </w:rPr>
        <w:t>#620#</w:t>
      </w:r>
      <w:bookmarkEnd w:id="919"/>
    </w:p>
    <w:p>
      <w:r>
        <w:t>(1) Das Dienstverhältnis endigt mit dem Ablauf der Zeit, für die es eingegangen ist.</w:t>
      </w:r>
    </w:p>
    <w:p>
      <w:r>
        <w:t xml:space="preserve">(2) Ist die Dauer des Dienstverhältnisses weder bestimmt noch aus der Beschaffenheit oder dem Zwecke der Dienste zu entnehmen, so kann jeder Teil das Dienstverhältnis nach Maßgabe der </w:t>
      </w:r>
      <w:hyperlink w:anchor="b906" w:history="1">
        <w:r>
          <w:rPr>
            <w:color w:val="0A3A8C"/>
            <w:u w:val="single"/>
          </w:rPr>
          <w:t xml:space="preserve">§§ 621</w:t>
        </w:r>
      </w:hyperlink>
      <w:r>
        <w:t xml:space="preserve"> bis </w:t>
      </w:r>
      <w:hyperlink w:anchor="b908" w:history="1">
        <w:r>
          <w:rPr>
            <w:color w:val="0A3A8C"/>
            <w:u w:val="single"/>
          </w:rPr>
          <w:t xml:space="preserve">623</w:t>
        </w:r>
      </w:hyperlink>
      <w:r>
        <w:t xml:space="preserve"> kündigen.</w:t>
      </w:r>
    </w:p>
    <w:p>
      <w:r>
        <w:t>(3) Für Arbeitsverträge, die auf bestimmte Zeit abgeschlossen werden, gilt das Teilzeit- und Befristungsgesetz.</w:t>
      </w:r>
    </w:p>
    <w:p>
      <w:r>
        <w:t xml:space="preserve">(4) Ein Verbrauchervertrag über eine digitale Dienstleistung kann auch nach Maßgabe der </w:t>
      </w:r>
      <w:hyperlink w:anchor="b409" w:history="1">
        <w:r>
          <w:rPr>
            <w:color w:val="0A3A8C"/>
            <w:u w:val="single"/>
          </w:rPr>
          <w:t xml:space="preserve">§§ 327c</w:t>
        </w:r>
      </w:hyperlink>
      <w:r>
        <w:t xml:space="preserve">, </w:t>
      </w:r>
      <w:hyperlink w:anchor="b419" w:history="1">
        <w:r>
          <w:rPr>
            <w:color w:val="0A3A8C"/>
            <w:u w:val="single"/>
          </w:rPr>
          <w:t xml:space="preserve">327m</w:t>
        </w:r>
      </w:hyperlink>
      <w:r>
        <w:t xml:space="preserve"> und </w:t>
      </w:r>
      <w:hyperlink w:anchor="b424" w:history="1">
        <w:r>
          <w:rPr>
            <w:color w:val="0A3A8C"/>
            <w:u w:val="single"/>
          </w:rPr>
          <w:t xml:space="preserve">327r</w:t>
        </w:r>
      </w:hyperlink>
      <w:r>
        <w:t xml:space="preserve"> Absatz 3 und 4 beendet werden.</w:t>
      </w:r>
    </w:p>
    <w:p>
      <w:pPr>
        <w:pStyle w:val="Heading5"/>
      </w:pPr>
      <w:bookmarkStart w:id="920" w:name="b906"/>
      <w:r>
        <w:t>§ 621 Kündigungsfristen bei Dienstverhältnissen</w:t>
      </w:r>
      <w:r>
        <w:t xml:space="preserve"> </w:t>
      </w:r>
      <w:r>
        <w:rPr>
          <w:rStyle w:val="Suchmarke"/>
        </w:rPr>
        <w:t>#621#</w:t>
      </w:r>
      <w:bookmarkEnd w:id="920"/>
    </w:p>
    <w:p>
      <w:r>
        <w:t xml:space="preserve">Bei einem Dienstverhältnis, das kein Arbeitsverhältnis im Sinne des </w:t>
      </w:r>
      <w:hyperlink w:anchor="b907" w:history="1">
        <w:r>
          <w:rPr>
            <w:color w:val="0A3A8C"/>
            <w:u w:val="single"/>
          </w:rPr>
          <w:t xml:space="preserve">§ 622</w:t>
        </w:r>
      </w:hyperlink>
      <w:r>
        <w:t xml:space="preserve"> ist, ist die Kündigung zulässig,</w:t>
      </w:r>
    </w:p>
    <w:p>
      <w:pPr>
        <w:tabs>
          <w:tab w:pos="567" w:val="left"/>
        </w:tabs>
        <w:ind w:left="567" w:hanging="567"/>
      </w:pPr>
      <w:r>
        <w:t>1.</w:t>
      </w:r>
      <w:r>
        <w:tab/>
      </w:r>
      <w:r>
        <w:t>wenn die Vergütung nach Tagen bemessen ist, an jedem Tag für den Ablauf des folgenden Tages;</w:t>
      </w:r>
    </w:p>
    <w:p>
      <w:pPr>
        <w:tabs>
          <w:tab w:pos="567" w:val="left"/>
        </w:tabs>
        <w:ind w:left="567" w:hanging="567"/>
      </w:pPr>
      <w:r>
        <w:t>2.</w:t>
      </w:r>
      <w:r>
        <w:tab/>
      </w:r>
      <w:r>
        <w:t>wenn die Vergütung nach Wochen bemessen ist, spätestens am ersten Werktag einer Woche für den Ablauf des folgenden Sonnabends;</w:t>
      </w:r>
    </w:p>
    <w:p>
      <w:pPr>
        <w:tabs>
          <w:tab w:pos="567" w:val="left"/>
        </w:tabs>
        <w:ind w:left="567" w:hanging="567"/>
      </w:pPr>
      <w:r>
        <w:t>3.</w:t>
      </w:r>
      <w:r>
        <w:tab/>
      </w:r>
      <w:r>
        <w:t>wenn die Vergütung nach Monaten bemessen ist, spätestens am 15. eines Monats für den Schluss des Kalendermonats;</w:t>
      </w:r>
    </w:p>
    <w:p>
      <w:pPr>
        <w:tabs>
          <w:tab w:pos="567" w:val="left"/>
        </w:tabs>
        <w:ind w:left="567" w:hanging="567"/>
      </w:pPr>
      <w:r>
        <w:t>4.</w:t>
      </w:r>
      <w:r>
        <w:tab/>
      </w:r>
      <w:r>
        <w:t>wenn die Vergütung nach Vierteljahren oder längeren Zeitabschnitten bemessen ist, unter Einhaltung einer Kündigungsfrist von sechs Wochen für den Schluss eines Kalendervierteljahrs;</w:t>
      </w:r>
    </w:p>
    <w:p>
      <w:pPr>
        <w:tabs>
          <w:tab w:pos="567" w:val="left"/>
        </w:tabs>
        <w:ind w:left="567" w:hanging="567"/>
      </w:pPr>
      <w:r>
        <w:t>5.</w:t>
      </w:r>
      <w:r>
        <w:tab/>
      </w:r>
      <w:r>
        <w:t>wenn die Vergütung nicht nach Zeitabschnitten bemessen ist, jederzeit; bei einem die Erwerbstätigkeit des Verpflichteten vollständig oder hauptsächlich in Anspruch nehmenden Dienstverhältnis ist jedoch eine Kündigungsfrist von zwei Wochen einzuhalten.</w:t>
      </w:r>
    </w:p>
    <w:p>
      <w:pPr>
        <w:pStyle w:val="Heading5"/>
      </w:pPr>
      <w:bookmarkStart w:id="921" w:name="b907"/>
      <w:r>
        <w:t>§ 622 Kündigungsfristen bei Arbeitsverhältnissen</w:t>
      </w:r>
      <w:r>
        <w:t xml:space="preserve"> </w:t>
      </w:r>
      <w:r>
        <w:rPr>
          <w:rStyle w:val="Suchmarke"/>
        </w:rPr>
        <w:t>#622#</w:t>
      </w:r>
      <w:bookmarkEnd w:id="921"/>
    </w:p>
    <w:p>
      <w:r>
        <w:t>(1) Das Arbeitsverhältnis eines Arbeiters oder eines Angestellten (Arbeitnehmers) kann mit einer Frist von vier Wochen zum Fünfzehnten oder zum Ende eines Kalendermonats gekündigt werden.</w:t>
      </w:r>
    </w:p>
    <w:p>
      <w:r>
        <w:t>(2) Für eine Kündigung durch den Arbeitgeber beträgt die Kündigungsfrist, wenn das Arbeitsverhältnis in dem Betrieb oder Unternehmen</w:t>
      </w:r>
    </w:p>
    <w:p>
      <w:pPr>
        <w:tabs>
          <w:tab w:pos="567" w:val="left"/>
        </w:tabs>
        <w:ind w:left="567" w:hanging="567"/>
      </w:pPr>
      <w:r>
        <w:t>1.</w:t>
      </w:r>
      <w:r>
        <w:tab/>
      </w:r>
      <w:r>
        <w:t>zwei Jahre bestanden hat, einen Monat zum Ende eines Kalendermonats,</w:t>
      </w:r>
    </w:p>
    <w:p>
      <w:pPr>
        <w:tabs>
          <w:tab w:pos="567" w:val="left"/>
        </w:tabs>
        <w:ind w:left="567" w:hanging="567"/>
      </w:pPr>
      <w:r>
        <w:t>2.</w:t>
      </w:r>
      <w:r>
        <w:tab/>
      </w:r>
      <w:r>
        <w:t>fünf Jahre bestanden hat, zwei Monate zum Ende eines Kalendermonats,</w:t>
      </w:r>
    </w:p>
    <w:p>
      <w:pPr>
        <w:tabs>
          <w:tab w:pos="567" w:val="left"/>
        </w:tabs>
        <w:ind w:left="567" w:hanging="567"/>
      </w:pPr>
      <w:r>
        <w:t>3.</w:t>
      </w:r>
      <w:r>
        <w:tab/>
      </w:r>
      <w:r>
        <w:t>acht Jahre bestanden hat, drei Monate zum Ende eines Kalendermonats,</w:t>
      </w:r>
    </w:p>
    <w:p>
      <w:pPr>
        <w:tabs>
          <w:tab w:pos="567" w:val="left"/>
        </w:tabs>
        <w:ind w:left="567" w:hanging="567"/>
      </w:pPr>
      <w:r>
        <w:t>4.</w:t>
      </w:r>
      <w:r>
        <w:tab/>
      </w:r>
      <w:r>
        <w:t>zehn Jahre bestanden hat, vier Monate zum Ende eines Kalendermonats,</w:t>
      </w:r>
    </w:p>
    <w:p>
      <w:pPr>
        <w:tabs>
          <w:tab w:pos="567" w:val="left"/>
        </w:tabs>
        <w:ind w:left="567" w:hanging="567"/>
      </w:pPr>
      <w:r>
        <w:t>5.</w:t>
      </w:r>
      <w:r>
        <w:tab/>
      </w:r>
      <w:r>
        <w:t>zwölf Jahre bestanden hat, fünf Monate zum Ende eines Kalendermonats,</w:t>
      </w:r>
    </w:p>
    <w:p>
      <w:pPr>
        <w:tabs>
          <w:tab w:pos="567" w:val="left"/>
        </w:tabs>
        <w:ind w:left="567" w:hanging="567"/>
      </w:pPr>
      <w:r>
        <w:t>6.</w:t>
      </w:r>
      <w:r>
        <w:tab/>
      </w:r>
      <w:r>
        <w:t>15 Jahre bestanden hat, sechs Monate zum Ende eines Kalendermonats,</w:t>
      </w:r>
    </w:p>
    <w:p>
      <w:pPr>
        <w:tabs>
          <w:tab w:pos="567" w:val="left"/>
        </w:tabs>
        <w:ind w:left="567" w:hanging="567"/>
      </w:pPr>
      <w:r>
        <w:t>7.</w:t>
      </w:r>
      <w:r>
        <w:tab/>
      </w:r>
      <w:r>
        <w:t>20 Jahre bestanden hat, sieben Monate zum Ende eines Kalendermonats.</w:t>
      </w:r>
    </w:p>
    <w:p>
      <w:r>
        <w:t>(3) Während einer vereinbarten Probezeit, längstens für die Dauer von sechs Monaten, kann das Arbeitsverhältnis mit einer Frist von zwei Wochen gekündigt werden.</w:t>
      </w:r>
    </w:p>
    <w:p>
      <w:r>
        <w:t xml:space="preserve">(4) </w:t>
      </w:r>
      <w:r>
        <w:rPr>
          <w:rStyle w:val="Satznummer"/>
        </w:rPr>
        <w:t>1</w:t>
      </w:r>
      <w:r>
        <w:t xml:space="preserve">Von den Absätzen 1 bis 3 abweichende Regelungen können durch Tarifvertrag vereinbart werden. </w:t>
      </w:r>
      <w:r>
        <w:rPr>
          <w:rStyle w:val="Satznummer"/>
        </w:rPr>
        <w:t>2</w:t>
      </w:r>
      <w:r>
        <w:t>Im Geltungsbereich eines solchen Tarifvertrags gelten die abweichenden tarifvertraglichen Bestimmungen zwischen nicht tarifgebundenen Arbeitgebern und Arbeitnehmern, wenn ihre Anwendung zwischen ihnen vereinbart ist.</w:t>
      </w:r>
    </w:p>
    <w:p>
      <w:r>
        <w:t xml:space="preserve">(5) </w:t>
      </w:r>
      <w:r>
        <w:rPr>
          <w:rStyle w:val="Satznummer"/>
        </w:rPr>
        <w:t>1</w:t>
      </w:r>
      <w:r>
        <w:t>Einzelvertraglich kann eine kürzere als die in Absatz 1 genannte Kündigungsfrist nur vereinbart werden,</w:t>
      </w:r>
    </w:p>
    <w:p>
      <w:pPr>
        <w:tabs>
          <w:tab w:pos="567" w:val="left"/>
        </w:tabs>
        <w:ind w:left="567" w:hanging="567"/>
      </w:pPr>
      <w:r>
        <w:t>1.</w:t>
      </w:r>
      <w:r>
        <w:tab/>
      </w:r>
      <w:r>
        <w:t>wenn ein Arbeitnehmer zur vorübergehenden Aushilfe eingestellt ist; dies gilt nicht, wenn das Arbeitsverhältnis über die Zeit von drei Monaten hinaus fortgesetzt wird;</w:t>
      </w:r>
    </w:p>
    <w:p>
      <w:pPr>
        <w:tabs>
          <w:tab w:pos="567" w:val="left"/>
        </w:tabs>
        <w:ind w:left="567" w:hanging="567"/>
      </w:pPr>
      <w:r>
        <w:t>2.</w:t>
      </w:r>
      <w:r>
        <w:tab/>
      </w:r>
      <w:r>
        <w:t>wenn der Arbeitgeber in der Regel nicht mehr als 20 Arbeitnehmer ausschließlich der zu ihrer Berufsbildung Beschäftigten beschäftigt und die Kündigungsfrist vier Wochen nicht unterschreitet.</w:t>
      </w:r>
    </w:p>
    <w:p>
      <w:r>
        <w:rPr>
          <w:rStyle w:val="Satznummer"/>
        </w:rPr>
        <w:t>2</w:t>
      </w:r>
      <w:r>
        <w:t xml:space="preserve">Bei der Feststellung der Zahl der beschäftigten Arbeitnehmer sind teilzeitbeschäftigte Arbeitnehmer mit einer regelmäßigen wöchentlichen Arbeitszeit von nicht mehr als 20 Stunden mit 0,5 und nicht mehr als 30 Stunden mit 0,75 zu berücksichtigen. </w:t>
      </w:r>
      <w:r>
        <w:rPr>
          <w:rStyle w:val="Satznummer"/>
        </w:rPr>
        <w:t>3</w:t>
      </w:r>
      <w:r>
        <w:t>Die einzelvertragliche Vereinbarung längerer als der in den Absätzen 1 bis 3 genannten Kündigungsfristen bleibt hiervon unberührt.</w:t>
      </w:r>
    </w:p>
    <w:p>
      <w:r>
        <w:t>(6) Für die Kündigung des Arbeitsverhältnisses durch den Arbeitnehmer darf keine längere Frist vereinbart werden als für die Kündigung durch den Arbeitgeber.</w:t>
      </w:r>
    </w:p>
    <w:p>
      <w:pPr>
        <w:pStyle w:val="Heading5"/>
      </w:pPr>
      <w:bookmarkStart w:id="922" w:name="b908"/>
      <w:r>
        <w:t>§ 623 Schriftform der Kündigung</w:t>
      </w:r>
      <w:r>
        <w:t xml:space="preserve"> </w:t>
      </w:r>
      <w:r>
        <w:rPr>
          <w:rStyle w:val="Suchmarke"/>
        </w:rPr>
        <w:t>#623#</w:t>
      </w:r>
      <w:bookmarkEnd w:id="922"/>
    </w:p>
    <w:p>
      <w:r>
        <w:t>Die Beendigung von Arbeitsverhältnissen durch Kündigung oder Auflösungsvertrag bedürfen zu ihrer Wirksamkeit der Schriftform; die elektronische Form ist ausgeschlossen.</w:t>
      </w:r>
    </w:p>
    <w:p>
      <w:pPr>
        <w:pStyle w:val="Heading5"/>
      </w:pPr>
      <w:bookmarkStart w:id="923" w:name="b909"/>
      <w:r>
        <w:t>§ 624 Kündigungsfrist bei Verträgen über mehr als fünf Jahre</w:t>
      </w:r>
      <w:r>
        <w:t xml:space="preserve"> </w:t>
      </w:r>
      <w:r>
        <w:rPr>
          <w:rStyle w:val="Suchmarke"/>
        </w:rPr>
        <w:t>#624#</w:t>
      </w:r>
      <w:bookmarkEnd w:id="923"/>
    </w:p>
    <w:p>
      <w:r>
        <w:rPr>
          <w:rStyle w:val="Satznummer"/>
        </w:rPr>
        <w:t>1</w:t>
      </w:r>
      <w:r>
        <w:t xml:space="preserve">Ist das Dienstverhältnis für die Lebenszeit einer Person oder für längere Zeit als fünf Jahre eingegangen, so kann es von dem Verpflichteten nach dem Ablauf von fünf Jahren gekündigt werden. </w:t>
      </w:r>
      <w:r>
        <w:rPr>
          <w:rStyle w:val="Satznummer"/>
        </w:rPr>
        <w:t>2</w:t>
      </w:r>
      <w:r>
        <w:t>Die Kündigungsfrist beträgt sechs Monate.</w:t>
      </w:r>
    </w:p>
    <w:p>
      <w:pPr>
        <w:pStyle w:val="Heading5"/>
      </w:pPr>
      <w:bookmarkStart w:id="924" w:name="b910"/>
      <w:r>
        <w:t>§ 625 Stillschweigende Verlängerung</w:t>
      </w:r>
      <w:r>
        <w:t xml:space="preserve"> </w:t>
      </w:r>
      <w:r>
        <w:rPr>
          <w:rStyle w:val="Suchmarke"/>
        </w:rPr>
        <w:t>#625#</w:t>
      </w:r>
      <w:bookmarkEnd w:id="924"/>
    </w:p>
    <w:p>
      <w:r>
        <w:t>Wird das Dienstverhältnis nach dem Ablauf der Dienstzeit von dem Verpflichteten mit Wissen des anderen Teiles fortgesetzt, so gilt es als auf unbestimmte Zeit verlängert, sofern nicht der andere Teil unverzüglich widerspricht.</w:t>
      </w:r>
    </w:p>
    <w:p>
      <w:pPr>
        <w:pStyle w:val="Heading5"/>
      </w:pPr>
      <w:bookmarkStart w:id="925" w:name="b911"/>
      <w:r>
        <w:t>§ 626 Fristlose Kündigung aus wichtigem Grund</w:t>
      </w:r>
      <w:r>
        <w:t xml:space="preserve"> </w:t>
      </w:r>
      <w:r>
        <w:rPr>
          <w:rStyle w:val="Suchmarke"/>
        </w:rPr>
        <w:t>#626#</w:t>
      </w:r>
      <w:bookmarkEnd w:id="925"/>
    </w:p>
    <w:p>
      <w:r>
        <w:t>(1) Das Dienstverhältnis kann von jedem Vertragsteil aus wichtigem Grund ohne Einhaltung einer Kündigungsfrist gekündigt werden, wenn Tatsachen vorliegen, auf Grund derer dem Kündigenden unter Berücksichtigung aller Umstände des Einzelfalles und unter Abwägung der Interessen beider Vertragsteile die Fortsetzung des Dienstverhältnisses bis zum Ablauf der Kündigungsfrist oder bis zu der vereinbarten Beendigung des Dienstverhältnisses nicht zugemutet werden kann.</w:t>
      </w:r>
    </w:p>
    <w:p>
      <w:r>
        <w:t xml:space="preserve">(2) </w:t>
      </w:r>
      <w:r>
        <w:rPr>
          <w:rStyle w:val="Satznummer"/>
        </w:rPr>
        <w:t>1</w:t>
      </w:r>
      <w:r>
        <w:t xml:space="preserve">Die Kündigung kann nur innerhalb von zwei Wochen erfolgen. </w:t>
      </w:r>
      <w:r>
        <w:rPr>
          <w:rStyle w:val="Satznummer"/>
        </w:rPr>
        <w:t>2</w:t>
      </w:r>
      <w:r>
        <w:t xml:space="preserve">Die Frist beginnt mit dem Zeitpunkt, in dem der Kündigungsberechtigte von den für die Kündigung maßgebenden Tatsachen Kenntnis erlangt. </w:t>
      </w:r>
      <w:r>
        <w:rPr>
          <w:rStyle w:val="Satznummer"/>
        </w:rPr>
        <w:t>3</w:t>
      </w:r>
      <w:r>
        <w:t>Der Kündigende muss dem anderen Teil auf Verlangen den Kündigungsgrund unverzüglich schriftlich mitteilen.</w:t>
      </w:r>
    </w:p>
    <w:p>
      <w:pPr>
        <w:pStyle w:val="Heading5"/>
      </w:pPr>
      <w:bookmarkStart w:id="926" w:name="b912"/>
      <w:r>
        <w:t>§ 627 Fristlose Kündigung bei Vertrauensstellung</w:t>
      </w:r>
      <w:r>
        <w:t xml:space="preserve"> </w:t>
      </w:r>
      <w:r>
        <w:rPr>
          <w:rStyle w:val="Suchmarke"/>
        </w:rPr>
        <w:t>#627#</w:t>
      </w:r>
      <w:bookmarkEnd w:id="926"/>
    </w:p>
    <w:p>
      <w:r>
        <w:t xml:space="preserve">(1) Bei einem Dienstverhältnis, das kein Arbeitsverhältnis im Sinne des </w:t>
      </w:r>
      <w:hyperlink w:anchor="b907" w:history="1">
        <w:r>
          <w:rPr>
            <w:color w:val="0A3A8C"/>
            <w:u w:val="single"/>
          </w:rPr>
          <w:t xml:space="preserve">§ 622</w:t>
        </w:r>
      </w:hyperlink>
      <w:r>
        <w:t xml:space="preserve"> ist, ist die Kündigung auch ohne die in </w:t>
      </w:r>
      <w:hyperlink w:anchor="b911" w:history="1">
        <w:r>
          <w:rPr>
            <w:color w:val="0A3A8C"/>
            <w:u w:val="single"/>
          </w:rPr>
          <w:t xml:space="preserve">§ 626</w:t>
        </w:r>
      </w:hyperlink>
      <w:r>
        <w:t xml:space="preserve"> bezeichnete Voraussetzung zulässig, wenn der zur Dienstleistung Verpflichtete, ohne in einem dauernden Dienstverhältnis mit festen Bezügen zu stehen, Dienste höherer Art zu leisten hat, die auf Grund besonderen Vertrauens übertragen zu werden pflegen.</w:t>
      </w:r>
    </w:p>
    <w:p>
      <w:r>
        <w:t xml:space="preserve">(2) </w:t>
      </w:r>
      <w:r>
        <w:rPr>
          <w:rStyle w:val="Satznummer"/>
        </w:rPr>
        <w:t>1</w:t>
      </w:r>
      <w:r>
        <w:t xml:space="preserve">Der Verpflichtete darf nur in der Art kündigen, dass sich der Dienstberechtigte die Dienste anderweit beschaffen kann, es sei denn, dass ein wichtiger Grund für die unzeitige Kündigung vorliegt. </w:t>
      </w:r>
      <w:r>
        <w:rPr>
          <w:rStyle w:val="Satznummer"/>
        </w:rPr>
        <w:t>2</w:t>
      </w:r>
      <w:r>
        <w:t>Kündigt er ohne solchen Grund zur Unzeit, so hat er dem Dienstberechtigten den daraus entstehenden Schaden zu ersetzen.</w:t>
      </w:r>
    </w:p>
    <w:p>
      <w:pPr>
        <w:pStyle w:val="Heading5"/>
      </w:pPr>
      <w:bookmarkStart w:id="927" w:name="b913"/>
      <w:r>
        <w:t>§ 628 Teilvergütung und Schadensersatz bei fristloser Kündigung</w:t>
      </w:r>
      <w:r>
        <w:t xml:space="preserve"> </w:t>
      </w:r>
      <w:r>
        <w:rPr>
          <w:rStyle w:val="Suchmarke"/>
        </w:rPr>
        <w:t>#628#</w:t>
      </w:r>
      <w:bookmarkEnd w:id="927"/>
    </w:p>
    <w:p>
      <w:r>
        <w:t xml:space="preserve">(1) </w:t>
      </w:r>
      <w:r>
        <w:rPr>
          <w:rStyle w:val="Satznummer"/>
        </w:rPr>
        <w:t>1</w:t>
      </w:r>
      <w:r>
        <w:t xml:space="preserve">Wird nach dem Beginn der Dienstleistung das Dienstverhältnis auf Grund des </w:t>
      </w:r>
      <w:hyperlink w:anchor="b911" w:history="1">
        <w:r>
          <w:rPr>
            <w:color w:val="0A3A8C"/>
            <w:u w:val="single"/>
          </w:rPr>
          <w:t xml:space="preserve">§ 626</w:t>
        </w:r>
      </w:hyperlink>
      <w:r>
        <w:t xml:space="preserve"> oder des </w:t>
      </w:r>
      <w:hyperlink w:anchor="b912" w:history="1">
        <w:r>
          <w:rPr>
            <w:color w:val="0A3A8C"/>
            <w:u w:val="single"/>
          </w:rPr>
          <w:t xml:space="preserve">§ 627</w:t>
        </w:r>
      </w:hyperlink>
      <w:r>
        <w:t xml:space="preserve"> gekündigt, so kann der Verpflichtete einen seinen bisherigen Leistungen entsprechenden Teil der Vergütung verlangen. </w:t>
      </w:r>
      <w:r>
        <w:rPr>
          <w:rStyle w:val="Satznummer"/>
        </w:rPr>
        <w:t>2</w:t>
      </w:r>
      <w:r>
        <w:t xml:space="preserve">Kündigt er, ohne durch vertragswidriges Verhalten des anderen Teiles dazu veranlasst zu sein, oder veranlasst er durch sein vertragswidriges Verhalten die Kündigung des anderen Teiles, so steht ihm ein Anspruch auf die Vergütung insoweit nicht zu, als seine bisherigen Leistungen infolge der Kündigung für den anderen Teil kein Interesse haben. </w:t>
      </w:r>
      <w:r>
        <w:rPr>
          <w:rStyle w:val="Satznummer"/>
        </w:rPr>
        <w:t>3</w:t>
      </w:r>
      <w:r>
        <w:t xml:space="preserve">Ist die Vergütung für eine spätere Zeit im Voraus entrichtet, so hat der Verpflichtete sie nach Maßgabe des </w:t>
      </w:r>
      <w:hyperlink w:anchor="b451" w:history="1">
        <w:r>
          <w:rPr>
            <w:color w:val="0A3A8C"/>
            <w:u w:val="single"/>
          </w:rPr>
          <w:t xml:space="preserve">§ 346</w:t>
        </w:r>
      </w:hyperlink>
      <w:r>
        <w:t xml:space="preserve"> oder, wenn die Kündigung wegen eines Umstands erfolgt, den er nicht zu vertreten hat, nach den Vorschriften über die Herausgabe einer ungerechtfertigten Bereicherung zurückzuerstatten.</w:t>
      </w:r>
    </w:p>
    <w:p>
      <w:r>
        <w:t>(2) Wird die Kündigung durch vertragswidriges Verhalten des anderen Teiles veranlasst, so ist dieser zum Ersatz des durch die Aufhebung des Dienstverhältnisses entstehenden Schadens verpflichtet.</w:t>
      </w:r>
    </w:p>
    <w:p>
      <w:pPr>
        <w:pStyle w:val="Heading5"/>
      </w:pPr>
      <w:bookmarkStart w:id="928" w:name="b914"/>
      <w:r>
        <w:t>§ 629 Freizeit zur Stellungssuche</w:t>
      </w:r>
      <w:r>
        <w:t xml:space="preserve"> </w:t>
      </w:r>
      <w:r>
        <w:rPr>
          <w:rStyle w:val="Suchmarke"/>
        </w:rPr>
        <w:t>#629#</w:t>
      </w:r>
      <w:bookmarkEnd w:id="928"/>
    </w:p>
    <w:p>
      <w:r>
        <w:t>Nach der Kündigung eines dauernden Dienstverhältnisses hat der Dienstberechtigte dem Verpflichteten auf Verlangen angemessene Zeit zum Aufsuchen eines anderen Dienstverhältnisses zu gewähren.</w:t>
      </w:r>
    </w:p>
    <w:p>
      <w:pPr>
        <w:pStyle w:val="Heading5"/>
      </w:pPr>
      <w:bookmarkStart w:id="929" w:name="b915"/>
      <w:r>
        <w:t>§ 630 Pflicht zur Zeugniserteilung</w:t>
      </w:r>
      <w:r>
        <w:t xml:space="preserve"> </w:t>
      </w:r>
      <w:r>
        <w:rPr>
          <w:rStyle w:val="Suchmarke"/>
        </w:rPr>
        <w:t>#630#</w:t>
      </w:r>
      <w:bookmarkEnd w:id="929"/>
    </w:p>
    <w:p>
      <w:r>
        <w:rPr>
          <w:rStyle w:val="Satznummer"/>
        </w:rPr>
        <w:t>1</w:t>
      </w:r>
      <w:r>
        <w:t xml:space="preserve">Bei der Beendigung eines dauernden Dienstverhältnisses kann der Verpflichtete von dem anderen Teil ein schriftliches Zeugnis über das Dienstverhältnis und dessen Dauer fordern. </w:t>
      </w:r>
      <w:r>
        <w:rPr>
          <w:rStyle w:val="Satznummer"/>
        </w:rPr>
        <w:t>2</w:t>
      </w:r>
      <w:r>
        <w:t xml:space="preserve">Das Zeugnis ist auf Verlangen auf die Leistungen und die Führung im Dienst zu erstrecken. </w:t>
      </w:r>
      <w:r>
        <w:rPr>
          <w:rStyle w:val="Satznummer"/>
        </w:rPr>
        <w:t>3</w:t>
      </w:r>
      <w:r>
        <w:t xml:space="preserve">Das Zeugnis kann mit Einwilligung des Verpflichteten in elektronischer Form erteilt werden. </w:t>
      </w:r>
      <w:r>
        <w:rPr>
          <w:rStyle w:val="Satznummer"/>
        </w:rPr>
        <w:t>4</w:t>
      </w:r>
      <w:r>
        <w:t>Wenn der Verpflichtete ein Arbeitnehmer ist, findet § 109 der Gewerbeordnung Anwendung.</w:t>
      </w:r>
    </w:p>
    <w:p>
      <w:pPr>
        <w:pStyle w:val="Heading4"/>
      </w:pPr>
      <w:bookmarkStart w:id="930" w:name="b916"/>
      <w:r>
        <w:t>Untertitel 2 Behandlungsvertrag</w:t>
      </w:r>
      <w:bookmarkEnd w:id="930"/>
    </w:p>
    <w:p>
      <w:pPr>
        <w:pStyle w:val="Heading5"/>
      </w:pPr>
      <w:bookmarkStart w:id="931" w:name="b917"/>
      <w:r>
        <w:t>§ 630a Vertragstypische Pflichten beim Behandlungsvertrag</w:t>
      </w:r>
      <w:r>
        <w:t xml:space="preserve"> </w:t>
      </w:r>
      <w:r>
        <w:rPr>
          <w:rStyle w:val="Suchmarke"/>
        </w:rPr>
        <w:t>#630a#</w:t>
      </w:r>
      <w:bookmarkEnd w:id="931"/>
    </w:p>
    <w:p>
      <w:r>
        <w:t>(1) Durch den Behandlungsvertrag wird derjenige, welcher die medizinische Behandlung eines Patienten zusagt (Behandelnder), zur Leistung der versprochenen Behandlung, der andere Teil (Patient) zur Gewährung der vereinbarten Vergütung verpflichtet, soweit nicht ein Dritter zur Zahlung verpflichtet ist.</w:t>
      </w:r>
    </w:p>
    <w:p>
      <w:r>
        <w:t>(2) Die Behandlung hat nach den zum Zeitpunkt der Behandlung bestehenden, allgemein anerkannten fachlichen Standards zu erfolgen, soweit nicht etwas anderes vereinbart ist.</w:t>
      </w:r>
    </w:p>
    <w:p>
      <w:pPr>
        <w:pStyle w:val="Heading5"/>
      </w:pPr>
      <w:bookmarkStart w:id="932" w:name="b918"/>
      <w:r>
        <w:t>§ 630b Anwendbare Vorschriften</w:t>
      </w:r>
      <w:r>
        <w:t xml:space="preserve"> </w:t>
      </w:r>
      <w:r>
        <w:rPr>
          <w:rStyle w:val="Suchmarke"/>
        </w:rPr>
        <w:t>#630b#</w:t>
      </w:r>
      <w:bookmarkEnd w:id="932"/>
    </w:p>
    <w:p>
      <w:r>
        <w:t xml:space="preserve">Auf das Behandlungsverhältnis sind die Vorschriften über das Dienstverhältnis, das kein Arbeitsverhältnis im Sinne des </w:t>
      </w:r>
      <w:hyperlink w:anchor="b907" w:history="1">
        <w:r>
          <w:rPr>
            <w:color w:val="0A3A8C"/>
            <w:u w:val="single"/>
          </w:rPr>
          <w:t xml:space="preserve">§ 622</w:t>
        </w:r>
      </w:hyperlink>
      <w:r>
        <w:t xml:space="preserve"> ist, anzuwenden, soweit nicht in diesem Untertitel etwas anderes bestimmt ist.</w:t>
      </w:r>
    </w:p>
    <w:p>
      <w:pPr>
        <w:pStyle w:val="Heading5"/>
      </w:pPr>
      <w:bookmarkStart w:id="933" w:name="b919"/>
      <w:r>
        <w:t>§ 630c Mitwirkung der Vertragsparteien; Informationspflichten</w:t>
      </w:r>
      <w:r>
        <w:t xml:space="preserve"> </w:t>
      </w:r>
      <w:r>
        <w:rPr>
          <w:rStyle w:val="Suchmarke"/>
        </w:rPr>
        <w:t>#630c#</w:t>
      </w:r>
      <w:bookmarkEnd w:id="933"/>
    </w:p>
    <w:p>
      <w:r>
        <w:t>(1) Behandelnder und Patient sollen zur Durchführung der Behandlung zusammenwirken.</w:t>
      </w:r>
    </w:p>
    <w:p>
      <w:r>
        <w:t xml:space="preserve">(2) </w:t>
      </w:r>
      <w:r>
        <w:rPr>
          <w:rStyle w:val="Satznummer"/>
        </w:rPr>
        <w:t>1</w:t>
      </w:r>
      <w:r>
        <w:t xml:space="preserve">Der Behandelnde ist verpflichtet, dem Patienten in verständlicher Weise zu Beginn der Behandlung und, soweit erforderlich, in deren Verlauf sämtliche für die Behandlung wesentlichen Umstände zu erläutern, insbesondere die Diagnose, die voraussichtliche gesundheitliche Entwicklung, die Therapie und die zu und nach der Therapie zu ergreifenden Maßnahmen. </w:t>
      </w:r>
      <w:r>
        <w:rPr>
          <w:rStyle w:val="Satznummer"/>
        </w:rPr>
        <w:t>2</w:t>
      </w:r>
      <w:r>
        <w:t xml:space="preserve">Sind für den Behandelnden Umstände erkennbar, die die Annahme eines Behandlungsfehlers begründen, hat er den Patienten über diese auf Nachfrage oder zur Abwendung gesundheitlicher Gefahren zu informieren. </w:t>
      </w:r>
      <w:r>
        <w:rPr>
          <w:rStyle w:val="Satznummer"/>
        </w:rPr>
        <w:t>3</w:t>
      </w:r>
      <w:r>
        <w:t>Ist dem Behandelnden oder einem seiner in § 52 Absatz 1 der Strafprozessordnung bezeichneten Angehörigen ein Behandlungsfehler unterlaufen, darf die Information nach Satz 2 zu Beweiszwecken in einem gegen den Behandelnden oder gegen seinen Angehörigen geführten Straf- oder Bußgeldverfahren nur mit Zustimmung des Behandelnden verwendet werden.</w:t>
      </w:r>
    </w:p>
    <w:p>
      <w:r>
        <w:t xml:space="preserve">(3) </w:t>
      </w:r>
      <w:r>
        <w:rPr>
          <w:rStyle w:val="Satznummer"/>
        </w:rPr>
        <w:t>1</w:t>
      </w:r>
      <w:r>
        <w:t xml:space="preserve">Weiß der Behandelnde, dass eine vollständige Übernahme der Behandlungskosten durch einen Dritten nicht gesichert ist oder ergeben sich nach den Umständen hierfür hinreichende Anhaltspunkte, muss er den Patienten vor Beginn der Behandlung über die voraussichtlichen Kosten der Behandlung in Textform informieren. </w:t>
      </w:r>
      <w:r>
        <w:rPr>
          <w:rStyle w:val="Satznummer"/>
        </w:rPr>
        <w:t>2</w:t>
      </w:r>
      <w:r>
        <w:t>Weitergehende Formanforderungen aus anderen Vorschriften bleiben unberührt.</w:t>
      </w:r>
    </w:p>
    <w:p>
      <w:r>
        <w:t>(4) Der Information des Patienten bedarf es nicht, soweit diese ausnahmsweise aufgrund besonderer Umstände entbehrlich ist, insbesondere wenn die Behandlung unaufschiebbar ist oder der Patient auf die Information ausdrücklich verzichtet hat.</w:t>
      </w:r>
    </w:p>
    <w:p>
      <w:pPr>
        <w:pStyle w:val="Heading5"/>
      </w:pPr>
      <w:bookmarkStart w:id="934" w:name="b920"/>
      <w:r>
        <w:t>§ 630d Einwilligung</w:t>
      </w:r>
      <w:r>
        <w:t xml:space="preserve"> </w:t>
      </w:r>
      <w:r>
        <w:rPr>
          <w:rStyle w:val="Suchmarke"/>
        </w:rPr>
        <w:t>#630d#</w:t>
      </w:r>
      <w:bookmarkEnd w:id="934"/>
    </w:p>
    <w:p>
      <w:r>
        <w:t xml:space="preserve">(1) </w:t>
      </w:r>
      <w:r>
        <w:rPr>
          <w:rStyle w:val="Satznummer"/>
        </w:rPr>
        <w:t>1</w:t>
      </w:r>
      <w:r>
        <w:t xml:space="preserve">Vor Durchführung einer medizinischen Maßnahme, insbesondere eines Eingriffs in den Körper oder die Gesundheit, ist der Behandelnde verpflichtet, die Einwilligung des Patienten einzuholen. </w:t>
      </w:r>
      <w:r>
        <w:rPr>
          <w:rStyle w:val="Satznummer"/>
        </w:rPr>
        <w:t>2</w:t>
      </w:r>
      <w:r>
        <w:t xml:space="preserve">Ist der Patient einwilligungsunfähig, ist die Einwilligung eines hierzu Berechtigten einzuholen, soweit nicht eine Patientenverfügung nach </w:t>
      </w:r>
      <w:hyperlink w:anchor="b2285" w:history="1">
        <w:r>
          <w:rPr>
            <w:color w:val="0A3A8C"/>
            <w:u w:val="single"/>
          </w:rPr>
          <w:t xml:space="preserve">§ 1827</w:t>
        </w:r>
      </w:hyperlink>
      <w:r>
        <w:t xml:space="preserve"> Absatz 1 Satz 1 die Maßnahme gestattet oder untersagt. </w:t>
      </w:r>
      <w:r>
        <w:rPr>
          <w:rStyle w:val="Satznummer"/>
        </w:rPr>
        <w:t>3</w:t>
      </w:r>
      <w:r>
        <w:t xml:space="preserve">Weitergehende Anforderungen an die Einwilligung aus anderen Vorschriften bleiben unberührt. </w:t>
      </w:r>
      <w:r>
        <w:rPr>
          <w:rStyle w:val="Satznummer"/>
        </w:rPr>
        <w:t>4</w:t>
      </w:r>
      <w:r>
        <w:t>Kann eine Einwilligung für eine unaufschiebbare Maßnahme nicht rechtzeitig eingeholt werden, darf sie ohne Einwilligung durchgeführt werden, wenn sie dem mutmaßlichen Willen des Patienten entspricht.</w:t>
      </w:r>
    </w:p>
    <w:p>
      <w:r>
        <w:t xml:space="preserve">(2) Die Wirksamkeit der Einwilligung setzt voraus, dass der Patient oder im Fall des Absatzes 1 Satz 2 der zur Einwilligung Berechtigte vor der Einwilligung nach Maßgabe von </w:t>
      </w:r>
      <w:hyperlink w:anchor="b921" w:history="1">
        <w:r>
          <w:rPr>
            <w:color w:val="0A3A8C"/>
            <w:u w:val="single"/>
          </w:rPr>
          <w:t xml:space="preserve">§ 630e</w:t>
        </w:r>
      </w:hyperlink>
      <w:r>
        <w:t xml:space="preserve"> Absatz 1 bis 4 aufgeklärt worden ist.</w:t>
      </w:r>
    </w:p>
    <w:p>
      <w:r>
        <w:t>(3) Die Einwilligung kann jederzeit und ohne Angabe von Gründen formlos widerrufen werden.</w:t>
      </w:r>
    </w:p>
    <w:p>
      <w:pPr>
        <w:pStyle w:val="Heading5"/>
      </w:pPr>
      <w:bookmarkStart w:id="935" w:name="b921"/>
      <w:r>
        <w:t>§ 630e Aufklärungspflichten</w:t>
      </w:r>
      <w:r>
        <w:t xml:space="preserve"> </w:t>
      </w:r>
      <w:r>
        <w:rPr>
          <w:rStyle w:val="Suchmarke"/>
        </w:rPr>
        <w:t>#630e#</w:t>
      </w:r>
      <w:bookmarkEnd w:id="935"/>
    </w:p>
    <w:p>
      <w:r>
        <w:t xml:space="preserve">(1) </w:t>
      </w:r>
      <w:r>
        <w:rPr>
          <w:rStyle w:val="Satznummer"/>
        </w:rPr>
        <w:t>1</w:t>
      </w:r>
      <w:r>
        <w:t xml:space="preserve">Der Behandelnde ist verpflichtet, den Patienten über sämtliche für die Einwilligung wesentlichen Umstände aufzuklären. </w:t>
      </w:r>
      <w:r>
        <w:rPr>
          <w:rStyle w:val="Satznummer"/>
        </w:rPr>
        <w:t>2</w:t>
      </w:r>
      <w:r>
        <w:t xml:space="preserve">Dazu gehören insbesondere Art, Umfang, Durchführung, zu erwartende Folgen und Risiken der Maßnahme sowie ihre Notwendigkeit, Dringlichkeit, Eignung und Erfolgsaussichten im Hinblick auf die Diagnose oder die Therapie. </w:t>
      </w:r>
      <w:r>
        <w:rPr>
          <w:rStyle w:val="Satznummer"/>
        </w:rPr>
        <w:t>3</w:t>
      </w:r>
      <w:r>
        <w:t>Bei der Aufklärung ist auch auf Alternativen zur Maßnahme hinzuweisen, wenn mehrere medizinisch gleichermaßen indizierte und übliche Methoden zu wesentlich unterschiedlichen Belastungen, Risiken oder Heilungschancen führen können.</w:t>
      </w:r>
    </w:p>
    <w:p>
      <w:r>
        <w:t xml:space="preserve">(2) </w:t>
      </w:r>
      <w:r>
        <w:rPr>
          <w:rStyle w:val="Satznummer"/>
        </w:rPr>
        <w:t>1</w:t>
      </w:r>
      <w:r>
        <w:t>Die Aufklärung muss</w:t>
      </w:r>
    </w:p>
    <w:p>
      <w:pPr>
        <w:tabs>
          <w:tab w:pos="567" w:val="left"/>
        </w:tabs>
        <w:ind w:left="567" w:hanging="567"/>
      </w:pPr>
      <w:r>
        <w:t>1.</w:t>
      </w:r>
      <w:r>
        <w:tab/>
      </w:r>
      <w:r>
        <w:t>mündlich durch den Behandelnden oder durch eine Person erfolgen, die über die zur Durchführung der Maßnahme notwendige Ausbildung verfügt; ergänzend kann auch auf Unterlagen Bezug genommen werden, die der Patient in Textform erhält,</w:t>
      </w:r>
    </w:p>
    <w:p>
      <w:pPr>
        <w:tabs>
          <w:tab w:pos="567" w:val="left"/>
        </w:tabs>
        <w:ind w:left="567" w:hanging="567"/>
      </w:pPr>
      <w:r>
        <w:t>2.</w:t>
      </w:r>
      <w:r>
        <w:tab/>
      </w:r>
      <w:r>
        <w:t>so rechtzeitig erfolgen, dass der Patient seine Entscheidung über die Einwilligung wohlüberlegt treffen kann,</w:t>
      </w:r>
    </w:p>
    <w:p>
      <w:pPr>
        <w:tabs>
          <w:tab w:pos="567" w:val="left"/>
        </w:tabs>
        <w:ind w:left="567" w:hanging="567"/>
      </w:pPr>
      <w:r>
        <w:t>3.</w:t>
      </w:r>
      <w:r>
        <w:tab/>
      </w:r>
      <w:r>
        <w:t>für den Patienten verständlich sein.</w:t>
      </w:r>
    </w:p>
    <w:p>
      <w:r>
        <w:rPr>
          <w:rStyle w:val="Satznummer"/>
        </w:rPr>
        <w:t>2</w:t>
      </w:r>
      <w:r>
        <w:t>Dem Patienten sind Abschriften von Unterlagen, die er im Zusammenhang mit der Aufklärung oder Einwilligung unterzeichnet hat, auszuhändigen.</w:t>
      </w:r>
    </w:p>
    <w:p>
      <w:r>
        <w:t>(3) Der Aufklärung des Patienten bedarf es nicht, soweit diese ausnahmsweise aufgrund besonderer Umstände entbehrlich ist, insbesondere wenn die Maßnahme unaufschiebbar ist oder der Patient auf die Aufklärung ausdrücklich verzichtet hat.</w:t>
      </w:r>
    </w:p>
    <w:p>
      <w:r>
        <w:t xml:space="preserve">(4) Ist nach </w:t>
      </w:r>
      <w:hyperlink w:anchor="b920" w:history="1">
        <w:r>
          <w:rPr>
            <w:color w:val="0A3A8C"/>
            <w:u w:val="single"/>
          </w:rPr>
          <w:t xml:space="preserve">§ 630d</w:t>
        </w:r>
      </w:hyperlink>
      <w:r>
        <w:t xml:space="preserve"> Absatz 1 Satz 2 die Einwilligung eines hierzu Berechtigten einzuholen, ist dieser nach Maßgabe der Absätze 1 bis 3 aufzuklären.</w:t>
      </w:r>
    </w:p>
    <w:p>
      <w:r>
        <w:t xml:space="preserve">(5) </w:t>
      </w:r>
      <w:r>
        <w:rPr>
          <w:rStyle w:val="Satznummer"/>
        </w:rPr>
        <w:t>1</w:t>
      </w:r>
      <w:r>
        <w:t xml:space="preserve">Im Fall des </w:t>
      </w:r>
      <w:hyperlink w:anchor="b920" w:history="1">
        <w:r>
          <w:rPr>
            <w:color w:val="0A3A8C"/>
            <w:u w:val="single"/>
          </w:rPr>
          <w:t xml:space="preserve">§ 630d</w:t>
        </w:r>
      </w:hyperlink>
      <w:r>
        <w:t xml:space="preserve"> Absatz 1 Satz 2 sind die wesentlichen Umstände nach Absatz 1 auch dem Patienten entsprechend seinem Verständnis zu erläutern, soweit dieser aufgrund seines Entwicklungsstandes und seiner Verständnismöglichkeiten in der Lage ist, die Erläuterung aufzunehmen, und soweit dies seinem Wohl nicht zuwiderläuft. </w:t>
      </w:r>
      <w:r>
        <w:rPr>
          <w:rStyle w:val="Satznummer"/>
        </w:rPr>
        <w:t>2</w:t>
      </w:r>
      <w:r>
        <w:t>Absatz 3 gilt entsprechend.</w:t>
      </w:r>
    </w:p>
    <w:p>
      <w:pPr>
        <w:pStyle w:val="Heading5"/>
      </w:pPr>
      <w:bookmarkStart w:id="936" w:name="b922"/>
      <w:r>
        <w:t>§ 630f Dokumentation der Behandlung</w:t>
      </w:r>
      <w:r>
        <w:t xml:space="preserve"> </w:t>
      </w:r>
      <w:r>
        <w:rPr>
          <w:rStyle w:val="Suchmarke"/>
        </w:rPr>
        <w:t>#630f#</w:t>
      </w:r>
      <w:bookmarkEnd w:id="936"/>
    </w:p>
    <w:p>
      <w:r>
        <w:t xml:space="preserve">(1) </w:t>
      </w:r>
      <w:r>
        <w:rPr>
          <w:rStyle w:val="Satznummer"/>
        </w:rPr>
        <w:t>1</w:t>
      </w:r>
      <w:r>
        <w:t xml:space="preserve">Der Behandelnde ist verpflichtet, zum Zweck der Dokumentation in unmittelbarem zeitlichen Zusammenhang mit der Behandlung eine Behandlungsakte in Papierform oder elektronisch zu führen. </w:t>
      </w:r>
      <w:r>
        <w:rPr>
          <w:rStyle w:val="Satznummer"/>
        </w:rPr>
        <w:t>2</w:t>
      </w:r>
      <w:r>
        <w:t xml:space="preserve">Berichtigungen und Änderungen von Eintragungen in der Behandlungsakte sind nur zulässig, wenn neben dem ursprünglichen Inhalt erkennbar bleibt, wann sie vorgenommen worden sind. </w:t>
      </w:r>
      <w:r>
        <w:rPr>
          <w:rStyle w:val="Satznummer"/>
        </w:rPr>
        <w:t>3</w:t>
      </w:r>
      <w:r>
        <w:t>Dies ist auch für elektronisch geführte Behandlungsakten sicherzustellen.</w:t>
      </w:r>
    </w:p>
    <w:p>
      <w:r>
        <w:t xml:space="preserve">(2) </w:t>
      </w:r>
      <w:r>
        <w:rPr>
          <w:rStyle w:val="Satznummer"/>
        </w:rPr>
        <w:t>1</w:t>
      </w:r>
      <w:r>
        <w:t xml:space="preserve">Der Behandelnde ist verpflichtet, in der Behandlungsakte sämtliche aus fachlicher Sicht für die derzeitige und künftige Behandlung wesentlichen Maßnahmen und deren Ergebnisse aufzuzeichnen, insbesondere die Anamnese, Diagnosen, Untersuchungen, Untersuchungsergebnisse, Befunde, Therapien und ihre Wirkungen, Eingriffe und ihre Wirkungen, Einwilligungen und Aufklärungen. </w:t>
      </w:r>
      <w:r>
        <w:rPr>
          <w:rStyle w:val="Satznummer"/>
        </w:rPr>
        <w:t>2</w:t>
      </w:r>
      <w:r>
        <w:t>Arztbriefe sind in die Behandlungsakte aufzunehmen.</w:t>
      </w:r>
    </w:p>
    <w:p>
      <w:r>
        <w:t>(3) Der Behandelnde hat die Behandlungsakte für die Dauer von zehn Jahren nach Abschluss der Behandlung aufzubewahren, soweit nicht nach anderen Vorschriften andere Aufbewahrungsfristen bestehen.</w:t>
      </w:r>
    </w:p>
    <w:p>
      <w:pPr>
        <w:pStyle w:val="Heading5"/>
      </w:pPr>
      <w:bookmarkStart w:id="937" w:name="b923"/>
      <w:r>
        <w:t>§ 630g Einsichtnahme in die Behandlungsakte</w:t>
      </w:r>
      <w:r>
        <w:t xml:space="preserve"> </w:t>
      </w:r>
      <w:r>
        <w:rPr>
          <w:rStyle w:val="Suchmarke"/>
        </w:rPr>
        <w:t>#630g#</w:t>
      </w:r>
      <w:bookmarkEnd w:id="937"/>
    </w:p>
    <w:p>
      <w:r>
        <w:t xml:space="preserve">(1) </w:t>
      </w:r>
      <w:r>
        <w:rPr>
          <w:rStyle w:val="Satznummer"/>
        </w:rPr>
        <w:t>1</w:t>
      </w:r>
      <w:r>
        <w:t xml:space="preserve">Dem Patienten ist auf Verlangen unverzüglich Einsicht in die vollständige, ihn betreffende Behandlungsakte zu gewähren. </w:t>
      </w:r>
      <w:r>
        <w:rPr>
          <w:rStyle w:val="Satznummer"/>
        </w:rPr>
        <w:t>2</w:t>
      </w:r>
      <w:hyperlink w:anchor="b1263" w:history="1">
        <w:r>
          <w:rPr>
            <w:color w:val="0A3A8C"/>
            <w:u w:val="single"/>
          </w:rPr>
          <w:t xml:space="preserve">§ 811</w:t>
        </w:r>
      </w:hyperlink>
      <w:r>
        <w:t xml:space="preserve"> ist entsprechend anzuwenden. </w:t>
      </w:r>
      <w:r>
        <w:rPr>
          <w:rStyle w:val="Satznummer"/>
        </w:rPr>
        <w:t>3</w:t>
      </w:r>
      <w:r>
        <w:t xml:space="preserve">Der Patient kann auch Abschriften von der Behandlungsakte, einschließlich elektronischer Abschriften, verlangen. </w:t>
      </w:r>
      <w:r>
        <w:rPr>
          <w:rStyle w:val="Satznummer"/>
        </w:rPr>
        <w:t>4</w:t>
      </w:r>
      <w:r>
        <w:t>Die erste Abschrift wird unentgeltlich zur Verfügung gestellt.</w:t>
      </w:r>
    </w:p>
    <w:p>
      <w:r>
        <w:t xml:space="preserve">(2) </w:t>
      </w:r>
      <w:r>
        <w:rPr>
          <w:rStyle w:val="Satznummer"/>
        </w:rPr>
        <w:t>1</w:t>
      </w:r>
      <w:r>
        <w:t xml:space="preserve">Das Recht nach Absatz 1 besteht nicht, soweit erhebliche therapeutische Gründe oder sonstige erhebliche Rechte Dritter entgegenstehen. </w:t>
      </w:r>
      <w:r>
        <w:rPr>
          <w:rStyle w:val="Satznummer"/>
        </w:rPr>
        <w:t>2</w:t>
      </w:r>
      <w:r>
        <w:t>Die Ablehnung der Einsichtnahme ist zu begründen.</w:t>
      </w:r>
    </w:p>
    <w:p>
      <w:r>
        <w:t xml:space="preserve">(3) </w:t>
      </w:r>
      <w:r>
        <w:rPr>
          <w:rStyle w:val="Satznummer"/>
        </w:rPr>
        <w:t>1</w:t>
      </w:r>
      <w:r>
        <w:t xml:space="preserve">Im Fall des Todes des Patienten stehen die Rechte nach Absatz 1 zur Wahrnehmung der vermögensrechtlichen Interessen seinen Erben mit der Maßgabe zu, dass die Erben die entstandenen Kosten zu erstatten haben. </w:t>
      </w:r>
      <w:r>
        <w:rPr>
          <w:rStyle w:val="Satznummer"/>
        </w:rPr>
        <w:t>2</w:t>
      </w:r>
      <w:r>
        <w:t xml:space="preserve">Gleiches gilt für die nächsten Angehörigen des Patienten, soweit sie immaterielle Interessen geltend machen. </w:t>
      </w:r>
      <w:r>
        <w:rPr>
          <w:rStyle w:val="Satznummer"/>
        </w:rPr>
        <w:t>3</w:t>
      </w:r>
      <w:r>
        <w:t>Die Rechte sind ausgeschlossen, soweit der Einsichtnahme der ausdrückliche oder mutmaßliche Wille des Patienten entgegensteht.</w:t>
      </w:r>
    </w:p>
    <w:p>
      <w:r>
        <w:t xml:space="preserve">(4) </w:t>
      </w:r>
      <w:r>
        <w:rPr>
          <w:rStyle w:val="Satznummer"/>
        </w:rPr>
        <w:t>1</w:t>
      </w:r>
      <w:r>
        <w:t xml:space="preserve">Datenschutzrechtliche Rechte des Betroffenen bleiben von den Absätzen 1 bis 3 unberührt, soweit in diesem Absatz nichts anderes geregelt ist. </w:t>
      </w:r>
      <w:r>
        <w:rPr>
          <w:rStyle w:val="Satznummer"/>
        </w:rPr>
        <w:t>2</w:t>
      </w:r>
      <w:r>
        <w:t xml:space="preserve">Soweit datenschutzrechtliche Auskunftsansprüche und Informationspflichten unentgeltlich zu erfüllen sind, steht dies Entgelten für Einsichtnahmen nach Absatz 1 entgegen. </w:t>
      </w:r>
      <w:r>
        <w:rPr>
          <w:rStyle w:val="Satznummer"/>
        </w:rPr>
        <w:t>3</w:t>
      </w:r>
      <w:r>
        <w:t>Der Ausschluss des Einsichtsrechts nach Absatz 2 steht im Verhältnis zwischen Behandelndem und Patienten auch datenschutzrechtlichen Auskunftsansprüchen und Informationspflichten entgegen.</w:t>
      </w:r>
    </w:p>
    <w:p>
      <w:pPr>
        <w:pStyle w:val="Heading5"/>
      </w:pPr>
      <w:bookmarkStart w:id="938" w:name="b924"/>
      <w:r>
        <w:t>§ 630h Beweislast bei Haftung für Behandlungs- und Aufklärungsfehler</w:t>
      </w:r>
      <w:r>
        <w:t xml:space="preserve"> </w:t>
      </w:r>
      <w:r>
        <w:rPr>
          <w:rStyle w:val="Suchmarke"/>
        </w:rPr>
        <w:t>#630h#</w:t>
      </w:r>
      <w:bookmarkEnd w:id="938"/>
    </w:p>
    <w:p>
      <w:r>
        <w:t>(1) Ein Fehler des Behandelnden wird vermutet, wenn sich ein allgemeines Behandlungsrisiko verwirklicht hat, das für den Behandelnden voll beherrschbar war und das zur Verletzung des Lebens, des Körpers oder der Gesundheit des Patienten geführt hat.</w:t>
      </w:r>
    </w:p>
    <w:p>
      <w:r>
        <w:t xml:space="preserve">(2) </w:t>
      </w:r>
      <w:r>
        <w:rPr>
          <w:rStyle w:val="Satznummer"/>
        </w:rPr>
        <w:t>1</w:t>
      </w:r>
      <w:r>
        <w:t xml:space="preserve">Der Behandelnde hat zu beweisen, dass er eine Einwilligung gemäß </w:t>
      </w:r>
      <w:hyperlink w:anchor="b920" w:history="1">
        <w:r>
          <w:rPr>
            <w:color w:val="0A3A8C"/>
            <w:u w:val="single"/>
          </w:rPr>
          <w:t xml:space="preserve">§ 630d</w:t>
        </w:r>
      </w:hyperlink>
      <w:r>
        <w:t xml:space="preserve"> eingeholt und entsprechend den Anforderungen des </w:t>
      </w:r>
      <w:hyperlink w:anchor="b921" w:history="1">
        <w:r>
          <w:rPr>
            <w:color w:val="0A3A8C"/>
            <w:u w:val="single"/>
          </w:rPr>
          <w:t xml:space="preserve">§ 630e</w:t>
        </w:r>
      </w:hyperlink>
      <w:r>
        <w:t xml:space="preserve"> aufgeklärt hat. </w:t>
      </w:r>
      <w:r>
        <w:rPr>
          <w:rStyle w:val="Satznummer"/>
        </w:rPr>
        <w:t>2</w:t>
      </w:r>
      <w:r>
        <w:t xml:space="preserve">Genügt die Aufklärung nicht den Anforderungen des </w:t>
      </w:r>
      <w:hyperlink w:anchor="b921" w:history="1">
        <w:r>
          <w:rPr>
            <w:color w:val="0A3A8C"/>
            <w:u w:val="single"/>
          </w:rPr>
          <w:t xml:space="preserve">§ 630e</w:t>
        </w:r>
      </w:hyperlink>
      <w:r>
        <w:t>, kann der Behandelnde sich darauf berufen, dass der Patient auch im Fall einer ordnungsgemäßen Aufklärung in die Maßnahme eingewilligt hätte.</w:t>
      </w:r>
    </w:p>
    <w:p>
      <w:r>
        <w:t xml:space="preserve">(3) Hat der Behandelnde eine medizinisch gebotene wesentliche Maßnahme und ihr Ergebnis entgegen </w:t>
      </w:r>
      <w:hyperlink w:anchor="b922" w:history="1">
        <w:r>
          <w:rPr>
            <w:color w:val="0A3A8C"/>
            <w:u w:val="single"/>
          </w:rPr>
          <w:t xml:space="preserve">§ 630f</w:t>
        </w:r>
      </w:hyperlink>
      <w:r>
        <w:t xml:space="preserve"> Absatz 1 oder Absatz 2 nicht in der Behandlungsakte aufgezeichnet oder hat er die Behandlungsakte entgegen </w:t>
      </w:r>
      <w:hyperlink w:anchor="b922" w:history="1">
        <w:r>
          <w:rPr>
            <w:color w:val="0A3A8C"/>
            <w:u w:val="single"/>
          </w:rPr>
          <w:t xml:space="preserve">§ 630f</w:t>
        </w:r>
      </w:hyperlink>
      <w:r>
        <w:t xml:space="preserve"> Absatz 3 nicht aufbewahrt, wird vermutet, dass er diese Maßnahme nicht getroffen hat.</w:t>
      </w:r>
    </w:p>
    <w:p>
      <w:r>
        <w:t>(4) War ein Behandelnder für die von ihm vorgenommene Behandlung nicht befähigt, wird vermutet, dass die mangelnde Befähigung für den Eintritt der Verletzung des Lebens, des Körpers oder der Gesundheit ursächlich war.</w:t>
      </w:r>
    </w:p>
    <w:p>
      <w:r>
        <w:t xml:space="preserve">(5) </w:t>
      </w:r>
      <w:r>
        <w:rPr>
          <w:rStyle w:val="Satznummer"/>
        </w:rPr>
        <w:t>1</w:t>
      </w:r>
      <w:r>
        <w:t xml:space="preserve">Liegt ein grober Behandlungsfehler vor und ist dieser grundsätzlich geeignet, eine Verletzung des Lebens, des Körpers oder der Gesundheit der tatsächlich eingetretenen Art herbeizuführen, wird vermutet, dass der Behandlungsfehler für diese Verletzung ursächlich war. </w:t>
      </w:r>
      <w:r>
        <w:rPr>
          <w:rStyle w:val="Satznummer"/>
        </w:rPr>
        <w:t>2</w:t>
      </w:r>
      <w:r>
        <w:t>Dies gilt auch dann, wenn es der Behandelnde unterlassen hat, einen medizinisch gebotenen Befund rechtzeitig zu erheben oder zu sichern, soweit der Befund mit hinreichender Wahrscheinlichkeit ein Ergebnis erbracht hätte, das Anlass zu weiteren Maßnahmen gegeben hätte, und wenn das Unterlassen solcher Maßnahmen grob fehlerhaft gewesen wäre.</w:t>
      </w:r>
    </w:p>
    <w:p>
      <w:pPr>
        <w:pStyle w:val="Heading3"/>
      </w:pPr>
      <w:bookmarkStart w:id="939" w:name="b925"/>
      <w:r>
        <w:t>Titel 9 Werkvertrag und ähnliche Verträge</w:t>
      </w:r>
      <w:bookmarkEnd w:id="939"/>
    </w:p>
    <w:p>
      <w:pPr>
        <w:pStyle w:val="Heading4"/>
      </w:pPr>
      <w:bookmarkStart w:id="940" w:name="b926"/>
      <w:r>
        <w:t>Untertitel 1 Werkvertrag</w:t>
      </w:r>
      <w:bookmarkEnd w:id="940"/>
    </w:p>
    <w:p>
      <w:pPr>
        <w:pStyle w:val="Heading5"/>
      </w:pPr>
      <w:bookmarkStart w:id="941" w:name="b927"/>
      <w:r>
        <w:t>Kapitel 1 Allgemeine Vorschriften</w:t>
      </w:r>
      <w:bookmarkEnd w:id="941"/>
    </w:p>
    <w:p>
      <w:pPr>
        <w:pStyle w:val="Heading6"/>
      </w:pPr>
      <w:bookmarkStart w:id="942" w:name="b928"/>
      <w:r>
        <w:t>§ 631 Vertragstypische Pflichten beim Werkvertrag</w:t>
      </w:r>
      <w:r>
        <w:t xml:space="preserve"> </w:t>
      </w:r>
      <w:r>
        <w:rPr>
          <w:rStyle w:val="Suchmarke"/>
        </w:rPr>
        <w:t>#631#</w:t>
      </w:r>
      <w:bookmarkEnd w:id="942"/>
    </w:p>
    <w:p>
      <w:r>
        <w:t>(1) Durch den Werkvertrag wird der Unternehmer zur Herstellung des versprochenen Werkes, der Besteller zur Entrichtung der vereinbarten Vergütung verpflichtet.</w:t>
      </w:r>
    </w:p>
    <w:p>
      <w:r>
        <w:t>(2) Gegenstand des Werkvertrags kann sowohl die Herstellung oder Veränderung einer Sache als auch ein anderer durch Arbeit oder Dienstleistung herbeizuführender Erfolg sein.</w:t>
      </w:r>
    </w:p>
    <w:p>
      <w:pPr>
        <w:pStyle w:val="Heading6"/>
      </w:pPr>
      <w:bookmarkStart w:id="943" w:name="b929"/>
      <w:r>
        <w:t>§ 632 Vergütung</w:t>
      </w:r>
      <w:r>
        <w:t xml:space="preserve"> </w:t>
      </w:r>
      <w:r>
        <w:rPr>
          <w:rStyle w:val="Suchmarke"/>
        </w:rPr>
        <w:t>#632#</w:t>
      </w:r>
      <w:bookmarkEnd w:id="943"/>
    </w:p>
    <w:p>
      <w:r>
        <w:t>(1) Eine Vergütung gilt als stillschweigend vereinbart, wenn die Herstellung des Werkes den Umständen nach nur gegen eine Vergütung zu erwarten ist.</w:t>
      </w:r>
    </w:p>
    <w:p>
      <w:r>
        <w:t>(2) Ist die Höhe der Vergütung nicht bestimmt, so ist bei dem Bestehen einer Taxe die taxmäßige Vergütung, in Ermangelung einer Taxe die übliche Vergütung als vereinbart anzusehen.</w:t>
      </w:r>
    </w:p>
    <w:p>
      <w:r>
        <w:t>(3) Ein Kostenanschlag ist im Zweifel nicht zu vergüten.</w:t>
      </w:r>
    </w:p>
    <w:p>
      <w:pPr>
        <w:pStyle w:val="Heading6"/>
      </w:pPr>
      <w:bookmarkStart w:id="944" w:name="b930"/>
      <w:r>
        <w:t>§ 632a Abschlagszahlungen</w:t>
      </w:r>
      <w:r>
        <w:t xml:space="preserve"> </w:t>
      </w:r>
      <w:r>
        <w:rPr>
          <w:rStyle w:val="Suchmarke"/>
        </w:rPr>
        <w:t>#632a#</w:t>
      </w:r>
      <w:bookmarkEnd w:id="944"/>
    </w:p>
    <w:p>
      <w:r>
        <w:t xml:space="preserve">(1) </w:t>
      </w:r>
      <w:r>
        <w:rPr>
          <w:rStyle w:val="Satznummer"/>
        </w:rPr>
        <w:t>1</w:t>
      </w:r>
      <w:r>
        <w:t xml:space="preserve">Der Unternehmer kann von dem Besteller eine Abschlagszahlung in Höhe des Wertes der von ihm erbrachten und nach dem Vertrag geschuldeten Leistungen verlangen. </w:t>
      </w:r>
      <w:r>
        <w:rPr>
          <w:rStyle w:val="Satznummer"/>
        </w:rPr>
        <w:t>2</w:t>
      </w:r>
      <w:r>
        <w:t xml:space="preserve">Sind die erbrachten Leistungen nicht vertragsgemäß, kann der Besteller die Zahlung eines angemessenen Teils des Abschlags verweigern. </w:t>
      </w:r>
      <w:r>
        <w:rPr>
          <w:rStyle w:val="Satznummer"/>
        </w:rPr>
        <w:t>3</w:t>
      </w:r>
      <w:r>
        <w:t xml:space="preserve">Die Beweislast für die vertragsgemäße Leistung verbleibt bis zur Abnahme beim Unternehmer. </w:t>
      </w:r>
      <w:r>
        <w:rPr>
          <w:rStyle w:val="Satznummer"/>
        </w:rPr>
        <w:t>4</w:t>
      </w:r>
      <w:hyperlink w:anchor="b940" w:history="1">
        <w:r>
          <w:rPr>
            <w:color w:val="0A3A8C"/>
            <w:u w:val="single"/>
          </w:rPr>
          <w:t xml:space="preserve">§ 641</w:t>
        </w:r>
      </w:hyperlink>
      <w:r>
        <w:t xml:space="preserve"> Abs. 3 gilt entsprechend. </w:t>
      </w:r>
      <w:r>
        <w:rPr>
          <w:rStyle w:val="Satznummer"/>
        </w:rPr>
        <w:t>5</w:t>
      </w:r>
      <w:r>
        <w:t xml:space="preserve">Die Leistungen sind durch eine Aufstellung nachzuweisen, die eine rasche und sichere Beurteilung der Leistungen ermöglichen muss. </w:t>
      </w:r>
      <w:r>
        <w:rPr>
          <w:rStyle w:val="Satznummer"/>
        </w:rPr>
        <w:t>6</w:t>
      </w:r>
      <w:r>
        <w:t>Die Sätze 1 bis 5 gelten auch für erforderliche Stoffe oder Bauteile, die angeliefert oder eigens angefertigt und bereitgestellt sind, wenn dem Besteller nach seiner Wahl Eigentum an den Stoffen oder Bauteilen übertragen oder entsprechende Sicherheit hierfür geleistet wird.</w:t>
      </w:r>
    </w:p>
    <w:p>
      <w:r>
        <w:t>(2) Die Sicherheit nach Absatz 1 Satz 6 kann auch durch eine Garantie oder ein sonstiges Zahlungsversprechen eines im Geltungsbereich dieses Gesetzes zum Geschäftsbetrieb befugten Kreditinstituts oder Kreditversicherers geleistet werden.</w:t>
      </w:r>
    </w:p>
    <w:p>
      <w:pPr>
        <w:pStyle w:val="Heading6"/>
      </w:pPr>
      <w:bookmarkStart w:id="945" w:name="b931"/>
      <w:r>
        <w:t>§ 633 Sach- und Rechtsmangel</w:t>
      </w:r>
      <w:r>
        <w:t xml:space="preserve"> </w:t>
      </w:r>
      <w:r>
        <w:rPr>
          <w:rStyle w:val="Suchmarke"/>
        </w:rPr>
        <w:t>#633#</w:t>
      </w:r>
      <w:bookmarkEnd w:id="945"/>
    </w:p>
    <w:p>
      <w:r>
        <w:t>(1) Der Unternehmer hat dem Besteller das Werk frei von Sach- und Rechtsmängeln zu verschaffen.</w:t>
      </w:r>
    </w:p>
    <w:p>
      <w:r>
        <w:t xml:space="preserve">(2) </w:t>
      </w:r>
      <w:r>
        <w:rPr>
          <w:rStyle w:val="Satznummer"/>
        </w:rPr>
        <w:t>1</w:t>
      </w:r>
      <w:r>
        <w:t xml:space="preserve">Das Werk ist frei von Sachmängeln, wenn es die vereinbarte Beschaffenheit hat. </w:t>
      </w:r>
      <w:r>
        <w:rPr>
          <w:rStyle w:val="Satznummer"/>
        </w:rPr>
        <w:t>2</w:t>
      </w:r>
      <w:r>
        <w:t>Soweit die Beschaffenheit nicht vereinbart ist, ist das Werk frei von Sachmängeln,</w:t>
      </w:r>
    </w:p>
    <w:p>
      <w:pPr>
        <w:tabs>
          <w:tab w:pos="567" w:val="left"/>
        </w:tabs>
        <w:ind w:left="567" w:hanging="567"/>
      </w:pPr>
      <w:r>
        <w:t>1.</w:t>
      </w:r>
      <w:r>
        <w:tab/>
      </w:r>
      <w:r>
        <w:t>wenn es sich für die nach dem Vertrag vorausgesetzte, sonst</w:t>
      </w:r>
    </w:p>
    <w:p>
      <w:pPr>
        <w:tabs>
          <w:tab w:pos="567" w:val="left"/>
        </w:tabs>
        <w:ind w:left="567" w:hanging="567"/>
      </w:pPr>
      <w:r>
        <w:t>2.</w:t>
      </w:r>
      <w:r>
        <w:tab/>
      </w:r>
      <w:r>
        <w:t>für die gewöhnliche Verwendung eignet und eine Beschaffenheit aufweist, die bei Werken der gleichen Art üblich ist und die der Besteller nach der Art des Werkes erwarten kann.</w:t>
      </w:r>
    </w:p>
    <w:p>
      <w:r>
        <w:rPr>
          <w:rStyle w:val="Satznummer"/>
        </w:rPr>
        <w:t>3</w:t>
      </w:r>
      <w:r>
        <w:t>Einem Sachmangel steht es gleich, wenn der Unternehmer ein anderes als das bestellte Werk oder das Werk in zu geringer Menge herstellt.</w:t>
      </w:r>
    </w:p>
    <w:p>
      <w:r>
        <w:t>(3) Das Werk ist frei von Rechtsmängeln, wenn Dritte in Bezug auf das Werk keine oder nur die im Vertrag übernommenen Rechte gegen den Besteller geltend machen können.</w:t>
      </w:r>
    </w:p>
    <w:p>
      <w:pPr>
        <w:pStyle w:val="Heading6"/>
      </w:pPr>
      <w:bookmarkStart w:id="946" w:name="b932"/>
      <w:r>
        <w:t>§ 634 Rechte des Bestellers bei Mängeln</w:t>
      </w:r>
      <w:r>
        <w:t xml:space="preserve"> </w:t>
      </w:r>
      <w:r>
        <w:rPr>
          <w:rStyle w:val="Suchmarke"/>
        </w:rPr>
        <w:t>#634#</w:t>
      </w:r>
      <w:bookmarkEnd w:id="946"/>
    </w:p>
    <w:p>
      <w:r>
        <w:t>Ist das Werk mangelhaft, kann der Besteller, wenn die Voraussetzungen der folgenden Vorschriften vorliegen und soweit nicht ein anderes bestimmt ist,</w:t>
      </w:r>
    </w:p>
    <w:p>
      <w:pPr>
        <w:tabs>
          <w:tab w:pos="567" w:val="left"/>
        </w:tabs>
        <w:ind w:left="567" w:hanging="567"/>
      </w:pPr>
      <w:r>
        <w:t>1.</w:t>
      </w:r>
      <w:r>
        <w:tab/>
      </w:r>
      <w:r>
        <w:t>nach § 635 Nacherfüllung verlangen,</w:t>
      </w:r>
    </w:p>
    <w:p>
      <w:pPr>
        <w:tabs>
          <w:tab w:pos="567" w:val="left"/>
        </w:tabs>
        <w:ind w:left="567" w:hanging="567"/>
      </w:pPr>
      <w:r>
        <w:t>2.</w:t>
      </w:r>
      <w:r>
        <w:tab/>
      </w:r>
      <w:r>
        <w:t>nach § 637 den Mangel selbst beseitigen und Ersatz der erforderlichen Aufwendungen verlangen,</w:t>
      </w:r>
    </w:p>
    <w:p>
      <w:pPr>
        <w:tabs>
          <w:tab w:pos="567" w:val="left"/>
        </w:tabs>
        <w:ind w:left="567" w:hanging="567"/>
      </w:pPr>
      <w:r>
        <w:t>3.</w:t>
      </w:r>
      <w:r>
        <w:tab/>
      </w:r>
      <w:r>
        <w:t xml:space="preserve">nach den §§ 636, 323 und 326 Abs. 5 von dem Vertrag zurücktreten oder nach </w:t>
      </w:r>
      <w:hyperlink w:anchor="b937" w:history="1">
        <w:r>
          <w:rPr>
            <w:color w:val="0A3A8C"/>
            <w:u w:val="single"/>
          </w:rPr>
          <w:t xml:space="preserve">§ 638</w:t>
        </w:r>
      </w:hyperlink>
      <w:r>
        <w:t xml:space="preserve"> die Vergütung mindern und</w:t>
      </w:r>
    </w:p>
    <w:p>
      <w:pPr>
        <w:tabs>
          <w:tab w:pos="567" w:val="left"/>
        </w:tabs>
        <w:ind w:left="567" w:hanging="567"/>
      </w:pPr>
      <w:r>
        <w:t>4.</w:t>
      </w:r>
      <w:r>
        <w:tab/>
      </w:r>
      <w:r>
        <w:t>nach den §§ 636, 280, 281, 283 und 311a Schadensersatz oder nach § 284 Ersatz vergeblicher Aufwendungen verlangen.</w:t>
      </w:r>
    </w:p>
    <w:p>
      <w:pPr>
        <w:pStyle w:val="Heading6"/>
      </w:pPr>
      <w:bookmarkStart w:id="947" w:name="b933"/>
      <w:r>
        <w:t>§ 634a Verjährung der Mängelansprüche</w:t>
      </w:r>
      <w:r>
        <w:t xml:space="preserve"> </w:t>
      </w:r>
      <w:r>
        <w:rPr>
          <w:rStyle w:val="Suchmarke"/>
        </w:rPr>
        <w:t>#634a#</w:t>
      </w:r>
      <w:bookmarkEnd w:id="947"/>
    </w:p>
    <w:p>
      <w:r>
        <w:t xml:space="preserve">(1) Die in </w:t>
      </w:r>
      <w:hyperlink w:anchor="b932" w:history="1">
        <w:r>
          <w:rPr>
            <w:color w:val="0A3A8C"/>
            <w:u w:val="single"/>
          </w:rPr>
          <w:t xml:space="preserve">§ 634</w:t>
        </w:r>
      </w:hyperlink>
      <w:r>
        <w:t xml:space="preserve"> Nr. 1, 2 und 4 bezeichneten Ansprüche verjähren</w:t>
      </w:r>
    </w:p>
    <w:p>
      <w:pPr>
        <w:tabs>
          <w:tab w:pos="567" w:val="left"/>
        </w:tabs>
        <w:ind w:left="567" w:hanging="567"/>
      </w:pPr>
      <w:r>
        <w:t>1.</w:t>
      </w:r>
      <w:r>
        <w:tab/>
      </w:r>
      <w:r>
        <w:t>vorbehaltlich der Nummer 2 in zwei Jahren bei einem Werk, dessen Erfolg in der Herstellung, Wartung oder Veränderung einer Sache oder in der Erbringung von Planungs- oder Überwachungsleistungen hierfür besteht,</w:t>
      </w:r>
    </w:p>
    <w:p>
      <w:pPr>
        <w:tabs>
          <w:tab w:pos="567" w:val="left"/>
        </w:tabs>
        <w:ind w:left="567" w:hanging="567"/>
      </w:pPr>
      <w:r>
        <w:t>2.</w:t>
      </w:r>
      <w:r>
        <w:tab/>
      </w:r>
      <w:r>
        <w:t>in fünf Jahren bei einem Bauwerk und einem Werk, dessen Erfolg in der Erbringung von Planungs- oder Überwachungsleistungen hierfür besteht, und</w:t>
      </w:r>
    </w:p>
    <w:p>
      <w:pPr>
        <w:tabs>
          <w:tab w:pos="567" w:val="left"/>
        </w:tabs>
        <w:ind w:left="567" w:hanging="567"/>
      </w:pPr>
      <w:r>
        <w:t>3.</w:t>
      </w:r>
      <w:r>
        <w:tab/>
      </w:r>
      <w:r>
        <w:t>im Übrigen in der regelmäßigen Verjährungsfrist.</w:t>
      </w:r>
    </w:p>
    <w:p>
      <w:r>
        <w:t>(2) Die Verjährung beginnt in den Fällen des Absatzes 1 Nr. 1 und 2 mit der Abnahme.</w:t>
      </w:r>
    </w:p>
    <w:p>
      <w:r>
        <w:t xml:space="preserve">(3) </w:t>
      </w:r>
      <w:r>
        <w:rPr>
          <w:rStyle w:val="Satznummer"/>
        </w:rPr>
        <w:t>1</w:t>
      </w:r>
      <w:r>
        <w:t xml:space="preserve">Abweichend von Absatz 1 Nr. 1 und 2 und Absatz 2 verjähren die Ansprüche in der regelmäßigen Verjährungsfrist, wenn der Unternehmer den Mangel arglistig verschwiegen hat. </w:t>
      </w:r>
      <w:r>
        <w:rPr>
          <w:rStyle w:val="Satznummer"/>
        </w:rPr>
        <w:t>2</w:t>
      </w:r>
      <w:r>
        <w:t>Im Falle des Absatzes 1 Nr. 2 tritt die Verjährung jedoch nicht vor Ablauf der dort bestimmten Frist ein.</w:t>
      </w:r>
    </w:p>
    <w:p>
      <w:r>
        <w:t xml:space="preserve">(4) </w:t>
      </w:r>
      <w:r>
        <w:rPr>
          <w:rStyle w:val="Satznummer"/>
        </w:rPr>
        <w:t>1</w:t>
      </w:r>
      <w:r>
        <w:t xml:space="preserve">Für das in </w:t>
      </w:r>
      <w:hyperlink w:anchor="b932" w:history="1">
        <w:r>
          <w:rPr>
            <w:color w:val="0A3A8C"/>
            <w:u w:val="single"/>
          </w:rPr>
          <w:t xml:space="preserve">§ 634</w:t>
        </w:r>
      </w:hyperlink>
      <w:r>
        <w:t xml:space="preserve"> bezeichnete Rücktrittsrecht gilt </w:t>
      </w:r>
      <w:hyperlink w:anchor="b259" w:history="1">
        <w:r>
          <w:rPr>
            <w:color w:val="0A3A8C"/>
            <w:u w:val="single"/>
          </w:rPr>
          <w:t xml:space="preserve">§ 218</w:t>
        </w:r>
      </w:hyperlink>
      <w:r>
        <w:t xml:space="preserve">. </w:t>
      </w:r>
      <w:r>
        <w:rPr>
          <w:rStyle w:val="Satznummer"/>
        </w:rPr>
        <w:t>2</w:t>
      </w:r>
      <w:r>
        <w:t xml:space="preserve">Der Besteller kann trotz einer Unwirksamkeit des Rücktritts nach </w:t>
      </w:r>
      <w:hyperlink w:anchor="b259" w:history="1">
        <w:r>
          <w:rPr>
            <w:color w:val="0A3A8C"/>
            <w:u w:val="single"/>
          </w:rPr>
          <w:t xml:space="preserve">§ 218</w:t>
        </w:r>
      </w:hyperlink>
      <w:r>
        <w:t xml:space="preserve"> Abs. 1 die Zahlung der Vergütung insoweit verweigern, als er auf Grund des Rücktritts dazu berechtigt sein würde. </w:t>
      </w:r>
      <w:r>
        <w:rPr>
          <w:rStyle w:val="Satznummer"/>
        </w:rPr>
        <w:t>3</w:t>
      </w:r>
      <w:r>
        <w:t>Macht er von diesem Recht Gebrauch, kann der Unternehmer vom Vertrag zurücktreten.</w:t>
      </w:r>
    </w:p>
    <w:p>
      <w:r>
        <w:t xml:space="preserve">(5) Auf das in </w:t>
      </w:r>
      <w:hyperlink w:anchor="b932" w:history="1">
        <w:r>
          <w:rPr>
            <w:color w:val="0A3A8C"/>
            <w:u w:val="single"/>
          </w:rPr>
          <w:t xml:space="preserve">§ 634</w:t>
        </w:r>
      </w:hyperlink>
      <w:r>
        <w:t xml:space="preserve"> bezeichnete Minderungsrecht finden </w:t>
      </w:r>
      <w:hyperlink w:anchor="b259" w:history="1">
        <w:r>
          <w:rPr>
            <w:color w:val="0A3A8C"/>
            <w:u w:val="single"/>
          </w:rPr>
          <w:t xml:space="preserve">§ 218</w:t>
        </w:r>
      </w:hyperlink>
      <w:r>
        <w:t xml:space="preserve"> und Absatz 4 Satz 2 entsprechende Anwendung.</w:t>
      </w:r>
    </w:p>
    <w:p>
      <w:pPr>
        <w:pStyle w:val="Heading6"/>
      </w:pPr>
      <w:bookmarkStart w:id="948" w:name="b934"/>
      <w:r>
        <w:t>§ 635 Nacherfüllung</w:t>
      </w:r>
      <w:r>
        <w:t xml:space="preserve"> </w:t>
      </w:r>
      <w:r>
        <w:rPr>
          <w:rStyle w:val="Suchmarke"/>
        </w:rPr>
        <w:t>#635#</w:t>
      </w:r>
      <w:bookmarkEnd w:id="948"/>
    </w:p>
    <w:p>
      <w:r>
        <w:t>(1) Verlangt der Besteller Nacherfüllung, so kann der Unternehmer nach seiner Wahl den Mangel beseitigen oder ein neues Werk herstellen.</w:t>
      </w:r>
    </w:p>
    <w:p>
      <w:r>
        <w:t>(2) Der Unternehmer hat die zum Zwecke der Nacherfüllung erforderlichen Aufwendungen, insbesondere Transport-, Wege-, Arbeits- und Materialkosten zu tragen.</w:t>
      </w:r>
    </w:p>
    <w:p>
      <w:r>
        <w:t xml:space="preserve">(3) Der Unternehmer kann die Nacherfüllung unbeschadet des </w:t>
      </w:r>
      <w:hyperlink w:anchor="b319" w:history="1">
        <w:r>
          <w:rPr>
            <w:color w:val="0A3A8C"/>
            <w:u w:val="single"/>
          </w:rPr>
          <w:t xml:space="preserve">§ 275</w:t>
        </w:r>
      </w:hyperlink>
      <w:r>
        <w:t xml:space="preserve"> Abs. 2 und 3 verweigern, wenn sie nur mit unverhältnismäßigen Kosten möglich ist.</w:t>
      </w:r>
    </w:p>
    <w:p>
      <w:r>
        <w:t xml:space="preserve">(4) Stellt der Unternehmer ein neues Werk her, so kann er vom Besteller Rückgewähr des mangelhaften Werkes nach Maßgabe der </w:t>
      </w:r>
      <w:hyperlink w:anchor="b451" w:history="1">
        <w:r>
          <w:rPr>
            <w:color w:val="0A3A8C"/>
            <w:u w:val="single"/>
          </w:rPr>
          <w:t xml:space="preserve">§§ 346</w:t>
        </w:r>
      </w:hyperlink>
      <w:r>
        <w:t xml:space="preserve"> bis </w:t>
      </w:r>
      <w:hyperlink w:anchor="b453" w:history="1">
        <w:r>
          <w:rPr>
            <w:color w:val="0A3A8C"/>
            <w:u w:val="single"/>
          </w:rPr>
          <w:t xml:space="preserve">348</w:t>
        </w:r>
      </w:hyperlink>
      <w:r>
        <w:t xml:space="preserve"> verlangen.</w:t>
      </w:r>
    </w:p>
    <w:p>
      <w:pPr>
        <w:pStyle w:val="Heading6"/>
      </w:pPr>
      <w:bookmarkStart w:id="949" w:name="b935"/>
      <w:r>
        <w:t>§ 636 Besondere Bestimmungen für Rücktritt und Schadensersatz</w:t>
      </w:r>
      <w:r>
        <w:t xml:space="preserve"> </w:t>
      </w:r>
      <w:r>
        <w:rPr>
          <w:rStyle w:val="Suchmarke"/>
        </w:rPr>
        <w:t>#636#</w:t>
      </w:r>
      <w:bookmarkEnd w:id="949"/>
    </w:p>
    <w:p>
      <w:r>
        <w:t xml:space="preserve">Außer in den Fällen der </w:t>
      </w:r>
      <w:hyperlink w:anchor="b325" w:history="1">
        <w:r>
          <w:rPr>
            <w:color w:val="0A3A8C"/>
            <w:u w:val="single"/>
          </w:rPr>
          <w:t xml:space="preserve">§§ 281</w:t>
        </w:r>
      </w:hyperlink>
      <w:r>
        <w:t xml:space="preserve"> Abs. 2 und 323 Abs. 2 bedarf es der Fristsetzung auch dann nicht, wenn der Unternehmer die Nacherfüllung gemäß </w:t>
      </w:r>
      <w:hyperlink w:anchor="b934" w:history="1">
        <w:r>
          <w:rPr>
            <w:color w:val="0A3A8C"/>
            <w:u w:val="single"/>
          </w:rPr>
          <w:t xml:space="preserve">§ 635</w:t>
        </w:r>
      </w:hyperlink>
      <w:r>
        <w:t xml:space="preserve"> Abs. 3 verweigert oder wenn die Nacherfüllung fehlgeschlagen oder dem Besteller unzumutbar ist.</w:t>
      </w:r>
    </w:p>
    <w:p>
      <w:pPr>
        <w:pStyle w:val="Heading6"/>
      </w:pPr>
      <w:bookmarkStart w:id="950" w:name="b936"/>
      <w:r>
        <w:t>§ 637 Selbstvornahme</w:t>
      </w:r>
      <w:r>
        <w:t xml:space="preserve"> </w:t>
      </w:r>
      <w:r>
        <w:rPr>
          <w:rStyle w:val="Suchmarke"/>
        </w:rPr>
        <w:t>#637#</w:t>
      </w:r>
      <w:bookmarkEnd w:id="950"/>
    </w:p>
    <w:p>
      <w:r>
        <w:t>(1) Der Besteller kann wegen eines Mangels des Werkes nach erfolglosem Ablauf einer von ihm zur Nacherfüllung bestimmten angemessenen Frist den Mangel selbst beseitigen und Ersatz der erforderlichen Aufwendungen verlangen, wenn nicht der Unternehmer die Nacherfüllung zu Recht verweigert.</w:t>
      </w:r>
    </w:p>
    <w:p>
      <w:r>
        <w:t xml:space="preserve">(2) </w:t>
      </w:r>
      <w:r>
        <w:rPr>
          <w:rStyle w:val="Satznummer"/>
        </w:rPr>
        <w:t>1</w:t>
      </w:r>
      <w:hyperlink w:anchor="b400" w:history="1">
        <w:r>
          <w:rPr>
            <w:color w:val="0A3A8C"/>
            <w:u w:val="single"/>
          </w:rPr>
          <w:t xml:space="preserve">§ 323</w:t>
        </w:r>
      </w:hyperlink>
      <w:r>
        <w:t xml:space="preserve"> Abs. 2 findet entsprechende Anwendung. </w:t>
      </w:r>
      <w:r>
        <w:rPr>
          <w:rStyle w:val="Satznummer"/>
        </w:rPr>
        <w:t>2</w:t>
      </w:r>
      <w:r>
        <w:t>Der Bestimmung einer Frist bedarf es auch dann nicht, wenn die Nacherfüllung fehlgeschlagen oder dem Besteller unzumutbar ist.</w:t>
      </w:r>
    </w:p>
    <w:p>
      <w:r>
        <w:t>(3) Der Besteller kann von dem Unternehmer für die zur Beseitigung des Mangels erforderlichen Aufwendungen Vorschuss verlangen.</w:t>
      </w:r>
    </w:p>
    <w:p>
      <w:pPr>
        <w:pStyle w:val="Heading6"/>
      </w:pPr>
      <w:bookmarkStart w:id="951" w:name="b937"/>
      <w:r>
        <w:t>§ 638 Minderung</w:t>
      </w:r>
      <w:r>
        <w:t xml:space="preserve"> </w:t>
      </w:r>
      <w:r>
        <w:rPr>
          <w:rStyle w:val="Suchmarke"/>
        </w:rPr>
        <w:t>#638#</w:t>
      </w:r>
      <w:bookmarkEnd w:id="951"/>
    </w:p>
    <w:p>
      <w:r>
        <w:t xml:space="preserve">(1) </w:t>
      </w:r>
      <w:r>
        <w:rPr>
          <w:rStyle w:val="Satznummer"/>
        </w:rPr>
        <w:t>1</w:t>
      </w:r>
      <w:r>
        <w:t xml:space="preserve">Statt zurückzutreten, kann der Besteller die Vergütung durch Erklärung gegenüber dem Unternehmer mindern. </w:t>
      </w:r>
      <w:r>
        <w:rPr>
          <w:rStyle w:val="Satznummer"/>
        </w:rPr>
        <w:t>2</w:t>
      </w:r>
      <w:r>
        <w:t xml:space="preserve">Der Ausschlussgrund des </w:t>
      </w:r>
      <w:hyperlink w:anchor="b400" w:history="1">
        <w:r>
          <w:rPr>
            <w:color w:val="0A3A8C"/>
            <w:u w:val="single"/>
          </w:rPr>
          <w:t xml:space="preserve">§ 323</w:t>
        </w:r>
      </w:hyperlink>
      <w:r>
        <w:t xml:space="preserve"> Abs. 5 Satz 2 findet keine Anwendung.</w:t>
      </w:r>
    </w:p>
    <w:p>
      <w:r>
        <w:t>(2) Sind auf der Seite des Bestellers oder auf der Seite des Unternehmers mehrere beteiligt, so kann die Minderung nur von allen oder gegen alle erklärt werden.</w:t>
      </w:r>
    </w:p>
    <w:p>
      <w:r>
        <w:t xml:space="preserve">(3) </w:t>
      </w:r>
      <w:r>
        <w:rPr>
          <w:rStyle w:val="Satznummer"/>
        </w:rPr>
        <w:t>1</w:t>
      </w:r>
      <w:r>
        <w:t xml:space="preserve">Bei der Minderung ist die Vergütung in dem Verhältnis herabzusetzen, in welchem zur Zeit des Vertragsschlusses der Wert des Werkes in mangelfreiem Zustand zu dem wirklichen Wert gestanden haben würde. </w:t>
      </w:r>
      <w:r>
        <w:rPr>
          <w:rStyle w:val="Satznummer"/>
        </w:rPr>
        <w:t>2</w:t>
      </w:r>
      <w:r>
        <w:t>Die Minderung ist, soweit erforderlich, durch Schätzung zu ermitteln.</w:t>
      </w:r>
    </w:p>
    <w:p>
      <w:r>
        <w:t xml:space="preserve">(4) </w:t>
      </w:r>
      <w:r>
        <w:rPr>
          <w:rStyle w:val="Satznummer"/>
        </w:rPr>
        <w:t>1</w:t>
      </w:r>
      <w:r>
        <w:t xml:space="preserve">Hat der Besteller mehr als die geminderte Vergütung gezahlt, so ist der Mehrbetrag vom Unternehmer zu erstatten. </w:t>
      </w:r>
      <w:r>
        <w:rPr>
          <w:rStyle w:val="Satznummer"/>
        </w:rPr>
        <w:t>2</w:t>
      </w:r>
      <w:hyperlink w:anchor="b451" w:history="1">
        <w:r>
          <w:rPr>
            <w:color w:val="0A3A8C"/>
            <w:u w:val="single"/>
          </w:rPr>
          <w:t xml:space="preserve">§ 346</w:t>
        </w:r>
      </w:hyperlink>
      <w:r>
        <w:t xml:space="preserve"> Abs. 1 und </w:t>
      </w:r>
      <w:hyperlink w:anchor="b452" w:history="1">
        <w:r>
          <w:rPr>
            <w:color w:val="0A3A8C"/>
            <w:u w:val="single"/>
          </w:rPr>
          <w:t xml:space="preserve">§ 347</w:t>
        </w:r>
      </w:hyperlink>
      <w:r>
        <w:t xml:space="preserve"> Abs. 1 finden entsprechende Anwendung.</w:t>
      </w:r>
    </w:p>
    <w:p>
      <w:pPr>
        <w:pStyle w:val="Heading6"/>
      </w:pPr>
      <w:bookmarkStart w:id="952" w:name="b938"/>
      <w:r>
        <w:t>§ 639 Haftungsausschluss</w:t>
      </w:r>
      <w:r>
        <w:t xml:space="preserve"> </w:t>
      </w:r>
      <w:r>
        <w:rPr>
          <w:rStyle w:val="Suchmarke"/>
        </w:rPr>
        <w:t>#639#</w:t>
      </w:r>
      <w:bookmarkEnd w:id="952"/>
    </w:p>
    <w:p>
      <w:r>
        <w:t>Auf eine Vereinbarung, durch welche die Rechte des Bestellers wegen eines Mangels ausgeschlossen oder beschränkt werden, kann sich der Unternehmer nicht berufen, soweit er den Mangel arglistig verschwiegen oder eine Garantie für die Beschaffenheit des Werkes übernommen hat.</w:t>
      </w:r>
    </w:p>
    <w:p>
      <w:pPr>
        <w:pStyle w:val="Heading6"/>
      </w:pPr>
      <w:bookmarkStart w:id="953" w:name="b939"/>
      <w:r>
        <w:t>§ 640 Abnahme</w:t>
      </w:r>
      <w:r>
        <w:t xml:space="preserve"> </w:t>
      </w:r>
      <w:r>
        <w:rPr>
          <w:rStyle w:val="Suchmarke"/>
        </w:rPr>
        <w:t>#640#</w:t>
      </w:r>
      <w:bookmarkEnd w:id="953"/>
    </w:p>
    <w:p>
      <w:r>
        <w:t xml:space="preserve">(1) </w:t>
      </w:r>
      <w:r>
        <w:rPr>
          <w:rStyle w:val="Satznummer"/>
        </w:rPr>
        <w:t>1</w:t>
      </w:r>
      <w:r>
        <w:t xml:space="preserve">Der Besteller ist verpflichtet, das vertragsmäßig hergestellte Werk abzunehmen, sofern nicht nach der Beschaffenheit des Werkes die Abnahme ausgeschlossen ist. </w:t>
      </w:r>
      <w:r>
        <w:rPr>
          <w:rStyle w:val="Satznummer"/>
        </w:rPr>
        <w:t>2</w:t>
      </w:r>
      <w:r>
        <w:t>Wegen unwesentlicher Mängel kann die Abnahme nicht verweigert werden.</w:t>
      </w:r>
    </w:p>
    <w:p>
      <w:r>
        <w:t xml:space="preserve">(2) </w:t>
      </w:r>
      <w:r>
        <w:rPr>
          <w:rStyle w:val="Satznummer"/>
        </w:rPr>
        <w:t>1</w:t>
      </w:r>
      <w:r>
        <w:t xml:space="preserve">Als abgenommen gilt ein Werk auch, wenn der Unternehmer dem Besteller nach Fertigstellung des Werks eine angemessene Frist zur Abnahme gesetzt hat und der Besteller die Abnahme nicht innerhalb dieser Frist unter Angabe mindestens eines Mangels verweigert hat. </w:t>
      </w:r>
      <w:r>
        <w:rPr>
          <w:rStyle w:val="Satznummer"/>
        </w:rPr>
        <w:t>2</w:t>
      </w:r>
      <w:r>
        <w:t>Ist der Besteller ein Verbraucher, so treten die Rechtsfolgen des Satzes 1 nur dann ein, wenn der Unternehmer den Besteller zusammen mit der Aufforderung zur Abnahme auf die Folgen einer nicht erklärten oder ohne Angabe von Mängeln verweigerten Abnahme hingewiesen hat; der Hinweis muss in Textform erfolgen.</w:t>
      </w:r>
    </w:p>
    <w:p>
      <w:r>
        <w:t xml:space="preserve">(3) Nimmt der Besteller ein mangelhaftes Werk gemäß Absatz 1 Satz 1 ab, obschon er den Mangel kennt, so stehen ihm die in </w:t>
      </w:r>
      <w:hyperlink w:anchor="b932" w:history="1">
        <w:r>
          <w:rPr>
            <w:color w:val="0A3A8C"/>
            <w:u w:val="single"/>
          </w:rPr>
          <w:t xml:space="preserve">§ 634</w:t>
        </w:r>
      </w:hyperlink>
      <w:r>
        <w:t xml:space="preserve"> Nr. 1 bis 3 bezeichneten Rechte nur zu, wenn er sich seine Rechte wegen des Mangels bei der Abnahme vorbehält.</w:t>
      </w:r>
    </w:p>
    <w:p>
      <w:pPr>
        <w:pStyle w:val="Heading6"/>
      </w:pPr>
      <w:bookmarkStart w:id="954" w:name="b940"/>
      <w:r>
        <w:t>§ 641 Fälligkeit der Vergütung</w:t>
      </w:r>
      <w:r>
        <w:t xml:space="preserve"> </w:t>
      </w:r>
      <w:r>
        <w:rPr>
          <w:rStyle w:val="Suchmarke"/>
        </w:rPr>
        <w:t>#641#</w:t>
      </w:r>
      <w:bookmarkEnd w:id="954"/>
    </w:p>
    <w:p>
      <w:r>
        <w:t xml:space="preserve">(1) </w:t>
      </w:r>
      <w:r>
        <w:rPr>
          <w:rStyle w:val="Satznummer"/>
        </w:rPr>
        <w:t>1</w:t>
      </w:r>
      <w:r>
        <w:t xml:space="preserve">Die Vergütung ist bei der Abnahme des Werkes zu entrichten. </w:t>
      </w:r>
      <w:r>
        <w:rPr>
          <w:rStyle w:val="Satznummer"/>
        </w:rPr>
        <w:t>2</w:t>
      </w:r>
      <w:r>
        <w:t>Ist das Werk in Teilen abzunehmen und die Vergütung für die einzelnen Teile bestimmt, so ist die Vergütung für jeden Teil bei dessen Abnahme zu entrichten.</w:t>
      </w:r>
    </w:p>
    <w:p>
      <w:r>
        <w:t xml:space="preserve">(2) </w:t>
      </w:r>
      <w:r>
        <w:rPr>
          <w:rStyle w:val="Satznummer"/>
        </w:rPr>
        <w:t>1</w:t>
      </w:r>
      <w:r>
        <w:t>Die Vergütung des Unternehmers für ein Werk, dessen Herstellung der Besteller einem Dritten versprochen hat, wird spätestens fällig,</w:t>
      </w:r>
    </w:p>
    <w:p>
      <w:pPr>
        <w:tabs>
          <w:tab w:pos="567" w:val="left"/>
        </w:tabs>
        <w:ind w:left="567" w:hanging="567"/>
      </w:pPr>
      <w:r>
        <w:t>1.</w:t>
      </w:r>
      <w:r>
        <w:tab/>
      </w:r>
      <w:r>
        <w:t>soweit der Besteller von dem Dritten für das versprochene Werk wegen dessen Herstellung seine Vergütung oder Teile davon erhalten hat,</w:t>
      </w:r>
    </w:p>
    <w:p>
      <w:pPr>
        <w:tabs>
          <w:tab w:pos="567" w:val="left"/>
        </w:tabs>
        <w:ind w:left="567" w:hanging="567"/>
      </w:pPr>
      <w:r>
        <w:t>2.</w:t>
      </w:r>
      <w:r>
        <w:tab/>
      </w:r>
      <w:r>
        <w:t>soweit das Werk des Bestellers von dem Dritten abgenommen worden ist oder als abgenommen gilt oder</w:t>
      </w:r>
    </w:p>
    <w:p>
      <w:pPr>
        <w:tabs>
          <w:tab w:pos="567" w:val="left"/>
        </w:tabs>
        <w:ind w:left="567" w:hanging="567"/>
      </w:pPr>
      <w:r>
        <w:t>3.</w:t>
      </w:r>
      <w:r>
        <w:tab/>
      </w:r>
      <w:r>
        <w:t>wenn der Unternehmer dem Besteller erfolglos eine angemessene Frist zur Auskunft über die in den Nummern 1 und 2 bezeichneten Umstände bestimmt hat.</w:t>
      </w:r>
    </w:p>
    <w:p>
      <w:r>
        <w:rPr>
          <w:rStyle w:val="Satznummer"/>
        </w:rPr>
        <w:t>2</w:t>
      </w:r>
      <w:r>
        <w:t>Hat der Besteller dem Dritten wegen möglicher Mängel des Werks Sicherheit geleistet, gilt Satz 1 nur, wenn der Unternehmer dem Besteller entsprechende Sicherheit leistet.</w:t>
      </w:r>
    </w:p>
    <w:p>
      <w:r>
        <w:t>(3) Kann der Besteller die Beseitigung eines Mangels verlangen, so kann er nach der Fälligkeit die Zahlung eines angemessenen Teils der Vergütung verweigern; angemessen ist in der Regel das Doppelte der für die Beseitigung des Mangels erforderlichen Kosten.</w:t>
      </w:r>
    </w:p>
    <w:p>
      <w:r>
        <w:t>(4) Eine in Geld festgesetzte Vergütung hat der Besteller von der Abnahme des Werkes an zu verzinsen, sofern nicht die Vergütung gestundet ist.</w:t>
      </w:r>
    </w:p>
    <w:p>
      <w:pPr>
        <w:pStyle w:val="Heading6"/>
      </w:pPr>
      <w:bookmarkStart w:id="955" w:name="b941"/>
      <w:r>
        <w:t>§ 641a (weggefallen)</w:t>
      </w:r>
      <w:r>
        <w:t xml:space="preserve"> </w:t>
      </w:r>
      <w:r>
        <w:rPr>
          <w:rStyle w:val="Suchmarke"/>
        </w:rPr>
        <w:t>#641a#</w:t>
      </w:r>
      <w:bookmarkEnd w:id="955"/>
    </w:p>
    <w:p>
      <w:r>
        <w:t>-</w:t>
      </w:r>
    </w:p>
    <w:p>
      <w:pPr>
        <w:pStyle w:val="Heading6"/>
      </w:pPr>
      <w:bookmarkStart w:id="956" w:name="b942"/>
      <w:r>
        <w:t>§ 642 Mitwirkung des Bestellers</w:t>
      </w:r>
      <w:r>
        <w:t xml:space="preserve"> </w:t>
      </w:r>
      <w:r>
        <w:rPr>
          <w:rStyle w:val="Suchmarke"/>
        </w:rPr>
        <w:t>#642#</w:t>
      </w:r>
      <w:bookmarkEnd w:id="956"/>
    </w:p>
    <w:p>
      <w:r>
        <w:t>(1) Ist bei der Herstellung des Werkes eine Handlung des Bestellers erforderlich, so kann der Unternehmer, wenn der Besteller durch das Unterlassen der Handlung in Verzug der Annahme kommt, eine angemessene Entschädigung verlangen.</w:t>
      </w:r>
    </w:p>
    <w:p>
      <w:r>
        <w:t>(2) Die Höhe der Entschädigung bestimmt sich einerseits nach der Dauer des Verzugs und der Höhe der vereinbarten Vergütung, andererseits nach demjenigen, was der Unternehmer infolge des Verzugs an Aufwendungen erspart oder durch anderweitige Verwendung seiner Arbeitskraft erwerben kann.</w:t>
      </w:r>
    </w:p>
    <w:p>
      <w:pPr>
        <w:pStyle w:val="Heading6"/>
      </w:pPr>
      <w:bookmarkStart w:id="957" w:name="b943"/>
      <w:r>
        <w:t>§ 643 Kündigung bei unterlassener Mitwirkung</w:t>
      </w:r>
      <w:r>
        <w:t xml:space="preserve"> </w:t>
      </w:r>
      <w:r>
        <w:rPr>
          <w:rStyle w:val="Suchmarke"/>
        </w:rPr>
        <w:t>#643#</w:t>
      </w:r>
      <w:bookmarkEnd w:id="957"/>
    </w:p>
    <w:p>
      <w:r>
        <w:rPr>
          <w:rStyle w:val="Satznummer"/>
        </w:rPr>
        <w:t>1</w:t>
      </w:r>
      <w:r>
        <w:t xml:space="preserve">Der Unternehmer ist im Falle des </w:t>
      </w:r>
      <w:hyperlink w:anchor="b942" w:history="1">
        <w:r>
          <w:rPr>
            <w:color w:val="0A3A8C"/>
            <w:u w:val="single"/>
          </w:rPr>
          <w:t xml:space="preserve">§ 642</w:t>
        </w:r>
      </w:hyperlink>
      <w:r>
        <w:t xml:space="preserve"> berechtigt, dem Besteller zur Nachholung der Handlung eine angemessene Frist mit der Erklärung zu bestimmen, dass er den Vertrag kündige, wenn die Handlung nicht bis zum Ablauf der Frist vorgenommen werde. </w:t>
      </w:r>
      <w:r>
        <w:rPr>
          <w:rStyle w:val="Satznummer"/>
        </w:rPr>
        <w:t>2</w:t>
      </w:r>
      <w:r>
        <w:t>Der Vertrag gilt als aufgehoben, wenn nicht die Nachholung bis zum Ablauf der Frist erfolgt.</w:t>
      </w:r>
    </w:p>
    <w:p>
      <w:pPr>
        <w:pStyle w:val="Heading6"/>
      </w:pPr>
      <w:bookmarkStart w:id="958" w:name="b944"/>
      <w:r>
        <w:t>§ 644 Gefahrtragung</w:t>
      </w:r>
      <w:r>
        <w:t xml:space="preserve"> </w:t>
      </w:r>
      <w:r>
        <w:rPr>
          <w:rStyle w:val="Suchmarke"/>
        </w:rPr>
        <w:t>#644#</w:t>
      </w:r>
      <w:bookmarkEnd w:id="958"/>
    </w:p>
    <w:p>
      <w:r>
        <w:t xml:space="preserve">(1) </w:t>
      </w:r>
      <w:r>
        <w:rPr>
          <w:rStyle w:val="Satznummer"/>
        </w:rPr>
        <w:t>1</w:t>
      </w:r>
      <w:r>
        <w:t xml:space="preserve">Der Unternehmer trägt die Gefahr bis zur Abnahme des Werkes. </w:t>
      </w:r>
      <w:r>
        <w:rPr>
          <w:rStyle w:val="Satznummer"/>
        </w:rPr>
        <w:t>2</w:t>
      </w:r>
      <w:r>
        <w:t xml:space="preserve">Kommt der Besteller in Verzug der Annahme, so geht die Gefahr auf ihn über. </w:t>
      </w:r>
      <w:r>
        <w:rPr>
          <w:rStyle w:val="Satznummer"/>
        </w:rPr>
        <w:t>3</w:t>
      </w:r>
      <w:r>
        <w:t>Für den zufälligen Untergang und eine zufällige Verschlechterung des von dem Besteller gelieferten Stoffes ist der Unternehmer nicht verantwortlich.</w:t>
      </w:r>
    </w:p>
    <w:p>
      <w:r>
        <w:t xml:space="preserve">(2) Versendet der Unternehmer das Werk auf Verlangen des Bestellers nach einem anderen Ort als dem Erfüllungsort, so findet die für den Kauf geltende Vorschrift des </w:t>
      </w:r>
      <w:hyperlink w:anchor="b578" w:history="1">
        <w:r>
          <w:rPr>
            <w:color w:val="0A3A8C"/>
            <w:u w:val="single"/>
          </w:rPr>
          <w:t xml:space="preserve">§ 447</w:t>
        </w:r>
      </w:hyperlink>
      <w:r>
        <w:t xml:space="preserve"> entsprechende Anwendung.</w:t>
      </w:r>
    </w:p>
    <w:p>
      <w:pPr>
        <w:pStyle w:val="Heading6"/>
      </w:pPr>
      <w:bookmarkStart w:id="959" w:name="b945"/>
      <w:r>
        <w:t>§ 645 Verantwortlichkeit des Bestellers</w:t>
      </w:r>
      <w:r>
        <w:t xml:space="preserve"> </w:t>
      </w:r>
      <w:r>
        <w:rPr>
          <w:rStyle w:val="Suchmarke"/>
        </w:rPr>
        <w:t>#645#</w:t>
      </w:r>
      <w:bookmarkEnd w:id="959"/>
    </w:p>
    <w:p>
      <w:r>
        <w:t xml:space="preserve">(1) </w:t>
      </w:r>
      <w:r>
        <w:rPr>
          <w:rStyle w:val="Satznummer"/>
        </w:rPr>
        <w:t>1</w:t>
      </w:r>
      <w:r>
        <w:t xml:space="preserve">Ist das Werk vor der Abnahme infolge eines Mangels des von dem Besteller gelieferten Stoffes oder infolge einer von dem Besteller für die Ausführung erteilten Anweisung untergegangen, verschlechtert oder unausführbar geworden, ohne dass ein Umstand mitgewirkt hat, den der Unternehmer zu vertreten hat, so kann der Unternehmer einen der geleisteten Arbeit entsprechenden Teil der Vergütung und Ersatz der in der Vergütung nicht inbegriffenen Auslagen verlangen. </w:t>
      </w:r>
      <w:r>
        <w:rPr>
          <w:rStyle w:val="Satznummer"/>
        </w:rPr>
        <w:t>2</w:t>
      </w:r>
      <w:r>
        <w:t xml:space="preserve">Das Gleiche gilt, wenn der Vertrag in Gemäßheit des </w:t>
      </w:r>
      <w:hyperlink w:anchor="b943" w:history="1">
        <w:r>
          <w:rPr>
            <w:color w:val="0A3A8C"/>
            <w:u w:val="single"/>
          </w:rPr>
          <w:t xml:space="preserve">§ 643</w:t>
        </w:r>
      </w:hyperlink>
      <w:r>
        <w:t xml:space="preserve"> aufgehoben wird.</w:t>
      </w:r>
    </w:p>
    <w:p>
      <w:r>
        <w:t>(2) Eine weitergehende Haftung des Bestellers wegen Verschuldens bleibt unberührt.</w:t>
      </w:r>
    </w:p>
    <w:p>
      <w:pPr>
        <w:pStyle w:val="Heading6"/>
      </w:pPr>
      <w:bookmarkStart w:id="960" w:name="b946"/>
      <w:r>
        <w:t>§ 646 Vollendung statt Abnahme</w:t>
      </w:r>
      <w:r>
        <w:t xml:space="preserve"> </w:t>
      </w:r>
      <w:r>
        <w:rPr>
          <w:rStyle w:val="Suchmarke"/>
        </w:rPr>
        <w:t>#646#</w:t>
      </w:r>
      <w:bookmarkEnd w:id="960"/>
    </w:p>
    <w:p>
      <w:r>
        <w:t xml:space="preserve">Ist nach der Beschaffenheit des Werkes die Abnahme ausgeschlossen, so tritt in den Fällen des </w:t>
      </w:r>
      <w:hyperlink w:anchor="b933" w:history="1">
        <w:r>
          <w:rPr>
            <w:color w:val="0A3A8C"/>
            <w:u w:val="single"/>
          </w:rPr>
          <w:t xml:space="preserve">§ 634a</w:t>
        </w:r>
      </w:hyperlink>
      <w:r>
        <w:t xml:space="preserve"> Abs. 2 und der </w:t>
      </w:r>
      <w:hyperlink w:anchor="b940" w:history="1">
        <w:r>
          <w:rPr>
            <w:color w:val="0A3A8C"/>
            <w:u w:val="single"/>
          </w:rPr>
          <w:t xml:space="preserve">§§ 641</w:t>
        </w:r>
      </w:hyperlink>
      <w:r>
        <w:t xml:space="preserve">, </w:t>
      </w:r>
      <w:hyperlink w:anchor="b944" w:history="1">
        <w:r>
          <w:rPr>
            <w:color w:val="0A3A8C"/>
            <w:u w:val="single"/>
          </w:rPr>
          <w:t xml:space="preserve">644</w:t>
        </w:r>
      </w:hyperlink>
      <w:r>
        <w:t xml:space="preserve"> und </w:t>
      </w:r>
      <w:hyperlink w:anchor="b945" w:history="1">
        <w:r>
          <w:rPr>
            <w:color w:val="0A3A8C"/>
            <w:u w:val="single"/>
          </w:rPr>
          <w:t xml:space="preserve">645</w:t>
        </w:r>
      </w:hyperlink>
      <w:r>
        <w:t xml:space="preserve"> an die Stelle der Abnahme die Vollendung des Werkes.</w:t>
      </w:r>
    </w:p>
    <w:p>
      <w:pPr>
        <w:pStyle w:val="Heading6"/>
      </w:pPr>
      <w:bookmarkStart w:id="961" w:name="b947"/>
      <w:r>
        <w:t>§ 647 Unternehmerpfandrecht</w:t>
      </w:r>
      <w:r>
        <w:t xml:space="preserve"> </w:t>
      </w:r>
      <w:r>
        <w:rPr>
          <w:rStyle w:val="Suchmarke"/>
        </w:rPr>
        <w:t>#647#</w:t>
      </w:r>
      <w:bookmarkEnd w:id="961"/>
    </w:p>
    <w:p>
      <w:r>
        <w:t>Der Unternehmer hat für seine Forderungen aus dem Vertrag ein Pfandrecht an den von ihm hergestellten oder ausgebesserten beweglichen Sachen des Bestellers, wenn sie bei der Herstellung oder zum Zwecke der Ausbesserung in seinen Besitz gelangt sind.</w:t>
      </w:r>
    </w:p>
    <w:p>
      <w:pPr>
        <w:pStyle w:val="Heading6"/>
      </w:pPr>
      <w:bookmarkStart w:id="962" w:name="b948"/>
      <w:r>
        <w:t>§ 647a Sicherungshypothek des Inhabers einer Schiffswerft</w:t>
      </w:r>
      <w:r>
        <w:t xml:space="preserve"> </w:t>
      </w:r>
      <w:r>
        <w:rPr>
          <w:rStyle w:val="Suchmarke"/>
        </w:rPr>
        <w:t>#647a#</w:t>
      </w:r>
      <w:bookmarkEnd w:id="962"/>
    </w:p>
    <w:p>
      <w:r>
        <w:rPr>
          <w:rStyle w:val="Satznummer"/>
        </w:rPr>
        <w:t>1</w:t>
      </w:r>
      <w:r>
        <w:t xml:space="preserve">Der Inhaber einer Schiffswerft kann für seine Forderungen aus dem Bau oder der Ausbesserung eines Schiffes die Einräumung einer Schiffshypothek an dem Schiffsbauwerk oder dem Schiff des Bestellers verlangen. </w:t>
      </w:r>
      <w:r>
        <w:rPr>
          <w:rStyle w:val="Satznummer"/>
        </w:rPr>
        <w:t>2</w:t>
      </w:r>
      <w:r>
        <w:t xml:space="preserve">Ist das Werk noch nicht vollendet, so kann er die Einräumung der Schiffshypothek für einen der geleisteten Arbeit entsprechenden Teil der Vergütung und für die in der Vergütung nicht inbegriffenen Auslagen verlangen. </w:t>
      </w:r>
      <w:r>
        <w:rPr>
          <w:rStyle w:val="Satznummer"/>
        </w:rPr>
        <w:t>3</w:t>
      </w:r>
      <w:hyperlink w:anchor="b947" w:history="1">
        <w:r>
          <w:rPr>
            <w:color w:val="0A3A8C"/>
            <w:u w:val="single"/>
          </w:rPr>
          <w:t xml:space="preserve">§ 647</w:t>
        </w:r>
      </w:hyperlink>
      <w:r>
        <w:t xml:space="preserve"> findet keine Anwendung.</w:t>
      </w:r>
    </w:p>
    <w:p>
      <w:pPr>
        <w:pStyle w:val="Heading6"/>
      </w:pPr>
      <w:bookmarkStart w:id="963" w:name="b949"/>
      <w:r>
        <w:t>§ 648 Kündigungsrecht des Bestellers</w:t>
      </w:r>
      <w:r>
        <w:t xml:space="preserve"> </w:t>
      </w:r>
      <w:r>
        <w:rPr>
          <w:rStyle w:val="Suchmarke"/>
        </w:rPr>
        <w:t>#648#</w:t>
      </w:r>
      <w:bookmarkEnd w:id="963"/>
    </w:p>
    <w:p>
      <w:r>
        <w:rPr>
          <w:rStyle w:val="Satznummer"/>
        </w:rPr>
        <w:t>1</w:t>
      </w:r>
      <w:r>
        <w:t xml:space="preserve">Der Besteller kann bis zur Vollendung des Werkes jederzeit den Vertrag kündigen. </w:t>
      </w:r>
      <w:r>
        <w:rPr>
          <w:rStyle w:val="Satznummer"/>
        </w:rPr>
        <w:t>2</w:t>
      </w:r>
      <w:r>
        <w:t xml:space="preserve">Kündigt der Besteller, so ist der Unternehmer berechtigt, die vereinbarte Vergütung zu verlangen; er muss sich jedoch dasjenige anrechnen lassen, was er infolge der Aufhebung des Vertrags an Aufwendungen erspart oder durch anderweitige Verwendung seiner Arbeitskraft erwirbt oder zu erwerben böswillig unterlässt. </w:t>
      </w:r>
      <w:r>
        <w:rPr>
          <w:rStyle w:val="Satznummer"/>
        </w:rPr>
        <w:t>3</w:t>
      </w:r>
      <w:r>
        <w:t>Es wird vermutet, dass danach dem Unternehmer 5 vom Hundert der auf den noch nicht erbrachten Teil der Werkleistung entfallenden vereinbarten Vergütung zustehen.</w:t>
      </w:r>
    </w:p>
    <w:p>
      <w:pPr>
        <w:pStyle w:val="Heading6"/>
      </w:pPr>
      <w:bookmarkStart w:id="964" w:name="b950"/>
      <w:r>
        <w:t>§ 648a Kündigung aus wichtigem Grund</w:t>
      </w:r>
      <w:r>
        <w:t xml:space="preserve"> </w:t>
      </w:r>
      <w:r>
        <w:rPr>
          <w:rStyle w:val="Suchmarke"/>
        </w:rPr>
        <w:t>#648a#</w:t>
      </w:r>
      <w:bookmarkEnd w:id="964"/>
    </w:p>
    <w:p>
      <w:r>
        <w:t xml:space="preserve">(1) </w:t>
      </w:r>
      <w:r>
        <w:rPr>
          <w:rStyle w:val="Satznummer"/>
        </w:rPr>
        <w:t>1</w:t>
      </w:r>
      <w:r>
        <w:t xml:space="preserve">Beide Vertragsparteien können den Vertrag aus wichtigem Grund ohne Einhaltung einer Kündigungsfrist kündigen. </w:t>
      </w:r>
      <w:r>
        <w:rPr>
          <w:rStyle w:val="Satznummer"/>
        </w:rPr>
        <w:t>2</w:t>
      </w:r>
      <w:r>
        <w:t>Ein wichtiger Grund liegt vor, wenn dem kündigenden Teil unter Berücksichtigung aller Umstände des Einzelfalls und unter Abwägung der beiderseitigen Interessen die Fortsetzung des Vertragsverhältnisses bis zur Fertigstellung des Werks nicht zugemutet werden kann.</w:t>
      </w:r>
    </w:p>
    <w:p>
      <w:r>
        <w:t>(2) Eine Teilkündigung ist möglich; sie muss sich auf einen abgrenzbaren Teil des geschuldeten Werks beziehen.</w:t>
      </w:r>
    </w:p>
    <w:p>
      <w:r>
        <w:t xml:space="preserve">(3) </w:t>
      </w:r>
      <w:hyperlink w:anchor="b389" w:history="1">
        <w:r>
          <w:rPr>
            <w:color w:val="0A3A8C"/>
            <w:u w:val="single"/>
          </w:rPr>
          <w:t xml:space="preserve">§ 314</w:t>
        </w:r>
      </w:hyperlink>
      <w:r>
        <w:t xml:space="preserve"> Absatz 2 und 3 gilt entsprechend.</w:t>
      </w:r>
    </w:p>
    <w:p>
      <w:r>
        <w:t xml:space="preserve">(4) </w:t>
      </w:r>
      <w:r>
        <w:rPr>
          <w:rStyle w:val="Satznummer"/>
        </w:rPr>
        <w:t>1</w:t>
      </w:r>
      <w:r>
        <w:t xml:space="preserve">Nach der Kündigung kann jede Vertragspartei von der anderen verlangen, dass sie an einer gemeinsamen Feststellung des Leistungsstandes mitwirkt. </w:t>
      </w:r>
      <w:r>
        <w:rPr>
          <w:rStyle w:val="Satznummer"/>
        </w:rPr>
        <w:t>2</w:t>
      </w:r>
      <w:r>
        <w:t xml:space="preserve">Verweigert eine Vertragspartei die Mitwirkung oder bleibt sie einem vereinbarten oder einem von der anderen Vertragspartei innerhalb einer angemessenen Frist bestimmten Termin zur Leistungsstandfeststellung fern, trifft sie die Beweislast für den Leistungsstand zum Zeitpunkt der Kündigung. </w:t>
      </w:r>
      <w:r>
        <w:rPr>
          <w:rStyle w:val="Satznummer"/>
        </w:rPr>
        <w:t>3</w:t>
      </w:r>
      <w:r>
        <w:t>Dies gilt nicht, wenn die Vertragspartei infolge eines Umstands fernbleibt, den sie nicht zu vertreten hat und den sie der anderen Vertragspartei unverzüglich mitgeteilt hat.</w:t>
      </w:r>
    </w:p>
    <w:p>
      <w:r>
        <w:t>(5) Kündigt eine Vertragspartei aus wichtigem Grund, ist der Unternehmer nur berechtigt, die Vergütung zu verlangen, die auf den bis zur Kündigung erbrachten Teil des Werks entfällt.</w:t>
      </w:r>
    </w:p>
    <w:p>
      <w:r>
        <w:t>(6) Die Berechtigung, Schadensersatz zu verlangen, wird durch die Kündigung nicht ausgeschlossen.</w:t>
      </w:r>
    </w:p>
    <w:p>
      <w:pPr>
        <w:pStyle w:val="Heading6"/>
      </w:pPr>
      <w:bookmarkStart w:id="965" w:name="b951"/>
      <w:r>
        <w:t>§ 649 Kostenanschlag</w:t>
      </w:r>
      <w:r>
        <w:t xml:space="preserve"> </w:t>
      </w:r>
      <w:r>
        <w:rPr>
          <w:rStyle w:val="Suchmarke"/>
        </w:rPr>
        <w:t>#649#</w:t>
      </w:r>
      <w:bookmarkEnd w:id="965"/>
    </w:p>
    <w:p>
      <w:r>
        <w:t xml:space="preserve">(1) Ist dem Vertrag ein Kostenanschlag zugrunde gelegt worden, ohne dass der Unternehmer die Gewähr für die Richtigkeit des Anschlags übernommen hat, und ergibt sich, dass das Werk nicht ohne eine wesentliche Überschreitung des Anschlags ausführbar ist, so steht dem Unternehmer, wenn der Besteller den Vertrag aus diesem Grund kündigt, nur der im </w:t>
      </w:r>
      <w:hyperlink w:anchor="b945" w:history="1">
        <w:r>
          <w:rPr>
            <w:color w:val="0A3A8C"/>
            <w:u w:val="single"/>
          </w:rPr>
          <w:t xml:space="preserve">§ 645</w:t>
        </w:r>
      </w:hyperlink>
      <w:r>
        <w:t xml:space="preserve"> Abs. 1 bestimmte Anspruch zu.</w:t>
      </w:r>
    </w:p>
    <w:p>
      <w:r>
        <w:t>(2) Ist eine solche Überschreitung des Anschlags zu erwarten, so hat der Unternehmer dem Besteller unverzüglich Anzeige zu machen.</w:t>
      </w:r>
    </w:p>
    <w:p>
      <w:pPr>
        <w:pStyle w:val="Heading6"/>
      </w:pPr>
      <w:bookmarkStart w:id="966" w:name="b952"/>
      <w:r>
        <w:t>§ 650 Werklieferungsvertrag; Verbrauchervertrag über die Herstellung digitaler Produkte</w:t>
      </w:r>
      <w:r>
        <w:t xml:space="preserve"> </w:t>
      </w:r>
      <w:r>
        <w:rPr>
          <w:rStyle w:val="Suchmarke"/>
        </w:rPr>
        <w:t>#650#</w:t>
      </w:r>
      <w:bookmarkEnd w:id="966"/>
    </w:p>
    <w:p>
      <w:r>
        <w:t xml:space="preserve">(1) </w:t>
      </w:r>
      <w:r>
        <w:rPr>
          <w:rStyle w:val="Satznummer"/>
        </w:rPr>
        <w:t>1</w:t>
      </w:r>
      <w:r>
        <w:t xml:space="preserve">Auf einen Vertrag, der die Lieferung herzustellender oder zu erzeugender beweglicher Sachen zum Gegenstand hat, finden die Vorschriften über den Kauf Anwendung. </w:t>
      </w:r>
      <w:r>
        <w:rPr>
          <w:rStyle w:val="Satznummer"/>
        </w:rPr>
        <w:t>2</w:t>
      </w:r>
      <w:hyperlink w:anchor="b570" w:history="1">
        <w:r>
          <w:rPr>
            <w:color w:val="0A3A8C"/>
            <w:u w:val="single"/>
          </w:rPr>
          <w:t xml:space="preserve">§ 442</w:t>
        </w:r>
      </w:hyperlink>
      <w:r>
        <w:t xml:space="preserve"> Abs. 1 Satz 1 findet bei diesen Verträgen auch Anwendung, wenn der Mangel auf den vom Besteller gelieferten Stoff zurückzuführen ist. </w:t>
      </w:r>
      <w:r>
        <w:rPr>
          <w:rStyle w:val="Satznummer"/>
        </w:rPr>
        <w:t>3</w:t>
      </w:r>
      <w:r>
        <w:t xml:space="preserve">Soweit es sich bei den herzustellenden oder zu erzeugenden beweglichen Sachen um nicht vertretbare Sachen handelt, sind auch die </w:t>
      </w:r>
      <w:hyperlink w:anchor="b942" w:history="1">
        <w:r>
          <w:rPr>
            <w:color w:val="0A3A8C"/>
            <w:u w:val="single"/>
          </w:rPr>
          <w:t xml:space="preserve">§§ 642</w:t>
        </w:r>
      </w:hyperlink>
      <w:r>
        <w:t xml:space="preserve">, </w:t>
      </w:r>
      <w:hyperlink w:anchor="b943" w:history="1">
        <w:r>
          <w:rPr>
            <w:color w:val="0A3A8C"/>
            <w:u w:val="single"/>
          </w:rPr>
          <w:t xml:space="preserve">643</w:t>
        </w:r>
      </w:hyperlink>
      <w:r>
        <w:t xml:space="preserve">, </w:t>
      </w:r>
      <w:hyperlink w:anchor="b945" w:history="1">
        <w:r>
          <w:rPr>
            <w:color w:val="0A3A8C"/>
            <w:u w:val="single"/>
          </w:rPr>
          <w:t xml:space="preserve">645</w:t>
        </w:r>
      </w:hyperlink>
      <w:r>
        <w:t xml:space="preserve">, </w:t>
      </w:r>
      <w:hyperlink w:anchor="b949" w:history="1">
        <w:r>
          <w:rPr>
            <w:color w:val="0A3A8C"/>
            <w:u w:val="single"/>
          </w:rPr>
          <w:t xml:space="preserve">648</w:t>
        </w:r>
      </w:hyperlink>
      <w:r>
        <w:t xml:space="preserve"> und </w:t>
      </w:r>
      <w:hyperlink w:anchor="b951" w:history="1">
        <w:r>
          <w:rPr>
            <w:color w:val="0A3A8C"/>
            <w:u w:val="single"/>
          </w:rPr>
          <w:t xml:space="preserve">649</w:t>
        </w:r>
      </w:hyperlink>
      <w:r>
        <w:t xml:space="preserve"> mit der Maßgabe anzuwenden, dass an die Stelle der Abnahme der nach den </w:t>
      </w:r>
      <w:hyperlink w:anchor="b577" w:history="1">
        <w:r>
          <w:rPr>
            <w:color w:val="0A3A8C"/>
            <w:u w:val="single"/>
          </w:rPr>
          <w:t xml:space="preserve">§§ 446</w:t>
        </w:r>
      </w:hyperlink>
      <w:r>
        <w:t xml:space="preserve"> und </w:t>
      </w:r>
      <w:hyperlink w:anchor="b578" w:history="1">
        <w:r>
          <w:rPr>
            <w:color w:val="0A3A8C"/>
            <w:u w:val="single"/>
          </w:rPr>
          <w:t xml:space="preserve">447</w:t>
        </w:r>
      </w:hyperlink>
      <w:r>
        <w:t xml:space="preserve"> maßgebliche Zeitpunkt tritt.</w:t>
      </w:r>
    </w:p>
    <w:p>
      <w:r>
        <w:t xml:space="preserve">(2) </w:t>
      </w:r>
      <w:r>
        <w:rPr>
          <w:rStyle w:val="Satznummer"/>
        </w:rPr>
        <w:t>1</w:t>
      </w:r>
      <w:r>
        <w:t>Auf einen Verbrauchervertrag, bei dem der Unternehmer sich verpflichtet,</w:t>
      </w:r>
    </w:p>
    <w:p>
      <w:pPr>
        <w:tabs>
          <w:tab w:pos="567" w:val="left"/>
        </w:tabs>
        <w:ind w:left="567" w:hanging="567"/>
      </w:pPr>
      <w:r>
        <w:t>1.</w:t>
      </w:r>
      <w:r>
        <w:tab/>
      </w:r>
      <w:r>
        <w:t>digitale Inhalte herzustellen,</w:t>
      </w:r>
    </w:p>
    <w:p>
      <w:pPr>
        <w:tabs>
          <w:tab w:pos="567" w:val="left"/>
        </w:tabs>
        <w:ind w:left="567" w:hanging="567"/>
      </w:pPr>
      <w:r>
        <w:t>2.</w:t>
      </w:r>
      <w:r>
        <w:tab/>
      </w:r>
      <w:r>
        <w:t>einen Erfolg durch eine digitale Dienstleistung herbeizuführen oder</w:t>
      </w:r>
    </w:p>
    <w:p>
      <w:pPr>
        <w:tabs>
          <w:tab w:pos="567" w:val="left"/>
        </w:tabs>
        <w:ind w:left="567" w:hanging="567"/>
      </w:pPr>
      <w:r>
        <w:t>3.</w:t>
      </w:r>
      <w:r>
        <w:tab/>
      </w:r>
      <w:r>
        <w:t>einen körperlichen Datenträger herzustellen, der ausschließlich als Träger digitaler Inhalte dient,</w:t>
      </w:r>
    </w:p>
    <w:p>
      <w:r>
        <w:t xml:space="preserve">sind die </w:t>
      </w:r>
      <w:hyperlink w:anchor="b931" w:history="1">
        <w:r>
          <w:rPr>
            <w:color w:val="0A3A8C"/>
            <w:u w:val="single"/>
          </w:rPr>
          <w:t xml:space="preserve">§§ 633</w:t>
        </w:r>
      </w:hyperlink>
      <w:r>
        <w:t xml:space="preserve"> bis </w:t>
      </w:r>
      <w:hyperlink w:anchor="b938" w:history="1">
        <w:r>
          <w:rPr>
            <w:color w:val="0A3A8C"/>
            <w:u w:val="single"/>
          </w:rPr>
          <w:t xml:space="preserve">639</w:t>
        </w:r>
      </w:hyperlink>
      <w:r>
        <w:t xml:space="preserve"> über die Rechte bei Mängeln sowie </w:t>
      </w:r>
      <w:hyperlink w:anchor="b939" w:history="1">
        <w:r>
          <w:rPr>
            <w:color w:val="0A3A8C"/>
            <w:u w:val="single"/>
          </w:rPr>
          <w:t xml:space="preserve">§ 640</w:t>
        </w:r>
      </w:hyperlink>
      <w:r>
        <w:t xml:space="preserve"> über die Abnahme nicht anzuwenden. </w:t>
      </w:r>
      <w:r>
        <w:rPr>
          <w:rStyle w:val="Satznummer"/>
        </w:rPr>
        <w:t>2</w:t>
      </w:r>
      <w:r>
        <w:t xml:space="preserve">An die Stelle der nach Satz 1 nicht anzuwendenden Vorschriften treten die Vorschriften des Abschnitts 3 Titel 2a. </w:t>
      </w:r>
      <w:r>
        <w:rPr>
          <w:rStyle w:val="Satznummer"/>
        </w:rPr>
        <w:t>3</w:t>
      </w:r>
      <w:r>
        <w:t xml:space="preserve">Die </w:t>
      </w:r>
      <w:hyperlink w:anchor="b940" w:history="1">
        <w:r>
          <w:rPr>
            <w:color w:val="0A3A8C"/>
            <w:u w:val="single"/>
          </w:rPr>
          <w:t xml:space="preserve">§§ 641</w:t>
        </w:r>
      </w:hyperlink>
      <w:r>
        <w:t xml:space="preserve">, </w:t>
      </w:r>
      <w:hyperlink w:anchor="b944" w:history="1">
        <w:r>
          <w:rPr>
            <w:color w:val="0A3A8C"/>
            <w:u w:val="single"/>
          </w:rPr>
          <w:t xml:space="preserve">644</w:t>
        </w:r>
      </w:hyperlink>
      <w:r>
        <w:t xml:space="preserve"> und </w:t>
      </w:r>
      <w:hyperlink w:anchor="b945" w:history="1">
        <w:r>
          <w:rPr>
            <w:color w:val="0A3A8C"/>
            <w:u w:val="single"/>
          </w:rPr>
          <w:t xml:space="preserve">645</w:t>
        </w:r>
      </w:hyperlink>
      <w:r>
        <w:t xml:space="preserve"> sind mit der Maßgabe anzuwenden, dass an die Stelle der Abnahme die Bereitstellung des digitalen Produkts (</w:t>
      </w:r>
      <w:hyperlink w:anchor="b408" w:history="1">
        <w:r>
          <w:rPr>
            <w:color w:val="0A3A8C"/>
            <w:u w:val="single"/>
          </w:rPr>
          <w:t xml:space="preserve">§ 327b</w:t>
        </w:r>
      </w:hyperlink>
      <w:r>
        <w:t xml:space="preserve"> Absatz 3 bis 5) tritt.</w:t>
      </w:r>
    </w:p>
    <w:p>
      <w:r>
        <w:t xml:space="preserve">(3) </w:t>
      </w:r>
      <w:r>
        <w:rPr>
          <w:rStyle w:val="Satznummer"/>
        </w:rPr>
        <w:t>1</w:t>
      </w:r>
      <w:r>
        <w:t xml:space="preserve">Abweichend von Absatz 1 Satz 1 und 2 sind auf einen Verbrauchervertrag, bei dem der Unternehmer sich verpflichtet, einen herzustellenden körperlichen Datenträger zu liefern, der ausschließlich als Träger digitaler Inhalte dient, </w:t>
      </w:r>
      <w:hyperlink w:anchor="b561" w:history="1">
        <w:r>
          <w:rPr>
            <w:color w:val="0A3A8C"/>
            <w:u w:val="single"/>
          </w:rPr>
          <w:t xml:space="preserve">§ 433</w:t>
        </w:r>
      </w:hyperlink>
      <w:r>
        <w:t xml:space="preserve"> Absatz 1 Satz 2, die </w:t>
      </w:r>
      <w:hyperlink w:anchor="b562" w:history="1">
        <w:r>
          <w:rPr>
            <w:color w:val="0A3A8C"/>
            <w:u w:val="single"/>
          </w:rPr>
          <w:t xml:space="preserve">§§ 434</w:t>
        </w:r>
      </w:hyperlink>
      <w:r>
        <w:t xml:space="preserve"> bis </w:t>
      </w:r>
      <w:hyperlink w:anchor="b570" w:history="1">
        <w:r>
          <w:rPr>
            <w:color w:val="0A3A8C"/>
            <w:u w:val="single"/>
          </w:rPr>
          <w:t xml:space="preserve">442</w:t>
        </w:r>
      </w:hyperlink>
      <w:r>
        <w:t xml:space="preserve">, </w:t>
      </w:r>
      <w:hyperlink w:anchor="b611" w:history="1">
        <w:r>
          <w:rPr>
            <w:color w:val="0A3A8C"/>
            <w:u w:val="single"/>
          </w:rPr>
          <w:t xml:space="preserve">475</w:t>
        </w:r>
      </w:hyperlink>
      <w:r>
        <w:t xml:space="preserve"> Absatz 3 Satz 1 und Absatz 5 bis 7 sowie die </w:t>
      </w:r>
      <w:hyperlink w:anchor="b617" w:history="1">
        <w:r>
          <w:rPr>
            <w:color w:val="0A3A8C"/>
            <w:u w:val="single"/>
          </w:rPr>
          <w:t xml:space="preserve">§§ 476</w:t>
        </w:r>
      </w:hyperlink>
      <w:r>
        <w:t xml:space="preserve"> und </w:t>
      </w:r>
      <w:hyperlink w:anchor="b618" w:history="1">
        <w:r>
          <w:rPr>
            <w:color w:val="0A3A8C"/>
            <w:u w:val="single"/>
          </w:rPr>
          <w:t xml:space="preserve">477</w:t>
        </w:r>
      </w:hyperlink>
      <w:r>
        <w:t xml:space="preserve"> über die Rechte bei Mängeln nicht anzuwenden. </w:t>
      </w:r>
      <w:r>
        <w:rPr>
          <w:rStyle w:val="Satznummer"/>
        </w:rPr>
        <w:t>2</w:t>
      </w:r>
      <w:r>
        <w:t>An die Stelle der nach Satz 1 nicht anzuwendenden Vorschriften treten die Vorschriften des Abschnitts 3 Titel 2a.</w:t>
      </w:r>
    </w:p>
    <w:p>
      <w:r>
        <w:t xml:space="preserve">(4) </w:t>
      </w:r>
      <w:r>
        <w:rPr>
          <w:rStyle w:val="Satznummer"/>
        </w:rPr>
        <w:t>1</w:t>
      </w:r>
      <w:r>
        <w:t xml:space="preserve">Für einen Verbrauchervertrag, bei dem der Unternehmer sich verpflichtet, eine Sache herzustellen, die ein digitales Produkt enthält oder mit digitalen Produkten verbunden ist, gilt der Anwendungsausschluss nach Absatz 2 entsprechend für diejenigen Bestandteile des Vertrags, welche die digitalen Produkte betreffen. </w:t>
      </w:r>
      <w:r>
        <w:rPr>
          <w:rStyle w:val="Satznummer"/>
        </w:rPr>
        <w:t>2</w:t>
      </w:r>
      <w:r>
        <w:t>Für einen Verbrauchervertrag, bei dem der Unternehmer sich verpflichtet, eine herzustellende Sache zu liefern, die ein digitales Produkt enthält oder mit digitalen Produkten verbunden ist, gilt der Anwendungsausschluss nach Absatz 3 entsprechend für diejenigen Bestandteile des Vertrags, welche die digitalen Produkte betreffen.</w:t>
      </w:r>
    </w:p>
    <w:p>
      <w:pPr>
        <w:pStyle w:val="Heading5"/>
      </w:pPr>
      <w:bookmarkStart w:id="967" w:name="b953"/>
      <w:r>
        <w:t>Kapitel 2 Bauvertrag</w:t>
      </w:r>
      <w:bookmarkEnd w:id="967"/>
    </w:p>
    <w:p>
      <w:pPr>
        <w:pStyle w:val="Heading6"/>
      </w:pPr>
      <w:bookmarkStart w:id="968" w:name="b954"/>
      <w:r>
        <w:t>§ 650a Bauvertrag</w:t>
      </w:r>
      <w:r>
        <w:t xml:space="preserve"> </w:t>
      </w:r>
      <w:r>
        <w:rPr>
          <w:rStyle w:val="Suchmarke"/>
        </w:rPr>
        <w:t>#650a#</w:t>
      </w:r>
      <w:bookmarkEnd w:id="968"/>
    </w:p>
    <w:p>
      <w:r>
        <w:t xml:space="preserve">(1) </w:t>
      </w:r>
      <w:r>
        <w:rPr>
          <w:rStyle w:val="Satznummer"/>
        </w:rPr>
        <w:t>1</w:t>
      </w:r>
      <w:r>
        <w:t xml:space="preserve">Ein Bauvertrag ist ein Vertrag über die Herstellung, die Wiederherstellung, die Beseitigung oder den Umbau eines Bauwerks, einer Außenanlage oder eines Teils davon. </w:t>
      </w:r>
      <w:r>
        <w:rPr>
          <w:rStyle w:val="Satznummer"/>
        </w:rPr>
        <w:t>2</w:t>
      </w:r>
      <w:r>
        <w:t>Für den Bauvertrag gelten ergänzend die folgenden Vorschriften dieses Kapitels.</w:t>
      </w:r>
    </w:p>
    <w:p>
      <w:r>
        <w:t>(2) Ein Vertrag über die Instandhaltung eines Bauwerks ist ein Bauvertrag, wenn das Werk für die Konstruktion, den Bestand oder den bestimmungsgemäßen Gebrauch von wesentlicher Bedeutung ist.</w:t>
      </w:r>
    </w:p>
    <w:p>
      <w:pPr>
        <w:pStyle w:val="Heading6"/>
      </w:pPr>
      <w:bookmarkStart w:id="969" w:name="b955"/>
      <w:r>
        <w:t>§ 650b Änderung des Vertrags; Anordnungsrecht des Bestellers</w:t>
      </w:r>
      <w:r>
        <w:t xml:space="preserve"> </w:t>
      </w:r>
      <w:r>
        <w:rPr>
          <w:rStyle w:val="Suchmarke"/>
        </w:rPr>
        <w:t>#650b#</w:t>
      </w:r>
      <w:bookmarkEnd w:id="969"/>
    </w:p>
    <w:p>
      <w:r>
        <w:t xml:space="preserve">(1) </w:t>
      </w:r>
      <w:r>
        <w:rPr>
          <w:rStyle w:val="Satznummer"/>
        </w:rPr>
        <w:t>1</w:t>
      </w:r>
      <w:r>
        <w:t>Begehrt der Besteller</w:t>
      </w:r>
    </w:p>
    <w:p>
      <w:pPr>
        <w:tabs>
          <w:tab w:pos="567" w:val="left"/>
        </w:tabs>
        <w:ind w:left="567" w:hanging="567"/>
      </w:pPr>
      <w:r>
        <w:t>1.</w:t>
      </w:r>
      <w:r>
        <w:tab/>
      </w:r>
      <w:r>
        <w:t>eine Änderung des vereinbarten Werkerfolgs (</w:t>
      </w:r>
      <w:hyperlink w:anchor="b928" w:history="1">
        <w:r>
          <w:rPr>
            <w:color w:val="0A3A8C"/>
            <w:u w:val="single"/>
          </w:rPr>
          <w:t xml:space="preserve">§ 631</w:t>
        </w:r>
      </w:hyperlink>
      <w:r>
        <w:t xml:space="preserve"> Absatz 2) oder</w:t>
      </w:r>
    </w:p>
    <w:p>
      <w:pPr>
        <w:tabs>
          <w:tab w:pos="567" w:val="left"/>
        </w:tabs>
        <w:ind w:left="567" w:hanging="567"/>
      </w:pPr>
      <w:r>
        <w:t>2.</w:t>
      </w:r>
      <w:r>
        <w:tab/>
      </w:r>
      <w:r>
        <w:t>eine Änderung, die zur Erreichung des vereinbarten Werkerfolgs notwendig ist,</w:t>
      </w:r>
    </w:p>
    <w:p>
      <w:r>
        <w:t xml:space="preserve">streben die Vertragsparteien Einvernehmen über die Änderung und die infolge der Änderung zu leistende Mehr- oder Mindervergütung an. </w:t>
      </w:r>
      <w:r>
        <w:rPr>
          <w:rStyle w:val="Satznummer"/>
        </w:rPr>
        <w:t>2</w:t>
      </w:r>
      <w:r>
        <w:t xml:space="preserve">Der Unternehmer ist verpflichtet, ein Angebot über die Mehr- oder Mindervergütung zu erstellen, im Falle einer Änderung nach Satz 1 Nummer 1 jedoch nur, wenn ihm die Ausführung der Änderung zumutbar ist. </w:t>
      </w:r>
      <w:r>
        <w:rPr>
          <w:rStyle w:val="Satznummer"/>
        </w:rPr>
        <w:t>3</w:t>
      </w:r>
      <w:r>
        <w:t xml:space="preserve">Macht der Unternehmer betriebsinterne Vorgänge für die Unzumutbarkeit einer Anordnung nach Absatz 1 Satz 1 Nummer 1 geltend, trifft ihn die Beweislast hierfür. </w:t>
      </w:r>
      <w:r>
        <w:rPr>
          <w:rStyle w:val="Satznummer"/>
        </w:rPr>
        <w:t>4</w:t>
      </w:r>
      <w:r>
        <w:t xml:space="preserve">Trägt der Besteller die Verantwortung für die Planung des Bauwerks oder der Außenanlage, ist der Unternehmer nur dann zur Erstellung eines Angebots über die Mehr- oder Mindervergütung verpflichtet, wenn der Besteller die für die Änderung erforderliche Planung vorgenommen und dem Unternehmer zur Verfügung gestellt hat. </w:t>
      </w:r>
      <w:r>
        <w:rPr>
          <w:rStyle w:val="Satznummer"/>
        </w:rPr>
        <w:t>5</w:t>
      </w:r>
      <w:r>
        <w:t xml:space="preserve">Begehrt der Besteller eine Änderung, für die dem Unternehmer nach </w:t>
      </w:r>
      <w:hyperlink w:anchor="b956" w:history="1">
        <w:r>
          <w:rPr>
            <w:color w:val="0A3A8C"/>
            <w:u w:val="single"/>
          </w:rPr>
          <w:t xml:space="preserve">§ 650c</w:t>
        </w:r>
      </w:hyperlink>
      <w:r>
        <w:t xml:space="preserve"> Absatz 1 Satz 2 kein Anspruch auf Vergütung für vermehrten Aufwand zusteht, streben die Parteien nur Einvernehmen über die Änderung an; Satz 2 findet in diesem Fall keine Anwendung.</w:t>
      </w:r>
    </w:p>
    <w:p>
      <w:r>
        <w:t xml:space="preserve">(2) </w:t>
      </w:r>
      <w:r>
        <w:rPr>
          <w:rStyle w:val="Satznummer"/>
        </w:rPr>
        <w:t>1</w:t>
      </w:r>
      <w:r>
        <w:t xml:space="preserve">Erzielen die Parteien binnen 30 Tagen nach Zugang des Änderungsbegehrens beim Unternehmer keine Einigung nach Absatz 1, kann der Besteller die Änderung in Textform anordnen. </w:t>
      </w:r>
      <w:r>
        <w:rPr>
          <w:rStyle w:val="Satznummer"/>
        </w:rPr>
        <w:t>2</w:t>
      </w:r>
      <w:r>
        <w:t xml:space="preserve">Der Unternehmer ist verpflichtet, der Anordnung des Bestellers nachzukommen, einer Anordnung nach Absatz 1 Satz 1 Nummer 1 jedoch nur, wenn ihm die Ausführung zumutbar ist. </w:t>
      </w:r>
      <w:r>
        <w:rPr>
          <w:rStyle w:val="Satznummer"/>
        </w:rPr>
        <w:t>3</w:t>
      </w:r>
      <w:r>
        <w:t>Absatz 1 Satz 3 gilt entsprechend.</w:t>
      </w:r>
    </w:p>
    <w:p>
      <w:pPr>
        <w:pStyle w:val="Heading6"/>
      </w:pPr>
      <w:bookmarkStart w:id="970" w:name="b956"/>
      <w:r>
        <w:t>§ 650c Vergütungsanpassung bei Anordnungen nach § 650b Absatz 2</w:t>
      </w:r>
      <w:r>
        <w:t xml:space="preserve"> </w:t>
      </w:r>
      <w:r>
        <w:rPr>
          <w:rStyle w:val="Suchmarke"/>
        </w:rPr>
        <w:t>#650c#</w:t>
      </w:r>
      <w:bookmarkEnd w:id="970"/>
    </w:p>
    <w:p>
      <w:r>
        <w:t xml:space="preserve">(1) </w:t>
      </w:r>
      <w:r>
        <w:rPr>
          <w:rStyle w:val="Satznummer"/>
        </w:rPr>
        <w:t>1</w:t>
      </w:r>
      <w:r>
        <w:t xml:space="preserve">Die Höhe des Vergütungsanspruchs für den infolge einer Anordnung des Bestellers nach </w:t>
      </w:r>
      <w:hyperlink w:anchor="b955" w:history="1">
        <w:r>
          <w:rPr>
            <w:color w:val="0A3A8C"/>
            <w:u w:val="single"/>
          </w:rPr>
          <w:t xml:space="preserve">§ 650b</w:t>
        </w:r>
      </w:hyperlink>
      <w:r>
        <w:t xml:space="preserve"> Absatz 2 vermehrten oder verminderten Aufwand ist nach den tatsächlich erforderlichen Kosten mit angemessenen Zuschlägen für allgemeine Geschäftskosten, Wagnis und Gewinn zu ermitteln. </w:t>
      </w:r>
      <w:r>
        <w:rPr>
          <w:rStyle w:val="Satznummer"/>
        </w:rPr>
        <w:t>2</w:t>
      </w:r>
      <w:r>
        <w:t xml:space="preserve">Umfasst die Leistungspflicht des Unternehmers auch die Planung des Bauwerks oder der Außenanlage, steht diesem im Fall des </w:t>
      </w:r>
      <w:hyperlink w:anchor="b955" w:history="1">
        <w:r>
          <w:rPr>
            <w:color w:val="0A3A8C"/>
            <w:u w:val="single"/>
          </w:rPr>
          <w:t xml:space="preserve">§ 650b</w:t>
        </w:r>
      </w:hyperlink>
      <w:r>
        <w:t xml:space="preserve"> Absatz 1 Satz 1 Nummer 2 kein Anspruch auf Vergütung für vermehrten Aufwand zu.</w:t>
      </w:r>
    </w:p>
    <w:p>
      <w:r>
        <w:t xml:space="preserve">(2) </w:t>
      </w:r>
      <w:r>
        <w:rPr>
          <w:rStyle w:val="Satznummer"/>
        </w:rPr>
        <w:t>1</w:t>
      </w:r>
      <w:r>
        <w:t xml:space="preserve">Der Unternehmer kann zur Berechnung der Vergütung für den Nachtrag auf die Ansätze in einer vereinbarungsgemäß hinterlegten Urkalkulation zurückgreifen. </w:t>
      </w:r>
      <w:r>
        <w:rPr>
          <w:rStyle w:val="Satznummer"/>
        </w:rPr>
        <w:t>2</w:t>
      </w:r>
      <w:r>
        <w:t>Es wird vermutet, dass die auf Basis der Urkalkulation fortgeschriebene Vergütung der Vergütung nach Absatz 1 entspricht.</w:t>
      </w:r>
    </w:p>
    <w:p>
      <w:r>
        <w:t xml:space="preserve">(3) </w:t>
      </w:r>
      <w:r>
        <w:rPr>
          <w:rStyle w:val="Satznummer"/>
        </w:rPr>
        <w:t>1</w:t>
      </w:r>
      <w:r>
        <w:t xml:space="preserve">Bei der Berechnung von vereinbarten oder gemäß </w:t>
      </w:r>
      <w:hyperlink w:anchor="b930" w:history="1">
        <w:r>
          <w:rPr>
            <w:color w:val="0A3A8C"/>
            <w:u w:val="single"/>
          </w:rPr>
          <w:t xml:space="preserve">§ 632a</w:t>
        </w:r>
      </w:hyperlink>
      <w:r>
        <w:t xml:space="preserve"> geschuldeten Abschlagszahlungen kann der Unternehmer 80 Prozent einer in einem Angebot nach </w:t>
      </w:r>
      <w:hyperlink w:anchor="b955" w:history="1">
        <w:r>
          <w:rPr>
            <w:color w:val="0A3A8C"/>
            <w:u w:val="single"/>
          </w:rPr>
          <w:t xml:space="preserve">§ 650b</w:t>
        </w:r>
      </w:hyperlink>
      <w:r>
        <w:t xml:space="preserve"> Absatz 1 Satz 2 genannten Mehrvergütung ansetzen, wenn sich die Parteien nicht über die Höhe geeinigt haben oder keine anderslautende gerichtliche Entscheidung ergeht. </w:t>
      </w:r>
      <w:r>
        <w:rPr>
          <w:rStyle w:val="Satznummer"/>
        </w:rPr>
        <w:t>2</w:t>
      </w:r>
      <w:r>
        <w:t xml:space="preserve">Wählt der Unternehmer diesen Weg und ergeht keine anderslautende gerichtliche Entscheidung, wird die nach den Absätzen 1 und 2 geschuldete Mehrvergütung erst nach der Abnahme des Werks fällig. </w:t>
      </w:r>
      <w:r>
        <w:rPr>
          <w:rStyle w:val="Satznummer"/>
        </w:rPr>
        <w:t>3</w:t>
      </w:r>
      <w:r>
        <w:t xml:space="preserve">Zahlungen nach Satz 1, die die nach den Absätzen 1 und 2 geschuldete Mehrvergütung übersteigen, sind dem Besteller zurückzugewähren und ab ihrem Eingang beim Unternehmer zu verzinsen. </w:t>
      </w:r>
      <w:r>
        <w:rPr>
          <w:rStyle w:val="Satznummer"/>
        </w:rPr>
        <w:t>4</w:t>
      </w:r>
      <w:hyperlink w:anchor="b332" w:history="1">
        <w:r>
          <w:rPr>
            <w:color w:val="0A3A8C"/>
            <w:u w:val="single"/>
          </w:rPr>
          <w:t xml:space="preserve">§ 288</w:t>
        </w:r>
      </w:hyperlink>
      <w:r>
        <w:t xml:space="preserve"> Absatz 1 Satz 2, Absatz 2 und </w:t>
      </w:r>
      <w:hyperlink w:anchor="b333" w:history="1">
        <w:r>
          <w:rPr>
            <w:color w:val="0A3A8C"/>
            <w:u w:val="single"/>
          </w:rPr>
          <w:t xml:space="preserve">§ 289</w:t>
        </w:r>
      </w:hyperlink>
      <w:r>
        <w:t xml:space="preserve"> Satz 1 gelten entsprechend.</w:t>
      </w:r>
    </w:p>
    <w:p>
      <w:pPr>
        <w:pStyle w:val="Heading6"/>
      </w:pPr>
      <w:bookmarkStart w:id="971" w:name="b957"/>
      <w:r>
        <w:t>§ 650d Einstweilige Verfügung</w:t>
      </w:r>
      <w:r>
        <w:t xml:space="preserve"> </w:t>
      </w:r>
      <w:r>
        <w:rPr>
          <w:rStyle w:val="Suchmarke"/>
        </w:rPr>
        <w:t>#650d#</w:t>
      </w:r>
      <w:bookmarkEnd w:id="971"/>
    </w:p>
    <w:p>
      <w:r>
        <w:t xml:space="preserve">Zum Erlass einer einstweiligen Verfügung in Streitigkeiten über das Anordnungsrecht gemäß </w:t>
      </w:r>
      <w:hyperlink w:anchor="b955" w:history="1">
        <w:r>
          <w:rPr>
            <w:color w:val="0A3A8C"/>
            <w:u w:val="single"/>
          </w:rPr>
          <w:t xml:space="preserve">§ 650b</w:t>
        </w:r>
      </w:hyperlink>
      <w:r>
        <w:t xml:space="preserve"> oder die Vergütungsanpassung gemäß </w:t>
      </w:r>
      <w:hyperlink w:anchor="b956" w:history="1">
        <w:r>
          <w:rPr>
            <w:color w:val="0A3A8C"/>
            <w:u w:val="single"/>
          </w:rPr>
          <w:t xml:space="preserve">§ 650c</w:t>
        </w:r>
      </w:hyperlink>
      <w:r>
        <w:t xml:space="preserve"> ist es nach Beginn der Bauausführung nicht erforderlich, dass der Verfügungsgrund glaubhaft gemacht wird.</w:t>
      </w:r>
    </w:p>
    <w:p>
      <w:pPr>
        <w:pStyle w:val="Heading6"/>
      </w:pPr>
      <w:bookmarkStart w:id="972" w:name="b958"/>
      <w:r>
        <w:t>§ 650e Sicherungshypothek des Bauunternehmers</w:t>
      </w:r>
      <w:r>
        <w:t xml:space="preserve"> </w:t>
      </w:r>
      <w:r>
        <w:rPr>
          <w:rStyle w:val="Suchmarke"/>
        </w:rPr>
        <w:t>#650e#</w:t>
      </w:r>
      <w:bookmarkEnd w:id="972"/>
    </w:p>
    <w:p>
      <w:r>
        <w:rPr>
          <w:rStyle w:val="Satznummer"/>
        </w:rPr>
        <w:t>1</w:t>
      </w:r>
      <w:r>
        <w:t xml:space="preserve">Der Unternehmer kann für seine Forderungen aus dem Vertrag die Einräumung einer Sicherungshypothek an dem Baugrundstück des Bestellers verlangen. </w:t>
      </w:r>
      <w:r>
        <w:rPr>
          <w:rStyle w:val="Satznummer"/>
        </w:rPr>
        <w:t>2</w:t>
      </w:r>
      <w:r>
        <w:t>Ist das Werk noch nicht vollendet, so kann er die Einräumung der Sicherungshypothek für einen der geleisteten Arbeit entsprechenden Teil der Vergütung und für die in der Vergütung nicht inbegriffenen Auslagen verlangen.</w:t>
      </w:r>
    </w:p>
    <w:p>
      <w:pPr>
        <w:pStyle w:val="Heading6"/>
      </w:pPr>
      <w:bookmarkStart w:id="973" w:name="b959"/>
      <w:r>
        <w:t>§ 650f Bauhandwerkersicherung</w:t>
      </w:r>
      <w:r>
        <w:t xml:space="preserve"> </w:t>
      </w:r>
      <w:r>
        <w:rPr>
          <w:rStyle w:val="Suchmarke"/>
        </w:rPr>
        <w:t>#650f#</w:t>
      </w:r>
      <w:bookmarkEnd w:id="973"/>
    </w:p>
    <w:p>
      <w:r>
        <w:t xml:space="preserve">(1) </w:t>
      </w:r>
      <w:r>
        <w:rPr>
          <w:rStyle w:val="Satznummer"/>
        </w:rPr>
        <w:t>1</w:t>
      </w:r>
      <w:r>
        <w:t xml:space="preserve">Der Unternehmer kann vom Besteller Sicherheit für die auch in Zusatzaufträgen vereinbarte und noch nicht gezahlte Vergütung einschließlich dazugehöriger Nebenforderungen, die mit 10 Prozent des zu sichernden Vergütungsanspruchs anzusetzen sind, verlangen. </w:t>
      </w:r>
      <w:r>
        <w:rPr>
          <w:rStyle w:val="Satznummer"/>
        </w:rPr>
        <w:t>2</w:t>
      </w:r>
      <w:r>
        <w:t xml:space="preserve">Satz 1 gilt in demselben Umfang auch für Ansprüche, die an die Stelle der Vergütung treten. </w:t>
      </w:r>
      <w:r>
        <w:rPr>
          <w:rStyle w:val="Satznummer"/>
        </w:rPr>
        <w:t>3</w:t>
      </w:r>
      <w:r>
        <w:t xml:space="preserve">Der Anspruch des Unternehmers auf Sicherheit wird nicht dadurch ausgeschlossen, dass der Besteller Erfüllung verlangen kann oder das Werk abgenommen hat. </w:t>
      </w:r>
      <w:r>
        <w:rPr>
          <w:rStyle w:val="Satznummer"/>
        </w:rPr>
        <w:t>4</w:t>
      </w:r>
      <w:r>
        <w:t xml:space="preserve">Ansprüche, mit denen der Besteller gegen den Anspruch des Unternehmers auf Vergütung aufrechnen kann, bleiben bei der Berechnung der Vergütung unberücksichtigt, es sei denn, sie sind unstreitig oder rechtskräftig festgestellt. </w:t>
      </w:r>
      <w:r>
        <w:rPr>
          <w:rStyle w:val="Satznummer"/>
        </w:rPr>
        <w:t>5</w:t>
      </w:r>
      <w:r>
        <w:t>Die Sicherheit ist auch dann als ausreichend anzusehen, wenn sich der Sicherungsgeber das Recht vorbehält, sein Versprechen im Falle einer wesentlichen Verschlechterung der Vermögensverhältnisse des Bestellers mit Wirkung für Vergütungsansprüche aus Bauleistungen zu widerrufen, die der Unternehmer bei Zugang der Widerrufserklärung noch nicht erbracht hat.</w:t>
      </w:r>
    </w:p>
    <w:p>
      <w:r>
        <w:t xml:space="preserve">(2) </w:t>
      </w:r>
      <w:r>
        <w:rPr>
          <w:rStyle w:val="Satznummer"/>
        </w:rPr>
        <w:t>1</w:t>
      </w:r>
      <w:r>
        <w:t xml:space="preserve">Die Sicherheit kann auch durch eine Garantie oder ein sonstiges Zahlungsversprechen eines im Geltungsbereich dieses Gesetzes zum Geschäftsbetrieb befugten Kreditinstituts oder Kreditversicherers geleistet werden. </w:t>
      </w:r>
      <w:r>
        <w:rPr>
          <w:rStyle w:val="Satznummer"/>
        </w:rPr>
        <w:t>2</w:t>
      </w:r>
      <w:r>
        <w:t>Das Kreditinstitut oder der Kreditversicherer darf Zahlungen an den Unternehmer nur leisten, soweit der Besteller den Vergütungsanspruch des Unternehmers anerkennt oder durch vorläufig vollstreckbares Urteil zur Zahlung der Vergütung verurteilt worden ist und die Voraussetzungen vorliegen, unter denen die Zwangsvollstreckung begonnen werden darf.</w:t>
      </w:r>
    </w:p>
    <w:p>
      <w:r>
        <w:t xml:space="preserve">(3) </w:t>
      </w:r>
      <w:r>
        <w:rPr>
          <w:rStyle w:val="Satznummer"/>
        </w:rPr>
        <w:t>1</w:t>
      </w:r>
      <w:r>
        <w:t xml:space="preserve">Der Unternehmer hat dem Besteller die üblichen Kosten der Sicherheitsleistung bis zu einem Höchstsatz von 2 Prozent für das Jahr zu erstatten. </w:t>
      </w:r>
      <w:r>
        <w:rPr>
          <w:rStyle w:val="Satznummer"/>
        </w:rPr>
        <w:t>2</w:t>
      </w:r>
      <w:r>
        <w:t>Dies gilt nicht, soweit eine Sicherheit wegen Einwendungen des Bestellers gegen den Vergütungsanspruch des Unternehmers aufrechterhalten werden muss und die Einwendungen sich als unbegründet erweisen.</w:t>
      </w:r>
    </w:p>
    <w:p>
      <w:r>
        <w:t xml:space="preserve">(4) Soweit der Unternehmer für seinen Vergütungsanspruch eine Sicherheit nach Absatz 1 oder 2 erlangt hat, ist der Anspruch auf Einräumung einer Sicherungshypothek nach </w:t>
      </w:r>
      <w:hyperlink w:anchor="b958" w:history="1">
        <w:r>
          <w:rPr>
            <w:color w:val="0A3A8C"/>
            <w:u w:val="single"/>
          </w:rPr>
          <w:t xml:space="preserve">§ 650e</w:t>
        </w:r>
      </w:hyperlink>
      <w:r>
        <w:t xml:space="preserve"> ausgeschlossen.</w:t>
      </w:r>
    </w:p>
    <w:p>
      <w:r>
        <w:t xml:space="preserve">(5) </w:t>
      </w:r>
      <w:r>
        <w:rPr>
          <w:rStyle w:val="Satznummer"/>
        </w:rPr>
        <w:t>1</w:t>
      </w:r>
      <w:r>
        <w:t xml:space="preserve">Hat der Unternehmer dem Besteller erfolglos eine angemessene Frist zur Leistung der Sicherheit nach Absatz 1 bestimmt, so kann der Unternehmer die Leistung verweigern oder den Vertrag kündigen. </w:t>
      </w:r>
      <w:r>
        <w:rPr>
          <w:rStyle w:val="Satznummer"/>
        </w:rPr>
        <w:t>2</w:t>
      </w:r>
      <w:r>
        <w:t xml:space="preserve">Kündigt er den Vertrag, ist der Unternehmer berechtigt, die vereinbarte Vergütung zu verlangen; er muss sich jedoch dasjenige anrechnen lassen, was er infolge der Aufhebung des Vertrages an Aufwendungen erspart oder durch anderweitige Verwendung seiner Arbeitskraft erwirbt oder böswillig zu erwerben unterlässt. </w:t>
      </w:r>
      <w:r>
        <w:rPr>
          <w:rStyle w:val="Satznummer"/>
        </w:rPr>
        <w:t>3</w:t>
      </w:r>
      <w:r>
        <w:t>Es wird vermutet, dass danach dem Unternehmer 5 Prozent der auf den noch nicht erbrachten Teil der Werkleistung entfallenden vereinbarten Vergütung zustehen.</w:t>
      </w:r>
    </w:p>
    <w:p>
      <w:r>
        <w:t xml:space="preserve">(6) </w:t>
      </w:r>
      <w:r>
        <w:rPr>
          <w:rStyle w:val="Satznummer"/>
        </w:rPr>
        <w:t>1</w:t>
      </w:r>
      <w:r>
        <w:t>Die Absätze 1 bis 5 finden keine Anwendung, wenn der Besteller</w:t>
      </w:r>
    </w:p>
    <w:p>
      <w:pPr>
        <w:tabs>
          <w:tab w:pos="567" w:val="left"/>
        </w:tabs>
        <w:ind w:left="567" w:hanging="567"/>
      </w:pPr>
      <w:r>
        <w:t>1.</w:t>
      </w:r>
      <w:r>
        <w:tab/>
      </w:r>
      <w:r>
        <w:t>eine juristische Person des öffentlichen Rechts oder ein öffentlich-rechtliches Sondervermögen ist, über deren Vermögen ein Insolvenzverfahren unzulässig ist, oder</w:t>
      </w:r>
    </w:p>
    <w:p>
      <w:pPr>
        <w:tabs>
          <w:tab w:pos="567" w:val="left"/>
        </w:tabs>
        <w:ind w:left="567" w:hanging="567"/>
      </w:pPr>
      <w:r>
        <w:t>2.</w:t>
      </w:r>
      <w:r>
        <w:tab/>
      </w:r>
      <w:r>
        <w:t xml:space="preserve">Verbraucher ist und es sich um einen Verbraucherbauvertrag nach </w:t>
      </w:r>
      <w:hyperlink w:anchor="b963" w:history="1">
        <w:r>
          <w:rPr>
            <w:color w:val="0A3A8C"/>
            <w:u w:val="single"/>
          </w:rPr>
          <w:t xml:space="preserve">§ 650i</w:t>
        </w:r>
      </w:hyperlink>
      <w:r>
        <w:t xml:space="preserve"> oder um einen Bauträgervertrag nach </w:t>
      </w:r>
      <w:hyperlink w:anchor="b978" w:history="1">
        <w:r>
          <w:rPr>
            <w:color w:val="0A3A8C"/>
            <w:u w:val="single"/>
          </w:rPr>
          <w:t xml:space="preserve">§ 650u</w:t>
        </w:r>
      </w:hyperlink>
      <w:r>
        <w:t xml:space="preserve"> handelt.</w:t>
      </w:r>
    </w:p>
    <w:p>
      <w:r>
        <w:rPr>
          <w:rStyle w:val="Satznummer"/>
        </w:rPr>
        <w:t>2</w:t>
      </w:r>
      <w:r>
        <w:t>Satz 1 Nummer 2 gilt nicht bei Betreuung des Bauvorhabens durch einen zur Verfügung über die Finanzierungsmittel des Bestellers ermächtigten Baubetreuer.</w:t>
      </w:r>
    </w:p>
    <w:p>
      <w:r>
        <w:t>(7) Eine von den Absätzen 1 bis 5 abweichende Vereinbarung ist unwirksam.</w:t>
      </w:r>
    </w:p>
    <w:p>
      <w:pPr>
        <w:pStyle w:val="Heading6"/>
      </w:pPr>
      <w:bookmarkStart w:id="974" w:name="b960"/>
      <w:r>
        <w:t>§ 650g Zustandsfeststellung bei Verweigerung der Abnahme; Schlussrechnung</w:t>
      </w:r>
      <w:r>
        <w:t xml:space="preserve"> </w:t>
      </w:r>
      <w:r>
        <w:rPr>
          <w:rStyle w:val="Suchmarke"/>
        </w:rPr>
        <w:t>#650g#</w:t>
      </w:r>
      <w:bookmarkEnd w:id="974"/>
    </w:p>
    <w:p>
      <w:r>
        <w:t xml:space="preserve">(1) </w:t>
      </w:r>
      <w:r>
        <w:rPr>
          <w:rStyle w:val="Satznummer"/>
        </w:rPr>
        <w:t>1</w:t>
      </w:r>
      <w:r>
        <w:t xml:space="preserve">Verweigert der Besteller die Abnahme unter Angabe von Mängeln, hat er auf Verlangen des Unternehmers an einer gemeinsamen Feststellung des Zustands des Werks mitzuwirken. </w:t>
      </w:r>
      <w:r>
        <w:rPr>
          <w:rStyle w:val="Satznummer"/>
        </w:rPr>
        <w:t>2</w:t>
      </w:r>
      <w:r>
        <w:t>Die gemeinsame Zustandsfeststellung soll mit der Angabe des Tages der Anfertigung versehen werden und ist von beiden Vertragsparteien zu unterschreiben.</w:t>
      </w:r>
    </w:p>
    <w:p>
      <w:r>
        <w:t xml:space="preserve">(2) </w:t>
      </w:r>
      <w:r>
        <w:rPr>
          <w:rStyle w:val="Satznummer"/>
        </w:rPr>
        <w:t>1</w:t>
      </w:r>
      <w:r>
        <w:t xml:space="preserve">Bleibt der Besteller einem vereinbarten oder einem von dem Unternehmer innerhalb einer angemessenen Frist bestimmten Termin zur Zustandsfeststellung fern, so kann der Unternehmer die Zustandsfeststellung auch einseitig vornehmen. </w:t>
      </w:r>
      <w:r>
        <w:rPr>
          <w:rStyle w:val="Satznummer"/>
        </w:rPr>
        <w:t>2</w:t>
      </w:r>
      <w:r>
        <w:t xml:space="preserve">Dies gilt nicht, wenn der Besteller infolge eines Umstands fernbleibt, den er nicht zu vertreten hat und den er dem Unternehmer unverzüglich mitgeteilt hat. </w:t>
      </w:r>
      <w:r>
        <w:rPr>
          <w:rStyle w:val="Satznummer"/>
        </w:rPr>
        <w:t>3</w:t>
      </w:r>
      <w:r>
        <w:t>Der Unternehmer hat die einseitige Zustandsfeststellung mit der Angabe des Tages der Anfertigung zu versehen und sie zu unterschreiben sowie dem Besteller eine Abschrift der einseitigen Zustandsfeststellung zur Verfügung zu stellen.</w:t>
      </w:r>
    </w:p>
    <w:p>
      <w:r>
        <w:t xml:space="preserve">(3) </w:t>
      </w:r>
      <w:r>
        <w:rPr>
          <w:rStyle w:val="Satznummer"/>
        </w:rPr>
        <w:t>1</w:t>
      </w:r>
      <w:r>
        <w:t xml:space="preserve">Ist das Werk dem Besteller verschafft worden und ist in der Zustandsfeststellung nach Absatz 1 oder 2 ein offenkundiger Mangel nicht angegeben, wird vermutet, dass dieser nach der Zustandsfeststellung entstanden und vom Besteller zu vertreten ist. </w:t>
      </w:r>
      <w:r>
        <w:rPr>
          <w:rStyle w:val="Satznummer"/>
        </w:rPr>
        <w:t>2</w:t>
      </w:r>
      <w:r>
        <w:t>Die Vermutung gilt nicht, wenn der Mangel nach seiner Art nicht vom Besteller verursacht worden sein kann.</w:t>
      </w:r>
    </w:p>
    <w:p>
      <w:r>
        <w:t xml:space="preserve">(4) </w:t>
      </w:r>
      <w:r>
        <w:rPr>
          <w:rStyle w:val="Satznummer"/>
        </w:rPr>
        <w:t>1</w:t>
      </w:r>
      <w:r>
        <w:t>Die Vergütung ist zu entrichten, wenn</w:t>
      </w:r>
    </w:p>
    <w:p>
      <w:pPr>
        <w:tabs>
          <w:tab w:pos="567" w:val="left"/>
        </w:tabs>
        <w:ind w:left="567" w:hanging="567"/>
      </w:pPr>
      <w:r>
        <w:t>1.</w:t>
      </w:r>
      <w:r>
        <w:tab/>
      </w:r>
      <w:r>
        <w:t xml:space="preserve">der Besteller das Werk abgenommen hat oder die Abnahme nach </w:t>
      </w:r>
      <w:hyperlink w:anchor="b940" w:history="1">
        <w:r>
          <w:rPr>
            <w:color w:val="0A3A8C"/>
            <w:u w:val="single"/>
          </w:rPr>
          <w:t xml:space="preserve">§ 641</w:t>
        </w:r>
      </w:hyperlink>
      <w:r>
        <w:t xml:space="preserve"> Absatz 2 entbehrlich ist und</w:t>
      </w:r>
    </w:p>
    <w:p>
      <w:pPr>
        <w:tabs>
          <w:tab w:pos="567" w:val="left"/>
        </w:tabs>
        <w:ind w:left="567" w:hanging="567"/>
      </w:pPr>
      <w:r>
        <w:t>2.</w:t>
      </w:r>
      <w:r>
        <w:tab/>
      </w:r>
      <w:r>
        <w:t>der Unternehmer dem Besteller eine prüffähige Schlussrechnung erteilt hat.</w:t>
      </w:r>
    </w:p>
    <w:p>
      <w:r>
        <w:rPr>
          <w:rStyle w:val="Satznummer"/>
        </w:rPr>
        <w:t>2</w:t>
      </w:r>
      <w:r>
        <w:t xml:space="preserve">Die Schlussrechnung ist prüffähig, wenn sie eine übersichtliche Aufstellung der erbrachten Leistungen enthält und für den Besteller nachvollziehbar ist. </w:t>
      </w:r>
      <w:r>
        <w:rPr>
          <w:rStyle w:val="Satznummer"/>
        </w:rPr>
        <w:t>3</w:t>
      </w:r>
      <w:r>
        <w:t>Sie gilt als prüffähig, wenn der Besteller nicht innerhalb von 30 Tagen nach Zugang der Schlussrechnung begründete Einwendungen gegen ihre Prüffähigkeit erhoben hat.</w:t>
      </w:r>
    </w:p>
    <w:p>
      <w:pPr>
        <w:pStyle w:val="Heading6"/>
      </w:pPr>
      <w:bookmarkStart w:id="975" w:name="b961"/>
      <w:r>
        <w:t>§ 650h Schriftform der Kündigung</w:t>
      </w:r>
      <w:r>
        <w:t xml:space="preserve"> </w:t>
      </w:r>
      <w:r>
        <w:rPr>
          <w:rStyle w:val="Suchmarke"/>
        </w:rPr>
        <w:t>#650h#</w:t>
      </w:r>
      <w:bookmarkEnd w:id="975"/>
    </w:p>
    <w:p>
      <w:r>
        <w:t>Die Kündigung des Bauvertrags bedarf der schriftlichen Form.</w:t>
      </w:r>
    </w:p>
    <w:p>
      <w:pPr>
        <w:pStyle w:val="Heading5"/>
      </w:pPr>
      <w:bookmarkStart w:id="976" w:name="b962"/>
      <w:r>
        <w:t>Kapitel 3 Verbraucherbauvertrag</w:t>
      </w:r>
      <w:bookmarkEnd w:id="976"/>
    </w:p>
    <w:p>
      <w:pPr>
        <w:pStyle w:val="Heading6"/>
      </w:pPr>
      <w:bookmarkStart w:id="977" w:name="b963"/>
      <w:r>
        <w:t>§ 650i Verbraucherbauvertrag</w:t>
      </w:r>
      <w:r>
        <w:t xml:space="preserve"> </w:t>
      </w:r>
      <w:r>
        <w:rPr>
          <w:rStyle w:val="Suchmarke"/>
        </w:rPr>
        <w:t>#650i#</w:t>
      </w:r>
      <w:bookmarkEnd w:id="977"/>
    </w:p>
    <w:p>
      <w:r>
        <w:t>(1) Verbraucherbauverträge sind Verträge, durch die der Unternehmer von einem Verbraucher zum Bau eines neuen Gebäudes oder zu erheblichen Umbaumaßnahmen an einem bestehenden Gebäude verpflichtet wird.</w:t>
      </w:r>
    </w:p>
    <w:p>
      <w:r>
        <w:t>(2) Der Verbraucherbauvertrag bedarf der Textform.</w:t>
      </w:r>
    </w:p>
    <w:p>
      <w:r>
        <w:t>(3) Für Verbraucherbauverträge gelten ergänzend die folgenden Vorschriften dieses Kapitels.</w:t>
      </w:r>
    </w:p>
    <w:p>
      <w:pPr>
        <w:pStyle w:val="Heading6"/>
      </w:pPr>
      <w:bookmarkStart w:id="978" w:name="b964"/>
      <w:r>
        <w:t>§ 650j Baubeschreibung</w:t>
      </w:r>
      <w:r>
        <w:t xml:space="preserve"> </w:t>
      </w:r>
      <w:r>
        <w:rPr>
          <w:rStyle w:val="Suchmarke"/>
        </w:rPr>
        <w:t>#650j#</w:t>
      </w:r>
      <w:bookmarkEnd w:id="978"/>
    </w:p>
    <w:p>
      <w:r>
        <w:t>Der Unternehmer hat den Verbraucher über die sich aus Artikel 249 des Einführungsgesetzes zum Bürgerlichen Gesetzbuche ergebenden Einzelheiten in der dort vorgesehenen Form zu unterrichten, es sei denn, der Verbraucher oder ein von ihm Beauftragter macht die wesentlichen Planungsvorgaben.</w:t>
      </w:r>
    </w:p>
    <w:p>
      <w:pPr>
        <w:pStyle w:val="Heading6"/>
      </w:pPr>
      <w:bookmarkStart w:id="979" w:name="b965"/>
      <w:r>
        <w:t>§ 650k Inhalt des Vertrags</w:t>
      </w:r>
      <w:r>
        <w:t xml:space="preserve"> </w:t>
      </w:r>
      <w:r>
        <w:rPr>
          <w:rStyle w:val="Suchmarke"/>
        </w:rPr>
        <w:t>#650k#</w:t>
      </w:r>
      <w:bookmarkEnd w:id="979"/>
    </w:p>
    <w:p>
      <w:r>
        <w:t>(1) Die Angaben der vorvertraglich zur Verfügung gestellten Baubeschreibung in Bezug auf die Bauausführung werden Inhalt des Vertrags, es sei denn, die Vertragsparteien haben ausdrücklich etwas anderes vereinbart.</w:t>
      </w:r>
    </w:p>
    <w:p>
      <w:r>
        <w:t xml:space="preserve">(2) </w:t>
      </w:r>
      <w:r>
        <w:rPr>
          <w:rStyle w:val="Satznummer"/>
        </w:rPr>
        <w:t>1</w:t>
      </w:r>
      <w:r>
        <w:t xml:space="preserve">Soweit die Baubeschreibung unvollständig oder unklar ist, ist der Vertrag unter Berücksichtigung sämtlicher vertragsbegleitender Umstände, insbesondere des Komfort- und Qualitätsstandards nach der übrigen Leistungsbeschreibung, auszulegen. </w:t>
      </w:r>
      <w:r>
        <w:rPr>
          <w:rStyle w:val="Satznummer"/>
        </w:rPr>
        <w:t>2</w:t>
      </w:r>
      <w:r>
        <w:t>Zweifel bei der Auslegung des Vertrags bezüglich der vom Unternehmer geschuldeten Leistung gehen zu dessen Lasten.</w:t>
      </w:r>
    </w:p>
    <w:p>
      <w:r>
        <w:t xml:space="preserve">(3) </w:t>
      </w:r>
      <w:r>
        <w:rPr>
          <w:rStyle w:val="Satznummer"/>
        </w:rPr>
        <w:t>1</w:t>
      </w:r>
      <w:r>
        <w:t xml:space="preserve">Der Bauvertrag muss verbindliche Angaben zum Zeitpunkt der Fertigstellung des Werks oder, wenn dieser Zeitpunkt zum Zeitpunkt des Abschlusses des Bauvertrags nicht angegeben werden kann, zur Dauer der Bauausführung enthalten. </w:t>
      </w:r>
      <w:r>
        <w:rPr>
          <w:rStyle w:val="Satznummer"/>
        </w:rPr>
        <w:t>2</w:t>
      </w:r>
      <w:r>
        <w:t>Enthält der Vertrag diese Angaben nicht, werden die vorvertraglich in der Baubeschreibung übermittelten Angaben zum Zeitpunkt der Fertigstellung des Werks oder zur Dauer der Bauausführung Inhalt des Vertrags.</w:t>
      </w:r>
    </w:p>
    <w:p>
      <w:pPr>
        <w:pStyle w:val="Heading6"/>
      </w:pPr>
      <w:bookmarkStart w:id="980" w:name="b966"/>
      <w:r>
        <w:t>§ 650l Widerrufsrecht</w:t>
      </w:r>
      <w:r>
        <w:t xml:space="preserve"> </w:t>
      </w:r>
      <w:r>
        <w:rPr>
          <w:rStyle w:val="Suchmarke"/>
        </w:rPr>
        <w:t>#650l#</w:t>
      </w:r>
      <w:bookmarkEnd w:id="980"/>
    </w:p>
    <w:p>
      <w:r>
        <w:rPr>
          <w:rStyle w:val="Satznummer"/>
        </w:rPr>
        <w:t>1</w:t>
      </w:r>
      <w:r>
        <w:t xml:space="preserve">Dem Verbraucher steht ein Widerrufsrecht gemäß </w:t>
      </w:r>
      <w:hyperlink w:anchor="b461" w:history="1">
        <w:r>
          <w:rPr>
            <w:color w:val="0A3A8C"/>
            <w:u w:val="single"/>
          </w:rPr>
          <w:t xml:space="preserve">§ 355</w:t>
        </w:r>
      </w:hyperlink>
      <w:r>
        <w:t xml:space="preserve"> zu, es sei denn, der Vertrag wurde notariell beurkundet. </w:t>
      </w:r>
      <w:r>
        <w:rPr>
          <w:rStyle w:val="Satznummer"/>
        </w:rPr>
        <w:t>2</w:t>
      </w:r>
      <w:r>
        <w:t>Der Unternehmer ist verpflichtet, den Verbraucher nach Maßgabe des Artikels 249 § 3 des Einführungsgesetzes zum Bürgerlichen Gesetzbuche über sein Widerrufsrecht zu belehren.</w:t>
      </w:r>
    </w:p>
    <w:p>
      <w:pPr>
        <w:pStyle w:val="Heading6"/>
      </w:pPr>
      <w:bookmarkStart w:id="981" w:name="b967"/>
      <w:r>
        <w:t>§ 650m Abschlagszahlungen; Absicherung des Vergütungsanspruchs</w:t>
      </w:r>
      <w:r>
        <w:t xml:space="preserve"> </w:t>
      </w:r>
      <w:r>
        <w:rPr>
          <w:rStyle w:val="Suchmarke"/>
        </w:rPr>
        <w:t>#650m#</w:t>
      </w:r>
      <w:bookmarkEnd w:id="981"/>
    </w:p>
    <w:p>
      <w:r>
        <w:t xml:space="preserve">(1) Verlangt der Unternehmer Abschlagszahlungen nach </w:t>
      </w:r>
      <w:hyperlink w:anchor="b930" w:history="1">
        <w:r>
          <w:rPr>
            <w:color w:val="0A3A8C"/>
            <w:u w:val="single"/>
          </w:rPr>
          <w:t xml:space="preserve">§ 632a</w:t>
        </w:r>
      </w:hyperlink>
      <w:r>
        <w:t xml:space="preserve">, darf der Gesamtbetrag der Abschlagszahlungen 90 Prozent der vereinbarten Gesamtvergütung einschließlich der Vergütung für Nachtragsleistungen nach </w:t>
      </w:r>
      <w:hyperlink w:anchor="b956" w:history="1">
        <w:r>
          <w:rPr>
            <w:color w:val="0A3A8C"/>
            <w:u w:val="single"/>
          </w:rPr>
          <w:t xml:space="preserve">§ 650c</w:t>
        </w:r>
      </w:hyperlink>
      <w:r>
        <w:t xml:space="preserve"> nicht übersteigen.</w:t>
      </w:r>
    </w:p>
    <w:p>
      <w:r>
        <w:t xml:space="preserve">(2) </w:t>
      </w:r>
      <w:r>
        <w:rPr>
          <w:rStyle w:val="Satznummer"/>
        </w:rPr>
        <w:t>1</w:t>
      </w:r>
      <w:r>
        <w:t xml:space="preserve">Dem Verbraucher ist bei der ersten Abschlagszahlung eine Sicherheit für die rechtzeitige Herstellung des Werks ohne wesentliche Mängel in Höhe von 5 Prozent der vereinbarten Gesamtvergütung zu leisten. </w:t>
      </w:r>
      <w:r>
        <w:rPr>
          <w:rStyle w:val="Satznummer"/>
        </w:rPr>
        <w:t>2</w:t>
      </w:r>
      <w:r>
        <w:t xml:space="preserve">Erhöht sich der Vergütungsanspruch infolge einer Anordnung des Verbrauchers nach den </w:t>
      </w:r>
      <w:hyperlink w:anchor="b955" w:history="1">
        <w:r>
          <w:rPr>
            <w:color w:val="0A3A8C"/>
            <w:u w:val="single"/>
          </w:rPr>
          <w:t xml:space="preserve">§§ 650b</w:t>
        </w:r>
      </w:hyperlink>
      <w:r>
        <w:t xml:space="preserve"> und </w:t>
      </w:r>
      <w:hyperlink w:anchor="b956" w:history="1">
        <w:r>
          <w:rPr>
            <w:color w:val="0A3A8C"/>
            <w:u w:val="single"/>
          </w:rPr>
          <w:t xml:space="preserve">650c</w:t>
        </w:r>
      </w:hyperlink>
      <w:r>
        <w:t xml:space="preserve"> oder infolge sonstiger Änderungen oder Ergänzungen des Vertrags um mehr als 10 Prozent, ist dem Verbraucher bei der nächsten Abschlagszahlung eine weitere Sicherheit in Höhe von 5 Prozent des zusätzlichen Vergütungsanspruchs zu leisten. </w:t>
      </w:r>
      <w:r>
        <w:rPr>
          <w:rStyle w:val="Satznummer"/>
        </w:rPr>
        <w:t>3</w:t>
      </w:r>
      <w:r>
        <w:t>Auf Verlangen des Unternehmers ist die Sicherheitsleistung durch Einbehalt dergestalt zu erbringen, dass der Verbraucher die Abschlagszahlungen bis zu dem Gesamtbetrag der geschuldeten Sicherheit zurückhält.</w:t>
      </w:r>
    </w:p>
    <w:p>
      <w:r>
        <w:t>(3) Sicherheiten nach Absatz 2 können auch durch eine Garantie oder ein sonstiges Zahlungsversprechen eines im Geltungsbereich dieses Gesetzes zum Geschäftsbetrieb befugten Kreditinstituts oder Kreditversicherers geleistet werden.</w:t>
      </w:r>
    </w:p>
    <w:p>
      <w:r>
        <w:t xml:space="preserve">(4) </w:t>
      </w:r>
      <w:r>
        <w:rPr>
          <w:rStyle w:val="Satznummer"/>
        </w:rPr>
        <w:t>1</w:t>
      </w:r>
      <w:r>
        <w:t xml:space="preserve">Verlangt der Unternehmer Abschlagszahlungen nach </w:t>
      </w:r>
      <w:hyperlink w:anchor="b930" w:history="1">
        <w:r>
          <w:rPr>
            <w:color w:val="0A3A8C"/>
            <w:u w:val="single"/>
          </w:rPr>
          <w:t xml:space="preserve">§ 632a</w:t>
        </w:r>
      </w:hyperlink>
      <w:r>
        <w:t xml:space="preserve">, ist eine Vereinbarung unwirksam, die den Verbraucher zu einer Sicherheitsleistung für die vereinbarte Vergütung verpflichtet, die die nächste Abschlagszahlung oder 20 Prozent der vereinbarten Vergütung übersteigt. </w:t>
      </w:r>
      <w:r>
        <w:rPr>
          <w:rStyle w:val="Satznummer"/>
        </w:rPr>
        <w:t>2</w:t>
      </w:r>
      <w:r>
        <w:t>Gleiches gilt, wenn die Parteien Abschlagszahlungen vereinbart haben.</w:t>
      </w:r>
    </w:p>
    <w:p>
      <w:pPr>
        <w:pStyle w:val="Heading6"/>
      </w:pPr>
      <w:bookmarkStart w:id="982" w:name="b968"/>
      <w:r>
        <w:t>§ 650n Erstellung und Herausgabe von Unterlagen</w:t>
      </w:r>
      <w:r>
        <w:t xml:space="preserve"> </w:t>
      </w:r>
      <w:r>
        <w:rPr>
          <w:rStyle w:val="Suchmarke"/>
        </w:rPr>
        <w:t>#650n#</w:t>
      </w:r>
      <w:bookmarkEnd w:id="982"/>
    </w:p>
    <w:p>
      <w:r>
        <w:t xml:space="preserve">(1) </w:t>
      </w:r>
      <w:r>
        <w:rPr>
          <w:rStyle w:val="Satznummer"/>
        </w:rPr>
        <w:t>1</w:t>
      </w:r>
      <w:r>
        <w:t xml:space="preserve">Rechtzeitig vor Beginn der Ausführung einer geschuldeten Leistung hat der Unternehmer diejenigen Planungsunterlagen zu erstellen und dem Verbraucher herauszugeben, die dieser benötigt, um gegenüber Behörden den Nachweis führen zu können, dass die Leistung unter Einhaltung der einschlägigen öffentlich-rechtlichen Vorschriften ausgeführt werden wird. </w:t>
      </w:r>
      <w:r>
        <w:rPr>
          <w:rStyle w:val="Satznummer"/>
        </w:rPr>
        <w:t>2</w:t>
      </w:r>
      <w:r>
        <w:t>Die Pflicht besteht nicht, soweit der Verbraucher oder ein von ihm Beauftragter die wesentlichen Planungsvorgaben erstellt.</w:t>
      </w:r>
    </w:p>
    <w:p>
      <w:r>
        <w:t>(2) Spätestens mit der Fertigstellung des Werks hat der Unternehmer diejenigen Unterlagen zu erstellen und dem Verbraucher herauszugeben, die dieser benötigt, um gegenüber Behörden den Nachweis führen zu können, dass die Leistung unter Einhaltung der einschlägigen öffentlich-rechtlichen Vorschriften ausgeführt worden ist.</w:t>
      </w:r>
    </w:p>
    <w:p>
      <w:r>
        <w:t>(3) Die Absätze 1 und 2 gelten entsprechend, wenn ein Dritter, etwa ein Darlehensgeber, Nachweise für die Einhaltung bestimmter Bedingungen verlangt und wenn der Unternehmer die berechtigte Erwartung des Verbrauchers geweckt hat, diese Bedingungen einzuhalten.</w:t>
      </w:r>
    </w:p>
    <w:p>
      <w:pPr>
        <w:pStyle w:val="Heading5"/>
      </w:pPr>
      <w:bookmarkStart w:id="983" w:name="b969"/>
      <w:r>
        <w:t>Kapitel 4 Unabdingbarkeit</w:t>
      </w:r>
      <w:bookmarkEnd w:id="983"/>
    </w:p>
    <w:p>
      <w:pPr>
        <w:pStyle w:val="Heading6"/>
      </w:pPr>
      <w:bookmarkStart w:id="984" w:name="b970"/>
      <w:r>
        <w:t>§ 650o Abweichende Vereinbarungen</w:t>
      </w:r>
      <w:r>
        <w:t xml:space="preserve"> </w:t>
      </w:r>
      <w:r>
        <w:rPr>
          <w:rStyle w:val="Suchmarke"/>
        </w:rPr>
        <w:t>#650o#</w:t>
      </w:r>
      <w:bookmarkEnd w:id="984"/>
    </w:p>
    <w:p>
      <w:r>
        <w:rPr>
          <w:rStyle w:val="Satznummer"/>
        </w:rPr>
        <w:t>1</w:t>
      </w:r>
      <w:r>
        <w:t xml:space="preserve">Von </w:t>
      </w:r>
      <w:hyperlink w:anchor="b939" w:history="1">
        <w:r>
          <w:rPr>
            <w:color w:val="0A3A8C"/>
            <w:u w:val="single"/>
          </w:rPr>
          <w:t xml:space="preserve">§ 640</w:t>
        </w:r>
      </w:hyperlink>
      <w:r>
        <w:t xml:space="preserve"> Absatz 2 Satz 2, den </w:t>
      </w:r>
      <w:hyperlink w:anchor="b963" w:history="1">
        <w:r>
          <w:rPr>
            <w:color w:val="0A3A8C"/>
            <w:u w:val="single"/>
          </w:rPr>
          <w:t xml:space="preserve">§§ 650i</w:t>
        </w:r>
      </w:hyperlink>
      <w:r>
        <w:t xml:space="preserve"> bis </w:t>
      </w:r>
      <w:hyperlink w:anchor="b966" w:history="1">
        <w:r>
          <w:rPr>
            <w:color w:val="0A3A8C"/>
            <w:u w:val="single"/>
          </w:rPr>
          <w:t xml:space="preserve">650l</w:t>
        </w:r>
      </w:hyperlink>
      <w:r>
        <w:t xml:space="preserve"> und </w:t>
      </w:r>
      <w:hyperlink w:anchor="b968" w:history="1">
        <w:r>
          <w:rPr>
            <w:color w:val="0A3A8C"/>
            <w:u w:val="single"/>
          </w:rPr>
          <w:t xml:space="preserve">650n</w:t>
        </w:r>
      </w:hyperlink>
      <w:r>
        <w:t xml:space="preserve"> kann nicht zum Nachteil des Verbrauchers abgewichen werden. </w:t>
      </w:r>
      <w:r>
        <w:rPr>
          <w:rStyle w:val="Satznummer"/>
        </w:rPr>
        <w:t>2</w:t>
      </w:r>
      <w:r>
        <w:t>Diese Vorschriften finden auch Anwendung, wenn sie durch anderweitige Gestaltungen umgangen werden.</w:t>
      </w:r>
    </w:p>
    <w:p>
      <w:pPr>
        <w:pStyle w:val="Heading4"/>
      </w:pPr>
      <w:bookmarkStart w:id="985" w:name="b971"/>
      <w:r>
        <w:t>Untertitel 2 Architektenvertrag und Ingenieurvertrag</w:t>
      </w:r>
      <w:bookmarkEnd w:id="985"/>
    </w:p>
    <w:p>
      <w:pPr>
        <w:pStyle w:val="Heading5"/>
      </w:pPr>
      <w:bookmarkStart w:id="986" w:name="b972"/>
      <w:r>
        <w:t>§ 650p Vertragstypische Pflichten aus Architekten- und Ingenieurverträgen</w:t>
      </w:r>
      <w:r>
        <w:t xml:space="preserve"> </w:t>
      </w:r>
      <w:r>
        <w:rPr>
          <w:rStyle w:val="Suchmarke"/>
        </w:rPr>
        <w:t>#650p#</w:t>
      </w:r>
      <w:bookmarkEnd w:id="986"/>
    </w:p>
    <w:p>
      <w:r>
        <w:t>(1) Durch einen Architekten- oder Ingenieurvertrag wird der Unternehmer verpflichtet, die Leistungen zu erbringen, die nach dem jeweiligen Stand der Planung und Ausführung des Bauwerks oder der Außenanlage erforderlich sind, um die zwischen den Parteien vereinbarten Planungs- und Überwachungsziele zu erreichen.</w:t>
      </w:r>
    </w:p>
    <w:p>
      <w:r>
        <w:t xml:space="preserve">(2) </w:t>
      </w:r>
      <w:r>
        <w:rPr>
          <w:rStyle w:val="Satznummer"/>
        </w:rPr>
        <w:t>1</w:t>
      </w:r>
      <w:r>
        <w:t xml:space="preserve">Soweit wesentliche Planungs- und Überwachungsziele noch nicht vereinbart sind, hat der Unternehmer zunächst eine Planungsgrundlage zur Ermittlung dieser Ziele zu erstellen. </w:t>
      </w:r>
      <w:r>
        <w:rPr>
          <w:rStyle w:val="Satznummer"/>
        </w:rPr>
        <w:t>2</w:t>
      </w:r>
      <w:r>
        <w:t>Er legt dem Besteller die Planungsgrundlage zusammen mit einer Kosteneinschätzung für das Vorhaben zur Zustimmung vor.</w:t>
      </w:r>
    </w:p>
    <w:p>
      <w:pPr>
        <w:pStyle w:val="Heading5"/>
      </w:pPr>
      <w:bookmarkStart w:id="987" w:name="b973"/>
      <w:r>
        <w:t>§ 650q Anwendbare Vorschriften</w:t>
      </w:r>
      <w:r>
        <w:t xml:space="preserve"> </w:t>
      </w:r>
      <w:r>
        <w:rPr>
          <w:rStyle w:val="Suchmarke"/>
        </w:rPr>
        <w:t>#650q#</w:t>
      </w:r>
      <w:bookmarkEnd w:id="987"/>
    </w:p>
    <w:p>
      <w:r>
        <w:t xml:space="preserve">(1) Für Architekten- und Ingenieurverträge gelten die Vorschriften des Kapitels 1 des Untertitels 1 sowie die </w:t>
      </w:r>
      <w:hyperlink w:anchor="b955" w:history="1">
        <w:r>
          <w:rPr>
            <w:color w:val="0A3A8C"/>
            <w:u w:val="single"/>
          </w:rPr>
          <w:t xml:space="preserve">§§ 650b</w:t>
        </w:r>
      </w:hyperlink>
      <w:r>
        <w:t xml:space="preserve">, </w:t>
      </w:r>
      <w:hyperlink w:anchor="b958" w:history="1">
        <w:r>
          <w:rPr>
            <w:color w:val="0A3A8C"/>
            <w:u w:val="single"/>
          </w:rPr>
          <w:t xml:space="preserve">650e</w:t>
        </w:r>
      </w:hyperlink>
      <w:r>
        <w:t xml:space="preserve"> bis </w:t>
      </w:r>
      <w:hyperlink w:anchor="b961" w:history="1">
        <w:r>
          <w:rPr>
            <w:color w:val="0A3A8C"/>
            <w:u w:val="single"/>
          </w:rPr>
          <w:t xml:space="preserve">650h</w:t>
        </w:r>
      </w:hyperlink>
      <w:r>
        <w:t xml:space="preserve"> entsprechend, soweit sich aus diesem Untertitel nichts anderes ergibt.</w:t>
      </w:r>
    </w:p>
    <w:p>
      <w:r>
        <w:t xml:space="preserve">(2) </w:t>
      </w:r>
      <w:r>
        <w:rPr>
          <w:rStyle w:val="Satznummer"/>
        </w:rPr>
        <w:t>1</w:t>
      </w:r>
      <w:r>
        <w:t xml:space="preserve">Für die Vergütungsanpassung im Fall von Anordnungen nach </w:t>
      </w:r>
      <w:hyperlink w:anchor="b955" w:history="1">
        <w:r>
          <w:rPr>
            <w:color w:val="0A3A8C"/>
            <w:u w:val="single"/>
          </w:rPr>
          <w:t xml:space="preserve">§ 650b</w:t>
        </w:r>
      </w:hyperlink>
      <w:r>
        <w:t xml:space="preserve"> Absatz 2 gelten die Entgeltberechnungsregeln der Honorarordnung für Architekten und Ingenieure in der jeweils geltenden Fassung, soweit infolge der Anordnung zu erbringende oder entfallende Leistungen vom Anwendungsbereich der Honorarordnung erfasst werden. </w:t>
      </w:r>
      <w:r>
        <w:rPr>
          <w:rStyle w:val="Satznummer"/>
        </w:rPr>
        <w:t>2</w:t>
      </w:r>
      <w:r>
        <w:t xml:space="preserve">Im Übrigen gilt </w:t>
      </w:r>
      <w:hyperlink w:anchor="b956" w:history="1">
        <w:r>
          <w:rPr>
            <w:color w:val="0A3A8C"/>
            <w:u w:val="single"/>
          </w:rPr>
          <w:t xml:space="preserve">§ 650c</w:t>
        </w:r>
      </w:hyperlink>
      <w:r>
        <w:t xml:space="preserve"> entsprechend.</w:t>
      </w:r>
    </w:p>
    <w:p>
      <w:pPr>
        <w:pStyle w:val="Heading5"/>
      </w:pPr>
      <w:bookmarkStart w:id="988" w:name="b974"/>
      <w:r>
        <w:t>§ 650r Sonderkündigungsrecht</w:t>
      </w:r>
      <w:r>
        <w:t xml:space="preserve"> </w:t>
      </w:r>
      <w:r>
        <w:rPr>
          <w:rStyle w:val="Suchmarke"/>
        </w:rPr>
        <w:t>#650r#</w:t>
      </w:r>
      <w:bookmarkEnd w:id="988"/>
    </w:p>
    <w:p>
      <w:r>
        <w:t xml:space="preserve">(1) </w:t>
      </w:r>
      <w:r>
        <w:rPr>
          <w:rStyle w:val="Satznummer"/>
        </w:rPr>
        <w:t>1</w:t>
      </w:r>
      <w:r>
        <w:t xml:space="preserve">Nach Vorlage von Unterlagen gemäß </w:t>
      </w:r>
      <w:hyperlink w:anchor="b972" w:history="1">
        <w:r>
          <w:rPr>
            <w:color w:val="0A3A8C"/>
            <w:u w:val="single"/>
          </w:rPr>
          <w:t xml:space="preserve">§ 650p</w:t>
        </w:r>
      </w:hyperlink>
      <w:r>
        <w:t xml:space="preserve"> Absatz 2 kann der Besteller den Vertrag kündigen. </w:t>
      </w:r>
      <w:r>
        <w:rPr>
          <w:rStyle w:val="Satznummer"/>
        </w:rPr>
        <w:t>2</w:t>
      </w:r>
      <w:r>
        <w:t>Das Kündigungsrecht erlischt zwei Wochen nach Vorlage der Unterlagen, bei einem Verbraucher jedoch nur dann, wenn der Unternehmer ihn bei der Vorlage der Unterlagen in Textform über das Kündigungsrecht, die Frist, in der es ausgeübt werden kann, und die Rechtsfolgen der Kündigung unterrichtet hat.</w:t>
      </w:r>
    </w:p>
    <w:p>
      <w:r>
        <w:t xml:space="preserve">(2) </w:t>
      </w:r>
      <w:r>
        <w:rPr>
          <w:rStyle w:val="Satznummer"/>
        </w:rPr>
        <w:t>1</w:t>
      </w:r>
      <w:r>
        <w:t xml:space="preserve">Der Unternehmer kann dem Besteller eine angemessene Frist für die Zustimmung nach </w:t>
      </w:r>
      <w:hyperlink w:anchor="b972" w:history="1">
        <w:r>
          <w:rPr>
            <w:color w:val="0A3A8C"/>
            <w:u w:val="single"/>
          </w:rPr>
          <w:t xml:space="preserve">§ 650p</w:t>
        </w:r>
      </w:hyperlink>
      <w:r>
        <w:t xml:space="preserve"> Absatz 2 Satz 2 setzen. </w:t>
      </w:r>
      <w:r>
        <w:rPr>
          <w:rStyle w:val="Satznummer"/>
        </w:rPr>
        <w:t>2</w:t>
      </w:r>
      <w:r>
        <w:t>Er kann den Vertrag kündigen, wenn der Besteller die Zustimmung verweigert oder innerhalb der Frist nach Satz 1 keine Erklärung zu den Unterlagen abgibt.</w:t>
      </w:r>
    </w:p>
    <w:p>
      <w:r>
        <w:t>(3) Wird der Vertrag nach Absatz 1 oder 2 gekündigt, ist der Unternehmer nur berechtigt, die Vergütung zu verlangen, die auf die bis zur Kündigung erbrachten Leistungen entfällt.</w:t>
      </w:r>
    </w:p>
    <w:p>
      <w:pPr>
        <w:pStyle w:val="Heading5"/>
      </w:pPr>
      <w:bookmarkStart w:id="989" w:name="b975"/>
      <w:r>
        <w:t>§ 650s Teilabnahme</w:t>
      </w:r>
      <w:r>
        <w:t xml:space="preserve"> </w:t>
      </w:r>
      <w:r>
        <w:rPr>
          <w:rStyle w:val="Suchmarke"/>
        </w:rPr>
        <w:t>#650s#</w:t>
      </w:r>
      <w:bookmarkEnd w:id="989"/>
    </w:p>
    <w:p>
      <w:r>
        <w:t>Der Unternehmer kann ab der Abnahme der letzten Leistung des bauausführenden Unternehmers oder der bauausführenden Unternehmer eine Teilabnahme der von ihm bis dahin erbrachten Leistungen verlangen.</w:t>
      </w:r>
    </w:p>
    <w:p>
      <w:pPr>
        <w:pStyle w:val="Heading5"/>
      </w:pPr>
      <w:bookmarkStart w:id="990" w:name="b976"/>
      <w:r>
        <w:t>§ 650t Gesamtschuldnerische Haftung mit dem bauausführenden Unternehmer</w:t>
      </w:r>
      <w:r>
        <w:t xml:space="preserve"> </w:t>
      </w:r>
      <w:r>
        <w:rPr>
          <w:rStyle w:val="Suchmarke"/>
        </w:rPr>
        <w:t>#650t#</w:t>
      </w:r>
      <w:bookmarkEnd w:id="990"/>
    </w:p>
    <w:p>
      <w:r>
        <w:t>Nimmt der Besteller den Unternehmer wegen eines Überwachungsfehlers in Anspruch, der zu einem Mangel an dem Bauwerk oder an der Außenanlage geführt hat, kann der Unternehmer die Leistung verweigern, wenn auch der ausführende Bauunternehmer für den Mangel haftet und der Besteller dem bauausführenden Unternehmer noch nicht erfolglos eine angemessene Frist zur Nacherfüllung bestimmt hat.</w:t>
      </w:r>
    </w:p>
    <w:p>
      <w:pPr>
        <w:pStyle w:val="Heading4"/>
      </w:pPr>
      <w:bookmarkStart w:id="991" w:name="b977"/>
      <w:r>
        <w:t>Untertitel 3 Bauträgervertrag</w:t>
      </w:r>
      <w:bookmarkEnd w:id="991"/>
    </w:p>
    <w:p>
      <w:pPr>
        <w:pStyle w:val="Heading5"/>
      </w:pPr>
      <w:bookmarkStart w:id="992" w:name="b978"/>
      <w:r>
        <w:t>§ 650u Bauträgervertrag; anwendbare Vorschriften</w:t>
      </w:r>
      <w:r>
        <w:t xml:space="preserve"> </w:t>
      </w:r>
      <w:r>
        <w:rPr>
          <w:rStyle w:val="Suchmarke"/>
        </w:rPr>
        <w:t>#650u#</w:t>
      </w:r>
      <w:bookmarkEnd w:id="992"/>
    </w:p>
    <w:p>
      <w:r>
        <w:t xml:space="preserve">(1) </w:t>
      </w:r>
      <w:r>
        <w:rPr>
          <w:rStyle w:val="Satznummer"/>
        </w:rPr>
        <w:t>1</w:t>
      </w:r>
      <w:r>
        <w:t xml:space="preserve">Ein Bauträgervertrag ist ein Vertrag, der die Errichtung oder den Umbau eines Hauses oder eines vergleichbaren Bauwerks zum Gegenstand hat und der zugleich die Verpflichtung des Unternehmers enthält, dem Besteller das Eigentum an dem Grundstück zu übertragen oder ein Erbbaurecht zu bestellen oder zu übertragen. </w:t>
      </w:r>
      <w:r>
        <w:rPr>
          <w:rStyle w:val="Satznummer"/>
        </w:rPr>
        <w:t>2</w:t>
      </w:r>
      <w:r>
        <w:t xml:space="preserve">Hinsichtlich der Errichtung oder des Umbaus finden die Vorschriften des Untertitels 1 Anwendung, soweit sich aus den nachfolgenden Vorschriften nichts anderes ergibt. </w:t>
      </w:r>
      <w:r>
        <w:rPr>
          <w:rStyle w:val="Satznummer"/>
        </w:rPr>
        <w:t>3</w:t>
      </w:r>
      <w:r>
        <w:t>Hinsichtlich des Anspruchs auf Übertragung des Eigentums an dem Grundstück oder auf Übertragung oder Bestellung des Erbbaurechts finden die Vorschriften über den Kauf Anwendung.</w:t>
      </w:r>
    </w:p>
    <w:p>
      <w:r>
        <w:t xml:space="preserve">(2) Keine Anwendung finden die </w:t>
      </w:r>
      <w:hyperlink w:anchor="b949" w:history="1">
        <w:r>
          <w:rPr>
            <w:color w:val="0A3A8C"/>
            <w:u w:val="single"/>
          </w:rPr>
          <w:t xml:space="preserve">§§ 648</w:t>
        </w:r>
      </w:hyperlink>
      <w:r>
        <w:t xml:space="preserve">, </w:t>
      </w:r>
      <w:hyperlink w:anchor="b950" w:history="1">
        <w:r>
          <w:rPr>
            <w:color w:val="0A3A8C"/>
            <w:u w:val="single"/>
          </w:rPr>
          <w:t xml:space="preserve">648a</w:t>
        </w:r>
      </w:hyperlink>
      <w:r>
        <w:t xml:space="preserve">, </w:t>
      </w:r>
      <w:hyperlink w:anchor="b955" w:history="1">
        <w:r>
          <w:rPr>
            <w:color w:val="0A3A8C"/>
            <w:u w:val="single"/>
          </w:rPr>
          <w:t xml:space="preserve">650b</w:t>
        </w:r>
      </w:hyperlink>
      <w:r>
        <w:t xml:space="preserve"> bis </w:t>
      </w:r>
      <w:hyperlink w:anchor="b958" w:history="1">
        <w:r>
          <w:rPr>
            <w:color w:val="0A3A8C"/>
            <w:u w:val="single"/>
          </w:rPr>
          <w:t xml:space="preserve">650e</w:t>
        </w:r>
      </w:hyperlink>
      <w:r>
        <w:t xml:space="preserve">, </w:t>
      </w:r>
      <w:hyperlink w:anchor="b965" w:history="1">
        <w:r>
          <w:rPr>
            <w:color w:val="0A3A8C"/>
            <w:u w:val="single"/>
          </w:rPr>
          <w:t xml:space="preserve">650k</w:t>
        </w:r>
      </w:hyperlink>
      <w:r>
        <w:t xml:space="preserve"> Absatz 1 sowie die </w:t>
      </w:r>
      <w:hyperlink w:anchor="b966" w:history="1">
        <w:r>
          <w:rPr>
            <w:color w:val="0A3A8C"/>
            <w:u w:val="single"/>
          </w:rPr>
          <w:t xml:space="preserve">§§ 650l</w:t>
        </w:r>
      </w:hyperlink>
      <w:r>
        <w:t xml:space="preserve"> und </w:t>
      </w:r>
      <w:hyperlink w:anchor="b967" w:history="1">
        <w:r>
          <w:rPr>
            <w:color w:val="0A3A8C"/>
            <w:u w:val="single"/>
          </w:rPr>
          <w:t xml:space="preserve">650m</w:t>
        </w:r>
      </w:hyperlink>
      <w:r>
        <w:t xml:space="preserve"> Absatz 1.</w:t>
      </w:r>
    </w:p>
    <w:p>
      <w:pPr>
        <w:pStyle w:val="Heading5"/>
      </w:pPr>
      <w:bookmarkStart w:id="993" w:name="b979"/>
      <w:r>
        <w:t>§ 650v Abschlagszahlungen</w:t>
      </w:r>
      <w:r>
        <w:t xml:space="preserve"> </w:t>
      </w:r>
      <w:r>
        <w:rPr>
          <w:rStyle w:val="Suchmarke"/>
        </w:rPr>
        <w:t>#650v#</w:t>
      </w:r>
      <w:bookmarkEnd w:id="993"/>
    </w:p>
    <w:p>
      <w:r>
        <w:t>Der Unternehmer kann von dem Besteller Abschlagszahlungen nur verlangen, soweit sie gemäß einer Verordnung auf Grund von Artikel 244 des Einführungsgesetzes zum Bürgerlichen Gesetzbuche vereinbart sind.</w:t>
      </w:r>
    </w:p>
    <w:p>
      <w:pPr>
        <w:pStyle w:val="Heading5"/>
      </w:pPr>
      <w:bookmarkStart w:id="994" w:name="b980"/>
      <w:r>
        <w:t>§ 651 (jetzt § 650)</w:t>
      </w:r>
      <w:r>
        <w:t xml:space="preserve"> </w:t>
      </w:r>
      <w:r>
        <w:rPr>
          <w:rStyle w:val="Suchmarke"/>
        </w:rPr>
        <w:t>#651#</w:t>
      </w:r>
      <w:bookmarkEnd w:id="994"/>
    </w:p>
    <w:p>
      <w:pPr>
        <w:pStyle w:val="Heading4"/>
      </w:pPr>
      <w:bookmarkStart w:id="995" w:name="b981"/>
      <w:r>
        <w:t>Untertitel 4 Pauschalreisevertrag, Reisevermittlung und Vermittlung verbundener Reiseleistungen</w:t>
      </w:r>
      <w:bookmarkEnd w:id="995"/>
    </w:p>
    <w:p>
      <w:pPr>
        <w:pStyle w:val="Heading5"/>
      </w:pPr>
      <w:bookmarkStart w:id="996" w:name="b982"/>
      <w:r>
        <w:t>§ 651a Vertragstypische Pflichten beim Pauschalreisevertrag</w:t>
      </w:r>
      <w:r>
        <w:t xml:space="preserve"> </w:t>
      </w:r>
      <w:r>
        <w:rPr>
          <w:rStyle w:val="Suchmarke"/>
        </w:rPr>
        <w:t>#651a#</w:t>
      </w:r>
      <w:bookmarkEnd w:id="996"/>
    </w:p>
    <w:p>
      <w:r>
        <w:t xml:space="preserve">(1) </w:t>
      </w:r>
      <w:r>
        <w:rPr>
          <w:rStyle w:val="Satznummer"/>
        </w:rPr>
        <w:t>1</w:t>
      </w:r>
      <w:r>
        <w:t xml:space="preserve">Durch den Pauschalreisevertrag wird der Unternehmer (Reiseveranstalter) verpflichtet, dem Reisenden eine Pauschalreise zu verschaffen. </w:t>
      </w:r>
      <w:r>
        <w:rPr>
          <w:rStyle w:val="Satznummer"/>
        </w:rPr>
        <w:t>2</w:t>
      </w:r>
      <w:r>
        <w:t>Der Reisende ist verpflichtet, dem Reiseveranstalter den vereinbarten Reisepreis zu zahlen.</w:t>
      </w:r>
    </w:p>
    <w:p>
      <w:r>
        <w:t xml:space="preserve">(2) </w:t>
      </w:r>
      <w:r>
        <w:rPr>
          <w:rStyle w:val="Satznummer"/>
        </w:rPr>
        <w:t>1</w:t>
      </w:r>
      <w:r>
        <w:t xml:space="preserve">Eine Pauschalreise ist eine Gesamtheit von mindestens zwei verschiedenen Arten von Reiseleistungen für den Zweck derselben Reise. </w:t>
      </w:r>
      <w:r>
        <w:rPr>
          <w:rStyle w:val="Satznummer"/>
        </w:rPr>
        <w:t>2</w:t>
      </w:r>
      <w:r>
        <w:t>Eine Pauschalreise liegt auch dann vor, wenn</w:t>
      </w:r>
    </w:p>
    <w:p>
      <w:pPr>
        <w:tabs>
          <w:tab w:pos="567" w:val="left"/>
        </w:tabs>
        <w:ind w:left="567" w:hanging="567"/>
      </w:pPr>
      <w:r>
        <w:t>1.</w:t>
      </w:r>
      <w:r>
        <w:tab/>
      </w:r>
      <w:r>
        <w:t>die von dem Vertrag umfassten Reiseleistungen auf Wunsch des Reisenden oder entsprechend seiner Auswahl zusammengestellt wurden oder</w:t>
      </w:r>
    </w:p>
    <w:p>
      <w:pPr>
        <w:tabs>
          <w:tab w:pos="567" w:val="left"/>
        </w:tabs>
        <w:ind w:left="567" w:hanging="567"/>
      </w:pPr>
      <w:r>
        <w:t>2.</w:t>
      </w:r>
      <w:r>
        <w:tab/>
      </w:r>
      <w:r>
        <w:t>der Reiseveranstalter dem Reisenden in dem Vertrag das Recht einräumt, die Auswahl der Reiseleistungen aus seinem Angebot nach Vertragsschluss zu treffen.</w:t>
      </w:r>
    </w:p>
    <w:p>
      <w:r>
        <w:t xml:space="preserve">(3) </w:t>
      </w:r>
      <w:r>
        <w:rPr>
          <w:rStyle w:val="Satznummer"/>
        </w:rPr>
        <w:t>1</w:t>
      </w:r>
      <w:r>
        <w:t>Reiseleistungen im Sinne dieses Gesetzes sind</w:t>
      </w:r>
    </w:p>
    <w:p>
      <w:pPr>
        <w:tabs>
          <w:tab w:pos="567" w:val="left"/>
        </w:tabs>
        <w:ind w:left="567" w:hanging="567"/>
      </w:pPr>
      <w:r>
        <w:t>1.</w:t>
      </w:r>
      <w:r>
        <w:tab/>
      </w:r>
      <w:r>
        <w:t>die Beförderung von Personen,</w:t>
      </w:r>
    </w:p>
    <w:p>
      <w:pPr>
        <w:tabs>
          <w:tab w:pos="567" w:val="left"/>
        </w:tabs>
        <w:ind w:left="567" w:hanging="567"/>
      </w:pPr>
      <w:r>
        <w:t>2.</w:t>
      </w:r>
      <w:r>
        <w:tab/>
      </w:r>
      <w:r>
        <w:t>die Beherbergung, außer wenn sie Wohnzwecken dient,</w:t>
      </w:r>
    </w:p>
    <w:p>
      <w:pPr>
        <w:tabs>
          <w:tab w:pos="567" w:val="left"/>
        </w:tabs>
        <w:ind w:left="567" w:hanging="567"/>
      </w:pPr>
      <w:r>
        <w:t>3.</w:t>
      </w:r>
      <w:r>
        <w:tab/>
      </w:r>
      <w:r>
        <w:t>die Vermietung</w:t>
      </w:r>
    </w:p>
    <w:p>
      <w:pPr>
        <w:tabs>
          <w:tab w:pos="1134" w:val="left"/>
        </w:tabs>
        <w:ind w:left="1134" w:hanging="567"/>
      </w:pPr>
      <w:r>
        <w:t>a)</w:t>
      </w:r>
      <w:r>
        <w:tab/>
      </w:r>
      <w:r>
        <w:t>von vierrädrigen Kraftfahrzeugen gemäß § 3 Absatz 1 der EG-Fahrzeuggenehmigungsverordnung vom 3. Februar 2011 (BGBl. I S. 126), die zuletzt durch Artikel 7 der Verordnung vom 23. März 2017 (BGBl. I S. 522) geändert worden ist, und</w:t>
      </w:r>
    </w:p>
    <w:p>
      <w:pPr>
        <w:tabs>
          <w:tab w:pos="1134" w:val="left"/>
        </w:tabs>
        <w:ind w:left="1134" w:hanging="567"/>
      </w:pPr>
      <w:r>
        <w:t>b)</w:t>
      </w:r>
      <w:r>
        <w:tab/>
      </w:r>
      <w:r>
        <w:t>von Krafträdern der Fahrerlaubnisklasse A gemäß § 6 Absatz 1 der Fahrerlaubnis-Verordnung vom 13. Dezember 2010 (BGBl. I S. 1980), die zuletzt durch Artikel 4 der Verordnung vom 18. Mai 2017 (BGBl. I S. 1282) geändert worden ist,</w:t>
      </w:r>
    </w:p>
    <w:p>
      <w:pPr>
        <w:tabs>
          <w:tab w:pos="567" w:val="left"/>
        </w:tabs>
        <w:ind w:left="567" w:hanging="567"/>
      </w:pPr>
      <w:r>
        <w:t>4.</w:t>
      </w:r>
      <w:r>
        <w:tab/>
      </w:r>
      <w:r>
        <w:t>jede touristische Leistung, die nicht Reiseleistung im Sinne der Nummern 1 bis 3 ist.</w:t>
      </w:r>
    </w:p>
    <w:p>
      <w:r>
        <w:rPr>
          <w:rStyle w:val="Satznummer"/>
        </w:rPr>
        <w:t>2</w:t>
      </w:r>
      <w:r>
        <w:t>Nicht als Reiseleistungen nach Satz 1 gelten Reiseleistungen, die wesensmäßig Bestandteil einer anderen Reiseleistung sind.</w:t>
      </w:r>
    </w:p>
    <w:p>
      <w:r>
        <w:t xml:space="preserve">(4) </w:t>
      </w:r>
      <w:r>
        <w:rPr>
          <w:rStyle w:val="Satznummer"/>
        </w:rPr>
        <w:t>1</w:t>
      </w:r>
      <w:r>
        <w:t>Keine Pauschalreise liegt vor, wenn nur eine Art von Reiseleistung im Sinne des Absatzes 3 Satz 1 Nummer 1 bis 3 mit einer oder mehreren touristischen Leistungen im Sinne des Absatzes 3 Satz 1 Nummer 4 zusammengestellt wird und die touristischen Leistungen</w:t>
      </w:r>
    </w:p>
    <w:p>
      <w:pPr>
        <w:tabs>
          <w:tab w:pos="567" w:val="left"/>
        </w:tabs>
        <w:ind w:left="567" w:hanging="567"/>
      </w:pPr>
      <w:r>
        <w:t>1.</w:t>
      </w:r>
      <w:r>
        <w:tab/>
      </w:r>
      <w:r>
        <w:t>keinen erheblichen Anteil am Gesamtwert der Zusammenstellung ausmachen und weder ein wesentliches Merkmal der Zusammenstellung darstellen noch als solches beworben werden oder</w:t>
      </w:r>
    </w:p>
    <w:p>
      <w:pPr>
        <w:tabs>
          <w:tab w:pos="567" w:val="left"/>
        </w:tabs>
        <w:ind w:left="567" w:hanging="567"/>
      </w:pPr>
      <w:r>
        <w:t>2.</w:t>
      </w:r>
      <w:r>
        <w:tab/>
      </w:r>
      <w:r>
        <w:t>erst nach Beginn der Erbringung einer Reiseleistung im Sinne des Absatzes 3 Satz 1 Nummer 1 bis 3 ausgewählt und vereinbart werden.</w:t>
      </w:r>
    </w:p>
    <w:p>
      <w:r>
        <w:rPr>
          <w:rStyle w:val="Satznummer"/>
        </w:rPr>
        <w:t>2</w:t>
      </w:r>
      <w:r>
        <w:t>Touristische Leistungen machen im Sinne des Satzes 1 Nummer 1 keinen erheblichen Anteil am Gesamtwert der Zusammenstellung aus, wenn auf sie weniger als 25 Prozent des Gesamtwertes entfallen.</w:t>
      </w:r>
    </w:p>
    <w:p>
      <w:r>
        <w:t>(5) Die Vorschriften über Pauschalreiseverträge gelten nicht für Verträge über Reisen, die</w:t>
      </w:r>
    </w:p>
    <w:p>
      <w:pPr>
        <w:tabs>
          <w:tab w:pos="567" w:val="left"/>
        </w:tabs>
        <w:ind w:left="567" w:hanging="567"/>
      </w:pPr>
      <w:r>
        <w:t>1.</w:t>
      </w:r>
      <w:r>
        <w:tab/>
      </w:r>
      <w:r>
        <w:t>nur gelegentlich, nicht zum Zwecke der Gewinnerzielung und nur einem begrenzten Personenkreis angeboten werden,</w:t>
      </w:r>
    </w:p>
    <w:p>
      <w:pPr>
        <w:tabs>
          <w:tab w:pos="567" w:val="left"/>
        </w:tabs>
        <w:ind w:left="567" w:hanging="567"/>
      </w:pPr>
      <w:r>
        <w:t>2.</w:t>
      </w:r>
      <w:r>
        <w:tab/>
      </w:r>
      <w:r>
        <w:t>weniger als 24 Stunden dauern und keine Übernachtung umfassen (Tagesreisen) und deren Reisepreis 500 Euro nicht übersteigt oder</w:t>
      </w:r>
    </w:p>
    <w:p>
      <w:pPr>
        <w:tabs>
          <w:tab w:pos="567" w:val="left"/>
        </w:tabs>
        <w:ind w:left="567" w:hanging="567"/>
      </w:pPr>
      <w:r>
        <w:t>3.</w:t>
      </w:r>
      <w:r>
        <w:tab/>
      </w:r>
      <w:r>
        <w:t>auf der Grundlage eines Rahmenvertrags für die Organisation von Geschäftsreisen mit einem Reisenden, der Unternehmer ist, für dessen unternehmerische Zwecke geschlossen werden.</w:t>
      </w:r>
    </w:p>
    <w:p>
      <w:pPr>
        <w:pStyle w:val="Heading5"/>
      </w:pPr>
      <w:bookmarkStart w:id="997" w:name="b983"/>
      <w:r>
        <w:t>§ 651b Abgrenzung zur Vermittlung</w:t>
      </w:r>
      <w:r>
        <w:t xml:space="preserve"> </w:t>
      </w:r>
      <w:r>
        <w:rPr>
          <w:rStyle w:val="Suchmarke"/>
        </w:rPr>
        <w:t>#651b#</w:t>
      </w:r>
      <w:bookmarkEnd w:id="997"/>
    </w:p>
    <w:p>
      <w:r>
        <w:t xml:space="preserve">(1) </w:t>
      </w:r>
      <w:r>
        <w:rPr>
          <w:rStyle w:val="Satznummer"/>
        </w:rPr>
        <w:t>1</w:t>
      </w:r>
      <w:r>
        <w:t xml:space="preserve">Unbeschadet der </w:t>
      </w:r>
      <w:hyperlink w:anchor="b1003" w:history="1">
        <w:r>
          <w:rPr>
            <w:color w:val="0A3A8C"/>
            <w:u w:val="single"/>
          </w:rPr>
          <w:t xml:space="preserve">§§ 651v</w:t>
        </w:r>
      </w:hyperlink>
      <w:r>
        <w:t xml:space="preserve"> und </w:t>
      </w:r>
      <w:hyperlink w:anchor="b1004" w:history="1">
        <w:r>
          <w:rPr>
            <w:color w:val="0A3A8C"/>
            <w:u w:val="single"/>
          </w:rPr>
          <w:t xml:space="preserve">651w</w:t>
        </w:r>
      </w:hyperlink>
      <w:r>
        <w:t xml:space="preserve"> gelten für die Vermittlung von Reiseleistungen die allgemeinen Vorschriften. </w:t>
      </w:r>
      <w:r>
        <w:rPr>
          <w:rStyle w:val="Satznummer"/>
        </w:rPr>
        <w:t>2</w:t>
      </w:r>
      <w:r>
        <w:t>Ein Unternehmer kann sich jedoch nicht darauf berufen, nur Verträge mit den Personen zu vermitteln, welche alle oder einzelne Reiseleistungen ausführen sollen (Leistungserbringer), wenn dem Reisenden mindestens zwei verschiedene Arten von Reiseleistungen für den Zweck derselben Reise erbracht werden sollen und</w:t>
      </w:r>
    </w:p>
    <w:p>
      <w:pPr>
        <w:tabs>
          <w:tab w:pos="567" w:val="left"/>
        </w:tabs>
        <w:ind w:left="567" w:hanging="567"/>
      </w:pPr>
      <w:r>
        <w:t>1.</w:t>
      </w:r>
      <w:r>
        <w:tab/>
      </w:r>
      <w:r>
        <w:t>der Reisende die Reiseleistungen in einer einzigen Vertriebsstelle des Unternehmers im Rahmen desselben Buchungsvorgangs auswählt, bevor er sich zur Zahlung verpflichtet,</w:t>
      </w:r>
    </w:p>
    <w:p>
      <w:pPr>
        <w:tabs>
          <w:tab w:pos="567" w:val="left"/>
        </w:tabs>
        <w:ind w:left="567" w:hanging="567"/>
      </w:pPr>
      <w:r>
        <w:t>2.</w:t>
      </w:r>
      <w:r>
        <w:tab/>
      </w:r>
      <w:r>
        <w:t>der Unternehmer die Reiseleistungen zu einem Gesamtpreis anbietet oder zu verschaffen verspricht oder in Rechnung stellt oder</w:t>
      </w:r>
    </w:p>
    <w:p>
      <w:pPr>
        <w:tabs>
          <w:tab w:pos="567" w:val="left"/>
        </w:tabs>
        <w:ind w:left="567" w:hanging="567"/>
      </w:pPr>
      <w:r>
        <w:t>3.</w:t>
      </w:r>
      <w:r>
        <w:tab/>
      </w:r>
      <w:r>
        <w:t>der Unternehmer die Reiseleistungen unter der Bezeichnung „Pauschalreise“ oder unter einer ähnlichen Bezeichnung bewirbt oder auf diese Weise zu verschaffen verspricht.</w:t>
      </w:r>
    </w:p>
    <w:p>
      <w:r>
        <w:rPr>
          <w:rStyle w:val="Satznummer"/>
        </w:rPr>
        <w:t>3</w:t>
      </w:r>
      <w:r>
        <w:t xml:space="preserve">In diesen Fällen ist der Unternehmer Reiseveranstalter. </w:t>
      </w:r>
      <w:r>
        <w:rPr>
          <w:rStyle w:val="Satznummer"/>
        </w:rPr>
        <w:t>4</w:t>
      </w:r>
      <w:r>
        <w:t>Der Buchungsvorgang im Sinne des Satzes 2 Nummer 1 beginnt noch nicht, wenn der Reisende hinsichtlich seines Reisewunsches befragt wird und zu Reiseangeboten lediglich beraten wird.</w:t>
      </w:r>
    </w:p>
    <w:p>
      <w:r>
        <w:t xml:space="preserve">(2) </w:t>
      </w:r>
      <w:r>
        <w:rPr>
          <w:rStyle w:val="Satznummer"/>
        </w:rPr>
        <w:t>1</w:t>
      </w:r>
      <w:r>
        <w:t>Vertriebsstellen im Sinne dieses Gesetzes sind</w:t>
      </w:r>
    </w:p>
    <w:p>
      <w:pPr>
        <w:tabs>
          <w:tab w:pos="567" w:val="left"/>
        </w:tabs>
        <w:ind w:left="567" w:hanging="567"/>
      </w:pPr>
      <w:r>
        <w:t>1.</w:t>
      </w:r>
      <w:r>
        <w:tab/>
      </w:r>
      <w:r>
        <w:t>unbewegliche und bewegliche Gewerberäume,</w:t>
      </w:r>
    </w:p>
    <w:p>
      <w:pPr>
        <w:tabs>
          <w:tab w:pos="567" w:val="left"/>
        </w:tabs>
        <w:ind w:left="567" w:hanging="567"/>
      </w:pPr>
      <w:r>
        <w:t>2.</w:t>
      </w:r>
      <w:r>
        <w:tab/>
      </w:r>
      <w:r>
        <w:t>Webseiten für den elektronischen Geschäftsverkehr und ähnliche Online-Verkaufsplattformen,</w:t>
      </w:r>
    </w:p>
    <w:p>
      <w:pPr>
        <w:tabs>
          <w:tab w:pos="567" w:val="left"/>
        </w:tabs>
        <w:ind w:left="567" w:hanging="567"/>
      </w:pPr>
      <w:r>
        <w:t>3.</w:t>
      </w:r>
      <w:r>
        <w:tab/>
      </w:r>
      <w:r>
        <w:t>Telefondienste.</w:t>
      </w:r>
    </w:p>
    <w:p>
      <w:r>
        <w:rPr>
          <w:rStyle w:val="Satznummer"/>
        </w:rPr>
        <w:t>2</w:t>
      </w:r>
      <w:r>
        <w:t>Wird bei mehreren Webseiten und ähnlichen Online-Verkaufsplattformen nach Satz 1 Nummer 2 der Anschein eines einheitlichen Auftritts begründet, handelt es sich um eine Vertriebsstelle.</w:t>
      </w:r>
    </w:p>
    <w:p>
      <w:pPr>
        <w:pStyle w:val="Heading5"/>
      </w:pPr>
      <w:bookmarkStart w:id="998" w:name="b984"/>
      <w:r>
        <w:t>§ 651c Verbundene Online-Buchungsverfahren</w:t>
      </w:r>
      <w:r>
        <w:t xml:space="preserve"> </w:t>
      </w:r>
      <w:r>
        <w:rPr>
          <w:rStyle w:val="Suchmarke"/>
        </w:rPr>
        <w:t>#651c#</w:t>
      </w:r>
      <w:bookmarkEnd w:id="998"/>
    </w:p>
    <w:p>
      <w:r>
        <w:t>(1) Ein Unternehmer, der mittels eines Online-Buchungsverfahrens mit dem Reisenden einen Vertrag über eine Reiseleistung geschlossen hat oder ihm auf demselben Weg einen solchen Vertrag vermittelt hat, ist als Reiseveranstalter anzusehen, wenn</w:t>
      </w:r>
    </w:p>
    <w:p>
      <w:pPr>
        <w:tabs>
          <w:tab w:pos="567" w:val="left"/>
        </w:tabs>
        <w:ind w:left="567" w:hanging="567"/>
      </w:pPr>
      <w:r>
        <w:t>1.</w:t>
      </w:r>
      <w:r>
        <w:tab/>
      </w:r>
      <w:r>
        <w:t>er dem Reisenden für den Zweck derselben Reise mindestens einen Vertrag über eine andere Art von Reiseleistung vermittelt, indem er den Zugriff auf das Online-Buchungsverfahren eines anderen Unternehmers ermöglicht,</w:t>
      </w:r>
    </w:p>
    <w:p>
      <w:pPr>
        <w:tabs>
          <w:tab w:pos="567" w:val="left"/>
        </w:tabs>
        <w:ind w:left="567" w:hanging="567"/>
      </w:pPr>
      <w:r>
        <w:t>2.</w:t>
      </w:r>
      <w:r>
        <w:tab/>
      </w:r>
      <w:r>
        <w:t>er den Namen, die Zahlungsdaten und die E-Mail-Adresse des Reisenden an den anderen Unternehmer übermittelt und</w:t>
      </w:r>
    </w:p>
    <w:p>
      <w:pPr>
        <w:tabs>
          <w:tab w:pos="567" w:val="left"/>
        </w:tabs>
        <w:ind w:left="567" w:hanging="567"/>
      </w:pPr>
      <w:r>
        <w:t>3.</w:t>
      </w:r>
      <w:r>
        <w:tab/>
      </w:r>
      <w:r>
        <w:t>der weitere Vertrag spätestens 24 Stunden nach der Bestätigung des Vertragsschlusses über die erste Reiseleistung geschlossen wird.</w:t>
      </w:r>
    </w:p>
    <w:p>
      <w:r>
        <w:t xml:space="preserve">(2) Kommen nach Absatz 1 ein Vertrag über eine andere Art von Reiseleistung oder mehrere Verträge über mindestens eine andere Art von Reiseleistung zustande, gelten vorbehaltlich des </w:t>
      </w:r>
      <w:hyperlink w:anchor="b982" w:history="1">
        <w:r>
          <w:rPr>
            <w:color w:val="0A3A8C"/>
            <w:u w:val="single"/>
          </w:rPr>
          <w:t xml:space="preserve">§ 651a</w:t>
        </w:r>
      </w:hyperlink>
      <w:r>
        <w:t xml:space="preserve"> Absatz 4 die vom Reisenden geschlossenen Verträge zusammen als ein Pauschalreisevertrag im Sinne des </w:t>
      </w:r>
      <w:hyperlink w:anchor="b982" w:history="1">
        <w:r>
          <w:rPr>
            <w:color w:val="0A3A8C"/>
            <w:u w:val="single"/>
          </w:rPr>
          <w:t xml:space="preserve">§ 651a</w:t>
        </w:r>
      </w:hyperlink>
      <w:r>
        <w:t xml:space="preserve"> Absatz 1.</w:t>
      </w:r>
    </w:p>
    <w:p>
      <w:r>
        <w:t xml:space="preserve">(3) </w:t>
      </w:r>
      <w:hyperlink w:anchor="b982" w:history="1">
        <w:r>
          <w:rPr>
            <w:color w:val="0A3A8C"/>
            <w:u w:val="single"/>
          </w:rPr>
          <w:t xml:space="preserve">§ 651a</w:t>
        </w:r>
      </w:hyperlink>
      <w:r>
        <w:t xml:space="preserve"> Absatz 5 Nummer 2 ist unabhängig von der Höhe des Reisepreises anzuwenden.</w:t>
      </w:r>
    </w:p>
    <w:p>
      <w:pPr>
        <w:pStyle w:val="Heading5"/>
      </w:pPr>
      <w:bookmarkStart w:id="999" w:name="b985"/>
      <w:r>
        <w:t>§ 651d Informationspflichten; Vertragsinhalt</w:t>
      </w:r>
      <w:r>
        <w:t xml:space="preserve"> </w:t>
      </w:r>
      <w:r>
        <w:rPr>
          <w:rStyle w:val="Suchmarke"/>
        </w:rPr>
        <w:t>#651d#</w:t>
      </w:r>
      <w:bookmarkEnd w:id="999"/>
    </w:p>
    <w:p>
      <w:r>
        <w:t xml:space="preserve">(1) </w:t>
      </w:r>
      <w:r>
        <w:rPr>
          <w:rStyle w:val="Satznummer"/>
        </w:rPr>
        <w:t>1</w:t>
      </w:r>
      <w:r>
        <w:t xml:space="preserve">Der Reiseveranstalter ist verpflichtet, den Reisenden, bevor dieser seine Vertragserklärung abgibt, nach Maßgabe des Artikels 250 §§ 1 bis 3 des Einführungsgesetzes zum Bürgerlichen Gesetzbuche zu informieren. </w:t>
      </w:r>
      <w:r>
        <w:rPr>
          <w:rStyle w:val="Satznummer"/>
        </w:rPr>
        <w:t>2</w:t>
      </w:r>
      <w:r>
        <w:t xml:space="preserve">Er erfüllt damit zugleich die Verpflichtungen des Reisevermittlers aus </w:t>
      </w:r>
      <w:hyperlink w:anchor="b1003" w:history="1">
        <w:r>
          <w:rPr>
            <w:color w:val="0A3A8C"/>
            <w:u w:val="single"/>
          </w:rPr>
          <w:t xml:space="preserve">§ 651v</w:t>
        </w:r>
      </w:hyperlink>
      <w:r>
        <w:t xml:space="preserve"> Absatz 1 Satz 1.</w:t>
      </w:r>
    </w:p>
    <w:p>
      <w:r>
        <w:t>(2) Dem Reisenden fallen zusätzliche Gebühren, Entgelte und sonstige Kosten nur dann zur Last, wenn er über diese vor Abgabe seiner Vertragserklärung gemäß Artikel 250 § 3 Nummer 3 des Einführungsgesetzes zum Bürgerlichen Gesetzbuche informiert worden ist.</w:t>
      </w:r>
    </w:p>
    <w:p>
      <w:r>
        <w:t xml:space="preserve">(3) </w:t>
      </w:r>
      <w:r>
        <w:rPr>
          <w:rStyle w:val="Satznummer"/>
        </w:rPr>
        <w:t>1</w:t>
      </w:r>
      <w:r>
        <w:t xml:space="preserve">Die gemäß Artikel 250 § 3 Nummer 1, 3 bis 5 und 7 des Einführungsgesetzes zum Bürgerlichen Gesetzbuche gemachten Angaben werden Inhalt des Vertrags, es sei denn, die Vertragsparteien haben ausdrücklich etwas anderes vereinbart. </w:t>
      </w:r>
      <w:r>
        <w:rPr>
          <w:rStyle w:val="Satznummer"/>
        </w:rPr>
        <w:t>2</w:t>
      </w:r>
      <w:r>
        <w:t xml:space="preserve">Der Reiseveranstalter hat dem Reisenden bei oder unverzüglich nach Vertragsschluss nach Maßgabe des Artikels 250 § 6 des Einführungsgesetzes zum Bürgerlichen Gesetzbuche eine Abschrift oder Bestätigung des Vertrags zur Verfügung zu stellen. </w:t>
      </w:r>
      <w:r>
        <w:rPr>
          <w:rStyle w:val="Satznummer"/>
        </w:rPr>
        <w:t>3</w:t>
      </w:r>
      <w:r>
        <w:t>Er hat dem Reisenden rechtzeitig vor Reisebeginn gemäß Artikel 250 § 7 des Einführungsgesetzes zum Bürgerlichen Gesetzbuche die notwendigen Reiseunterlagen zu übermitteln.</w:t>
      </w:r>
    </w:p>
    <w:p>
      <w:r>
        <w:t>(4) Der Reiseveranstalter trägt gegenüber dem Reisenden die Beweislast für die Erfüllung seiner Informationspflichten.</w:t>
      </w:r>
    </w:p>
    <w:p>
      <w:r>
        <w:t xml:space="preserve">(5) </w:t>
      </w:r>
      <w:r>
        <w:rPr>
          <w:rStyle w:val="Satznummer"/>
        </w:rPr>
        <w:t>1</w:t>
      </w:r>
      <w:r>
        <w:t xml:space="preserve">Bei Pauschalreiseverträgen nach </w:t>
      </w:r>
      <w:hyperlink w:anchor="b984" w:history="1">
        <w:r>
          <w:rPr>
            <w:color w:val="0A3A8C"/>
            <w:u w:val="single"/>
          </w:rPr>
          <w:t xml:space="preserve">§ 651c</w:t>
        </w:r>
      </w:hyperlink>
      <w:r>
        <w:t xml:space="preserve"> gelten für den als Reiseveranstalter anzusehenden Unternehmer sowie für jeden anderen Unternehmer, dem nach § 651c Absatz 1 Nummer 2 Daten übermittelt werden, die besonderen Vorschriften des Artikels 250 §§ 4 und 8 des Einführungsgesetzes zum Bürgerlichen Gesetzbuche. </w:t>
      </w:r>
      <w:r>
        <w:rPr>
          <w:rStyle w:val="Satznummer"/>
        </w:rPr>
        <w:t>2</w:t>
      </w:r>
      <w:r>
        <w:t>Im Übrigen bleiben die vorstehenden Absätze unberührt.</w:t>
      </w:r>
    </w:p>
    <w:p>
      <w:pPr>
        <w:pStyle w:val="Heading5"/>
      </w:pPr>
      <w:bookmarkStart w:id="1000" w:name="b986"/>
      <w:r>
        <w:t>§ 651e Vertragsübertragung</w:t>
      </w:r>
      <w:r>
        <w:t xml:space="preserve"> </w:t>
      </w:r>
      <w:r>
        <w:rPr>
          <w:rStyle w:val="Suchmarke"/>
        </w:rPr>
        <w:t>#651e#</w:t>
      </w:r>
      <w:bookmarkEnd w:id="1000"/>
    </w:p>
    <w:p>
      <w:r>
        <w:t xml:space="preserve">(1) </w:t>
      </w:r>
      <w:r>
        <w:rPr>
          <w:rStyle w:val="Satznummer"/>
        </w:rPr>
        <w:t>1</w:t>
      </w:r>
      <w:r>
        <w:t xml:space="preserve">Der Reisende kann innerhalb einer angemessenen Frist vor Reisebeginn auf einem dauerhaften Datenträger erklären, dass statt seiner ein Dritter in die Rechte und Pflichten aus dem Pauschalreisevertrag eintritt. </w:t>
      </w:r>
      <w:r>
        <w:rPr>
          <w:rStyle w:val="Satznummer"/>
        </w:rPr>
        <w:t>2</w:t>
      </w:r>
      <w:r>
        <w:t>Die Erklärung ist in jedem Fall rechtzeitig, wenn sie dem Reiseveranstalter nicht später als sieben Tage vor Reisebeginn zugeht.</w:t>
      </w:r>
    </w:p>
    <w:p>
      <w:r>
        <w:t>(2) Der Reiseveranstalter kann dem Eintritt des Dritten widersprechen, wenn dieser die vertraglichen Reiseerfordernisse nicht erfüllt.</w:t>
      </w:r>
    </w:p>
    <w:p>
      <w:r>
        <w:t xml:space="preserve">(3) </w:t>
      </w:r>
      <w:r>
        <w:rPr>
          <w:rStyle w:val="Satznummer"/>
        </w:rPr>
        <w:t>1</w:t>
      </w:r>
      <w:r>
        <w:t xml:space="preserve">Tritt ein Dritter in den Vertrag ein, haften er und der Reisende dem Reiseveranstalter als Gesamtschuldner für den Reisepreis und die durch den Eintritt des Dritten entstehenden Mehrkosten. </w:t>
      </w:r>
      <w:r>
        <w:rPr>
          <w:rStyle w:val="Satznummer"/>
        </w:rPr>
        <w:t>2</w:t>
      </w:r>
      <w:r>
        <w:t>Der Reiseveranstalter darf eine Erstattung von Mehrkosten nur fordern, wenn und soweit diese angemessen und ihm tatsächlich entstanden sind.</w:t>
      </w:r>
    </w:p>
    <w:p>
      <w:r>
        <w:t>(4) Der Reiseveranstalter hat dem Reisenden einen Nachweis darüber zu erteilen, in welcher Höhe durch den Eintritt des Dritten Mehrkosten entstanden sind.</w:t>
      </w:r>
    </w:p>
    <w:p>
      <w:pPr>
        <w:pStyle w:val="Heading5"/>
      </w:pPr>
      <w:bookmarkStart w:id="1001" w:name="b987"/>
      <w:r>
        <w:t>§ 651f Änderungsvorbehalte; Preissenkung</w:t>
      </w:r>
      <w:r>
        <w:t xml:space="preserve"> </w:t>
      </w:r>
      <w:r>
        <w:rPr>
          <w:rStyle w:val="Suchmarke"/>
        </w:rPr>
        <w:t>#651f#</w:t>
      </w:r>
      <w:bookmarkEnd w:id="1001"/>
    </w:p>
    <w:p>
      <w:r>
        <w:t xml:space="preserve">(1) </w:t>
      </w:r>
      <w:r>
        <w:rPr>
          <w:rStyle w:val="Satznummer"/>
        </w:rPr>
        <w:t>1</w:t>
      </w:r>
      <w:r>
        <w:t>Der Reiseveranstalter kann den Reisepreis einseitig nur erhöhen, wenn</w:t>
      </w:r>
    </w:p>
    <w:p>
      <w:pPr>
        <w:tabs>
          <w:tab w:pos="567" w:val="left"/>
        </w:tabs>
        <w:ind w:left="567" w:hanging="567"/>
      </w:pPr>
      <w:r>
        <w:t>1.</w:t>
      </w:r>
      <w:r>
        <w:tab/>
      </w:r>
      <w:r>
        <w:t>der Vertrag diese Möglichkeit vorsieht und zudem einen Hinweis auf die Verpflichtung des Reiseveranstalters zur Senkung des Reisepreises nach Absatz 4 Satz 1 sowie die Angabe enthält, wie Änderungen des Reisepreises zu berechnen sind, und</w:t>
      </w:r>
    </w:p>
    <w:p>
      <w:pPr>
        <w:tabs>
          <w:tab w:pos="567" w:val="left"/>
        </w:tabs>
        <w:ind w:left="567" w:hanging="567"/>
      </w:pPr>
      <w:r>
        <w:t>2.</w:t>
      </w:r>
      <w:r>
        <w:tab/>
      </w:r>
      <w:r>
        <w:t>die Erhöhung des Reisepreises sich unmittelbar ergibt aus einer nach Vertragsschluss erfolgten</w:t>
      </w:r>
    </w:p>
    <w:p>
      <w:pPr>
        <w:tabs>
          <w:tab w:pos="1134" w:val="left"/>
        </w:tabs>
        <w:ind w:left="1134" w:hanging="567"/>
      </w:pPr>
      <w:r>
        <w:t>a)</w:t>
      </w:r>
      <w:r>
        <w:tab/>
      </w:r>
      <w:r>
        <w:t>Erhöhung des Preises für die Beförderung von Personen aufgrund höherer Kosten für Treibstoff oder andere Energieträger,</w:t>
      </w:r>
    </w:p>
    <w:p>
      <w:pPr>
        <w:tabs>
          <w:tab w:pos="1134" w:val="left"/>
        </w:tabs>
        <w:ind w:left="1134" w:hanging="567"/>
      </w:pPr>
      <w:r>
        <w:t>b)</w:t>
      </w:r>
      <w:r>
        <w:tab/>
      </w:r>
      <w:r>
        <w:t>Erhöhung der Steuern und sonstigen Abgaben für vereinbarte Reiseleistungen, wie Touristenabgaben, Hafen- oder Flughafengebühren, oder</w:t>
      </w:r>
    </w:p>
    <w:p>
      <w:pPr>
        <w:tabs>
          <w:tab w:pos="1134" w:val="left"/>
        </w:tabs>
        <w:ind w:left="1134" w:hanging="567"/>
      </w:pPr>
      <w:r>
        <w:t>c)</w:t>
      </w:r>
      <w:r>
        <w:tab/>
      </w:r>
      <w:r>
        <w:t>Änderung der für die betreffende Pauschalreise geltenden Wechselkurse.</w:t>
      </w:r>
    </w:p>
    <w:p>
      <w:r>
        <w:rPr>
          <w:rStyle w:val="Satznummer"/>
        </w:rPr>
        <w:t>2</w:t>
      </w:r>
      <w:r>
        <w:t xml:space="preserve">Der Reiseveranstalter hat den Reisenden auf einem dauerhaften Datenträger klar und verständlich über die Preiserhöhung und deren Gründe zu unterrichten und hierbei die Berechnung der Preiserhöhung mitzuteilen. </w:t>
      </w:r>
      <w:r>
        <w:rPr>
          <w:rStyle w:val="Satznummer"/>
        </w:rPr>
        <w:t>3</w:t>
      </w:r>
      <w:r>
        <w:t>Eine Preiserhöhung ist nur wirksam, wenn sie diesen Anforderungen entspricht und die Unterrichtung des Reisenden nicht später als 20 Tage vor Reisebeginn erfolgt.</w:t>
      </w:r>
    </w:p>
    <w:p>
      <w:r>
        <w:t xml:space="preserve">(2) </w:t>
      </w:r>
      <w:r>
        <w:rPr>
          <w:rStyle w:val="Satznummer"/>
        </w:rPr>
        <w:t>1</w:t>
      </w:r>
      <w:r>
        <w:t xml:space="preserve">Andere Vertragsbedingungen als den Reisepreis kann der Reiseveranstalter einseitig nur ändern, wenn dies im Vertrag vorgesehen und die Änderung unerheblich ist. </w:t>
      </w:r>
      <w:r>
        <w:rPr>
          <w:rStyle w:val="Satznummer"/>
        </w:rPr>
        <w:t>2</w:t>
      </w:r>
      <w:r>
        <w:t xml:space="preserve">Der Reiseveranstalter hat den Reisenden auf einem dauerhaften Datenträger klar, verständlich und in hervorgehobener Weise über die Änderung zu unterrichten. </w:t>
      </w:r>
      <w:r>
        <w:rPr>
          <w:rStyle w:val="Satznummer"/>
        </w:rPr>
        <w:t>3</w:t>
      </w:r>
      <w:r>
        <w:t>Eine Änderung ist nur wirksam, wenn sie diesen Anforderungen entspricht und vor Reisebeginn erklärt wird.</w:t>
      </w:r>
    </w:p>
    <w:p>
      <w:r>
        <w:t xml:space="preserve">(3) </w:t>
      </w:r>
      <w:hyperlink w:anchor="b358" w:history="1">
        <w:r>
          <w:rPr>
            <w:color w:val="0A3A8C"/>
            <w:u w:val="single"/>
          </w:rPr>
          <w:t xml:space="preserve">§ 308</w:t>
        </w:r>
      </w:hyperlink>
      <w:r>
        <w:t xml:space="preserve"> Nummer 4 und </w:t>
      </w:r>
      <w:hyperlink w:anchor="b359" w:history="1">
        <w:r>
          <w:rPr>
            <w:color w:val="0A3A8C"/>
            <w:u w:val="single"/>
          </w:rPr>
          <w:t xml:space="preserve">§ 309</w:t>
        </w:r>
      </w:hyperlink>
      <w:r>
        <w:t xml:space="preserve"> Nummer 1 sind auf Änderungsvorbehalte nach den Absätzen 1 und 2, die durch vorformulierte Vertragsbedingungen vereinbart werden, nicht anzuwenden.</w:t>
      </w:r>
    </w:p>
    <w:p>
      <w:r>
        <w:t xml:space="preserve">(4) </w:t>
      </w:r>
      <w:r>
        <w:rPr>
          <w:rStyle w:val="Satznummer"/>
        </w:rPr>
        <w:t>1</w:t>
      </w:r>
      <w:r>
        <w:t xml:space="preserve">Sieht der Vertrag die Möglichkeit einer Erhöhung des Reisepreises vor, kann der Reisende eine Senkung des Reisepreises verlangen, wenn und soweit sich die in Absatz 1 Satz 1 Nummer 2 genannten Preise, Abgaben oder Wechselkurse nach Vertragsschluss und vor Reisebeginn geändert haben und dies zu niedrigeren Kosten für den Reiseveranstalter führt. </w:t>
      </w:r>
      <w:r>
        <w:rPr>
          <w:rStyle w:val="Satznummer"/>
        </w:rPr>
        <w:t>2</w:t>
      </w:r>
      <w:r>
        <w:t xml:space="preserve">Hat der Reisende mehr als den hiernach geschuldeten Betrag gezahlt, ist der Mehrbetrag vom Reiseveranstalter zu erstatten. </w:t>
      </w:r>
      <w:r>
        <w:rPr>
          <w:rStyle w:val="Satznummer"/>
        </w:rPr>
        <w:t>3</w:t>
      </w:r>
      <w:r>
        <w:t xml:space="preserve">Der Reiseveranstalter darf von dem zu erstattenden Mehrbetrag die ihm tatsächlich entstandenen Verwaltungsausgaben abziehen. </w:t>
      </w:r>
      <w:r>
        <w:rPr>
          <w:rStyle w:val="Satznummer"/>
        </w:rPr>
        <w:t>4</w:t>
      </w:r>
      <w:r>
        <w:t>Er hat dem Reisenden auf dessen Verlangen nachzuweisen, in welcher Höhe Verwaltungsausgaben entstanden sind.</w:t>
      </w:r>
    </w:p>
    <w:p>
      <w:pPr>
        <w:pStyle w:val="Heading5"/>
      </w:pPr>
      <w:bookmarkStart w:id="1002" w:name="b988"/>
      <w:r>
        <w:t>§ 651g Erhebliche Vertragsänderungen</w:t>
      </w:r>
      <w:r>
        <w:t xml:space="preserve"> </w:t>
      </w:r>
      <w:r>
        <w:rPr>
          <w:rStyle w:val="Suchmarke"/>
        </w:rPr>
        <w:t>#651g#</w:t>
      </w:r>
      <w:bookmarkEnd w:id="1002"/>
    </w:p>
    <w:p>
      <w:r>
        <w:t xml:space="preserve">(1) </w:t>
      </w:r>
      <w:r>
        <w:rPr>
          <w:rStyle w:val="Satznummer"/>
        </w:rPr>
        <w:t>1</w:t>
      </w:r>
      <w:r>
        <w:t xml:space="preserve">Übersteigt die im Vertrag nach </w:t>
      </w:r>
      <w:hyperlink w:anchor="b987" w:history="1">
        <w:r>
          <w:rPr>
            <w:color w:val="0A3A8C"/>
            <w:u w:val="single"/>
          </w:rPr>
          <w:t xml:space="preserve">§ 651f</w:t>
        </w:r>
      </w:hyperlink>
      <w:r>
        <w:t xml:space="preserve"> Absatz 1 vorbehaltene Preiserhöhung 8 Prozent des Reisepreises, kann der Reiseveranstalter sie nicht einseitig vornehmen. </w:t>
      </w:r>
      <w:r>
        <w:rPr>
          <w:rStyle w:val="Satznummer"/>
        </w:rPr>
        <w:t>2</w:t>
      </w:r>
      <w:r>
        <w:t>Er kann dem Reisenden jedoch eine entsprechende Preiserhöhung anbieten und verlangen, dass der Reisende innerhalb einer vom Reiseveranstalter bestimmten Frist, die angemessen sein muss,</w:t>
      </w:r>
    </w:p>
    <w:p>
      <w:pPr>
        <w:tabs>
          <w:tab w:pos="567" w:val="left"/>
        </w:tabs>
        <w:ind w:left="567" w:hanging="567"/>
      </w:pPr>
      <w:r>
        <w:t>1.</w:t>
      </w:r>
      <w:r>
        <w:tab/>
      </w:r>
      <w:r>
        <w:t>das Angebot zur Preiserhöhung annimmt oder</w:t>
      </w:r>
    </w:p>
    <w:p>
      <w:pPr>
        <w:tabs>
          <w:tab w:pos="567" w:val="left"/>
        </w:tabs>
        <w:ind w:left="567" w:hanging="567"/>
      </w:pPr>
      <w:r>
        <w:t>2.</w:t>
      </w:r>
      <w:r>
        <w:tab/>
      </w:r>
      <w:r>
        <w:t>seinen Rücktritt vom Vertrag erklärt.</w:t>
      </w:r>
    </w:p>
    <w:p>
      <w:r>
        <w:rPr>
          <w:rStyle w:val="Satznummer"/>
        </w:rPr>
        <w:t>3</w:t>
      </w:r>
      <w:r>
        <w:t xml:space="preserve">Satz 2 gilt für andere Vertragsänderungen als Preiserhöhungen entsprechend, wenn der Reiseveranstalter die Pauschalreise aus einem nach Vertragsschluss eingetretenen Umstand nur unter erheblicher Änderung einer der wesentlichen Eigenschaften der Reiseleistungen (Artikel 250 § 3 Nummer 1 des Einführungsgesetzes zum Bürgerlichen Gesetzbuche) oder nur unter Abweichung von besonderen Vorgaben des Reisenden, die Inhalt des Vertrags geworden sind, verschaffen kann. </w:t>
      </w:r>
      <w:r>
        <w:rPr>
          <w:rStyle w:val="Satznummer"/>
        </w:rPr>
        <w:t>4</w:t>
      </w:r>
      <w:r>
        <w:t>Das Angebot zu einer Preiserhöhung kann nicht später als 20 Tage vor Reisebeginn, das Angebot zu sonstigen Vertragsänderungen nicht nach Reisebeginn unterbreitet werden.</w:t>
      </w:r>
    </w:p>
    <w:p>
      <w:r>
        <w:t xml:space="preserve">(2) </w:t>
      </w:r>
      <w:r>
        <w:rPr>
          <w:rStyle w:val="Satznummer"/>
        </w:rPr>
        <w:t>1</w:t>
      </w:r>
      <w:r>
        <w:t xml:space="preserve">Der Reiseveranstalter kann dem Reisenden in einem Angebot zu einer Preiserhöhung oder sonstigen Vertragsänderung nach Absatz 1 wahlweise auch die Teilnahme an einer anderen Pauschalreise (Ersatzreise) anbieten. </w:t>
      </w:r>
      <w:r>
        <w:rPr>
          <w:rStyle w:val="Satznummer"/>
        </w:rPr>
        <w:t>2</w:t>
      </w:r>
      <w:r>
        <w:t xml:space="preserve">Der Reiseveranstalter hat den Reisenden nach Maßgabe des Artikels 250 § 10 des Einführungsgesetzes zum Bürgerlichen Gesetzbuche zu informieren. </w:t>
      </w:r>
      <w:r>
        <w:rPr>
          <w:rStyle w:val="Satznummer"/>
        </w:rPr>
        <w:t>3</w:t>
      </w:r>
      <w:r>
        <w:t>Nach dem Ablauf der vom Reiseveranstalter bestimmten Frist gilt das Angebot zur Preiserhöhung oder sonstigen Vertragsänderung als angenommen.</w:t>
      </w:r>
    </w:p>
    <w:p>
      <w:r>
        <w:t xml:space="preserve">(3) </w:t>
      </w:r>
      <w:r>
        <w:rPr>
          <w:rStyle w:val="Satznummer"/>
        </w:rPr>
        <w:t>1</w:t>
      </w:r>
      <w:r>
        <w:t xml:space="preserve">Tritt der Reisende vom Vertrag zurück, findet </w:t>
      </w:r>
      <w:hyperlink w:anchor="b989" w:history="1">
        <w:r>
          <w:rPr>
            <w:color w:val="0A3A8C"/>
            <w:u w:val="single"/>
          </w:rPr>
          <w:t xml:space="preserve">§ 651h</w:t>
        </w:r>
      </w:hyperlink>
      <w:r>
        <w:t xml:space="preserve"> Absatz 1 Satz 2 und Absatz 5 entsprechende Anwendung; Ansprüche des Reisenden nach </w:t>
      </w:r>
      <w:hyperlink w:anchor="b990" w:history="1">
        <w:r>
          <w:rPr>
            <w:color w:val="0A3A8C"/>
            <w:u w:val="single"/>
          </w:rPr>
          <w:t xml:space="preserve">§ 651i</w:t>
        </w:r>
      </w:hyperlink>
      <w:r>
        <w:t xml:space="preserve"> Absatz 3 Nummer 7 bleiben unberührt. </w:t>
      </w:r>
      <w:r>
        <w:rPr>
          <w:rStyle w:val="Satznummer"/>
        </w:rPr>
        <w:t>2</w:t>
      </w:r>
      <w:r>
        <w:t xml:space="preserve">Nimmt er das Angebot zur Vertragsänderung oder zur Teilnahme an einer Ersatzreise an und ist die Pauschalreise im Vergleich zur ursprünglich geschuldeten nicht von mindestens gleichwertiger Beschaffenheit, gilt </w:t>
      </w:r>
      <w:hyperlink w:anchor="b994" w:history="1">
        <w:r>
          <w:rPr>
            <w:color w:val="0A3A8C"/>
            <w:u w:val="single"/>
          </w:rPr>
          <w:t xml:space="preserve">§ 651m</w:t>
        </w:r>
      </w:hyperlink>
      <w:r>
        <w:t xml:space="preserve"> entsprechend; ist sie von gleichwertiger Beschaffenheit, aber für den Reiseveranstalter mit geringeren Kosten verbunden, ist im Hinblick auf den Unterschiedsbetrag </w:t>
      </w:r>
      <w:hyperlink w:anchor="b994" w:history="1">
        <w:r>
          <w:rPr>
            <w:color w:val="0A3A8C"/>
            <w:u w:val="single"/>
          </w:rPr>
          <w:t xml:space="preserve">§ 651m</w:t>
        </w:r>
      </w:hyperlink>
      <w:r>
        <w:t xml:space="preserve"> Absatz 2 entsprechend anzuwenden.</w:t>
      </w:r>
    </w:p>
    <w:p>
      <w:pPr>
        <w:pStyle w:val="Heading5"/>
      </w:pPr>
      <w:bookmarkStart w:id="1003" w:name="b989"/>
      <w:r>
        <w:t>§ 651h Rücktritt vor Reisebeginn</w:t>
      </w:r>
      <w:r>
        <w:t xml:space="preserve"> </w:t>
      </w:r>
      <w:r>
        <w:rPr>
          <w:rStyle w:val="Suchmarke"/>
        </w:rPr>
        <w:t>#651h#</w:t>
      </w:r>
      <w:bookmarkEnd w:id="1003"/>
    </w:p>
    <w:p>
      <w:r>
        <w:t xml:space="preserve">(1) </w:t>
      </w:r>
      <w:r>
        <w:rPr>
          <w:rStyle w:val="Satznummer"/>
        </w:rPr>
        <w:t>1</w:t>
      </w:r>
      <w:r>
        <w:t xml:space="preserve">Vor Reisebeginn kann der Reisende jederzeit vom Vertrag zurücktreten. </w:t>
      </w:r>
      <w:r>
        <w:rPr>
          <w:rStyle w:val="Satznummer"/>
        </w:rPr>
        <w:t>2</w:t>
      </w:r>
      <w:r>
        <w:t xml:space="preserve">Tritt der Reisende vom Vertrag zurück, verliert der Reiseveranstalter den Anspruch auf den vereinbarten Reisepreis. </w:t>
      </w:r>
      <w:r>
        <w:rPr>
          <w:rStyle w:val="Satznummer"/>
        </w:rPr>
        <w:t>3</w:t>
      </w:r>
      <w:r>
        <w:t>Der Reiseveranstalter kann jedoch eine angemessene Entschädigung verlangen.</w:t>
      </w:r>
    </w:p>
    <w:p>
      <w:r>
        <w:t xml:space="preserve">(2) </w:t>
      </w:r>
      <w:r>
        <w:rPr>
          <w:rStyle w:val="Satznummer"/>
        </w:rPr>
        <w:t>1</w:t>
      </w:r>
      <w:r>
        <w:t>Im Vertrag können, auch durch vorformulierte Vertragsbedingungen, angemessene Entschädigungspauschalen festgelegt werden, die sich nach Folgendem bemessen:</w:t>
      </w:r>
    </w:p>
    <w:p>
      <w:pPr>
        <w:tabs>
          <w:tab w:pos="567" w:val="left"/>
        </w:tabs>
        <w:ind w:left="567" w:hanging="567"/>
      </w:pPr>
      <w:r>
        <w:t>1.</w:t>
      </w:r>
      <w:r>
        <w:tab/>
      </w:r>
      <w:r>
        <w:t>Zeitraum zwischen der Rücktrittserklärung und dem Reisebeginn,</w:t>
      </w:r>
    </w:p>
    <w:p>
      <w:pPr>
        <w:tabs>
          <w:tab w:pos="567" w:val="left"/>
        </w:tabs>
        <w:ind w:left="567" w:hanging="567"/>
      </w:pPr>
      <w:r>
        <w:t>2.</w:t>
      </w:r>
      <w:r>
        <w:tab/>
      </w:r>
      <w:r>
        <w:t>zu erwartende Ersparnis von Aufwendungen des Reiseveranstalters und</w:t>
      </w:r>
    </w:p>
    <w:p>
      <w:pPr>
        <w:tabs>
          <w:tab w:pos="567" w:val="left"/>
        </w:tabs>
        <w:ind w:left="567" w:hanging="567"/>
      </w:pPr>
      <w:r>
        <w:t>3.</w:t>
      </w:r>
      <w:r>
        <w:tab/>
      </w:r>
      <w:r>
        <w:t>zu erwartender Erwerb durch anderweitige Verwendung der Reiseleistungen.</w:t>
      </w:r>
    </w:p>
    <w:p>
      <w:r>
        <w:rPr>
          <w:rStyle w:val="Satznummer"/>
        </w:rPr>
        <w:t>2</w:t>
      </w:r>
      <w:r>
        <w:t xml:space="preserve">Werden im Vertrag keine Entschädigungspauschalen festgelegt, bestimmt sich die Höhe der Entschädigung nach dem Reisepreis abzüglich des Werts der vom Reiseveranstalter ersparten Aufwendungen sowie abzüglich dessen, was er durch anderweitige Verwendung der Reiseleistungen erwirbt. </w:t>
      </w:r>
      <w:r>
        <w:rPr>
          <w:rStyle w:val="Satznummer"/>
        </w:rPr>
        <w:t>3</w:t>
      </w:r>
      <w:r>
        <w:t>Der Reiseveranstalter ist auf Verlangen des Reisenden verpflichtet, die Höhe der Entschädigung zu begründen.</w:t>
      </w:r>
    </w:p>
    <w:p>
      <w:r>
        <w:t xml:space="preserve">(3) </w:t>
      </w:r>
      <w:r>
        <w:rPr>
          <w:rStyle w:val="Satznummer"/>
        </w:rPr>
        <w:t>1</w:t>
      </w:r>
      <w:r>
        <w:t xml:space="preserve">Abweichend von Absatz 1 Satz 3 kann der Reiseveranstalter keine Entschädigung verlangen, wenn am Bestimmungsort oder in dessen unmittelbarer Nähe unvermeidbare, außergewöhnliche Umstände auftreten, die die Durchführung der Pauschalreise oder die Beförderung von Personen an den Bestimmungsort erheblich beeinträchtigen. </w:t>
      </w:r>
      <w:r>
        <w:rPr>
          <w:rStyle w:val="Satznummer"/>
        </w:rPr>
        <w:t>2</w:t>
      </w:r>
      <w:r>
        <w:t>Umstände sind unvermeidbar und außergewöhnlich im Sinne dieses Untertitels, wenn sie nicht der Kontrolle der Partei unterliegen, die sich hierauf beruft, und sich ihre Folgen auch dann nicht hätten vermeiden lassen, wenn alle zumutbaren Vorkehrungen getroffen worden wären.</w:t>
      </w:r>
    </w:p>
    <w:p>
      <w:r>
        <w:t xml:space="preserve">(4) </w:t>
      </w:r>
      <w:r>
        <w:rPr>
          <w:rStyle w:val="Satznummer"/>
        </w:rPr>
        <w:t>1</w:t>
      </w:r>
      <w:r>
        <w:t>Der Reiseveranstalter kann vor Reisebeginn in den folgenden Fällen vom Vertrag zurücktreten:</w:t>
      </w:r>
    </w:p>
    <w:p>
      <w:pPr>
        <w:tabs>
          <w:tab w:pos="567" w:val="left"/>
        </w:tabs>
        <w:ind w:left="567" w:hanging="567"/>
      </w:pPr>
      <w:r>
        <w:t>1.</w:t>
      </w:r>
      <w:r>
        <w:tab/>
      </w:r>
      <w:r>
        <w:t>für die Pauschalreise haben sich weniger Personen als die im Vertrag angegebene Mindestteilnehmerzahl angemeldet; in diesem Fall hat der Reiseveranstalter den Rücktritt innerhalb der im Vertrag bestimmten Frist zu erklären, jedoch spätestens</w:t>
      </w:r>
    </w:p>
    <w:p>
      <w:pPr>
        <w:tabs>
          <w:tab w:pos="1134" w:val="left"/>
        </w:tabs>
        <w:ind w:left="1134" w:hanging="567"/>
      </w:pPr>
      <w:r>
        <w:t>a)</w:t>
      </w:r>
      <w:r>
        <w:tab/>
      </w:r>
      <w:r>
        <w:t>20 Tage vor Reisebeginn bei einer Reisedauer von mehr als sechs Tagen,</w:t>
      </w:r>
    </w:p>
    <w:p>
      <w:pPr>
        <w:tabs>
          <w:tab w:pos="1134" w:val="left"/>
        </w:tabs>
        <w:ind w:left="1134" w:hanging="567"/>
      </w:pPr>
      <w:r>
        <w:t>b)</w:t>
      </w:r>
      <w:r>
        <w:tab/>
      </w:r>
      <w:r>
        <w:t>sieben Tage vor Reisebeginn bei einer Reisedauer von mindestens zwei und höchstens sechs Tagen,</w:t>
      </w:r>
    </w:p>
    <w:p>
      <w:pPr>
        <w:tabs>
          <w:tab w:pos="1134" w:val="left"/>
        </w:tabs>
        <w:ind w:left="1134" w:hanging="567"/>
      </w:pPr>
      <w:r>
        <w:t>c)</w:t>
      </w:r>
      <w:r>
        <w:tab/>
      </w:r>
      <w:r>
        <w:t>48 Stunden vor Reisebeginn bei einer Reisedauer von weniger als zwei Tagen,</w:t>
      </w:r>
    </w:p>
    <w:p>
      <w:pPr>
        <w:tabs>
          <w:tab w:pos="567" w:val="left"/>
        </w:tabs>
        <w:ind w:left="567" w:hanging="567"/>
      </w:pPr>
      <w:r>
        <w:t>2.</w:t>
      </w:r>
      <w:r>
        <w:tab/>
      </w:r>
      <w:r>
        <w:t>der Reiseveranstalter ist aufgrund unvermeidbarer, außergewöhnlicher Umstände an der Erfüllung des Vertrags gehindert; in diesem Fall hat er den Rücktritt unverzüglich nach Kenntnis von dem Rücktrittsgrund zu erklären.</w:t>
      </w:r>
    </w:p>
    <w:p>
      <w:r>
        <w:rPr>
          <w:rStyle w:val="Satznummer"/>
        </w:rPr>
        <w:t>2</w:t>
      </w:r>
      <w:r>
        <w:t>Tritt der Reiseveranstalter vom Vertrag zurück, verliert er den Anspruch auf den vereinbarten Reisepreis.</w:t>
      </w:r>
    </w:p>
    <w:p>
      <w:r>
        <w:t>(5) Wenn der Reiseveranstalter infolge eines Rücktritts zur Rückerstattung des Reisepreises verpflichtet ist, hat er unverzüglich, auf jeden Fall aber innerhalb von 14 Tagen nach dem Rücktritt zu leisten.</w:t>
      </w:r>
    </w:p>
    <w:p>
      <w:pPr>
        <w:pStyle w:val="Heading5"/>
      </w:pPr>
      <w:bookmarkStart w:id="1004" w:name="b990"/>
      <w:r>
        <w:t>§ 651i Rechte des Reisenden bei Reisemängeln</w:t>
      </w:r>
      <w:r>
        <w:t xml:space="preserve"> </w:t>
      </w:r>
      <w:r>
        <w:rPr>
          <w:rStyle w:val="Suchmarke"/>
        </w:rPr>
        <w:t>#651i#</w:t>
      </w:r>
      <w:bookmarkEnd w:id="1004"/>
    </w:p>
    <w:p>
      <w:r>
        <w:t>(1) Der Reiseveranstalter hat dem Reisenden die Pauschalreise frei von Reisemängeln zu verschaffen.</w:t>
      </w:r>
    </w:p>
    <w:p>
      <w:r>
        <w:t xml:space="preserve">(2) </w:t>
      </w:r>
      <w:r>
        <w:rPr>
          <w:rStyle w:val="Satznummer"/>
        </w:rPr>
        <w:t>1</w:t>
      </w:r>
      <w:r>
        <w:t xml:space="preserve">Die Pauschalreise ist frei von Reisemängeln, wenn sie die vereinbarte Beschaffenheit hat. </w:t>
      </w:r>
      <w:r>
        <w:rPr>
          <w:rStyle w:val="Satznummer"/>
        </w:rPr>
        <w:t>2</w:t>
      </w:r>
      <w:r>
        <w:t>Soweit die Beschaffenheit nicht vereinbart ist, ist die Pauschalreise frei von Reisemängeln,</w:t>
      </w:r>
    </w:p>
    <w:p>
      <w:pPr>
        <w:tabs>
          <w:tab w:pos="567" w:val="left"/>
        </w:tabs>
        <w:ind w:left="567" w:hanging="567"/>
      </w:pPr>
      <w:r>
        <w:t>1.</w:t>
      </w:r>
      <w:r>
        <w:tab/>
      </w:r>
      <w:r>
        <w:t>wenn sie sich für den nach dem Vertrag vorausgesetzten Nutzen eignet, ansonsten</w:t>
      </w:r>
    </w:p>
    <w:p>
      <w:pPr>
        <w:tabs>
          <w:tab w:pos="567" w:val="left"/>
        </w:tabs>
        <w:ind w:left="567" w:hanging="567"/>
      </w:pPr>
      <w:r>
        <w:t>2.</w:t>
      </w:r>
      <w:r>
        <w:tab/>
      </w:r>
      <w:r>
        <w:t>wenn sie sich für den gewöhnlichen Nutzen eignet und eine Beschaffenheit aufweist, die bei Pauschalreisen der gleichen Art üblich ist und die der Reisende nach der Art der Pauschalreise erwarten kann.</w:t>
      </w:r>
    </w:p>
    <w:p>
      <w:r>
        <w:rPr>
          <w:rStyle w:val="Satznummer"/>
        </w:rPr>
        <w:t>3</w:t>
      </w:r>
      <w:r>
        <w:t>Ein Reisemangel liegt auch vor, wenn der Reiseveranstalter Reiseleistungen nicht oder mit unangemessener Verspätung verschafft.</w:t>
      </w:r>
    </w:p>
    <w:p>
      <w:r>
        <w:t>(3) Ist die Pauschalreise mangelhaft, kann der Reisende, wenn die Voraussetzungen der folgenden Vorschriften vorliegen und soweit nichts anderes bestimmt ist,</w:t>
      </w:r>
    </w:p>
    <w:p>
      <w:pPr>
        <w:tabs>
          <w:tab w:pos="567" w:val="left"/>
        </w:tabs>
        <w:ind w:left="567" w:hanging="567"/>
      </w:pPr>
      <w:r>
        <w:t>1.</w:t>
      </w:r>
      <w:r>
        <w:tab/>
      </w:r>
      <w:r>
        <w:t>nach § 651k Absatz 1 Abhilfe verlangen,</w:t>
      </w:r>
    </w:p>
    <w:p>
      <w:pPr>
        <w:tabs>
          <w:tab w:pos="567" w:val="left"/>
        </w:tabs>
        <w:ind w:left="567" w:hanging="567"/>
      </w:pPr>
      <w:r>
        <w:t>2.</w:t>
      </w:r>
      <w:r>
        <w:tab/>
      </w:r>
      <w:r>
        <w:t xml:space="preserve">nach </w:t>
      </w:r>
      <w:hyperlink w:anchor="b992" w:history="1">
        <w:r>
          <w:rPr>
            <w:color w:val="0A3A8C"/>
            <w:u w:val="single"/>
          </w:rPr>
          <w:t xml:space="preserve">§ 651k</w:t>
        </w:r>
      </w:hyperlink>
      <w:r>
        <w:t xml:space="preserve"> Absatz 2 selbst Abhilfe schaffen und Ersatz der erforderlichen Aufwendungen verlangen,</w:t>
      </w:r>
    </w:p>
    <w:p>
      <w:pPr>
        <w:tabs>
          <w:tab w:pos="567" w:val="left"/>
        </w:tabs>
        <w:ind w:left="567" w:hanging="567"/>
      </w:pPr>
      <w:r>
        <w:t>3.</w:t>
      </w:r>
      <w:r>
        <w:tab/>
      </w:r>
      <w:r>
        <w:t>nach § 651k Absatz 3 Abhilfe durch andere Reiseleistungen (Ersatzleistungen) verlangen,</w:t>
      </w:r>
    </w:p>
    <w:p>
      <w:pPr>
        <w:tabs>
          <w:tab w:pos="567" w:val="left"/>
        </w:tabs>
        <w:ind w:left="567" w:hanging="567"/>
      </w:pPr>
      <w:r>
        <w:t>4.</w:t>
      </w:r>
      <w:r>
        <w:tab/>
      </w:r>
      <w:r>
        <w:t>nach § 651k Absatz 4 und 5 Kostentragung für eine notwendige Beherbergung verlangen,</w:t>
      </w:r>
    </w:p>
    <w:p>
      <w:pPr>
        <w:tabs>
          <w:tab w:pos="567" w:val="left"/>
        </w:tabs>
        <w:ind w:left="567" w:hanging="567"/>
      </w:pPr>
      <w:r>
        <w:t>5.</w:t>
      </w:r>
      <w:r>
        <w:tab/>
      </w:r>
      <w:r>
        <w:t xml:space="preserve">den Vertrag nach </w:t>
      </w:r>
      <w:hyperlink w:anchor="b993" w:history="1">
        <w:r>
          <w:rPr>
            <w:color w:val="0A3A8C"/>
            <w:u w:val="single"/>
          </w:rPr>
          <w:t xml:space="preserve">§ 651l</w:t>
        </w:r>
      </w:hyperlink>
      <w:r>
        <w:t xml:space="preserve"> kündigen,</w:t>
      </w:r>
    </w:p>
    <w:p>
      <w:pPr>
        <w:tabs>
          <w:tab w:pos="567" w:val="left"/>
        </w:tabs>
        <w:ind w:left="567" w:hanging="567"/>
      </w:pPr>
      <w:r>
        <w:t>6.</w:t>
      </w:r>
      <w:r>
        <w:tab/>
      </w:r>
      <w:r>
        <w:t>die sich aus einer Minderung des Reisepreises (</w:t>
      </w:r>
      <w:hyperlink w:anchor="b994" w:history="1">
        <w:r>
          <w:rPr>
            <w:color w:val="0A3A8C"/>
            <w:u w:val="single"/>
          </w:rPr>
          <w:t xml:space="preserve">§ 651m</w:t>
        </w:r>
      </w:hyperlink>
      <w:r>
        <w:t>) ergebenden Rechte geltend machen und</w:t>
      </w:r>
    </w:p>
    <w:p>
      <w:pPr>
        <w:tabs>
          <w:tab w:pos="567" w:val="left"/>
        </w:tabs>
        <w:ind w:left="567" w:hanging="567"/>
      </w:pPr>
      <w:r>
        <w:t>7.</w:t>
      </w:r>
      <w:r>
        <w:tab/>
      </w:r>
      <w:r>
        <w:t>nach § 651n Schadensersatz oder nach § 284 Ersatz vergeblicher Aufwendungen verlangen.</w:t>
      </w:r>
    </w:p>
    <w:p>
      <w:pPr>
        <w:pStyle w:val="Heading5"/>
      </w:pPr>
      <w:bookmarkStart w:id="1005" w:name="b991"/>
      <w:r>
        <w:t>§ 651j Verjährung</w:t>
      </w:r>
      <w:r>
        <w:t xml:space="preserve"> </w:t>
      </w:r>
      <w:r>
        <w:rPr>
          <w:rStyle w:val="Suchmarke"/>
        </w:rPr>
        <w:t>#651j#</w:t>
      </w:r>
      <w:bookmarkEnd w:id="1005"/>
    </w:p>
    <w:p>
      <w:r>
        <w:rPr>
          <w:rStyle w:val="Satznummer"/>
        </w:rPr>
        <w:t>1</w:t>
      </w:r>
      <w:r>
        <w:t xml:space="preserve">Die in </w:t>
      </w:r>
      <w:hyperlink w:anchor="b990" w:history="1">
        <w:r>
          <w:rPr>
            <w:color w:val="0A3A8C"/>
            <w:u w:val="single"/>
          </w:rPr>
          <w:t xml:space="preserve">§ 651i</w:t>
        </w:r>
      </w:hyperlink>
      <w:r>
        <w:t xml:space="preserve"> Absatz 3 bezeichneten Ansprüche des Reisenden verjähren in zwei Jahren. </w:t>
      </w:r>
      <w:r>
        <w:rPr>
          <w:rStyle w:val="Satznummer"/>
        </w:rPr>
        <w:t>2</w:t>
      </w:r>
      <w:r>
        <w:t>Die Verjährungsfrist beginnt mit dem Tag, an dem die Pauschalreise dem Vertrag nach enden sollte.</w:t>
      </w:r>
    </w:p>
    <w:p>
      <w:pPr>
        <w:pStyle w:val="Heading5"/>
      </w:pPr>
      <w:bookmarkStart w:id="1006" w:name="b992"/>
      <w:r>
        <w:t>§ 651k Abhilfe</w:t>
      </w:r>
      <w:r>
        <w:t xml:space="preserve"> </w:t>
      </w:r>
      <w:r>
        <w:rPr>
          <w:rStyle w:val="Suchmarke"/>
        </w:rPr>
        <w:t>#651k#</w:t>
      </w:r>
      <w:bookmarkEnd w:id="1006"/>
    </w:p>
    <w:p>
      <w:r>
        <w:t xml:space="preserve">(1) </w:t>
      </w:r>
      <w:r>
        <w:rPr>
          <w:rStyle w:val="Satznummer"/>
        </w:rPr>
        <w:t>1</w:t>
      </w:r>
      <w:r>
        <w:t xml:space="preserve">Verlangt der Reisende Abhilfe, hat der Reiseveranstalter den Reisemangel zu beseitigen. </w:t>
      </w:r>
      <w:r>
        <w:rPr>
          <w:rStyle w:val="Satznummer"/>
        </w:rPr>
        <w:t>2</w:t>
      </w:r>
      <w:r>
        <w:t>Er kann die Abhilfe nur verweigern, wenn sie</w:t>
      </w:r>
    </w:p>
    <w:p>
      <w:pPr>
        <w:tabs>
          <w:tab w:pos="567" w:val="left"/>
        </w:tabs>
        <w:ind w:left="567" w:hanging="567"/>
      </w:pPr>
      <w:r>
        <w:t>1.</w:t>
      </w:r>
      <w:r>
        <w:tab/>
      </w:r>
      <w:r>
        <w:t>unmöglich ist oder</w:t>
      </w:r>
    </w:p>
    <w:p>
      <w:pPr>
        <w:tabs>
          <w:tab w:pos="567" w:val="left"/>
        </w:tabs>
        <w:ind w:left="567" w:hanging="567"/>
      </w:pPr>
      <w:r>
        <w:t>2.</w:t>
      </w:r>
      <w:r>
        <w:tab/>
      </w:r>
      <w:r>
        <w:t>unter Berücksichtigung des Ausmaßes des Reisemangels und des Werts der betroffenen Reiseleistung mit unverhältnismäßigen Kosten verbunden ist.</w:t>
      </w:r>
    </w:p>
    <w:p>
      <w:r>
        <w:t xml:space="preserve">(2) </w:t>
      </w:r>
      <w:r>
        <w:rPr>
          <w:rStyle w:val="Satznummer"/>
        </w:rPr>
        <w:t>1</w:t>
      </w:r>
      <w:r>
        <w:t xml:space="preserve">Leistet der Reiseveranstalter vorbehaltlich der Ausnahmen des Absatzes 1 Satz 2 nicht innerhalb einer vom Reisenden bestimmten angemessenen Frist Abhilfe, kann der Reisende selbst Abhilfe schaffen und Ersatz der erforderlichen Aufwendungen verlangen. </w:t>
      </w:r>
      <w:r>
        <w:rPr>
          <w:rStyle w:val="Satznummer"/>
        </w:rPr>
        <w:t>2</w:t>
      </w:r>
      <w:r>
        <w:t>Der Bestimmung einer Frist bedarf es nicht, wenn die Abhilfe vom Reiseveranstalter verweigert wird oder wenn sofortige Abhilfe notwendig ist.</w:t>
      </w:r>
    </w:p>
    <w:p>
      <w:r>
        <w:t xml:space="preserve">(3) </w:t>
      </w:r>
      <w:r>
        <w:rPr>
          <w:rStyle w:val="Satznummer"/>
        </w:rPr>
        <w:t>1</w:t>
      </w:r>
      <w:r>
        <w:t xml:space="preserve">Kann der Reiseveranstalter die Beseitigung des Reisemangels nach Absatz 1 Satz 2 verweigern und betrifft der Reisemangel einen erheblichen Teil der Reiseleistungen, hat der Reiseveranstalter Abhilfe durch angemessene Ersatzleistungen anzubieten. </w:t>
      </w:r>
      <w:r>
        <w:rPr>
          <w:rStyle w:val="Satznummer"/>
        </w:rPr>
        <w:t>2</w:t>
      </w:r>
      <w:r>
        <w:t xml:space="preserve">Haben die Ersatzleistungen zur Folge, dass die Pauschalreise im Vergleich zur ursprünglich geschuldeten nicht von mindestens gleichwertiger Beschaffenheit ist, hat der Reiseveranstalter dem Reisenden eine angemessene Herabsetzung des Reisepreises zu gewähren; die Angemessenheit richtet sich nach </w:t>
      </w:r>
      <w:hyperlink w:anchor="b994" w:history="1">
        <w:r>
          <w:rPr>
            <w:color w:val="0A3A8C"/>
            <w:u w:val="single"/>
          </w:rPr>
          <w:t xml:space="preserve">§ 651m</w:t>
        </w:r>
      </w:hyperlink>
      <w:r>
        <w:t xml:space="preserve"> Absatz 1 Satz 2. </w:t>
      </w:r>
      <w:r>
        <w:rPr>
          <w:rStyle w:val="Satznummer"/>
        </w:rPr>
        <w:t>3</w:t>
      </w:r>
      <w:r>
        <w:t xml:space="preserve">Sind die Ersatzleistungen nicht mit den im Vertrag vereinbarten Leistungen vergleichbar oder ist die vom Reiseveranstalter angebotene Herabsetzung des Reisepreises nicht angemessen, kann der Reisende die Ersatzleistungen ablehnen. </w:t>
      </w:r>
      <w:r>
        <w:rPr>
          <w:rStyle w:val="Satznummer"/>
        </w:rPr>
        <w:t>4</w:t>
      </w:r>
      <w:r>
        <w:t xml:space="preserve">In diesem Fall oder wenn der Reiseveranstalter außerstande ist, Ersatzleistungen anzubieten, ist </w:t>
      </w:r>
      <w:hyperlink w:anchor="b993" w:history="1">
        <w:r>
          <w:rPr>
            <w:color w:val="0A3A8C"/>
            <w:u w:val="single"/>
          </w:rPr>
          <w:t xml:space="preserve">§ 651l</w:t>
        </w:r>
      </w:hyperlink>
      <w:r>
        <w:t xml:space="preserve"> Absatz 2 und 3 mit der Maßgabe anzuwenden, dass es auf eine Kündigung des Reisenden nicht ankommt.</w:t>
      </w:r>
    </w:p>
    <w:p>
      <w:r>
        <w:t>(4) Ist die Beförderung des Reisenden an den Ort der Abreise oder an einen anderen Ort, auf den sich die Parteien geeinigt haben (Rückbeförderung), vom Vertrag umfasst und aufgrund unvermeidbarer, außergewöhnlicher Umstände nicht möglich, hat der Reiseveranstalter die Kosten für eine notwendige Beherbergung des Reisenden für einen höchstens drei Nächte umfassenden Zeitraum zu tragen, und zwar möglichst in einer Unterkunft, die der im Vertrag vereinbarten gleichwertig ist.</w:t>
      </w:r>
    </w:p>
    <w:p>
      <w:r>
        <w:t>(5) Der Reiseveranstalter kann sich auf die Begrenzung des Zeitraums auf höchstens drei Nächte gemäß Absatz 4 in folgenden Fällen nicht berufen:</w:t>
      </w:r>
    </w:p>
    <w:p>
      <w:pPr>
        <w:tabs>
          <w:tab w:pos="567" w:val="left"/>
        </w:tabs>
        <w:ind w:left="567" w:hanging="567"/>
      </w:pPr>
      <w:r>
        <w:t>1.</w:t>
      </w:r>
      <w:r>
        <w:tab/>
      </w:r>
      <w:r>
        <w:t>der Leistungserbringer hat nach unmittelbar anwendbaren Regelungen der Europäischen Union dem Reisenden die Beherbergung für einen längeren Zeitraum anzubieten oder die Kosten hierfür zu tragen,</w:t>
      </w:r>
    </w:p>
    <w:p>
      <w:pPr>
        <w:tabs>
          <w:tab w:pos="567" w:val="left"/>
        </w:tabs>
        <w:ind w:left="567" w:hanging="567"/>
      </w:pPr>
      <w:r>
        <w:t>2.</w:t>
      </w:r>
      <w:r>
        <w:tab/>
      </w:r>
      <w:r>
        <w:t>der Reisende gehört zu einem der folgenden Personenkreise und der Reiseveranstalter wurde mindestens 48 Stunden vor Reisebeginn von den besonderen Bedürfnissen des Reisenden in Kenntnis gesetzt:</w:t>
      </w:r>
    </w:p>
    <w:p>
      <w:pPr>
        <w:tabs>
          <w:tab w:pos="1134" w:val="left"/>
        </w:tabs>
        <w:ind w:left="1134" w:hanging="567"/>
      </w:pPr>
      <w:r>
        <w:t>a)</w:t>
      </w:r>
      <w:r>
        <w:tab/>
      </w:r>
      <w:r>
        <w:t>Personen mit eingeschränkter Mobilität im Sinne des Artikels 2 Buchstabe a der Verordnung (EG) Nr. 1107/2006 des Europäischen Parlaments und des Rates vom 5. Juli 2006 über die Rechte von behinderten Flugreisenden und Flugreisenden mit eingeschränkter Mobilität (ABl. L 204 vom 26.7.2006, S. 1; L 26 vom 26.1.2013, S. 34) und deren Begleitpersonen,</w:t>
      </w:r>
    </w:p>
    <w:p>
      <w:pPr>
        <w:tabs>
          <w:tab w:pos="1134" w:val="left"/>
        </w:tabs>
        <w:ind w:left="1134" w:hanging="567"/>
      </w:pPr>
      <w:r>
        <w:t>b)</w:t>
      </w:r>
      <w:r>
        <w:tab/>
      </w:r>
      <w:r>
        <w:t>Schwangere,</w:t>
      </w:r>
    </w:p>
    <w:p>
      <w:pPr>
        <w:tabs>
          <w:tab w:pos="1134" w:val="left"/>
        </w:tabs>
        <w:ind w:left="1134" w:hanging="567"/>
      </w:pPr>
      <w:r>
        <w:t>c)</w:t>
      </w:r>
      <w:r>
        <w:tab/>
      </w:r>
      <w:r>
        <w:t>unbegleitete Minderjährige,</w:t>
      </w:r>
    </w:p>
    <w:p>
      <w:pPr>
        <w:tabs>
          <w:tab w:pos="1134" w:val="left"/>
        </w:tabs>
        <w:ind w:left="1134" w:hanging="567"/>
      </w:pPr>
      <w:r>
        <w:t>d)</w:t>
      </w:r>
      <w:r>
        <w:tab/>
      </w:r>
      <w:r>
        <w:t>Personen, die besondere medizinische Betreuung benötigen.</w:t>
      </w:r>
    </w:p>
    <w:p>
      <w:pPr>
        <w:pStyle w:val="Heading5"/>
      </w:pPr>
      <w:bookmarkStart w:id="1007" w:name="b993"/>
      <w:r>
        <w:t>§ 651l Kündigung</w:t>
      </w:r>
      <w:r>
        <w:t xml:space="preserve"> </w:t>
      </w:r>
      <w:r>
        <w:rPr>
          <w:rStyle w:val="Suchmarke"/>
        </w:rPr>
        <w:t>#651l#</w:t>
      </w:r>
      <w:bookmarkEnd w:id="1007"/>
    </w:p>
    <w:p>
      <w:r>
        <w:t xml:space="preserve">(1) </w:t>
      </w:r>
      <w:r>
        <w:rPr>
          <w:rStyle w:val="Satznummer"/>
        </w:rPr>
        <w:t>1</w:t>
      </w:r>
      <w:r>
        <w:t xml:space="preserve">Wird die Pauschalreise durch den Reisemangel erheblich beeinträchtigt, kann der Reisende den Vertrag kündigen. </w:t>
      </w:r>
      <w:r>
        <w:rPr>
          <w:rStyle w:val="Satznummer"/>
        </w:rPr>
        <w:t>2</w:t>
      </w:r>
      <w:r>
        <w:t xml:space="preserve">Die Kündigung ist erst zulässig, wenn der Reiseveranstalter eine ihm vom Reisenden bestimmte angemessene Frist hat verstreichen lassen, ohne Abhilfe zu leisten; </w:t>
      </w:r>
      <w:hyperlink w:anchor="b992" w:history="1">
        <w:r>
          <w:rPr>
            <w:color w:val="0A3A8C"/>
            <w:u w:val="single"/>
          </w:rPr>
          <w:t xml:space="preserve">§ 651k</w:t>
        </w:r>
      </w:hyperlink>
      <w:r>
        <w:t xml:space="preserve"> Absatz 2 Satz 2 gilt entsprechend.</w:t>
      </w:r>
    </w:p>
    <w:p>
      <w:r>
        <w:t xml:space="preserve">(2) </w:t>
      </w:r>
      <w:r>
        <w:rPr>
          <w:rStyle w:val="Satznummer"/>
        </w:rPr>
        <w:t>1</w:t>
      </w:r>
      <w:r>
        <w:t xml:space="preserve">Wird der Vertrag gekündigt, so behält der Reiseveranstalter hinsichtlich der erbrachten und nach Absatz 3 zur Beendigung der Pauschalreise noch zu erbringenden Reiseleistungen den Anspruch auf den vereinbarten Reisepreis; Ansprüche des Reisenden nach </w:t>
      </w:r>
      <w:hyperlink w:anchor="b990" w:history="1">
        <w:r>
          <w:rPr>
            <w:color w:val="0A3A8C"/>
            <w:u w:val="single"/>
          </w:rPr>
          <w:t xml:space="preserve">§ 651i</w:t>
        </w:r>
      </w:hyperlink>
      <w:r>
        <w:t xml:space="preserve"> Absatz 3 Nummer 6 und 7 bleiben unberührt. </w:t>
      </w:r>
      <w:r>
        <w:rPr>
          <w:rStyle w:val="Satznummer"/>
        </w:rPr>
        <w:t>2</w:t>
      </w:r>
      <w:r>
        <w:t>Hinsichtlich der nicht mehr zu erbringenden Reiseleistungen entfällt der Anspruch des Reiseveranstalters auf den vereinbarten Reisepreis; insoweit bereits geleistete Zahlungen sind dem Reisenden vom Reiseveranstalter zu erstatten.</w:t>
      </w:r>
    </w:p>
    <w:p>
      <w:r>
        <w:t xml:space="preserve">(3) </w:t>
      </w:r>
      <w:r>
        <w:rPr>
          <w:rStyle w:val="Satznummer"/>
        </w:rPr>
        <w:t>1</w:t>
      </w:r>
      <w:r>
        <w:t xml:space="preserve">Der Reiseveranstalter ist verpflichtet, die infolge der Aufhebung des Vertrags notwendigen Maßnahmen zu treffen, insbesondere, falls der Vertrag die Beförderung des Reisenden umfasste, unverzüglich für dessen Rückbeförderung zu sorgen; das hierfür eingesetzte Beförderungsmittel muss dem im Vertrag vereinbarten gleichwertig sein. </w:t>
      </w:r>
      <w:r>
        <w:rPr>
          <w:rStyle w:val="Satznummer"/>
        </w:rPr>
        <w:t>2</w:t>
      </w:r>
      <w:r>
        <w:t>Die Mehrkosten für die Rückbeförderung fallen dem Reiseveranstalter zur Last.</w:t>
      </w:r>
    </w:p>
    <w:p>
      <w:pPr>
        <w:pStyle w:val="Heading5"/>
      </w:pPr>
      <w:bookmarkStart w:id="1008" w:name="b994"/>
      <w:r>
        <w:t>§ 651m Minderung</w:t>
      </w:r>
      <w:r>
        <w:t xml:space="preserve"> </w:t>
      </w:r>
      <w:r>
        <w:rPr>
          <w:rStyle w:val="Suchmarke"/>
        </w:rPr>
        <w:t>#651m#</w:t>
      </w:r>
      <w:bookmarkEnd w:id="1008"/>
    </w:p>
    <w:p>
      <w:r>
        <w:t xml:space="preserve">(1) </w:t>
      </w:r>
      <w:r>
        <w:rPr>
          <w:rStyle w:val="Satznummer"/>
        </w:rPr>
        <w:t>1</w:t>
      </w:r>
      <w:r>
        <w:t xml:space="preserve">Für die Dauer des Reisemangels mindert sich der Reisepreis. </w:t>
      </w:r>
      <w:r>
        <w:rPr>
          <w:rStyle w:val="Satznummer"/>
        </w:rPr>
        <w:t>2</w:t>
      </w:r>
      <w:r>
        <w:t xml:space="preserve">Bei der Minderung ist der Reisepreis in dem Verhältnis herabzusetzen, in welchem zur Zeit des Vertragsschlusses der Wert der Pauschalreise in mangelfreiem Zustand zu dem wirklichen Wert gestanden haben würde. </w:t>
      </w:r>
      <w:r>
        <w:rPr>
          <w:rStyle w:val="Satznummer"/>
        </w:rPr>
        <w:t>3</w:t>
      </w:r>
      <w:r>
        <w:t>Die Minderung ist, soweit erforderlich, durch Schätzung zu ermitteln.</w:t>
      </w:r>
    </w:p>
    <w:p>
      <w:r>
        <w:t xml:space="preserve">(2) </w:t>
      </w:r>
      <w:r>
        <w:rPr>
          <w:rStyle w:val="Satznummer"/>
        </w:rPr>
        <w:t>1</w:t>
      </w:r>
      <w:r>
        <w:t xml:space="preserve">Hat der Reisende mehr als den geminderten Reisepreis gezahlt, so ist der Mehrbetrag vom Reiseveranstalter zu erstatten. </w:t>
      </w:r>
      <w:r>
        <w:rPr>
          <w:rStyle w:val="Satznummer"/>
        </w:rPr>
        <w:t>2</w:t>
      </w:r>
      <w:hyperlink w:anchor="b451" w:history="1">
        <w:r>
          <w:rPr>
            <w:color w:val="0A3A8C"/>
            <w:u w:val="single"/>
          </w:rPr>
          <w:t xml:space="preserve">§ 346</w:t>
        </w:r>
      </w:hyperlink>
      <w:r>
        <w:t xml:space="preserve"> Absatz 1 und </w:t>
      </w:r>
      <w:hyperlink w:anchor="b452" w:history="1">
        <w:r>
          <w:rPr>
            <w:color w:val="0A3A8C"/>
            <w:u w:val="single"/>
          </w:rPr>
          <w:t xml:space="preserve">§ 347</w:t>
        </w:r>
      </w:hyperlink>
      <w:r>
        <w:t xml:space="preserve"> Absatz 1 finden entsprechende Anwendung.</w:t>
      </w:r>
    </w:p>
    <w:p>
      <w:pPr>
        <w:pStyle w:val="Heading5"/>
      </w:pPr>
      <w:bookmarkStart w:id="1009" w:name="b995"/>
      <w:r>
        <w:t>§ 651n Schadensersatz</w:t>
      </w:r>
      <w:r>
        <w:t xml:space="preserve"> </w:t>
      </w:r>
      <w:r>
        <w:rPr>
          <w:rStyle w:val="Suchmarke"/>
        </w:rPr>
        <w:t>#651n#</w:t>
      </w:r>
      <w:bookmarkEnd w:id="1009"/>
    </w:p>
    <w:p>
      <w:r>
        <w:t>(1) Der Reisende kann unbeschadet der Minderung oder der Kündigung Schadensersatz verlangen, es sei denn, der Reisemangel</w:t>
      </w:r>
    </w:p>
    <w:p>
      <w:pPr>
        <w:tabs>
          <w:tab w:pos="567" w:val="left"/>
        </w:tabs>
        <w:ind w:left="567" w:hanging="567"/>
      </w:pPr>
      <w:r>
        <w:t>1.</w:t>
      </w:r>
      <w:r>
        <w:tab/>
      </w:r>
      <w:r>
        <w:t>ist vom Reisenden verschuldet,</w:t>
      </w:r>
    </w:p>
    <w:p>
      <w:pPr>
        <w:tabs>
          <w:tab w:pos="567" w:val="left"/>
        </w:tabs>
        <w:ind w:left="567" w:hanging="567"/>
      </w:pPr>
      <w:r>
        <w:t>2.</w:t>
      </w:r>
      <w:r>
        <w:tab/>
      </w:r>
      <w:r>
        <w:t>ist von einem Dritten verschuldet, der weder Leistungserbringer ist noch in anderer Weise an der Erbringung der von dem Pauschalreisevertrag umfassten Reiseleistungen beteiligt ist, und war für den Reiseveranstalter nicht vorhersehbar oder nicht vermeidbar oder</w:t>
      </w:r>
    </w:p>
    <w:p>
      <w:pPr>
        <w:tabs>
          <w:tab w:pos="567" w:val="left"/>
        </w:tabs>
        <w:ind w:left="567" w:hanging="567"/>
      </w:pPr>
      <w:r>
        <w:t>3.</w:t>
      </w:r>
      <w:r>
        <w:tab/>
      </w:r>
      <w:r>
        <w:t>wurde durch unvermeidbare, außergewöhnliche Umstände verursacht.</w:t>
      </w:r>
    </w:p>
    <w:p>
      <w:r>
        <w:t>(2) Wird die Pauschalreise vereitelt oder erheblich beeinträchtigt, kann der Reisende auch wegen nutzlos aufgewendeter Urlaubszeit eine angemessene Entschädigung in Geld verlangen.</w:t>
      </w:r>
    </w:p>
    <w:p>
      <w:r>
        <w:t>(3) Wenn der Reiseveranstalter zum Schadensersatz verpflichtet ist, hat er unverzüglich zu leisten.</w:t>
      </w:r>
    </w:p>
    <w:p>
      <w:pPr>
        <w:pStyle w:val="Heading5"/>
      </w:pPr>
      <w:bookmarkStart w:id="1010" w:name="b996"/>
      <w:r>
        <w:t>§ 651o Mängelanzeige durch den Reisenden</w:t>
      </w:r>
      <w:r>
        <w:t xml:space="preserve"> </w:t>
      </w:r>
      <w:r>
        <w:rPr>
          <w:rStyle w:val="Suchmarke"/>
        </w:rPr>
        <w:t>#651o#</w:t>
      </w:r>
      <w:bookmarkEnd w:id="1010"/>
    </w:p>
    <w:p>
      <w:r>
        <w:t>(1) Der Reisende hat dem Reiseveranstalter einen Reisemangel unverzüglich anzuzeigen.</w:t>
      </w:r>
    </w:p>
    <w:p>
      <w:r>
        <w:t>(2) Soweit der Reiseveranstalter infolge einer schuldhaften Unterlassung der Anzeige nach Absatz 1 nicht Abhilfe schaffen konnte, ist der Reisende nicht berechtigt,</w:t>
      </w:r>
    </w:p>
    <w:p>
      <w:pPr>
        <w:tabs>
          <w:tab w:pos="567" w:val="left"/>
        </w:tabs>
        <w:ind w:left="567" w:hanging="567"/>
      </w:pPr>
      <w:r>
        <w:t>1.</w:t>
      </w:r>
      <w:r>
        <w:tab/>
      </w:r>
      <w:r>
        <w:t xml:space="preserve">die in </w:t>
      </w:r>
      <w:hyperlink w:anchor="b994" w:history="1">
        <w:r>
          <w:rPr>
            <w:color w:val="0A3A8C"/>
            <w:u w:val="single"/>
          </w:rPr>
          <w:t xml:space="preserve">§ 651m</w:t>
        </w:r>
      </w:hyperlink>
      <w:r>
        <w:t xml:space="preserve"> bestimmten Rechte geltend zu machen oder</w:t>
      </w:r>
    </w:p>
    <w:p>
      <w:pPr>
        <w:tabs>
          <w:tab w:pos="567" w:val="left"/>
        </w:tabs>
        <w:ind w:left="567" w:hanging="567"/>
      </w:pPr>
      <w:r>
        <w:t>2.</w:t>
      </w:r>
      <w:r>
        <w:tab/>
      </w:r>
      <w:r>
        <w:t>nach § 651n Schadensersatz zu verlangen.</w:t>
      </w:r>
    </w:p>
    <w:p>
      <w:pPr>
        <w:pStyle w:val="Heading5"/>
      </w:pPr>
      <w:bookmarkStart w:id="1011" w:name="b997"/>
      <w:r>
        <w:t>§ 651p Zulässige Haftungsbeschränkung; Anrechnung</w:t>
      </w:r>
      <w:r>
        <w:t xml:space="preserve"> </w:t>
      </w:r>
      <w:r>
        <w:rPr>
          <w:rStyle w:val="Suchmarke"/>
        </w:rPr>
        <w:t>#651p#</w:t>
      </w:r>
      <w:bookmarkEnd w:id="1011"/>
    </w:p>
    <w:p>
      <w:r>
        <w:t>(1) Der Reiseveranstalter kann durch Vereinbarung mit dem Reisenden seine Haftung für solche Schäden auf den dreifachen Reisepreis beschränken, die</w:t>
      </w:r>
    </w:p>
    <w:p>
      <w:pPr>
        <w:tabs>
          <w:tab w:pos="567" w:val="left"/>
        </w:tabs>
        <w:ind w:left="567" w:hanging="567"/>
      </w:pPr>
      <w:r>
        <w:t>1.</w:t>
      </w:r>
      <w:r>
        <w:tab/>
      </w:r>
      <w:r>
        <w:t>keine Körperschäden sind und</w:t>
      </w:r>
    </w:p>
    <w:p>
      <w:pPr>
        <w:tabs>
          <w:tab w:pos="567" w:val="left"/>
        </w:tabs>
        <w:ind w:left="567" w:hanging="567"/>
      </w:pPr>
      <w:r>
        <w:t>2.</w:t>
      </w:r>
      <w:r>
        <w:tab/>
      </w:r>
      <w:r>
        <w:t>nicht schuldhaft herbeigeführt werden.</w:t>
      </w:r>
    </w:p>
    <w:p>
      <w:r>
        <w:t>(2) Gelten für eine Reiseleistung internationale Übereinkünfte oder auf solchen beruhende gesetzliche Vorschriften, nach denen ein Anspruch auf Schadensersatz gegen den Leistungserbringer nur unter bestimmten Voraussetzungen oder Beschränkungen entsteht oder geltend gemacht werden kann oder unter bestimmten Voraussetzungen ausgeschlossen ist, so kann sich auch der Reiseveranstalter gegenüber dem Reisenden hierauf berufen.</w:t>
      </w:r>
    </w:p>
    <w:p>
      <w:r>
        <w:t xml:space="preserve">(3) </w:t>
      </w:r>
      <w:r>
        <w:rPr>
          <w:rStyle w:val="Satznummer"/>
        </w:rPr>
        <w:t>1</w:t>
      </w:r>
      <w:r>
        <w:t>Hat der Reisende gegen den Reiseveranstalter Anspruch auf Schadensersatz oder auf Erstattung eines infolge einer Minderung zu viel gezahlten Betrages, so muss sich der Reisende den Betrag anrechnen lassen, den er aufgrund desselben Ereignisses als Entschädigung oder als Erstattung infolge einer Minderung nach Maßgabe internationaler Übereinkünfte oder von auf solchen beruhenden gesetzlichen Vorschriften erhalten hat oder nach Maßgabe</w:t>
      </w:r>
    </w:p>
    <w:p>
      <w:pPr>
        <w:tabs>
          <w:tab w:pos="567" w:val="left"/>
        </w:tabs>
        <w:ind w:left="567" w:hanging="567"/>
      </w:pPr>
      <w:r>
        <w:t>1.</w:t>
      </w:r>
      <w:r>
        <w:tab/>
      </w:r>
      <w:r>
        <w:t>der Verordnung (EG) Nr. 261/2004 des Europäischen Parlaments und des Rates vom 11. Februar 2004 über eine gemeinsame Regelung für Ausgleichs- und Unterstützungsleistungen für Fluggäste im Fall der Nichtbeförderung und bei Annullierung oder großer Verspätung von Flügen und zur Aufhebung der Verordnung (EWG) Nr. 295/91 (ABl. L 46 vom 17.2.2004, S. 1),</w:t>
      </w:r>
    </w:p>
    <w:p>
      <w:pPr>
        <w:tabs>
          <w:tab w:pos="567" w:val="left"/>
        </w:tabs>
        <w:ind w:left="567" w:hanging="567"/>
      </w:pPr>
      <w:r>
        <w:t>2.</w:t>
      </w:r>
      <w:r>
        <w:tab/>
      </w:r>
      <w:r>
        <w:t>der Verordnung (EU) 2021/782 des Europäischen Parlaments und des Rates vom 29. April 2021 über die Rechte und Pflichten der Fahrgäste im Eisenbahnverkehr (ABl. L 172 vom 17.5.2021, S. 1),</w:t>
      </w:r>
    </w:p>
    <w:p>
      <w:pPr>
        <w:tabs>
          <w:tab w:pos="567" w:val="left"/>
        </w:tabs>
        <w:ind w:left="567" w:hanging="567"/>
      </w:pPr>
      <w:r>
        <w:t>3.</w:t>
      </w:r>
      <w:r>
        <w:tab/>
      </w:r>
      <w:r>
        <w:t>der Verordnung (EG) Nr. 392/2009 des Europäischen Parlaments und des Rates vom 23. April 2009 über die Unfallhaftung von Beförderern von Reisenden auf See (ABl. L 131 vom 28.5.2009, S. 24),</w:t>
      </w:r>
    </w:p>
    <w:p>
      <w:pPr>
        <w:tabs>
          <w:tab w:pos="567" w:val="left"/>
        </w:tabs>
        <w:ind w:left="567" w:hanging="567"/>
      </w:pPr>
      <w:r>
        <w:t>4.</w:t>
      </w:r>
      <w:r>
        <w:tab/>
      </w:r>
      <w:r>
        <w:t>der Verordnung (EU) Nr. 1177/2010 des Europäischen Parlaments und des Rates vom 24. November 2010 über die Fahrgastrechte im See- und Binnenschiffsverkehr und zur Änderung der Verordnung (EG) Nr. 2006/2004 (ABl. L 334 vom 17.12.2010, S. 1) oder</w:t>
      </w:r>
    </w:p>
    <w:p>
      <w:pPr>
        <w:tabs>
          <w:tab w:pos="567" w:val="left"/>
        </w:tabs>
        <w:ind w:left="567" w:hanging="567"/>
      </w:pPr>
      <w:r>
        <w:t>5.</w:t>
      </w:r>
      <w:r>
        <w:tab/>
      </w:r>
      <w:r>
        <w:t>der Verordnung (EU) Nr. 181/2011 des Europäischen Parlaments und des Rates vom 16. Februar 2011 über die Fahrgastrechte im Kraftomnibusverkehr und zur Änderung der Verordnung (EG) Nr. 2006/2004 (ABl. L 55 vom 28.2.2011, S. 1).</w:t>
      </w:r>
    </w:p>
    <w:p>
      <w:r>
        <w:rPr>
          <w:rStyle w:val="Satznummer"/>
        </w:rPr>
        <w:t>2</w:t>
      </w:r>
      <w:r>
        <w:t>Hat der Reisende vom Reiseveranstalter bereits Schadensersatz erhalten oder ist ihm infolge einer Minderung vom Reiseveranstalter bereits ein Betrag erstattet worden, so muss er sich den erhaltenen Betrag auf dasjenige anrechnen lassen, was ihm aufgrund desselben Ereignisses als Entschädigung oder als Erstattung infolge einer Minderung nach Maßgabe internationaler Übereinkünfte oder von auf solchen beruhenden gesetzlichen Vorschriften oder nach Maßgabe der in Satz 1 genannten Verordnungen geschuldet ist.</w:t>
      </w:r>
    </w:p>
    <w:p>
      <w:pPr>
        <w:pStyle w:val="Heading5"/>
      </w:pPr>
      <w:bookmarkStart w:id="1012" w:name="b998"/>
      <w:r>
        <w:t>§ 651q Beistandspflicht des Reiseveranstalters</w:t>
      </w:r>
      <w:r>
        <w:t xml:space="preserve"> </w:t>
      </w:r>
      <w:r>
        <w:rPr>
          <w:rStyle w:val="Suchmarke"/>
        </w:rPr>
        <w:t>#651q#</w:t>
      </w:r>
      <w:bookmarkEnd w:id="1012"/>
    </w:p>
    <w:p>
      <w:r>
        <w:t xml:space="preserve">(1) Befindet sich der Reisende im Fall des </w:t>
      </w:r>
      <w:hyperlink w:anchor="b992" w:history="1">
        <w:r>
          <w:rPr>
            <w:color w:val="0A3A8C"/>
            <w:u w:val="single"/>
          </w:rPr>
          <w:t xml:space="preserve">§ 651k</w:t>
        </w:r>
      </w:hyperlink>
      <w:r>
        <w:t xml:space="preserve"> Absatz 4 oder aus anderen Gründen in Schwierigkeiten, hat der Reiseveranstalter ihm unverzüglich in angemessener Weise Beistand zu gewähren, insbesondere durch</w:t>
      </w:r>
    </w:p>
    <w:p>
      <w:pPr>
        <w:tabs>
          <w:tab w:pos="567" w:val="left"/>
        </w:tabs>
        <w:ind w:left="567" w:hanging="567"/>
      </w:pPr>
      <w:r>
        <w:t>1.</w:t>
      </w:r>
      <w:r>
        <w:tab/>
      </w:r>
      <w:r>
        <w:t>Bereitstellung geeigneter Informationen über Gesundheitsdienste, Behörden vor Ort und konsularische Unterstützung,</w:t>
      </w:r>
    </w:p>
    <w:p>
      <w:pPr>
        <w:tabs>
          <w:tab w:pos="567" w:val="left"/>
        </w:tabs>
        <w:ind w:left="567" w:hanging="567"/>
      </w:pPr>
      <w:r>
        <w:t>2.</w:t>
      </w:r>
      <w:r>
        <w:tab/>
      </w:r>
      <w:r>
        <w:t>Unterstützung bei der Herstellung von Fernkommunikationsverbindungen und</w:t>
      </w:r>
    </w:p>
    <w:p>
      <w:pPr>
        <w:tabs>
          <w:tab w:pos="567" w:val="left"/>
        </w:tabs>
        <w:ind w:left="567" w:hanging="567"/>
      </w:pPr>
      <w:r>
        <w:t>3.</w:t>
      </w:r>
      <w:r>
        <w:tab/>
      </w:r>
      <w:r>
        <w:t xml:space="preserve">Unterstützung bei der Suche nach anderen Reisemöglichkeiten; </w:t>
      </w:r>
      <w:hyperlink w:anchor="b992" w:history="1">
        <w:r>
          <w:rPr>
            <w:color w:val="0A3A8C"/>
            <w:u w:val="single"/>
          </w:rPr>
          <w:t xml:space="preserve">§ 651k</w:t>
        </w:r>
      </w:hyperlink>
      <w:r>
        <w:t xml:space="preserve"> Absatz 3 bleibt unberührt.</w:t>
      </w:r>
    </w:p>
    <w:p>
      <w:r>
        <w:t>(2) Hat der Reisende die den Beistand erfordernden Umstände schuldhaft selbst herbeigeführt, kann der Reiseveranstalter Ersatz seiner Aufwendungen verlangen, wenn und soweit diese angemessen und ihm tatsächlich entstanden sind.</w:t>
      </w:r>
    </w:p>
    <w:p>
      <w:pPr>
        <w:pStyle w:val="Heading5"/>
      </w:pPr>
      <w:bookmarkStart w:id="1013" w:name="b999"/>
      <w:r>
        <w:t>§ 651r Insolvenzsicherung; Sicherungsschein</w:t>
      </w:r>
      <w:r>
        <w:t xml:space="preserve"> </w:t>
      </w:r>
      <w:r>
        <w:rPr>
          <w:rStyle w:val="Suchmarke"/>
        </w:rPr>
        <w:t>#651r#</w:t>
      </w:r>
      <w:bookmarkEnd w:id="1013"/>
    </w:p>
    <w:p>
      <w:r>
        <w:t xml:space="preserve">(1) </w:t>
      </w:r>
      <w:r>
        <w:rPr>
          <w:rStyle w:val="Satznummer"/>
        </w:rPr>
        <w:t>1</w:t>
      </w:r>
      <w:r>
        <w:t>Der Reiseveranstalter hat sicherzustellen, dass dem Reisenden der gezahlte Reisepreis erstattet wird, soweit im Fall der Zahlungsunfähigkeit des Reiseveranstalters</w:t>
      </w:r>
    </w:p>
    <w:p>
      <w:pPr>
        <w:tabs>
          <w:tab w:pos="567" w:val="left"/>
        </w:tabs>
        <w:ind w:left="567" w:hanging="567"/>
      </w:pPr>
      <w:r>
        <w:t>1.</w:t>
      </w:r>
      <w:r>
        <w:tab/>
      </w:r>
      <w:r>
        <w:t>Reiseleistungen ausfallen oder</w:t>
      </w:r>
    </w:p>
    <w:p>
      <w:pPr>
        <w:tabs>
          <w:tab w:pos="567" w:val="left"/>
        </w:tabs>
        <w:ind w:left="567" w:hanging="567"/>
      </w:pPr>
      <w:r>
        <w:t>2.</w:t>
      </w:r>
      <w:r>
        <w:tab/>
      </w:r>
      <w:r>
        <w:t>der Reisende im Hinblick auf erbrachte Reiseleistungen Zahlungsaufforderungen von Leistungserbringern nachkommt, deren Entgeltforderungen der Reiseveranstalter nicht erfüllt hat.</w:t>
      </w:r>
    </w:p>
    <w:p>
      <w:r>
        <w:rPr>
          <w:rStyle w:val="Satznummer"/>
        </w:rPr>
        <w:t>2</w:t>
      </w:r>
      <w:r>
        <w:t xml:space="preserve">Umfasst der Vertrag auch die Beförderung des Reisenden, hat der Reiseveranstalter zudem die vereinbarte Rückbeförderung und die Beherbergung des Reisenden bis zum Zeitpunkt der Rückbeförderung sicherzustellen. </w:t>
      </w:r>
      <w:r>
        <w:rPr>
          <w:rStyle w:val="Satznummer"/>
        </w:rPr>
        <w:t>3</w:t>
      </w:r>
      <w:r>
        <w:t>Der Zahlungsunfähigkeit des Reiseveranstalters stehen die Eröffnung des Insolvenzverfahrens über sein Vermögen und die Abweisung eines Eröffnungsantrags mangels Masse gleich.</w:t>
      </w:r>
    </w:p>
    <w:p>
      <w:r>
        <w:t xml:space="preserve">(2) </w:t>
      </w:r>
      <w:r>
        <w:rPr>
          <w:rStyle w:val="Satznummer"/>
        </w:rPr>
        <w:t>1</w:t>
      </w:r>
      <w:r>
        <w:t xml:space="preserve">Die Verpflichtungen nach Absatz 1 kann der Reiseveranstalter vorbehaltlich des Satzes 2 ab dem 1. November 2021 nur durch einen Absicherungsvertrag mit einem nach dem Reisesicherungsfondsgesetz zum Geschäftsbetrieb befugten Reisesicherungsfonds erfüllen. </w:t>
      </w:r>
      <w:r>
        <w:rPr>
          <w:rStyle w:val="Satznummer"/>
        </w:rPr>
        <w:t>2</w:t>
      </w:r>
      <w:r>
        <w:t>Reiseveranstalter, die im letzten abgeschlossenen Geschäftsjahr einen Umsatz im Sinne des § 1 Nummer 2 Buchstabe a des Reisesicherungsfondsgesetzes von weniger als 10 Millionen Euro erzielt haben, können im jeweils darauffolgenden Geschäftsjahr die Verpflichtungen nach Absatz 1 auch erfüllen</w:t>
      </w:r>
    </w:p>
    <w:p>
      <w:pPr>
        <w:tabs>
          <w:tab w:pos="567" w:val="left"/>
        </w:tabs>
        <w:ind w:left="567" w:hanging="567"/>
      </w:pPr>
      <w:r>
        <w:t>1.</w:t>
      </w:r>
      <w:r>
        <w:tab/>
      </w:r>
      <w:r>
        <w:t>durch eine Versicherung bei einem im Geltungsbereich dieses Gesetzes zum Geschäftsbetrieb befugten Versicherungsunternehmen oder</w:t>
      </w:r>
    </w:p>
    <w:p>
      <w:pPr>
        <w:tabs>
          <w:tab w:pos="567" w:val="left"/>
        </w:tabs>
        <w:ind w:left="567" w:hanging="567"/>
      </w:pPr>
      <w:r>
        <w:t>2.</w:t>
      </w:r>
      <w:r>
        <w:tab/>
      </w:r>
      <w:r>
        <w:t>durch ein Zahlungsversprechen eines im Geltungsbereich dieses Gesetzes zum Geschäftsbetrieb befugten Kreditinstituts.</w:t>
      </w:r>
    </w:p>
    <w:p>
      <w:r>
        <w:rPr>
          <w:rStyle w:val="Satznummer"/>
        </w:rPr>
        <w:t>3</w:t>
      </w:r>
      <w:r>
        <w:t>Der Reiseveranstalter muss die Verpflichtungen nach Absatz 1 ohne Rücksicht auf den Wohnsitz des Reisenden, den Ort der Abreise und den Ort des Vertragsschlusses erfüllen.</w:t>
      </w:r>
    </w:p>
    <w:p>
      <w:r>
        <w:t xml:space="preserve">(3) </w:t>
      </w:r>
      <w:r>
        <w:rPr>
          <w:rStyle w:val="Satznummer"/>
        </w:rPr>
        <w:t>1</w:t>
      </w:r>
      <w:r>
        <w:t xml:space="preserve">Der Reisesicherungsfonds, der Versicherer oder das Kreditinstitut (Absicherer) kann dem Reisenden die Fortsetzung der Pauschalreise anbieten. </w:t>
      </w:r>
      <w:r>
        <w:rPr>
          <w:rStyle w:val="Satznummer"/>
        </w:rPr>
        <w:t>2</w:t>
      </w:r>
      <w:r>
        <w:t xml:space="preserve">Verlangt der Reisende eine Erstattung nach Absatz 1, hat der Absicherer diesen Anspruch unverzüglich zu erfüllen. </w:t>
      </w:r>
      <w:r>
        <w:rPr>
          <w:rStyle w:val="Satznummer"/>
        </w:rPr>
        <w:t>3</w:t>
      </w:r>
      <w:r>
        <w:t xml:space="preserve">Versicherer und Kreditinstitute können ihre aus Verträgen nach Absatz 2 Satz 2 Nummer 1 und 2 folgende Einstandspflicht für jede Insolvenz eines Reiseveranstalters, der im letzten abgeschlossenen Geschäftsjahr einen Umsatz im Sinne des § 1 Nummer 2 Buchstabe a des Reisesicherungsfondsgesetzes von weniger als 3 Millionen Euro erzielt hat, auf 1 Million Euro begrenzen. </w:t>
      </w:r>
      <w:r>
        <w:rPr>
          <w:rStyle w:val="Satznummer"/>
        </w:rPr>
        <w:t>4</w:t>
      </w:r>
      <w:r>
        <w:t>Übersteigen in diesem Fall die zu erbringenden Leistungen den vereinbarten Höchstbetrag, so verringern sich die einzelnen Leistungsansprüche der Reisenden in dem Verhältnis, in dem ihr Gesamtbetrag zum Höchstbetrag steht.</w:t>
      </w:r>
    </w:p>
    <w:p>
      <w:r>
        <w:t xml:space="preserve">(4) </w:t>
      </w:r>
      <w:r>
        <w:rPr>
          <w:rStyle w:val="Satznummer"/>
        </w:rPr>
        <w:t>1</w:t>
      </w:r>
      <w:r>
        <w:t xml:space="preserve">Zur Erfüllung seiner Verpflichtungen nach Absatz 1 hat der Reiseveranstalter dem Reisenden einen unmittelbaren Anspruch gegen den Absicherer zu verschaffen und durch eine von diesem oder auf dessen Veranlassung gemäß Artikel 252 des Einführungsgesetzes zum Bürgerlichen Gesetzbuche ausgestellte Bestätigung (Sicherungsschein) nachzuweisen. </w:t>
      </w:r>
      <w:r>
        <w:rPr>
          <w:rStyle w:val="Satznummer"/>
        </w:rPr>
        <w:t>2</w:t>
      </w:r>
      <w:r>
        <w:t xml:space="preserve">Der im Vertrag gemäß Artikel 250 § 6 Absatz 2 Nummer 3 des Einführungsgesetzes zum Bürgerlichen Gesetzbuche genannte Absicherer kann sich gegenüber dem Reisenden weder auf Einwendungen aus dem Absicherungsvertrag berufen noch auf dessen Beendigung, wenn die Beendigung nach Abschluss des Pauschalreisevertrags erfolgt ist. </w:t>
      </w:r>
      <w:r>
        <w:rPr>
          <w:rStyle w:val="Satznummer"/>
        </w:rPr>
        <w:t>3</w:t>
      </w:r>
      <w:r>
        <w:t>In den Fällen des Satzes 2 geht der Anspruch des Reisenden gegen den Reiseveranstalter auf den Absicherer über, soweit dieser den Reisenden befriedigt.</w:t>
      </w:r>
    </w:p>
    <w:p>
      <w:pPr>
        <w:pStyle w:val="Heading5"/>
      </w:pPr>
      <w:bookmarkStart w:id="1014" w:name="b1000"/>
      <w:r>
        <w:t>§ 651s Insolvenzsicherung der im Europäischen Wirtschaftsraum niedergelassenen Reiseveranstalter</w:t>
      </w:r>
      <w:r>
        <w:t xml:space="preserve"> </w:t>
      </w:r>
      <w:r>
        <w:rPr>
          <w:rStyle w:val="Suchmarke"/>
        </w:rPr>
        <w:t>#651s#</w:t>
      </w:r>
      <w:bookmarkEnd w:id="1014"/>
    </w:p>
    <w:p>
      <w:r>
        <w:t>Hat der Reiseveranstalter im Zeitpunkt des Vertragsschlusses seine Niederlassung im Sinne des § 4 Absatz 3 der Gewerbeordnung in einem anderen Mitgliedstaat der Europäischen Union oder in einem sonstigen Vertragsstaat des Abkommens über den Europäischen Wirtschaftsraum, so genügt er seiner Verpflichtung zur Insolvenzsicherung auch dann, wenn er dem Reisenden Sicherheit in Übereinstimmung mit den Vorschriften dieses anderen Staates zur Umsetzung des Artikels 17 der Richtlinie (EU) 2015/2302 des Europäischen Parlaments und des Rates vom 25. November 2015 über Pauschalreisen und verbundene Reiseleistungen, zur Änderung der Verordnung (EG) Nr. 2006/2004 und der Richtlinie 2011/83/EU des Europäischen Parlaments und des Rates sowie zur Aufhebung der Richtlinie 90/314/EWG des Rates (ABl. L 326 vom 11.12.2015, S. 1) leistet.</w:t>
      </w:r>
    </w:p>
    <w:p>
      <w:pPr>
        <w:pStyle w:val="Heading5"/>
      </w:pPr>
      <w:bookmarkStart w:id="1015" w:name="b1001"/>
      <w:r>
        <w:t>§ 651t Rückbeförderung; Vorauszahlungen</w:t>
      </w:r>
      <w:r>
        <w:t xml:space="preserve"> </w:t>
      </w:r>
      <w:r>
        <w:rPr>
          <w:rStyle w:val="Suchmarke"/>
        </w:rPr>
        <w:t>#651t#</w:t>
      </w:r>
      <w:bookmarkEnd w:id="1015"/>
    </w:p>
    <w:p>
      <w:r>
        <w:t>Der Reiseveranstalter darf eine Rückbeförderung des Reisenden nur vereinbaren und Zahlungen des Reisenden auf den Reisepreis vor Beendigung der Pauschalreise nur fordern oder annehmen, wenn</w:t>
      </w:r>
    </w:p>
    <w:p>
      <w:pPr>
        <w:tabs>
          <w:tab w:pos="567" w:val="left"/>
        </w:tabs>
        <w:ind w:left="567" w:hanging="567"/>
      </w:pPr>
      <w:r>
        <w:t>1.</w:t>
      </w:r>
      <w:r>
        <w:tab/>
      </w:r>
      <w:r>
        <w:t xml:space="preserve">ein wirksamer Absicherungsvertrag besteht oder, in den Fällen des </w:t>
      </w:r>
      <w:hyperlink w:anchor="b1000" w:history="1">
        <w:r>
          <w:rPr>
            <w:color w:val="0A3A8C"/>
            <w:u w:val="single"/>
          </w:rPr>
          <w:t xml:space="preserve">§ 651s</w:t>
        </w:r>
      </w:hyperlink>
      <w:r>
        <w:t>, der Reiseveranstalter nach § 651s Sicherheit leistet und</w:t>
      </w:r>
    </w:p>
    <w:p>
      <w:pPr>
        <w:tabs>
          <w:tab w:pos="567" w:val="left"/>
        </w:tabs>
        <w:ind w:left="567" w:hanging="567"/>
      </w:pPr>
      <w:r>
        <w:t>2.</w:t>
      </w:r>
      <w:r>
        <w:tab/>
      </w:r>
      <w:r>
        <w:t xml:space="preserve">dem Reisenden klar, verständlich und in hervorgehobener Weise Name und Kontaktdaten des Absicherers oder, in den Fällen des </w:t>
      </w:r>
      <w:hyperlink w:anchor="b1000" w:history="1">
        <w:r>
          <w:rPr>
            <w:color w:val="0A3A8C"/>
            <w:u w:val="single"/>
          </w:rPr>
          <w:t xml:space="preserve">§ 651s</w:t>
        </w:r>
      </w:hyperlink>
      <w:r>
        <w:t>, Name und Kontaktdaten der Einrichtung, die den Insolvenzschutz bietet, sowie gegebenenfalls der Name und die Kontaktdaten der von dem betreffenden Staat benannten zuständigen Behörde zur Verfügung gestellt wurden.</w:t>
      </w:r>
    </w:p>
    <w:p>
      <w:pPr>
        <w:pStyle w:val="Heading5"/>
      </w:pPr>
      <w:bookmarkStart w:id="1016" w:name="b1002"/>
      <w:r>
        <w:t>§ 651u Gastschulaufenthalte</w:t>
      </w:r>
      <w:r>
        <w:t xml:space="preserve"> </w:t>
      </w:r>
      <w:r>
        <w:rPr>
          <w:rStyle w:val="Suchmarke"/>
        </w:rPr>
        <w:t>#651u#</w:t>
      </w:r>
      <w:bookmarkEnd w:id="1016"/>
    </w:p>
    <w:p>
      <w:r>
        <w:t xml:space="preserve">(1) </w:t>
      </w:r>
      <w:r>
        <w:rPr>
          <w:rStyle w:val="Satznummer"/>
        </w:rPr>
        <w:t>1</w:t>
      </w:r>
      <w:r>
        <w:t xml:space="preserve">Für einen Vertrag, der einen mindestens drei Monate andauernden und mit dem geregelten Besuch einer Schule verbundenen Aufenthalt des Gastschülers bei einer Gastfamilie in einem anderen Staat (Aufnahmeland) zum Gegenstand hat, gelten </w:t>
      </w:r>
      <w:hyperlink w:anchor="b982" w:history="1">
        <w:r>
          <w:rPr>
            <w:color w:val="0A3A8C"/>
            <w:u w:val="single"/>
          </w:rPr>
          <w:t xml:space="preserve">§ 651a</w:t>
        </w:r>
      </w:hyperlink>
      <w:r>
        <w:t xml:space="preserve"> Absatz 1, 2 und 5, die </w:t>
      </w:r>
      <w:hyperlink w:anchor="b983" w:history="1">
        <w:r>
          <w:rPr>
            <w:color w:val="0A3A8C"/>
            <w:u w:val="single"/>
          </w:rPr>
          <w:t xml:space="preserve">§§ 651b</w:t>
        </w:r>
      </w:hyperlink>
      <w:r>
        <w:t xml:space="preserve">, </w:t>
      </w:r>
      <w:hyperlink w:anchor="b985" w:history="1">
        <w:r>
          <w:rPr>
            <w:color w:val="0A3A8C"/>
            <w:u w:val="single"/>
          </w:rPr>
          <w:t xml:space="preserve">651d</w:t>
        </w:r>
      </w:hyperlink>
      <w:r>
        <w:t xml:space="preserve"> Absatz 1 bis 4 und die </w:t>
      </w:r>
      <w:hyperlink w:anchor="b986" w:history="1">
        <w:r>
          <w:rPr>
            <w:color w:val="0A3A8C"/>
            <w:u w:val="single"/>
          </w:rPr>
          <w:t xml:space="preserve">§§ 651e</w:t>
        </w:r>
      </w:hyperlink>
      <w:r>
        <w:t xml:space="preserve"> bis </w:t>
      </w:r>
      <w:hyperlink w:anchor="b1001" w:history="1">
        <w:r>
          <w:rPr>
            <w:color w:val="0A3A8C"/>
            <w:u w:val="single"/>
          </w:rPr>
          <w:t xml:space="preserve">651t</w:t>
        </w:r>
      </w:hyperlink>
      <w:r>
        <w:t xml:space="preserve"> entsprechend sowie die nachfolgenden Absätze. </w:t>
      </w:r>
      <w:r>
        <w:rPr>
          <w:rStyle w:val="Satznummer"/>
        </w:rPr>
        <w:t>2</w:t>
      </w:r>
      <w:r>
        <w:t>Für einen Vertrag, der einen kürzeren Gastschulaufenthalt (Satz 1) oder einen mit der geregelten Durchführung eines Praktikums verbundenen Aufenthalt bei einer Gastfamilie im Aufnahmeland zum Gegenstand hat, gelten diese Vorschriften nur, wenn dies vereinbart ist.</w:t>
      </w:r>
    </w:p>
    <w:p>
      <w:r>
        <w:t>(2) Der Anbieter des Gastschulaufenthalts ist als Reiseveranstalter bei Mitwirkung des Gastschülers verpflichtet,</w:t>
      </w:r>
    </w:p>
    <w:p>
      <w:pPr>
        <w:tabs>
          <w:tab w:pos="567" w:val="left"/>
        </w:tabs>
        <w:ind w:left="567" w:hanging="567"/>
      </w:pPr>
      <w:r>
        <w:t>1.</w:t>
      </w:r>
      <w:r>
        <w:tab/>
      </w:r>
      <w:r>
        <w:t>für eine nach den Verhältnissen des Aufnahmelands angemessene Unterkunft, Beaufsichtigung und Betreuung des Gastschülers in einer Gastfamilie zu sorgen und</w:t>
      </w:r>
    </w:p>
    <w:p>
      <w:pPr>
        <w:tabs>
          <w:tab w:pos="567" w:val="left"/>
        </w:tabs>
        <w:ind w:left="567" w:hanging="567"/>
      </w:pPr>
      <w:r>
        <w:t>2.</w:t>
      </w:r>
      <w:r>
        <w:tab/>
      </w:r>
      <w:r>
        <w:t>die Voraussetzungen für einen geregelten Schulbesuch des Gastschülers im Aufnahmeland zu schaffen.</w:t>
      </w:r>
    </w:p>
    <w:p>
      <w:r>
        <w:t xml:space="preserve">(3) Tritt der Reisende vor Reisebeginn vom Vertrag zurück, findet </w:t>
      </w:r>
      <w:hyperlink w:anchor="b989" w:history="1">
        <w:r>
          <w:rPr>
            <w:color w:val="0A3A8C"/>
            <w:u w:val="single"/>
          </w:rPr>
          <w:t xml:space="preserve">§ 651h</w:t>
        </w:r>
      </w:hyperlink>
      <w:r>
        <w:t xml:space="preserve"> Absatz 1 Satz 3, Absatz 2 nur Anwendung, wenn der Reiseveranstalter den Reisenden auf den Aufenthalt angemessen vorbereitet und spätestens zwei Wochen vor Antritt der Reise jedenfalls über Folgendes informiert hat:</w:t>
      </w:r>
    </w:p>
    <w:p>
      <w:pPr>
        <w:tabs>
          <w:tab w:pos="567" w:val="left"/>
        </w:tabs>
        <w:ind w:left="567" w:hanging="567"/>
      </w:pPr>
      <w:r>
        <w:t>1.</w:t>
      </w:r>
      <w:r>
        <w:tab/>
      </w:r>
      <w:r>
        <w:t>Name und Anschrift der für den Gastschüler nach Ankunft bestimmten Gastfamilie und</w:t>
      </w:r>
    </w:p>
    <w:p>
      <w:pPr>
        <w:tabs>
          <w:tab w:pos="567" w:val="left"/>
        </w:tabs>
        <w:ind w:left="567" w:hanging="567"/>
      </w:pPr>
      <w:r>
        <w:t>2.</w:t>
      </w:r>
      <w:r>
        <w:tab/>
      </w:r>
      <w:r>
        <w:t>Name und Erreichbarkeit eines Ansprechpartners im Aufnahmeland, bei dem auch Abhilfe verlangt werden kann.</w:t>
      </w:r>
    </w:p>
    <w:p>
      <w:r>
        <w:t xml:space="preserve">(4) </w:t>
      </w:r>
      <w:r>
        <w:rPr>
          <w:rStyle w:val="Satznummer"/>
        </w:rPr>
        <w:t>1</w:t>
      </w:r>
      <w:r>
        <w:t xml:space="preserve">Der Reisende kann den Vertrag bis zur Beendigung der Reise jederzeit kündigen. </w:t>
      </w:r>
      <w:r>
        <w:rPr>
          <w:rStyle w:val="Satznummer"/>
        </w:rPr>
        <w:t>2</w:t>
      </w:r>
      <w:r>
        <w:t xml:space="preserve">Kündigt der Reisende, ist der Reiseveranstalter berechtigt, den vereinbarten Reisepreis abzüglich der ersparten Aufwendungen zu verlangen. </w:t>
      </w:r>
      <w:r>
        <w:rPr>
          <w:rStyle w:val="Satznummer"/>
        </w:rPr>
        <w:t>3</w:t>
      </w:r>
      <w:r>
        <w:t xml:space="preserve">Der Reiseveranstalter ist verpflichtet, die infolge der Kündigung notwendigen Maßnahmen zu treffen, insbesondere, falls der Vertrag die Beförderung des Gastschülers umfasste, für dessen Rückbeförderung zu sorgen. </w:t>
      </w:r>
      <w:r>
        <w:rPr>
          <w:rStyle w:val="Satznummer"/>
        </w:rPr>
        <w:t>4</w:t>
      </w:r>
      <w:r>
        <w:t xml:space="preserve">Die Mehrkosten fallen dem Reisenden zur Last. </w:t>
      </w:r>
      <w:r>
        <w:rPr>
          <w:rStyle w:val="Satznummer"/>
        </w:rPr>
        <w:t>5</w:t>
      </w:r>
      <w:r>
        <w:t xml:space="preserve">Die vorstehenden Sätze gelten nicht, wenn der Reisende nach </w:t>
      </w:r>
      <w:hyperlink w:anchor="b993" w:history="1">
        <w:r>
          <w:rPr>
            <w:color w:val="0A3A8C"/>
            <w:u w:val="single"/>
          </w:rPr>
          <w:t xml:space="preserve">§ 651l</w:t>
        </w:r>
      </w:hyperlink>
      <w:r>
        <w:t xml:space="preserve"> kündigen kann.</w:t>
      </w:r>
    </w:p>
    <w:p>
      <w:pPr>
        <w:pStyle w:val="Heading5"/>
      </w:pPr>
      <w:bookmarkStart w:id="1017" w:name="b1003"/>
      <w:r>
        <w:t>§ 651v Reisevermittlung</w:t>
      </w:r>
      <w:r>
        <w:t xml:space="preserve"> </w:t>
      </w:r>
      <w:r>
        <w:rPr>
          <w:rStyle w:val="Suchmarke"/>
        </w:rPr>
        <w:t>#651v#</w:t>
      </w:r>
      <w:bookmarkEnd w:id="1017"/>
    </w:p>
    <w:p>
      <w:r>
        <w:t xml:space="preserve">(1) </w:t>
      </w:r>
      <w:r>
        <w:rPr>
          <w:rStyle w:val="Satznummer"/>
        </w:rPr>
        <w:t>1</w:t>
      </w:r>
      <w:r>
        <w:t xml:space="preserve">Ein Unternehmer, der einem Reisenden einen Pauschalreisevertrag vermittelt (Reisevermittler), ist verpflichtet, den Reisenden nach Maßgabe des Artikels 250 §§ 1 bis 3 des Einführungsgesetzes zum Bürgerlichen Gesetzbuche zu informieren. </w:t>
      </w:r>
      <w:r>
        <w:rPr>
          <w:rStyle w:val="Satznummer"/>
        </w:rPr>
        <w:t>2</w:t>
      </w:r>
      <w:r>
        <w:t xml:space="preserve">Er erfüllt damit zugleich die Verpflichtungen des Reiseveranstalters aus </w:t>
      </w:r>
      <w:hyperlink w:anchor="b985" w:history="1">
        <w:r>
          <w:rPr>
            <w:color w:val="0A3A8C"/>
            <w:u w:val="single"/>
          </w:rPr>
          <w:t xml:space="preserve">§ 651d</w:t>
        </w:r>
      </w:hyperlink>
      <w:r>
        <w:t xml:space="preserve"> Absatz 1 Satz 1. </w:t>
      </w:r>
      <w:r>
        <w:rPr>
          <w:rStyle w:val="Satznummer"/>
        </w:rPr>
        <w:t>3</w:t>
      </w:r>
      <w:r>
        <w:t>Der Reisevermittler trägt gegenüber dem Reisenden die Beweislast für die Erfüllung seiner Informationspflichten.</w:t>
      </w:r>
    </w:p>
    <w:p>
      <w:r>
        <w:t xml:space="preserve">(2) </w:t>
      </w:r>
      <w:r>
        <w:rPr>
          <w:rStyle w:val="Satznummer"/>
        </w:rPr>
        <w:t>1</w:t>
      </w:r>
      <w:r>
        <w:t xml:space="preserve">Für die Annahme von Zahlungen auf den Reisepreis durch den Reisevermittler gilt </w:t>
      </w:r>
      <w:hyperlink w:anchor="b1001" w:history="1">
        <w:r>
          <w:rPr>
            <w:color w:val="0A3A8C"/>
            <w:u w:val="single"/>
          </w:rPr>
          <w:t xml:space="preserve">§ 651t</w:t>
        </w:r>
      </w:hyperlink>
      <w:r>
        <w:t xml:space="preserve"> Nummer 2 entsprechend. </w:t>
      </w:r>
      <w:r>
        <w:rPr>
          <w:rStyle w:val="Satznummer"/>
        </w:rPr>
        <w:t>2</w:t>
      </w:r>
      <w:r>
        <w:t xml:space="preserve">Ein Reisevermittler gilt als vom Reiseveranstalter zur Annahme von Zahlungen auf den Reisepreis ermächtigt, wenn er dem Reisenden eine den Anforderungen des Artikels 250 § 6 des Einführungsgesetzes zum Bürgerlichen Gesetzbuche entsprechende Abschrift oder Bestätigung des Vertrags zur Verfügung stellt oder sonstige dem Reiseveranstalter zuzurechnende Umstände ergeben, dass er von diesem damit betraut ist, Pauschalreiseverträge für ihn zu vermitteln. </w:t>
      </w:r>
      <w:r>
        <w:rPr>
          <w:rStyle w:val="Satznummer"/>
        </w:rPr>
        <w:t>3</w:t>
      </w:r>
      <w:r>
        <w:t>Dies gilt nicht, wenn die Annahme von Zahlungen durch den Reisevermittler in hervorgehobener Form gegenüber dem Reisenden ausgeschlossen ist.</w:t>
      </w:r>
    </w:p>
    <w:p>
      <w:r>
        <w:t xml:space="preserve">(3) Hat der Reiseveranstalter im Zeitpunkt des Vertragsschlusses seinen Sitz nicht in einem Mitgliedstaat der Europäischen Union oder einem anderen Vertragsstaat des Abkommens über den Europäischen Wirtschaftsraum, treffen den Reisevermittler die sich aus den </w:t>
      </w:r>
      <w:hyperlink w:anchor="b990" w:history="1">
        <w:r>
          <w:rPr>
            <w:color w:val="0A3A8C"/>
            <w:u w:val="single"/>
          </w:rPr>
          <w:t xml:space="preserve">§§ 651i</w:t>
        </w:r>
      </w:hyperlink>
      <w:r>
        <w:t xml:space="preserve"> bis </w:t>
      </w:r>
      <w:hyperlink w:anchor="b1001" w:history="1">
        <w:r>
          <w:rPr>
            <w:color w:val="0A3A8C"/>
            <w:u w:val="single"/>
          </w:rPr>
          <w:t xml:space="preserve">651t</w:t>
        </w:r>
      </w:hyperlink>
      <w:r>
        <w:t xml:space="preserve"> ergebenden Pflichten des Reiseveranstalters, es sei denn, der Reisevermittler weist nach, dass der Reiseveranstalter seine Pflichten nach diesen Vorschriften erfüllt.</w:t>
      </w:r>
    </w:p>
    <w:p>
      <w:r>
        <w:t xml:space="preserve">(4) </w:t>
      </w:r>
      <w:r>
        <w:rPr>
          <w:rStyle w:val="Satznummer"/>
        </w:rPr>
        <w:t>1</w:t>
      </w:r>
      <w:r>
        <w:t xml:space="preserve">Der Reisevermittler gilt als vom Reiseveranstalter bevollmächtigt, Mängelanzeigen sowie andere Erklärungen des Reisenden bezüglich der Erbringung der Reiseleistungen entgegenzunehmen. </w:t>
      </w:r>
      <w:r>
        <w:rPr>
          <w:rStyle w:val="Satznummer"/>
        </w:rPr>
        <w:t>2</w:t>
      </w:r>
      <w:r>
        <w:t>Der Reisevermittler hat den Reiseveranstalter unverzüglich von solchen Erklärungen des Reisenden in Kenntnis zu setzen.</w:t>
      </w:r>
    </w:p>
    <w:p>
      <w:pPr>
        <w:pStyle w:val="Heading5"/>
      </w:pPr>
      <w:bookmarkStart w:id="1018" w:name="b1004"/>
      <w:r>
        <w:t>§ 651w Vermittlung verbundener Reiseleistungen</w:t>
      </w:r>
      <w:r>
        <w:t xml:space="preserve"> </w:t>
      </w:r>
      <w:r>
        <w:rPr>
          <w:rStyle w:val="Suchmarke"/>
        </w:rPr>
        <w:t>#651w#</w:t>
      </w:r>
      <w:bookmarkEnd w:id="1018"/>
    </w:p>
    <w:p>
      <w:r>
        <w:t xml:space="preserve">(1) </w:t>
      </w:r>
      <w:r>
        <w:rPr>
          <w:rStyle w:val="Satznummer"/>
        </w:rPr>
        <w:t>1</w:t>
      </w:r>
      <w:r>
        <w:t>Ein Unternehmer ist Vermittler verbundener Reiseleistungen, wenn er für den Zweck derselben Reise, die keine Pauschalreise ist,</w:t>
      </w:r>
    </w:p>
    <w:p>
      <w:pPr>
        <w:tabs>
          <w:tab w:pos="567" w:val="left"/>
        </w:tabs>
        <w:ind w:left="567" w:hanging="567"/>
      </w:pPr>
      <w:r>
        <w:t>1.</w:t>
      </w:r>
      <w:r>
        <w:tab/>
      </w:r>
      <w:r>
        <w:t>dem Reisenden anlässlich eines einzigen Besuchs in seiner Vertriebsstelle oder eines einzigen Kontakts mit seiner Vertriebsstelle Verträge mit anderen Unternehmern über mindestens zwei verschiedene Arten von Reiseleistungen vermittelt und der Reisende diese Leistungen getrennt auswählt und</w:t>
      </w:r>
    </w:p>
    <w:p>
      <w:pPr>
        <w:tabs>
          <w:tab w:pos="1134" w:val="left"/>
        </w:tabs>
        <w:ind w:left="1134" w:hanging="567"/>
      </w:pPr>
      <w:r>
        <w:t>a)</w:t>
      </w:r>
      <w:r>
        <w:tab/>
      </w:r>
      <w:r>
        <w:t>getrennt bezahlt oder</w:t>
      </w:r>
    </w:p>
    <w:p>
      <w:pPr>
        <w:tabs>
          <w:tab w:pos="1134" w:val="left"/>
        </w:tabs>
        <w:ind w:left="1134" w:hanging="567"/>
      </w:pPr>
      <w:r>
        <w:t>b)</w:t>
      </w:r>
      <w:r>
        <w:tab/>
      </w:r>
      <w:r>
        <w:t>sich bezüglich jeder Leistung getrennt zur Zahlung verpflichtet oder</w:t>
      </w:r>
    </w:p>
    <w:p>
      <w:pPr>
        <w:tabs>
          <w:tab w:pos="567" w:val="left"/>
        </w:tabs>
        <w:ind w:left="567" w:hanging="567"/>
      </w:pPr>
      <w:r>
        <w:t>2.</w:t>
      </w:r>
      <w:r>
        <w:tab/>
      </w:r>
      <w:r>
        <w:t>dem Reisenden, mit dem er einen Vertrag über eine Reiseleistung geschlossen hat oder dem er einen solchen Vertrag vermittelt hat, in gezielter Weise mindestens einen Vertrag mit einem anderen Unternehmer über eine andere Art von Reiseleistung vermittelt und der weitere Vertrag spätestens 24 Stunden nach der Bestätigung des Vertragsschlusses über die erste Reiseleistung geschlossen wird.</w:t>
      </w:r>
    </w:p>
    <w:p>
      <w:r>
        <w:rPr>
          <w:rStyle w:val="Satznummer"/>
        </w:rPr>
        <w:t>2</w:t>
      </w:r>
      <w:r>
        <w:t xml:space="preserve">Eine Vermittlung in gezielter Weise im Sinne des Satzes 1 Nummer 2 liegt insbesondere dann nicht vor, wenn der Unternehmer den Reisenden lediglich mit einem anderen Unternehmer in Kontakt bringt. </w:t>
      </w:r>
      <w:r>
        <w:rPr>
          <w:rStyle w:val="Satznummer"/>
        </w:rPr>
        <w:t>3</w:t>
      </w:r>
      <w:r>
        <w:t xml:space="preserve">Im Übrigen findet auf Satz 1 </w:t>
      </w:r>
      <w:hyperlink w:anchor="b982" w:history="1">
        <w:r>
          <w:rPr>
            <w:color w:val="0A3A8C"/>
            <w:u w:val="single"/>
          </w:rPr>
          <w:t xml:space="preserve">§ 651a</w:t>
        </w:r>
      </w:hyperlink>
      <w:r>
        <w:t xml:space="preserve"> Absatz 4 Satz 1 Nummer 1, Satz 2 und Absatz 5 Nummer 1 und 3 entsprechende Anwendung. </w:t>
      </w:r>
      <w:r>
        <w:rPr>
          <w:rStyle w:val="Satznummer"/>
        </w:rPr>
        <w:t>4</w:t>
      </w:r>
      <w:hyperlink w:anchor="b982" w:history="1">
        <w:r>
          <w:rPr>
            <w:color w:val="0A3A8C"/>
            <w:u w:val="single"/>
          </w:rPr>
          <w:t xml:space="preserve">§ 651a</w:t>
        </w:r>
      </w:hyperlink>
      <w:r>
        <w:t xml:space="preserve"> Absatz 5 Nummer 2 ist unabhängig von der Höhe des Reisepreises entsprechend anzuwenden.</w:t>
      </w:r>
    </w:p>
    <w:p>
      <w:r>
        <w:t>(2) Der Vermittler verbundener Reiseleistungen ist verpflichtet, den Reisenden nach Maßgabe des Artikels 251 des Einführungsgesetzes zum Bürgerlichen Gesetzbuche zu informieren.</w:t>
      </w:r>
    </w:p>
    <w:p>
      <w:r>
        <w:t xml:space="preserve">(3) </w:t>
      </w:r>
      <w:r>
        <w:rPr>
          <w:rStyle w:val="Satznummer"/>
        </w:rPr>
        <w:t>1</w:t>
      </w:r>
      <w:r>
        <w:t>Nimmt der Vermittler verbundener Reiseleistungen Zahlungen des Reisenden auf Vergütungen für Reiseleistungen entgegen, hat er sicherzustellen, dass diese dem Reisenden erstattet werden, soweit Reiseleistungen von dem Vermittler verbundener Reiseleistungen selbst zu erbringen sind oder Entgeltforderungen anderer Unternehmer im Sinne des Absatzes 1 Satz 1 noch zu erfüllen sind und im Fall der Zahlungsunfähigkeit des Vermittlers verbundener Reiseleistungen</w:t>
      </w:r>
    </w:p>
    <w:p>
      <w:pPr>
        <w:tabs>
          <w:tab w:pos="567" w:val="left"/>
        </w:tabs>
        <w:ind w:left="567" w:hanging="567"/>
      </w:pPr>
      <w:r>
        <w:t>1.</w:t>
      </w:r>
      <w:r>
        <w:tab/>
      </w:r>
      <w:r>
        <w:t>Reiseleistungen ausfallen oder</w:t>
      </w:r>
    </w:p>
    <w:p>
      <w:pPr>
        <w:tabs>
          <w:tab w:pos="567" w:val="left"/>
        </w:tabs>
        <w:ind w:left="567" w:hanging="567"/>
      </w:pPr>
      <w:r>
        <w:t>2.</w:t>
      </w:r>
      <w:r>
        <w:tab/>
      </w:r>
      <w:r>
        <w:t>der Reisende im Hinblick auf erbrachte Reiseleistungen Zahlungsaufforderungen nicht befriedigter anderer Unternehmer im Sinne des Absatzes 1 Satz 1 nachkommt.</w:t>
      </w:r>
    </w:p>
    <w:p>
      <w:r>
        <w:rPr>
          <w:rStyle w:val="Satznummer"/>
        </w:rPr>
        <w:t>2</w:t>
      </w:r>
      <w:r>
        <w:t xml:space="preserve">Hat sich der Vermittler verbundener Reiseleistungen selbst zur Beförderung des Reisenden verpflichtet, hat er zudem die vereinbarte Rückbeförderung und die Beherbergung bis zum Zeitpunkt der Rückbeförderung sicherzustellen. </w:t>
      </w:r>
      <w:r>
        <w:rPr>
          <w:rStyle w:val="Satznummer"/>
        </w:rPr>
        <w:t>3</w:t>
      </w:r>
      <w:r>
        <w:t xml:space="preserve">Der Zahlungsunfähigkeit stehen die Eröffnung des Insolvenzverfahrens über das Vermögen des Vermittlers verbundener Reiseleistungen und die Abweisung eines Eröffnungsantrags mangels Masse gleich. </w:t>
      </w:r>
      <w:r>
        <w:rPr>
          <w:rStyle w:val="Satznummer"/>
        </w:rPr>
        <w:t>4</w:t>
      </w:r>
      <w:hyperlink w:anchor="b999" w:history="1">
        <w:r>
          <w:rPr>
            <w:color w:val="0A3A8C"/>
            <w:u w:val="single"/>
          </w:rPr>
          <w:t xml:space="preserve">§ 651r</w:t>
        </w:r>
      </w:hyperlink>
      <w:r>
        <w:t xml:space="preserve"> Absatz 2 bis 4 sowie die </w:t>
      </w:r>
      <w:hyperlink w:anchor="b1000" w:history="1">
        <w:r>
          <w:rPr>
            <w:color w:val="0A3A8C"/>
            <w:u w:val="single"/>
          </w:rPr>
          <w:t xml:space="preserve">§§ 651s</w:t>
        </w:r>
      </w:hyperlink>
      <w:r>
        <w:t xml:space="preserve"> und </w:t>
      </w:r>
      <w:hyperlink w:anchor="b1001" w:history="1">
        <w:r>
          <w:rPr>
            <w:color w:val="0A3A8C"/>
            <w:u w:val="single"/>
          </w:rPr>
          <w:t xml:space="preserve">651t</w:t>
        </w:r>
      </w:hyperlink>
      <w:r>
        <w:t xml:space="preserve"> sind entsprechend anzuwenden.</w:t>
      </w:r>
    </w:p>
    <w:p>
      <w:r>
        <w:t xml:space="preserve">(4) Erfüllt der Vermittler verbundener Reiseleistungen seine Pflichten aus den Absätzen 2 und 3 nicht, finden auf das Rechtsverhältnis zwischen ihm und dem Reisenden </w:t>
      </w:r>
      <w:hyperlink w:anchor="b370" w:history="1">
        <w:r>
          <w:rPr>
            <w:color w:val="0A3A8C"/>
            <w:u w:val="single"/>
          </w:rPr>
          <w:t xml:space="preserve">§ 312</w:t>
        </w:r>
      </w:hyperlink>
      <w:r>
        <w:t xml:space="preserve"> Absatz 6 Satz 2 sowie die </w:t>
      </w:r>
      <w:hyperlink w:anchor="b986" w:history="1">
        <w:r>
          <w:rPr>
            <w:color w:val="0A3A8C"/>
            <w:u w:val="single"/>
          </w:rPr>
          <w:t xml:space="preserve">§§ 651e</w:t>
        </w:r>
      </w:hyperlink>
      <w:r>
        <w:t xml:space="preserve">, </w:t>
      </w:r>
      <w:hyperlink w:anchor="b989" w:history="1">
        <w:r>
          <w:rPr>
            <w:color w:val="0A3A8C"/>
            <w:u w:val="single"/>
          </w:rPr>
          <w:t xml:space="preserve">651h</w:t>
        </w:r>
      </w:hyperlink>
      <w:r>
        <w:t xml:space="preserve"> bis </w:t>
      </w:r>
      <w:hyperlink w:anchor="b998" w:history="1">
        <w:r>
          <w:rPr>
            <w:color w:val="0A3A8C"/>
            <w:u w:val="single"/>
          </w:rPr>
          <w:t xml:space="preserve">651q</w:t>
        </w:r>
      </w:hyperlink>
      <w:r>
        <w:t xml:space="preserve"> und </w:t>
      </w:r>
      <w:hyperlink w:anchor="b1003" w:history="1">
        <w:r>
          <w:rPr>
            <w:color w:val="0A3A8C"/>
            <w:u w:val="single"/>
          </w:rPr>
          <w:t xml:space="preserve">651v</w:t>
        </w:r>
      </w:hyperlink>
      <w:r>
        <w:t xml:space="preserve"> Absatz 4 entsprechende Anwendung.</w:t>
      </w:r>
    </w:p>
    <w:p>
      <w:r>
        <w:t xml:space="preserve">(5) </w:t>
      </w:r>
      <w:r>
        <w:rPr>
          <w:rStyle w:val="Satznummer"/>
        </w:rPr>
        <w:t>1</w:t>
      </w:r>
      <w:r>
        <w:t xml:space="preserve">Kommen infolge der Vermittlung nach Absatz 1 ein oder mehrere Verträge über Reiseleistungen mit dem Reisenden zustande, hat der jeweilige andere Unternehmer den Vermittler verbundener Reiseleistungen über den Umstand des Vertragsschlusses zu unterrichten. </w:t>
      </w:r>
      <w:r>
        <w:rPr>
          <w:rStyle w:val="Satznummer"/>
        </w:rPr>
        <w:t>2</w:t>
      </w:r>
      <w:r>
        <w:t>Die Pflicht nach Satz 1 besteht nicht, wenn der Vermittler verbundener Reiseleistungen den Vertrag als Vertreter des anderen Unternehmers geschlossen hat.</w:t>
      </w:r>
    </w:p>
    <w:p>
      <w:pPr>
        <w:pStyle w:val="Heading5"/>
      </w:pPr>
      <w:bookmarkStart w:id="1019" w:name="b1005"/>
      <w:r>
        <w:t>§ 651x Haftung für Buchungsfehler</w:t>
      </w:r>
      <w:r>
        <w:t xml:space="preserve"> </w:t>
      </w:r>
      <w:r>
        <w:rPr>
          <w:rStyle w:val="Suchmarke"/>
        </w:rPr>
        <w:t>#651x#</w:t>
      </w:r>
      <w:bookmarkEnd w:id="1019"/>
    </w:p>
    <w:p>
      <w:r>
        <w:t>Der Reisende hat Anspruch auf Ersatz des Schadens,</w:t>
      </w:r>
    </w:p>
    <w:p>
      <w:pPr>
        <w:tabs>
          <w:tab w:pos="567" w:val="left"/>
        </w:tabs>
        <w:ind w:left="567" w:hanging="567"/>
      </w:pPr>
      <w:r>
        <w:t>1.</w:t>
      </w:r>
      <w:r>
        <w:tab/>
      </w:r>
      <w:r>
        <w:t>der ihm durch einen technischen Fehler im Buchungssystem des Reiseveranstalters, Reisevermittlers, Vermittlers verbundener Reiseleistungen oder eines Leistungserbringers entsteht, es sei denn, der jeweilige Unternehmer hat den technischen Fehler nicht zu vertreten,</w:t>
      </w:r>
    </w:p>
    <w:p>
      <w:pPr>
        <w:tabs>
          <w:tab w:pos="567" w:val="left"/>
        </w:tabs>
        <w:ind w:left="567" w:hanging="567"/>
      </w:pPr>
      <w:r>
        <w:t>2.</w:t>
      </w:r>
      <w:r>
        <w:tab/>
      </w:r>
      <w:r>
        <w:t>den einer der in Nummer 1 genannten Unternehmer durch einen Fehler während des Buchungsvorgangs verursacht hat, es sei denn, der Fehler ist vom Reisenden verschuldet oder wurde durch unvermeidbare, außergewöhnliche Umstände verursacht.</w:t>
      </w:r>
    </w:p>
    <w:p>
      <w:pPr>
        <w:pStyle w:val="Heading5"/>
      </w:pPr>
      <w:bookmarkStart w:id="1020" w:name="b1006"/>
      <w:r>
        <w:t>§ 651y Abweichende Vereinbarungen</w:t>
      </w:r>
      <w:r>
        <w:t xml:space="preserve"> </w:t>
      </w:r>
      <w:r>
        <w:rPr>
          <w:rStyle w:val="Suchmarke"/>
        </w:rPr>
        <w:t>#651y#</w:t>
      </w:r>
      <w:bookmarkEnd w:id="1020"/>
    </w:p>
    <w:p>
      <w:r>
        <w:rPr>
          <w:rStyle w:val="Satznummer"/>
        </w:rPr>
        <w:t>1</w:t>
      </w:r>
      <w:r>
        <w:t xml:space="preserve">Von den Vorschriften dieses Untertitels darf, soweit nichts anderes bestimmt ist, nicht zum Nachteil des Reisenden abgewichen werden. </w:t>
      </w:r>
      <w:r>
        <w:rPr>
          <w:rStyle w:val="Satznummer"/>
        </w:rPr>
        <w:t>2</w:t>
      </w:r>
      <w:r>
        <w:t>Die Vorschriften dieses Untertitels finden, soweit nichts anderes bestimmt ist, auch Anwendung, wenn sie durch anderweitige Gestaltungen umgangen werden.</w:t>
      </w:r>
    </w:p>
    <w:p>
      <w:pPr>
        <w:pStyle w:val="Heading3"/>
      </w:pPr>
      <w:bookmarkStart w:id="1021" w:name="b1007"/>
      <w:r>
        <w:t>Titel 10 Maklervertrag</w:t>
      </w:r>
      <w:bookmarkEnd w:id="1021"/>
    </w:p>
    <w:p>
      <w:pPr>
        <w:pStyle w:val="Heading4"/>
      </w:pPr>
      <w:bookmarkStart w:id="1022" w:name="b1008"/>
      <w:r>
        <w:t>Untertitel 1 Allgemeine Vorschriften</w:t>
      </w:r>
      <w:bookmarkEnd w:id="1022"/>
    </w:p>
    <w:p>
      <w:pPr>
        <w:pStyle w:val="Heading5"/>
      </w:pPr>
      <w:bookmarkStart w:id="1023" w:name="b1009"/>
      <w:r>
        <w:t>§ 652 Entstehung des Lohnanspruchs</w:t>
      </w:r>
      <w:r>
        <w:t xml:space="preserve"> </w:t>
      </w:r>
      <w:r>
        <w:rPr>
          <w:rStyle w:val="Suchmarke"/>
        </w:rPr>
        <w:t>#652#</w:t>
      </w:r>
      <w:bookmarkEnd w:id="1023"/>
    </w:p>
    <w:p>
      <w:r>
        <w:t xml:space="preserve">(1) </w:t>
      </w:r>
      <w:r>
        <w:rPr>
          <w:rStyle w:val="Satznummer"/>
        </w:rPr>
        <w:t>1</w:t>
      </w:r>
      <w:r>
        <w:t xml:space="preserve">Wer für den Nachweis der Gelegenheit zum Abschluss eines Vertrags oder für die Vermittlung eines Vertrags einen Maklerlohn verspricht, ist zur Entrichtung des Lohnes nur verpflichtet, wenn der Vertrag infolge des Nachweises oder infolge der Vermittlung des Maklers zustande kommt. </w:t>
      </w:r>
      <w:r>
        <w:rPr>
          <w:rStyle w:val="Satznummer"/>
        </w:rPr>
        <w:t>2</w:t>
      </w:r>
      <w:r>
        <w:t>Wird der Vertrag unter einer aufschiebenden Bedingung geschlossen, so kann der Maklerlohn erst verlangt werden, wenn die Bedingung eintritt.</w:t>
      </w:r>
    </w:p>
    <w:p>
      <w:r>
        <w:t xml:space="preserve">(2) </w:t>
      </w:r>
      <w:r>
        <w:rPr>
          <w:rStyle w:val="Satznummer"/>
        </w:rPr>
        <w:t>1</w:t>
      </w:r>
      <w:r>
        <w:t xml:space="preserve">Aufwendungen sind dem Makler nur zu ersetzen, wenn es vereinbart ist. </w:t>
      </w:r>
      <w:r>
        <w:rPr>
          <w:rStyle w:val="Satznummer"/>
        </w:rPr>
        <w:t>2</w:t>
      </w:r>
      <w:r>
        <w:t>Dies gilt auch dann, wenn ein Vertrag nicht zustande kommt.</w:t>
      </w:r>
    </w:p>
    <w:p>
      <w:pPr>
        <w:pStyle w:val="Heading5"/>
      </w:pPr>
      <w:bookmarkStart w:id="1024" w:name="b1010"/>
      <w:r>
        <w:t>§ 653 Maklerlohn</w:t>
      </w:r>
      <w:r>
        <w:t xml:space="preserve"> </w:t>
      </w:r>
      <w:r>
        <w:rPr>
          <w:rStyle w:val="Suchmarke"/>
        </w:rPr>
        <w:t>#653#</w:t>
      </w:r>
      <w:bookmarkEnd w:id="1024"/>
    </w:p>
    <w:p>
      <w:r>
        <w:t>(1) Ein Maklerlohn gilt als stillschweigend vereinbart, wenn die dem Makler übertragene Leistung den Umständen nach nur gegen eine Vergütung zu erwarten ist.</w:t>
      </w:r>
    </w:p>
    <w:p>
      <w:r>
        <w:t>(2) Ist die Höhe der Vergütung nicht bestimmt, so ist bei dem Bestehen einer Taxe der taxmäßige Lohn, in Ermangelung einer Taxe der übliche Lohn als vereinbart anzusehen.</w:t>
      </w:r>
    </w:p>
    <w:p>
      <w:pPr>
        <w:pStyle w:val="Heading5"/>
      </w:pPr>
      <w:bookmarkStart w:id="1025" w:name="b1011"/>
      <w:r>
        <w:t>§ 654 Verwirkung des Lohnanspruchs</w:t>
      </w:r>
      <w:r>
        <w:t xml:space="preserve"> </w:t>
      </w:r>
      <w:r>
        <w:rPr>
          <w:rStyle w:val="Suchmarke"/>
        </w:rPr>
        <w:t>#654#</w:t>
      </w:r>
      <w:bookmarkEnd w:id="1025"/>
    </w:p>
    <w:p>
      <w:r>
        <w:t>Der Anspruch auf den Maklerlohn und den Ersatz von Aufwendungen ist ausgeschlossen, wenn der Makler dem Inhalt des Vertrags zuwider auch für den anderen Teil tätig gewesen ist.</w:t>
      </w:r>
    </w:p>
    <w:p>
      <w:pPr>
        <w:pStyle w:val="Heading5"/>
      </w:pPr>
      <w:bookmarkStart w:id="1026" w:name="b1012"/>
      <w:r>
        <w:t>§ 655 Herabsetzung des Maklerlohns</w:t>
      </w:r>
      <w:r>
        <w:t xml:space="preserve"> </w:t>
      </w:r>
      <w:r>
        <w:rPr>
          <w:rStyle w:val="Suchmarke"/>
        </w:rPr>
        <w:t>#655#</w:t>
      </w:r>
      <w:bookmarkEnd w:id="1026"/>
    </w:p>
    <w:p>
      <w:r>
        <w:rPr>
          <w:rStyle w:val="Satznummer"/>
        </w:rPr>
        <w:t>1</w:t>
      </w:r>
      <w:r>
        <w:t xml:space="preserve">Ist für den Nachweis der Gelegenheit zum Abschluss eines Dienstvertrags oder für die Vermittlung eines solchen Vertrags ein unverhältnismäßig hoher Maklerlohn vereinbart worden, so kann er auf Antrag des Schuldners durch Urteil auf den angemessenen Betrag herabgesetzt werden. </w:t>
      </w:r>
      <w:r>
        <w:rPr>
          <w:rStyle w:val="Satznummer"/>
        </w:rPr>
        <w:t>2</w:t>
      </w:r>
      <w:r>
        <w:t>Nach der Entrichtung des Lohnes ist die Herabsetzung ausgeschlossen.</w:t>
      </w:r>
    </w:p>
    <w:p>
      <w:pPr>
        <w:pStyle w:val="Heading4"/>
      </w:pPr>
      <w:bookmarkStart w:id="1027" w:name="b1013"/>
      <w:r>
        <w:t>Untertitel 2 Vermittlung von Verbraucherdarlehensverträgen und entgeltlichen Finanzierungshilfen</w:t>
      </w:r>
      <w:bookmarkEnd w:id="1027"/>
    </w:p>
    <w:p>
      <w:pPr>
        <w:pStyle w:val="Heading5"/>
      </w:pPr>
      <w:bookmarkStart w:id="1028" w:name="b1014"/>
      <w:r>
        <w:t>§ 655a Darlehensvermittlungsvertrag</w:t>
      </w:r>
      <w:r>
        <w:t xml:space="preserve"> </w:t>
      </w:r>
      <w:r>
        <w:rPr>
          <w:rStyle w:val="Suchmarke"/>
        </w:rPr>
        <w:t>#655a#</w:t>
      </w:r>
      <w:bookmarkEnd w:id="1028"/>
    </w:p>
    <w:p>
      <w:r>
        <w:t xml:space="preserve">(1) </w:t>
      </w:r>
      <w:r>
        <w:rPr>
          <w:rStyle w:val="Satznummer"/>
        </w:rPr>
        <w:t>1</w:t>
      </w:r>
      <w:r>
        <w:t>Für einen Vertrag, nach dem es ein Unternehmer unternimmt, einem Verbraucher</w:t>
      </w:r>
    </w:p>
    <w:p>
      <w:pPr>
        <w:tabs>
          <w:tab w:pos="567" w:val="left"/>
        </w:tabs>
        <w:ind w:left="567" w:hanging="567"/>
      </w:pPr>
      <w:r>
        <w:t>1.</w:t>
      </w:r>
      <w:r>
        <w:tab/>
      </w:r>
      <w:r>
        <w:t>gegen eine vom Verbraucher oder einem Dritten zu leistende Vergütung einen Verbraucherdarlehensvertrag oder eine entgeltliche Finanzierungshilfe zu vermitteln,</w:t>
      </w:r>
    </w:p>
    <w:p>
      <w:pPr>
        <w:tabs>
          <w:tab w:pos="567" w:val="left"/>
        </w:tabs>
        <w:ind w:left="567" w:hanging="567"/>
      </w:pPr>
      <w:r>
        <w:t>2.</w:t>
      </w:r>
      <w:r>
        <w:tab/>
      </w:r>
      <w:r>
        <w:t>die Gelegenheit zum Abschluss eines Vertrags nach Nummer 1 nachzuweisen oder</w:t>
      </w:r>
    </w:p>
    <w:p>
      <w:pPr>
        <w:tabs>
          <w:tab w:pos="567" w:val="left"/>
        </w:tabs>
        <w:ind w:left="567" w:hanging="567"/>
      </w:pPr>
      <w:r>
        <w:t>3.</w:t>
      </w:r>
      <w:r>
        <w:tab/>
      </w:r>
      <w:r>
        <w:t>auf andere Weise beim Abschluss eines Vertrags nach Nummer 1 behilflich zu sein,</w:t>
      </w:r>
    </w:p>
    <w:p>
      <w:r>
        <w:t xml:space="preserve">gelten vorbehaltlich des Satzes 2 die folgenden Vorschriften dieses Untertitels. </w:t>
      </w:r>
      <w:r>
        <w:rPr>
          <w:rStyle w:val="Satznummer"/>
        </w:rPr>
        <w:t>2</w:t>
      </w:r>
      <w:r>
        <w:t xml:space="preserve">Bei entgeltlichen Finanzierungshilfen, die den Ausnahmen des </w:t>
      </w:r>
      <w:hyperlink w:anchor="b650" w:history="1">
        <w:r>
          <w:rPr>
            <w:color w:val="0A3A8C"/>
            <w:u w:val="single"/>
          </w:rPr>
          <w:t xml:space="preserve">§ 491</w:t>
        </w:r>
      </w:hyperlink>
      <w:r>
        <w:t xml:space="preserve"> Absatz 2 Satz 2 Nummer 1 bis 5 und Absatz 3 Satz 2 entsprechen, gelten die Vorschriften dieses Untertitels nicht.</w:t>
      </w:r>
    </w:p>
    <w:p>
      <w:r>
        <w:t xml:space="preserve">(2) </w:t>
      </w:r>
      <w:r>
        <w:rPr>
          <w:rStyle w:val="Satznummer"/>
        </w:rPr>
        <w:t>1</w:t>
      </w:r>
      <w:r>
        <w:t xml:space="preserve">Der Darlehensvermittler ist verpflichtet, den Verbraucher nach Maßgabe des Artikels 247 § 13 Absatz 2 und § 13b Absatz 1 des Einführungsgesetzes zum Bürgerlichen Gesetzbuche zu informieren. </w:t>
      </w:r>
      <w:r>
        <w:rPr>
          <w:rStyle w:val="Satznummer"/>
        </w:rPr>
        <w:t>2</w:t>
      </w:r>
      <w:r>
        <w:t xml:space="preserve">Der Darlehensvermittler ist gegenüber dem Verbraucher zusätzlich wie ein Darlehensgeber gemäß </w:t>
      </w:r>
      <w:hyperlink w:anchor="b651" w:history="1">
        <w:r>
          <w:rPr>
            <w:color w:val="0A3A8C"/>
            <w:u w:val="single"/>
          </w:rPr>
          <w:t xml:space="preserve">§ 491a</w:t>
        </w:r>
      </w:hyperlink>
      <w:r>
        <w:t xml:space="preserve"> verpflichtet. </w:t>
      </w:r>
      <w:r>
        <w:rPr>
          <w:rStyle w:val="Satznummer"/>
        </w:rPr>
        <w:t>3</w:t>
      </w:r>
      <w:r>
        <w:t>Satz 2 gilt nicht für Warenlieferanten oder Dienstleistungserbringer, die in lediglich untergeordneter Funktion als Darlehensvermittler von Allgemein-Verbraucherdarlehen oder von entsprechenden entgeltlichen Finanzierungshilfen tätig werden, etwa indem sie als Nebenleistung den Abschluss eines verbundenen Verbraucherdarlehensvertrags vermitteln.</w:t>
      </w:r>
    </w:p>
    <w:p>
      <w:r>
        <w:t xml:space="preserve">(3) </w:t>
      </w:r>
      <w:r>
        <w:rPr>
          <w:rStyle w:val="Satznummer"/>
        </w:rPr>
        <w:t>1</w:t>
      </w:r>
      <w:r>
        <w:t xml:space="preserve">Bietet der Darlehensvermittler im Zusammenhang mit der Vermittlung eines Immobiliar-Verbraucherdarlehensvertrags oder entsprechender entgeltlicher Finanzierungshilfen Beratungsleistungen gemäß </w:t>
      </w:r>
      <w:hyperlink w:anchor="b682" w:history="1">
        <w:r>
          <w:rPr>
            <w:color w:val="0A3A8C"/>
            <w:u w:val="single"/>
          </w:rPr>
          <w:t xml:space="preserve">§ 511</w:t>
        </w:r>
      </w:hyperlink>
      <w:r>
        <w:t xml:space="preserve"> Absatz 1 an, so gilt </w:t>
      </w:r>
      <w:hyperlink w:anchor="b682" w:history="1">
        <w:r>
          <w:rPr>
            <w:color w:val="0A3A8C"/>
            <w:u w:val="single"/>
          </w:rPr>
          <w:t xml:space="preserve">§ 511</w:t>
        </w:r>
      </w:hyperlink>
      <w:r>
        <w:t xml:space="preserve"> entsprechend. </w:t>
      </w:r>
      <w:r>
        <w:rPr>
          <w:rStyle w:val="Satznummer"/>
        </w:rPr>
        <w:t>2</w:t>
      </w:r>
      <w:hyperlink w:anchor="b682" w:history="1">
        <w:r>
          <w:rPr>
            <w:color w:val="0A3A8C"/>
            <w:u w:val="single"/>
          </w:rPr>
          <w:t xml:space="preserve">§ 511</w:t>
        </w:r>
      </w:hyperlink>
      <w:r>
        <w:t xml:space="preserve"> Absatz 2 Satz 2 gilt entsprechend mit der Maßgabe, dass der Darlehensvermittler eine ausreichende Zahl von am Markt verfügbaren Darlehensverträgen zu prüfen hat. </w:t>
      </w:r>
      <w:r>
        <w:rPr>
          <w:rStyle w:val="Satznummer"/>
        </w:rPr>
        <w:t>3</w:t>
      </w:r>
      <w:r>
        <w:t>Ist der Darlehensvermittler nur im Namen und unter der unbeschränkten und vorbehaltlosen Verantwortung nur eines Darlehensgebers oder einer begrenzten Zahl von Darlehensgebern tätig, die am Markt keine Mehrheit darstellt, so braucht der Darlehensvermittler abweichend von Satz 2 nur Darlehensverträge aus der Produktpalette dieser Darlehensgeber zu berücksichtigen.</w:t>
      </w:r>
    </w:p>
    <w:p>
      <w:pPr>
        <w:pStyle w:val="Heading5"/>
      </w:pPr>
      <w:bookmarkStart w:id="1029" w:name="b1015"/>
      <w:r>
        <w:t>§ 655b Schriftform bei einem Vertrag mit einem Verbraucher</w:t>
      </w:r>
      <w:r>
        <w:t xml:space="preserve"> </w:t>
      </w:r>
      <w:r>
        <w:rPr>
          <w:rStyle w:val="Suchmarke"/>
        </w:rPr>
        <w:t>#655b#</w:t>
      </w:r>
      <w:bookmarkEnd w:id="1029"/>
    </w:p>
    <w:p>
      <w:r>
        <w:t xml:space="preserve">(1) </w:t>
      </w:r>
      <w:r>
        <w:rPr>
          <w:rStyle w:val="Satznummer"/>
        </w:rPr>
        <w:t>1</w:t>
      </w:r>
      <w:r>
        <w:t xml:space="preserve">Der Darlehensvermittlungsvertrag mit einem Verbraucher bedarf der schriftlichen Form. </w:t>
      </w:r>
      <w:r>
        <w:rPr>
          <w:rStyle w:val="Satznummer"/>
        </w:rPr>
        <w:t>2</w:t>
      </w:r>
      <w:r>
        <w:t xml:space="preserve">Der Vertrag darf nicht mit dem Antrag auf Hingabe des Darlehens verbunden werden. </w:t>
      </w:r>
      <w:r>
        <w:rPr>
          <w:rStyle w:val="Satznummer"/>
        </w:rPr>
        <w:t>3</w:t>
      </w:r>
      <w:r>
        <w:t>Der Darlehensvermittler hat dem Verbraucher den Vertragsinhalt in Textform mitzuteilen.</w:t>
      </w:r>
    </w:p>
    <w:p>
      <w:r>
        <w:t>(2) Ein Darlehensvermittlungsvertrag mit einem Verbraucher, der den Anforderungen des Absatzes 1 Satz 1 und 2 nicht genügt oder vor dessen Abschluss die Pflichten aus Artikel 247 § 13 Abs. 2 sowie § 13b Absatz 1 und 3 des Einführungsgesetzes zum Bürgerlichen Gesetzbuche nicht erfüllt worden sind, ist nichtig.</w:t>
      </w:r>
    </w:p>
    <w:p>
      <w:pPr>
        <w:pStyle w:val="Heading5"/>
      </w:pPr>
      <w:bookmarkStart w:id="1030" w:name="b1016"/>
      <w:r>
        <w:t>§ 655c Vergütung</w:t>
      </w:r>
      <w:r>
        <w:t xml:space="preserve"> </w:t>
      </w:r>
      <w:r>
        <w:rPr>
          <w:rStyle w:val="Suchmarke"/>
        </w:rPr>
        <w:t>#655c#</w:t>
      </w:r>
      <w:bookmarkEnd w:id="1030"/>
    </w:p>
    <w:p>
      <w:r>
        <w:rPr>
          <w:rStyle w:val="Satznummer"/>
        </w:rPr>
        <w:t>1</w:t>
      </w:r>
      <w:r>
        <w:t xml:space="preserve">Der Verbraucher ist zur Zahlung der Vergütung für die Tätigkeiten nach </w:t>
      </w:r>
      <w:hyperlink w:anchor="b1014" w:history="1">
        <w:r>
          <w:rPr>
            <w:color w:val="0A3A8C"/>
            <w:u w:val="single"/>
          </w:rPr>
          <w:t xml:space="preserve">§ 655a</w:t>
        </w:r>
      </w:hyperlink>
      <w:r>
        <w:t xml:space="preserve"> Absatz 1 nur verpflichtet, wenn infolge der Vermittlung, des Nachweises oder auf Grund der sonstigen Tätigkeit des Darlehensvermittlers das Darlehen an den Verbraucher geleistet wird und ein Widerruf des Verbrauchers nach </w:t>
      </w:r>
      <w:hyperlink w:anchor="b461" w:history="1">
        <w:r>
          <w:rPr>
            <w:color w:val="0A3A8C"/>
            <w:u w:val="single"/>
          </w:rPr>
          <w:t xml:space="preserve">§ 355</w:t>
        </w:r>
      </w:hyperlink>
      <w:r>
        <w:t xml:space="preserve"> nicht mehr möglich ist. </w:t>
      </w:r>
      <w:r>
        <w:rPr>
          <w:rStyle w:val="Satznummer"/>
        </w:rPr>
        <w:t>2</w:t>
      </w:r>
      <w:r>
        <w:t>Soweit der Verbraucherdarlehensvertrag mit Wissen des Darlehensvermittlers der vorzeitigen Ablösung eines anderen Darlehens (Umschuldung) dient, entsteht ein Anspruch auf die Vergütung nur, wenn sich der effektive Jahreszins nicht erhöht; bei der Berechnung des effektiven Jahreszinses für das abzulösende Darlehen bleiben etwaige Vermittlungskosten außer Betracht.</w:t>
      </w:r>
    </w:p>
    <w:p>
      <w:pPr>
        <w:pStyle w:val="Heading5"/>
      </w:pPr>
      <w:bookmarkStart w:id="1031" w:name="b1017"/>
      <w:r>
        <w:t>§ 655d Nebenentgelte</w:t>
      </w:r>
      <w:r>
        <w:t xml:space="preserve"> </w:t>
      </w:r>
      <w:r>
        <w:rPr>
          <w:rStyle w:val="Suchmarke"/>
        </w:rPr>
        <w:t>#655d#</w:t>
      </w:r>
      <w:bookmarkEnd w:id="1031"/>
    </w:p>
    <w:p>
      <w:r>
        <w:rPr>
          <w:rStyle w:val="Satznummer"/>
        </w:rPr>
        <w:t>1</w:t>
      </w:r>
      <w:r>
        <w:t xml:space="preserve">Der Darlehensvermittler darf für Leistungen, die mit der Vermittlung des Verbraucherdarlehensvertrags oder dem Nachweis der Gelegenheit zum Abschluss eines Verbraucherdarlehensvertrags zusammenhängen, außer der Vergütung nach </w:t>
      </w:r>
      <w:hyperlink w:anchor="b1016" w:history="1">
        <w:r>
          <w:rPr>
            <w:color w:val="0A3A8C"/>
            <w:u w:val="single"/>
          </w:rPr>
          <w:t xml:space="preserve">§ 655c</w:t>
        </w:r>
      </w:hyperlink>
      <w:r>
        <w:t xml:space="preserve"> Satz 1 sowie eines gegebenenfalls vereinbarten Entgelts für Beratungsleistungen ein Entgelt nicht vereinbaren. </w:t>
      </w:r>
      <w:r>
        <w:rPr>
          <w:rStyle w:val="Satznummer"/>
        </w:rPr>
        <w:t>2</w:t>
      </w:r>
      <w:r>
        <w:t xml:space="preserve">Jedoch kann vereinbart werden, dass dem Darlehensvermittler entstandene, erforderliche Auslagen zu erstatten sind. </w:t>
      </w:r>
      <w:r>
        <w:rPr>
          <w:rStyle w:val="Satznummer"/>
        </w:rPr>
        <w:t>3</w:t>
      </w:r>
      <w:r>
        <w:t>Dieser Anspruch darf die Höhe oder die Höchstbeträge, die der Darlehensvermittler dem Verbraucher gemäß Artikel 247 § 13 Absatz 2 Satz 1 Nummer 4 des Einführungsgesetzes zum Bürgerlichen Gesetzbuche mitgeteilt hat, nicht übersteigen.</w:t>
      </w:r>
    </w:p>
    <w:p>
      <w:pPr>
        <w:pStyle w:val="Heading5"/>
      </w:pPr>
      <w:bookmarkStart w:id="1032" w:name="b1018"/>
      <w:r>
        <w:t>§ 655e Abweichende Vereinbarungen, Anwendung auf Existenzgründer</w:t>
      </w:r>
      <w:r>
        <w:t xml:space="preserve"> </w:t>
      </w:r>
      <w:r>
        <w:rPr>
          <w:rStyle w:val="Suchmarke"/>
        </w:rPr>
        <w:t>#655e#</w:t>
      </w:r>
      <w:bookmarkEnd w:id="1032"/>
    </w:p>
    <w:p>
      <w:r>
        <w:t xml:space="preserve">(1) </w:t>
      </w:r>
      <w:r>
        <w:rPr>
          <w:rStyle w:val="Satznummer"/>
        </w:rPr>
        <w:t>1</w:t>
      </w:r>
      <w:r>
        <w:t xml:space="preserve">Von den Vorschriften dieses Untertitels darf nicht zum Nachteil des Verbrauchers abgewichen werden. </w:t>
      </w:r>
      <w:r>
        <w:rPr>
          <w:rStyle w:val="Satznummer"/>
        </w:rPr>
        <w:t>2</w:t>
      </w:r>
      <w:r>
        <w:t>Die Vorschriften dieses Untertitels finden auch Anwendung, wenn sie durch anderweitige Gestaltungen umgangen werden.</w:t>
      </w:r>
    </w:p>
    <w:p>
      <w:r>
        <w:t xml:space="preserve">(2) Existenzgründer im Sinne des </w:t>
      </w:r>
      <w:hyperlink w:anchor="b685" w:history="1">
        <w:r>
          <w:rPr>
            <w:color w:val="0A3A8C"/>
            <w:u w:val="single"/>
          </w:rPr>
          <w:t xml:space="preserve">§ 513</w:t>
        </w:r>
      </w:hyperlink>
      <w:r>
        <w:t xml:space="preserve"> stehen Verbrauchern in diesem Untertitel gleich.</w:t>
      </w:r>
    </w:p>
    <w:p>
      <w:pPr>
        <w:pStyle w:val="Heading4"/>
      </w:pPr>
      <w:bookmarkStart w:id="1033" w:name="b1019"/>
      <w:r>
        <w:t>Untertitel 3 Ehevermittlung</w:t>
      </w:r>
      <w:bookmarkEnd w:id="1033"/>
    </w:p>
    <w:p>
      <w:pPr>
        <w:pStyle w:val="Heading5"/>
      </w:pPr>
      <w:bookmarkStart w:id="1034" w:name="b1020"/>
      <w:r>
        <w:t>§ 656 Heiratsvermittlung</w:t>
      </w:r>
      <w:r>
        <w:t xml:space="preserve"> </w:t>
      </w:r>
      <w:r>
        <w:rPr>
          <w:rStyle w:val="Suchmarke"/>
        </w:rPr>
        <w:t>#656#</w:t>
      </w:r>
      <w:bookmarkEnd w:id="1034"/>
    </w:p>
    <w:p>
      <w:r>
        <w:t xml:space="preserve">(1) </w:t>
      </w:r>
      <w:r>
        <w:rPr>
          <w:rStyle w:val="Satznummer"/>
        </w:rPr>
        <w:t>1</w:t>
      </w:r>
      <w:r>
        <w:t xml:space="preserve">Durch das Versprechen eines Lohnes für den Nachweis der Gelegenheit zur Eingehung einer Ehe oder für die Vermittlung des Zustandekommens einer Ehe wird eine Verbindlichkeit nicht begründet. </w:t>
      </w:r>
      <w:r>
        <w:rPr>
          <w:rStyle w:val="Satznummer"/>
        </w:rPr>
        <w:t>2</w:t>
      </w:r>
      <w:r>
        <w:t>Das auf Grund des Versprechens Geleistete kann nicht deshalb zurückgefordert werden, weil eine Verbindlichkeit nicht bestanden hat.</w:t>
      </w:r>
    </w:p>
    <w:p>
      <w:r>
        <w:t>(2) Diese Vorschriften gelten auch für eine Vereinbarung, durch die der andere Teil zum Zwecke der Erfüllung des Versprechens dem Makler gegenüber eine Verbindlichkeit eingeht, insbesondere für ein Schuldanerkenntnis.</w:t>
      </w:r>
    </w:p>
    <w:p>
      <w:pPr>
        <w:pStyle w:val="Heading4"/>
      </w:pPr>
      <w:bookmarkStart w:id="1035" w:name="b1021"/>
      <w:r>
        <w:t>Untertitel 4 Vermittlung von Kaufverträgen über Wohnungen und Einfamilienhäuser</w:t>
      </w:r>
      <w:bookmarkEnd w:id="1035"/>
    </w:p>
    <w:p>
      <w:pPr>
        <w:pStyle w:val="Heading5"/>
      </w:pPr>
      <w:bookmarkStart w:id="1036" w:name="b1022"/>
      <w:r>
        <w:t>§ 656a Textform</w:t>
      </w:r>
      <w:r>
        <w:t xml:space="preserve"> </w:t>
      </w:r>
      <w:r>
        <w:rPr>
          <w:rStyle w:val="Suchmarke"/>
        </w:rPr>
        <w:t>#656a#</w:t>
      </w:r>
      <w:bookmarkEnd w:id="1036"/>
    </w:p>
    <w:p>
      <w:r>
        <w:t>Ein Maklervertrag, der den Nachweis der Gelegenheit zum Abschluss eines Kaufvertrags über eine Wohnung oder ein Einfamilienhaus oder die Vermittlung eines solchen Vertrags zum Gegenstand hat, bedarf der Textform.</w:t>
      </w:r>
    </w:p>
    <w:p>
      <w:pPr>
        <w:pStyle w:val="Heading5"/>
      </w:pPr>
      <w:bookmarkStart w:id="1037" w:name="b1023"/>
      <w:r>
        <w:t>§ 656b Persönlicher Anwendungsbereich der §§ 656c und 656d</w:t>
      </w:r>
      <w:r>
        <w:t xml:space="preserve"> </w:t>
      </w:r>
      <w:r>
        <w:rPr>
          <w:rStyle w:val="Suchmarke"/>
        </w:rPr>
        <w:t>#656b#</w:t>
      </w:r>
      <w:bookmarkEnd w:id="1037"/>
    </w:p>
    <w:p>
      <w:r>
        <w:t xml:space="preserve">Die </w:t>
      </w:r>
      <w:hyperlink w:anchor="b1024" w:history="1">
        <w:r>
          <w:rPr>
            <w:color w:val="0A3A8C"/>
            <w:u w:val="single"/>
          </w:rPr>
          <w:t xml:space="preserve">§§ 656c</w:t>
        </w:r>
      </w:hyperlink>
      <w:r>
        <w:t xml:space="preserve"> und </w:t>
      </w:r>
      <w:hyperlink w:anchor="b1025" w:history="1">
        <w:r>
          <w:rPr>
            <w:color w:val="0A3A8C"/>
            <w:u w:val="single"/>
          </w:rPr>
          <w:t xml:space="preserve">656d</w:t>
        </w:r>
      </w:hyperlink>
      <w:r>
        <w:t xml:space="preserve"> gelten nur, wenn der Käufer ein Verbraucher ist.</w:t>
      </w:r>
    </w:p>
    <w:p>
      <w:pPr>
        <w:pStyle w:val="Heading5"/>
      </w:pPr>
      <w:bookmarkStart w:id="1038" w:name="b1024"/>
      <w:r>
        <w:t>§ 656c Lohnanspruch bei Tätigkeit für beide Parteien</w:t>
      </w:r>
      <w:r>
        <w:t xml:space="preserve"> </w:t>
      </w:r>
      <w:r>
        <w:rPr>
          <w:rStyle w:val="Suchmarke"/>
        </w:rPr>
        <w:t>#656c#</w:t>
      </w:r>
      <w:bookmarkEnd w:id="1038"/>
    </w:p>
    <w:p>
      <w:r>
        <w:t xml:space="preserve">(1) </w:t>
      </w:r>
      <w:r>
        <w:rPr>
          <w:rStyle w:val="Satznummer"/>
        </w:rPr>
        <w:t>1</w:t>
      </w:r>
      <w:r>
        <w:t xml:space="preserve">Lässt sich der Makler von beiden Parteien des Kaufvertrags über eine Wohnung oder ein Einfamilienhaus einen Maklerlohn versprechen, so kann dies nur in der Weise erfolgen, dass sich die Parteien in gleicher Höhe verpflichten. </w:t>
      </w:r>
      <w:r>
        <w:rPr>
          <w:rStyle w:val="Satznummer"/>
        </w:rPr>
        <w:t>2</w:t>
      </w:r>
      <w:r>
        <w:t xml:space="preserve">Vereinbart der Makler mit einer Partei des Kaufvertrags, dass er für diese unentgeltlich tätig wird, kann er sich auch von der anderen Partei keinen Maklerlohn versprechen lassen. </w:t>
      </w:r>
      <w:r>
        <w:rPr>
          <w:rStyle w:val="Satznummer"/>
        </w:rPr>
        <w:t>3</w:t>
      </w:r>
      <w:r>
        <w:t xml:space="preserve">Ein Erlass wirkt auch zugunsten des jeweils anderen Vertragspartners des Maklers. </w:t>
      </w:r>
      <w:r>
        <w:rPr>
          <w:rStyle w:val="Satznummer"/>
        </w:rPr>
        <w:t>4</w:t>
      </w:r>
      <w:r>
        <w:t>Von Satz 3 kann durch Vertrag nicht abgewichen werden.</w:t>
      </w:r>
    </w:p>
    <w:p>
      <w:r>
        <w:t xml:space="preserve">(2) </w:t>
      </w:r>
      <w:r>
        <w:rPr>
          <w:rStyle w:val="Satznummer"/>
        </w:rPr>
        <w:t>1</w:t>
      </w:r>
      <w:r>
        <w:t xml:space="preserve">Ein Maklervertrag, der von Absatz 1 Satz 1 und 2 abweicht, ist unwirksam. </w:t>
      </w:r>
      <w:r>
        <w:rPr>
          <w:rStyle w:val="Satznummer"/>
        </w:rPr>
        <w:t>2</w:t>
      </w:r>
      <w:hyperlink w:anchor="b1011" w:history="1">
        <w:r>
          <w:rPr>
            <w:color w:val="0A3A8C"/>
            <w:u w:val="single"/>
          </w:rPr>
          <w:t xml:space="preserve">§ 654</w:t>
        </w:r>
      </w:hyperlink>
      <w:r>
        <w:t xml:space="preserve"> bleibt unberührt.</w:t>
      </w:r>
    </w:p>
    <w:p>
      <w:pPr>
        <w:pStyle w:val="Heading5"/>
      </w:pPr>
      <w:bookmarkStart w:id="1039" w:name="b1025"/>
      <w:r>
        <w:t>§ 656d Vereinbarungen über die Maklerkosten</w:t>
      </w:r>
      <w:r>
        <w:t xml:space="preserve"> </w:t>
      </w:r>
      <w:r>
        <w:rPr>
          <w:rStyle w:val="Suchmarke"/>
        </w:rPr>
        <w:t>#656d#</w:t>
      </w:r>
      <w:bookmarkEnd w:id="1039"/>
    </w:p>
    <w:p>
      <w:r>
        <w:t xml:space="preserve">(1) </w:t>
      </w:r>
      <w:r>
        <w:rPr>
          <w:rStyle w:val="Satznummer"/>
        </w:rPr>
        <w:t>1</w:t>
      </w:r>
      <w:r>
        <w:t xml:space="preserve">Hat nur eine Partei des Kaufvertrags über eine Wohnung oder ein Einfamilienhaus einen Maklervertrag abgeschlossen, ist eine Vereinbarung, die die andere Partei zur Zahlung oder Erstattung von Maklerlohn verpflichtet, nur wirksam, wenn die Partei, die den Maklervertrag abgeschlossen hat, zur Zahlung des Maklerlohns mindestens in gleicher Höhe verpflichtet bleibt. </w:t>
      </w:r>
      <w:r>
        <w:rPr>
          <w:rStyle w:val="Satznummer"/>
        </w:rPr>
        <w:t>2</w:t>
      </w:r>
      <w:r>
        <w:t>Der Anspruch gegen die andere Partei wird erst fällig, wenn die Partei, die den Maklervertrag abgeschlossen hat, ihrer Verpflichtung zur Zahlung des Maklerlohns nachgekommen ist und sie oder der Makler einen Nachweis hierüber erbringt.</w:t>
      </w:r>
    </w:p>
    <w:p>
      <w:r>
        <w:t xml:space="preserve">(2) </w:t>
      </w:r>
      <w:hyperlink w:anchor="b1024" w:history="1">
        <w:r>
          <w:rPr>
            <w:color w:val="0A3A8C"/>
            <w:u w:val="single"/>
          </w:rPr>
          <w:t xml:space="preserve">§ 656c</w:t>
        </w:r>
      </w:hyperlink>
      <w:r>
        <w:t xml:space="preserve"> Absatz 1 Satz 3 und 4 gilt entsprechend.</w:t>
      </w:r>
    </w:p>
    <w:p>
      <w:pPr>
        <w:pStyle w:val="Heading3"/>
      </w:pPr>
      <w:bookmarkStart w:id="1040" w:name="b1026"/>
      <w:r>
        <w:t>Titel 11 Auslobung</w:t>
      </w:r>
      <w:bookmarkEnd w:id="1040"/>
    </w:p>
    <w:p>
      <w:pPr>
        <w:pStyle w:val="Heading4"/>
      </w:pPr>
      <w:bookmarkStart w:id="1041" w:name="b1027"/>
      <w:r>
        <w:t>§ 657 Bindendes Versprechen</w:t>
      </w:r>
      <w:r>
        <w:t xml:space="preserve"> </w:t>
      </w:r>
      <w:r>
        <w:rPr>
          <w:rStyle w:val="Suchmarke"/>
        </w:rPr>
        <w:t>#657#</w:t>
      </w:r>
      <w:bookmarkEnd w:id="1041"/>
    </w:p>
    <w:p>
      <w:r>
        <w:t>Wer durch öffentliche Bekanntmachung eine Belohnung für die Vornahme einer Handlung, insbesondere für die Herbeiführung eines Erfolges, aussetzt, ist verpflichtet, die Belohnung demjenigen zu entrichten, welcher die Handlung vorgenommen hat, auch wenn dieser nicht mit Rücksicht auf die Auslobung gehandelt hat.</w:t>
      </w:r>
    </w:p>
    <w:p>
      <w:pPr>
        <w:pStyle w:val="Heading4"/>
      </w:pPr>
      <w:bookmarkStart w:id="1042" w:name="b1028"/>
      <w:r>
        <w:t>§ 658 Widerruf</w:t>
      </w:r>
      <w:r>
        <w:t xml:space="preserve"> </w:t>
      </w:r>
      <w:r>
        <w:rPr>
          <w:rStyle w:val="Suchmarke"/>
        </w:rPr>
        <w:t>#658#</w:t>
      </w:r>
      <w:bookmarkEnd w:id="1042"/>
    </w:p>
    <w:p>
      <w:r>
        <w:t xml:space="preserve">(1) </w:t>
      </w:r>
      <w:r>
        <w:rPr>
          <w:rStyle w:val="Satznummer"/>
        </w:rPr>
        <w:t>1</w:t>
      </w:r>
      <w:r>
        <w:t xml:space="preserve">Die Auslobung kann bis zur Vornahme der Handlung widerrufen werden. </w:t>
      </w:r>
      <w:r>
        <w:rPr>
          <w:rStyle w:val="Satznummer"/>
        </w:rPr>
        <w:t>2</w:t>
      </w:r>
      <w:r>
        <w:t>Der Widerruf ist nur wirksam, wenn er in derselben Weise wie die Auslobung bekannt gemacht wird oder wenn er durch besondere Mitteilung erfolgt.</w:t>
      </w:r>
    </w:p>
    <w:p>
      <w:r>
        <w:t>(2) Auf die Widerruflichkeit kann in der Auslobung verzichtet werden; ein Verzicht liegt im Zweifel in der Bestimmung einer Frist für die Vornahme der Handlung.</w:t>
      </w:r>
    </w:p>
    <w:p>
      <w:pPr>
        <w:pStyle w:val="Heading4"/>
      </w:pPr>
      <w:bookmarkStart w:id="1043" w:name="b1029"/>
      <w:r>
        <w:t>§ 659 Mehrfache Vornahme</w:t>
      </w:r>
      <w:r>
        <w:t xml:space="preserve"> </w:t>
      </w:r>
      <w:r>
        <w:rPr>
          <w:rStyle w:val="Suchmarke"/>
        </w:rPr>
        <w:t>#659#</w:t>
      </w:r>
      <w:bookmarkEnd w:id="1043"/>
    </w:p>
    <w:p>
      <w:r>
        <w:t>(1) Ist die Handlung, für welche die Belohnung ausgesetzt ist, mehrmals vorgenommen worden, so gebührt die Belohnung demjenigen, welcher die Handlung zuerst vorgenommen hat.</w:t>
      </w:r>
    </w:p>
    <w:p>
      <w:r>
        <w:t xml:space="preserve">(2) </w:t>
      </w:r>
      <w:r>
        <w:rPr>
          <w:rStyle w:val="Satznummer"/>
        </w:rPr>
        <w:t>1</w:t>
      </w:r>
      <w:r>
        <w:t xml:space="preserve">Ist die Handlung von mehreren gleichzeitig vorgenommen worden, so gebührt jedem ein gleicher Teil der Belohnung. </w:t>
      </w:r>
      <w:r>
        <w:rPr>
          <w:rStyle w:val="Satznummer"/>
        </w:rPr>
        <w:t>2</w:t>
      </w:r>
      <w:r>
        <w:t>Lässt sich die Belohnung wegen ihrer Beschaffenheit nicht teilen oder soll nach dem Inhalt der Auslobung nur einer die Belohnung erhalten, so entscheidet das Los.</w:t>
      </w:r>
    </w:p>
    <w:p>
      <w:pPr>
        <w:pStyle w:val="Heading4"/>
      </w:pPr>
      <w:bookmarkStart w:id="1044" w:name="b1030"/>
      <w:r>
        <w:t>§ 660 Mitwirkung mehrerer</w:t>
      </w:r>
      <w:r>
        <w:t xml:space="preserve"> </w:t>
      </w:r>
      <w:r>
        <w:rPr>
          <w:rStyle w:val="Suchmarke"/>
        </w:rPr>
        <w:t>#660#</w:t>
      </w:r>
      <w:bookmarkEnd w:id="1044"/>
    </w:p>
    <w:p>
      <w:r>
        <w:t xml:space="preserve">(1) </w:t>
      </w:r>
      <w:r>
        <w:rPr>
          <w:rStyle w:val="Satznummer"/>
        </w:rPr>
        <w:t>1</w:t>
      </w:r>
      <w:r>
        <w:t xml:space="preserve">Haben mehrere zu dem Erfolg mitgewirkt, für den die Belohnung ausgesetzt ist, so hat der Auslobende die Belohnung unter Berücksichtigung des Anteils eines jeden an dem Erfolg nach billigem Ermessen unter sie zu verteilen. </w:t>
      </w:r>
      <w:r>
        <w:rPr>
          <w:rStyle w:val="Satznummer"/>
        </w:rPr>
        <w:t>2</w:t>
      </w:r>
      <w:r>
        <w:t>Die Verteilung ist nicht verbindlich, wenn sie offenbar unbillig ist; sie erfolgt in einem solchen Fall durch Urteil.</w:t>
      </w:r>
    </w:p>
    <w:p>
      <w:r>
        <w:t>(2) Wird die Verteilung des Auslobenden von einem der Beteiligten nicht als verbindlich anerkannt, so ist der Auslobende berechtigt, die Erfüllung zu verweigern, bis die Beteiligten den Streit über ihre Berechtigung unter sich ausgetragen haben; jeder von ihnen kann verlangen, dass die Belohnung für alle hinterlegt wird.</w:t>
      </w:r>
    </w:p>
    <w:p>
      <w:r>
        <w:t xml:space="preserve">(3) Die Vorschrift des </w:t>
      </w:r>
      <w:hyperlink w:anchor="b1029" w:history="1">
        <w:r>
          <w:rPr>
            <w:color w:val="0A3A8C"/>
            <w:u w:val="single"/>
          </w:rPr>
          <w:t xml:space="preserve">§ 659</w:t>
        </w:r>
      </w:hyperlink>
      <w:r>
        <w:t xml:space="preserve"> Abs. 2 Satz 2 findet Anwendung.</w:t>
      </w:r>
    </w:p>
    <w:p>
      <w:pPr>
        <w:pStyle w:val="Heading4"/>
      </w:pPr>
      <w:bookmarkStart w:id="1045" w:name="b1031"/>
      <w:r>
        <w:t>§ 661 Preisausschreiben</w:t>
      </w:r>
      <w:r>
        <w:t xml:space="preserve"> </w:t>
      </w:r>
      <w:r>
        <w:rPr>
          <w:rStyle w:val="Suchmarke"/>
        </w:rPr>
        <w:t>#661#</w:t>
      </w:r>
      <w:bookmarkEnd w:id="1045"/>
    </w:p>
    <w:p>
      <w:r>
        <w:t>(1) Eine Auslobung, die eine Preisbewerbung zum Gegenstand hat, ist nur gültig, wenn in der Bekanntmachung eine Frist für die Bewerbung bestimmt wird.</w:t>
      </w:r>
    </w:p>
    <w:p>
      <w:r>
        <w:t xml:space="preserve">(2) </w:t>
      </w:r>
      <w:r>
        <w:rPr>
          <w:rStyle w:val="Satznummer"/>
        </w:rPr>
        <w:t>1</w:t>
      </w:r>
      <w:r>
        <w:t xml:space="preserve">Die Entscheidung darüber, ob eine innerhalb der Frist erfolgte Bewerbung der Auslobung entspricht oder welche von mehreren Bewerbungen den Vorzug verdient, ist durch die in der Auslobung bezeichnete Person, in Ermangelung einer solchen durch den Auslobenden zu treffen. </w:t>
      </w:r>
      <w:r>
        <w:rPr>
          <w:rStyle w:val="Satznummer"/>
        </w:rPr>
        <w:t>2</w:t>
      </w:r>
      <w:r>
        <w:t>Die Entscheidung ist für die Beteiligten verbindlich.</w:t>
      </w:r>
    </w:p>
    <w:p>
      <w:r>
        <w:t>(3) Bei Bewerbungen von gleicher Würdigkeit findet auf die Zuerteilung des Preises die Vorschrift des § 659 Abs. 2 Anwendung.</w:t>
      </w:r>
    </w:p>
    <w:p>
      <w:r>
        <w:t>(4) Die Übertragung des Eigentums an dem Werk kann der Auslobende nur verlangen, wenn er in der Auslobung bestimmt hat, dass die Übertragung erfolgen soll.</w:t>
      </w:r>
    </w:p>
    <w:p>
      <w:pPr>
        <w:pStyle w:val="Heading4"/>
      </w:pPr>
      <w:bookmarkStart w:id="1046" w:name="b1032"/>
      <w:r>
        <w:t>§ 661a Gewinnzusagen</w:t>
      </w:r>
      <w:r>
        <w:t xml:space="preserve"> </w:t>
      </w:r>
      <w:r>
        <w:rPr>
          <w:rStyle w:val="Suchmarke"/>
        </w:rPr>
        <w:t>#661a#</w:t>
      </w:r>
      <w:bookmarkEnd w:id="1046"/>
    </w:p>
    <w:p>
      <w:r>
        <w:t>Ein Unternehmer, der Gewinnzusagen oder vergleichbare Mitteilungen an Verbraucher sendet und durch die Gestaltung dieser Zusendungen den Eindruck erweckt, dass der Verbraucher einen Preis gewonnen hat, hat dem Verbraucher diesen Preis zu leisten.</w:t>
      </w:r>
    </w:p>
    <w:p>
      <w:pPr>
        <w:pStyle w:val="Heading3"/>
      </w:pPr>
      <w:bookmarkStart w:id="1047" w:name="b1033"/>
      <w:r>
        <w:t>Titel 12 Auftrag, Geschäftsbesorgungsvertrag und Zahlungsdienste</w:t>
      </w:r>
      <w:bookmarkEnd w:id="1047"/>
    </w:p>
    <w:p>
      <w:pPr>
        <w:pStyle w:val="Heading4"/>
      </w:pPr>
      <w:bookmarkStart w:id="1048" w:name="b1034"/>
      <w:r>
        <w:t>Untertitel 1 Auftrag</w:t>
      </w:r>
      <w:bookmarkEnd w:id="1048"/>
    </w:p>
    <w:p>
      <w:pPr>
        <w:pStyle w:val="Heading5"/>
      </w:pPr>
      <w:bookmarkStart w:id="1049" w:name="b1035"/>
      <w:r>
        <w:t>§ 662 Vertragstypische Pflichten beim Auftrag</w:t>
      </w:r>
      <w:r>
        <w:t xml:space="preserve"> </w:t>
      </w:r>
      <w:r>
        <w:rPr>
          <w:rStyle w:val="Suchmarke"/>
        </w:rPr>
        <w:t>#662#</w:t>
      </w:r>
      <w:bookmarkEnd w:id="1049"/>
    </w:p>
    <w:p>
      <w:r>
        <w:t>Durch die Annahme eines Auftrags verpflichtet sich der Beauftragte, ein ihm von dem Auftraggeber übertragenes Geschäft für diesen unentgeltlich zu besorgen.</w:t>
      </w:r>
    </w:p>
    <w:p>
      <w:pPr>
        <w:pStyle w:val="Heading5"/>
      </w:pPr>
      <w:bookmarkStart w:id="1050" w:name="b1036"/>
      <w:r>
        <w:t>§ 663 Anzeigepflicht bei Ablehnung</w:t>
      </w:r>
      <w:r>
        <w:t xml:space="preserve"> </w:t>
      </w:r>
      <w:r>
        <w:rPr>
          <w:rStyle w:val="Suchmarke"/>
        </w:rPr>
        <w:t>#663#</w:t>
      </w:r>
      <w:bookmarkEnd w:id="1050"/>
    </w:p>
    <w:p>
      <w:r>
        <w:rPr>
          <w:rStyle w:val="Satznummer"/>
        </w:rPr>
        <w:t>1</w:t>
      </w:r>
      <w:r>
        <w:t xml:space="preserve">Wer zur Besorgung gewisser Geschäfte öffentlich bestellt ist oder sich öffentlich erboten hat, ist, wenn er einen auf solche Geschäfte gerichteten Auftrag nicht annimmt, verpflichtet, die Ablehnung dem Auftraggeber unverzüglich anzuzeigen. </w:t>
      </w:r>
      <w:r>
        <w:rPr>
          <w:rStyle w:val="Satznummer"/>
        </w:rPr>
        <w:t>2</w:t>
      </w:r>
      <w:r>
        <w:t>Das Gleiche gilt, wenn sich jemand dem Auftraggeber gegenüber zur Besorgung gewisser Geschäfte erboten hat.</w:t>
      </w:r>
    </w:p>
    <w:p>
      <w:pPr>
        <w:pStyle w:val="Heading5"/>
      </w:pPr>
      <w:bookmarkStart w:id="1051" w:name="b1037"/>
      <w:r>
        <w:t>§ 664 Unübertragbarkeit; Haftung für Gehilfen</w:t>
      </w:r>
      <w:r>
        <w:t xml:space="preserve"> </w:t>
      </w:r>
      <w:r>
        <w:rPr>
          <w:rStyle w:val="Suchmarke"/>
        </w:rPr>
        <w:t>#664#</w:t>
      </w:r>
      <w:bookmarkEnd w:id="1051"/>
    </w:p>
    <w:p>
      <w:r>
        <w:t xml:space="preserve">(1) </w:t>
      </w:r>
      <w:r>
        <w:rPr>
          <w:rStyle w:val="Satznummer"/>
        </w:rPr>
        <w:t>1</w:t>
      </w:r>
      <w:r>
        <w:t xml:space="preserve">Der Beauftragte darf im Zweifel die Ausführung des Auftrags nicht einem Dritten übertragen. </w:t>
      </w:r>
      <w:r>
        <w:rPr>
          <w:rStyle w:val="Satznummer"/>
        </w:rPr>
        <w:t>2</w:t>
      </w:r>
      <w:r>
        <w:t xml:space="preserve">Ist die Übertragung gestattet, so hat er nur ein ihm bei der Übertragung zur Last fallendes Verschulden zu vertreten. </w:t>
      </w:r>
      <w:r>
        <w:rPr>
          <w:rStyle w:val="Satznummer"/>
        </w:rPr>
        <w:t>3</w:t>
      </w:r>
      <w:r>
        <w:t xml:space="preserve">Für das Verschulden eines Gehilfen ist er nach </w:t>
      </w:r>
      <w:hyperlink w:anchor="b322" w:history="1">
        <w:r>
          <w:rPr>
            <w:color w:val="0A3A8C"/>
            <w:u w:val="single"/>
          </w:rPr>
          <w:t xml:space="preserve">§ 278</w:t>
        </w:r>
      </w:hyperlink>
      <w:r>
        <w:t xml:space="preserve"> verantwortlich.</w:t>
      </w:r>
    </w:p>
    <w:p>
      <w:r>
        <w:t>(2) Der Anspruch auf Ausführung des Auftrags ist im Zweifel nicht übertragbar.</w:t>
      </w:r>
    </w:p>
    <w:p>
      <w:pPr>
        <w:pStyle w:val="Heading5"/>
      </w:pPr>
      <w:bookmarkStart w:id="1052" w:name="b1038"/>
      <w:r>
        <w:t>§ 665 Abweichung von Weisungen</w:t>
      </w:r>
      <w:r>
        <w:t xml:space="preserve"> </w:t>
      </w:r>
      <w:r>
        <w:rPr>
          <w:rStyle w:val="Suchmarke"/>
        </w:rPr>
        <w:t>#665#</w:t>
      </w:r>
      <w:bookmarkEnd w:id="1052"/>
    </w:p>
    <w:p>
      <w:r>
        <w:rPr>
          <w:rStyle w:val="Satznummer"/>
        </w:rPr>
        <w:t>1</w:t>
      </w:r>
      <w:r>
        <w:t xml:space="preserve">Der Beauftragte ist berechtigt, von den Weisungen des Auftraggebers abzuweichen, wenn er den Umständen nach annehmen darf, dass der Auftraggeber bei Kenntnis der Sachlage die Abweichung billigen würde. </w:t>
      </w:r>
      <w:r>
        <w:rPr>
          <w:rStyle w:val="Satznummer"/>
        </w:rPr>
        <w:t>2</w:t>
      </w:r>
      <w:r>
        <w:t>Der Beauftragte hat vor der Abweichung dem Auftraggeber Anzeige zu machen und dessen Entschließung abzuwarten, wenn nicht mit dem Aufschub Gefahr verbunden ist.</w:t>
      </w:r>
    </w:p>
    <w:p>
      <w:pPr>
        <w:pStyle w:val="Heading5"/>
      </w:pPr>
      <w:bookmarkStart w:id="1053" w:name="b1039"/>
      <w:r>
        <w:t>§ 666 Auskunfts- und Rechenschaftspflicht</w:t>
      </w:r>
      <w:r>
        <w:t xml:space="preserve"> </w:t>
      </w:r>
      <w:r>
        <w:rPr>
          <w:rStyle w:val="Suchmarke"/>
        </w:rPr>
        <w:t>#666#</w:t>
      </w:r>
      <w:bookmarkEnd w:id="1053"/>
    </w:p>
    <w:p>
      <w:r>
        <w:t>Der Beauftragte ist verpflichtet, dem Auftraggeber die erforderlichen Nachrichten zu geben, auf Verlangen über den Stand des Geschäfts Auskunft zu erteilen und nach der Ausführung des Auftrags Rechenschaft abzulegen.</w:t>
      </w:r>
    </w:p>
    <w:p>
      <w:pPr>
        <w:pStyle w:val="Heading5"/>
      </w:pPr>
      <w:bookmarkStart w:id="1054" w:name="b1040"/>
      <w:r>
        <w:t>§ 667 Herausgabepflicht</w:t>
      </w:r>
      <w:r>
        <w:t xml:space="preserve"> </w:t>
      </w:r>
      <w:r>
        <w:rPr>
          <w:rStyle w:val="Suchmarke"/>
        </w:rPr>
        <w:t>#667#</w:t>
      </w:r>
      <w:bookmarkEnd w:id="1054"/>
    </w:p>
    <w:p>
      <w:r>
        <w:t>Der Beauftragte ist verpflichtet, dem Auftraggeber alles, was er zur Ausführung des Auftrags erhält und was er aus der Geschäftsbesorgung erlangt, herauszugeben.</w:t>
      </w:r>
    </w:p>
    <w:p>
      <w:pPr>
        <w:pStyle w:val="Heading5"/>
      </w:pPr>
      <w:bookmarkStart w:id="1055" w:name="b1041"/>
      <w:r>
        <w:t>§ 668 Verzinsung des verwendeten Geldes</w:t>
      </w:r>
      <w:r>
        <w:t xml:space="preserve"> </w:t>
      </w:r>
      <w:r>
        <w:rPr>
          <w:rStyle w:val="Suchmarke"/>
        </w:rPr>
        <w:t>#668#</w:t>
      </w:r>
      <w:bookmarkEnd w:id="1055"/>
    </w:p>
    <w:p>
      <w:r>
        <w:t>Verwendet der Beauftragte Geld für sich, das er dem Auftraggeber herauszugeben oder für ihn zu verwenden hat, so ist er verpflichtet, es von der Zeit der Verwendung an zu verzinsen.</w:t>
      </w:r>
    </w:p>
    <w:p>
      <w:pPr>
        <w:pStyle w:val="Heading5"/>
      </w:pPr>
      <w:bookmarkStart w:id="1056" w:name="b1042"/>
      <w:r>
        <w:t>§ 669 Vorschusspflicht</w:t>
      </w:r>
      <w:r>
        <w:t xml:space="preserve"> </w:t>
      </w:r>
      <w:r>
        <w:rPr>
          <w:rStyle w:val="Suchmarke"/>
        </w:rPr>
        <w:t>#669#</w:t>
      </w:r>
      <w:bookmarkEnd w:id="1056"/>
    </w:p>
    <w:p>
      <w:r>
        <w:t>Für die zur Ausführung des Auftrags erforderlichen Aufwendungen hat der Auftraggeber dem Beauftragten auf Verlangen Vorschuss zu leisten.</w:t>
      </w:r>
    </w:p>
    <w:p>
      <w:pPr>
        <w:pStyle w:val="Heading5"/>
      </w:pPr>
      <w:bookmarkStart w:id="1057" w:name="b1043"/>
      <w:r>
        <w:t>§ 670 Ersatz von Aufwendungen</w:t>
      </w:r>
      <w:r>
        <w:t xml:space="preserve"> </w:t>
      </w:r>
      <w:r>
        <w:rPr>
          <w:rStyle w:val="Suchmarke"/>
        </w:rPr>
        <w:t>#670#</w:t>
      </w:r>
      <w:bookmarkEnd w:id="1057"/>
    </w:p>
    <w:p>
      <w:r>
        <w:t>Macht der Beauftragte zum Zwecke der Ausführung des Auftrags Aufwendungen, die er den Umständen nach für erforderlich halten darf, so ist der Auftraggeber zum Ersatz verpflichtet.</w:t>
      </w:r>
    </w:p>
    <w:p>
      <w:pPr>
        <w:pStyle w:val="Heading5"/>
      </w:pPr>
      <w:bookmarkStart w:id="1058" w:name="b1044"/>
      <w:r>
        <w:t>§ 671 Widerruf; Kündigung</w:t>
      </w:r>
      <w:r>
        <w:t xml:space="preserve"> </w:t>
      </w:r>
      <w:r>
        <w:rPr>
          <w:rStyle w:val="Suchmarke"/>
        </w:rPr>
        <w:t>#671#</w:t>
      </w:r>
      <w:bookmarkEnd w:id="1058"/>
    </w:p>
    <w:p>
      <w:r>
        <w:t>(1) Der Auftrag kann von dem Auftraggeber jederzeit widerrufen, von dem Beauftragten jederzeit gekündigt werden.</w:t>
      </w:r>
    </w:p>
    <w:p>
      <w:r>
        <w:t xml:space="preserve">(2) </w:t>
      </w:r>
      <w:r>
        <w:rPr>
          <w:rStyle w:val="Satznummer"/>
        </w:rPr>
        <w:t>1</w:t>
      </w:r>
      <w:r>
        <w:t xml:space="preserve">Der Beauftragte darf nur in der Art kündigen, dass der Auftraggeber für die Besorgung des Geschäfts anderweit Fürsorge treffen kann, es sei denn, dass ein wichtiger Grund für die unzeitige Kündigung vorliegt. </w:t>
      </w:r>
      <w:r>
        <w:rPr>
          <w:rStyle w:val="Satznummer"/>
        </w:rPr>
        <w:t>2</w:t>
      </w:r>
      <w:r>
        <w:t>Kündigt er ohne solchen Grund zur Unzeit, so hat er dem Auftraggeber den daraus entstehenden Schaden zu ersetzen.</w:t>
      </w:r>
    </w:p>
    <w:p>
      <w:r>
        <w:t>(3) Liegt ein wichtiger Grund vor, so ist der Beauftragte zur Kündigung auch dann berechtigt, wenn er auf das Kündigungsrecht verzichtet hat.</w:t>
      </w:r>
    </w:p>
    <w:p>
      <w:pPr>
        <w:pStyle w:val="Heading5"/>
      </w:pPr>
      <w:bookmarkStart w:id="1059" w:name="b1045"/>
      <w:r>
        <w:t>§ 672 Tod oder Geschäftsunfähigkeit des Auftraggebers</w:t>
      </w:r>
      <w:r>
        <w:t xml:space="preserve"> </w:t>
      </w:r>
      <w:r>
        <w:rPr>
          <w:rStyle w:val="Suchmarke"/>
        </w:rPr>
        <w:t>#672#</w:t>
      </w:r>
      <w:bookmarkEnd w:id="1059"/>
    </w:p>
    <w:p>
      <w:r>
        <w:rPr>
          <w:rStyle w:val="Satznummer"/>
        </w:rPr>
        <w:t>1</w:t>
      </w:r>
      <w:r>
        <w:t xml:space="preserve">Der Auftrag erlischt im Zweifel nicht durch den Tod oder den Eintritt der Geschäftsunfähigkeit des Auftraggebers. </w:t>
      </w:r>
      <w:r>
        <w:rPr>
          <w:rStyle w:val="Satznummer"/>
        </w:rPr>
        <w:t>2</w:t>
      </w:r>
      <w:r>
        <w:t>Erlischt der Auftrag, so hat der Beauftragte, wenn mit dem Aufschub Gefahr verbunden ist, die Besorgung des übertragenen Geschäfts fortzusetzen, bis der Erbe oder der gesetzliche Vertreter des Auftraggebers anderweit Fürsorge treffen kann; der Auftrag gilt insoweit als fortbestehend.</w:t>
      </w:r>
    </w:p>
    <w:p>
      <w:pPr>
        <w:pStyle w:val="Heading5"/>
      </w:pPr>
      <w:bookmarkStart w:id="1060" w:name="b1046"/>
      <w:r>
        <w:t>§ 673 Tod des Beauftragten</w:t>
      </w:r>
      <w:r>
        <w:t xml:space="preserve"> </w:t>
      </w:r>
      <w:r>
        <w:rPr>
          <w:rStyle w:val="Suchmarke"/>
        </w:rPr>
        <w:t>#673#</w:t>
      </w:r>
      <w:bookmarkEnd w:id="1060"/>
    </w:p>
    <w:p>
      <w:r>
        <w:rPr>
          <w:rStyle w:val="Satznummer"/>
        </w:rPr>
        <w:t>1</w:t>
      </w:r>
      <w:r>
        <w:t xml:space="preserve">Der Auftrag erlischt im Zweifel durch den Tod des Beauftragten. </w:t>
      </w:r>
      <w:r>
        <w:rPr>
          <w:rStyle w:val="Satznummer"/>
        </w:rPr>
        <w:t>2</w:t>
      </w:r>
      <w:r>
        <w:t>Erlischt der Auftrag, so hat der Erbe des Beauftragten den Tod dem Auftraggeber unverzüglich anzuzeigen und, wenn mit dem Aufschub Gefahr verbunden ist, die Besorgung des übertragenen Geschäfts fortzusetzen, bis der Auftraggeber anderweit Fürsorge treffen kann; der Auftrag gilt insoweit als fortbestehend.</w:t>
      </w:r>
    </w:p>
    <w:p>
      <w:pPr>
        <w:pStyle w:val="Heading5"/>
      </w:pPr>
      <w:bookmarkStart w:id="1061" w:name="b1047"/>
      <w:r>
        <w:t>§ 674 Fiktion des Fortbestehens</w:t>
      </w:r>
      <w:r>
        <w:t xml:space="preserve"> </w:t>
      </w:r>
      <w:r>
        <w:rPr>
          <w:rStyle w:val="Suchmarke"/>
        </w:rPr>
        <w:t>#674#</w:t>
      </w:r>
      <w:bookmarkEnd w:id="1061"/>
    </w:p>
    <w:p>
      <w:r>
        <w:t>Erlischt der Auftrag in anderer Weise als durch Widerruf, so gilt er zugunsten des Beauftragten gleichwohl als fortbestehend, bis der Beauftragte von dem Erlöschen Kenntnis erlangt oder das Erlöschen kennen muss.</w:t>
      </w:r>
    </w:p>
    <w:p>
      <w:pPr>
        <w:pStyle w:val="Heading4"/>
      </w:pPr>
      <w:bookmarkStart w:id="1062" w:name="b1048"/>
      <w:r>
        <w:t>Untertitel 2 Geschäftsbesorgungsvertrag</w:t>
      </w:r>
      <w:bookmarkEnd w:id="1062"/>
    </w:p>
    <w:p>
      <w:hyperlink w:anchor="f1048_1" w:history="1">
        <w:r>
          <w:rPr>
            <w:rStyle w:val="Fussnotenmarke"/>
            <w:u w:val="single"/>
            <w:color w:val="0A3A8C"/>
          </w:rPr>
          <w:t>1</w:t>
        </w:r>
      </w:hyperlink>
    </w:p>
    <w:p>
      <w:pPr>
        <w:pStyle w:val="Fußnote"/>
      </w:pPr>
      <w:bookmarkStart w:id="1063" w:name="f1048_1"/>
      <w:r>
        <w:rPr>
          <w:rStyle w:val="Zusatz"/>
          <w:b/>
        </w:rPr>
        <w:t xml:space="preserve">Fußnote 1: </w:t>
      </w:r>
      <w:r>
        <w:rPr>
          <w:b/>
        </w:rPr>
        <w:t>Amtlicher Hinweis:</w:t>
      </w:r>
      <w:r>
        <w:br/>
      </w:r>
      <w:r>
        <w:t>Dieser Untertitel dient der Umsetzung</w:t>
      </w:r>
      <w:bookmarkEnd w:id="1063"/>
    </w:p>
    <w:p>
      <w:pPr>
        <w:pStyle w:val="Fußnote"/>
        <w:tabs>
          <w:tab w:pos="567" w:val="left"/>
        </w:tabs>
        <w:ind w:left="567" w:hanging="567"/>
      </w:pPr>
      <w:r>
        <w:t>1.</w:t>
      </w:r>
      <w:r>
        <w:tab/>
      </w:r>
      <w:r>
        <w:t>der Richtlinie 97/5/EG des Europäischen Parlaments und des Rates vom 27. Januar 1997 über grenzüberschreitende Überweisungen (ABl. EG Nr. L 43 S. 25) und</w:t>
      </w:r>
    </w:p>
    <w:p>
      <w:pPr>
        <w:pStyle w:val="Fußnote"/>
        <w:tabs>
          <w:tab w:pos="567" w:val="left"/>
        </w:tabs>
        <w:ind w:left="567" w:hanging="567"/>
      </w:pPr>
      <w:r>
        <w:t>2.</w:t>
      </w:r>
      <w:r>
        <w:tab/>
      </w:r>
      <w:r>
        <w:t>Artikel 3 bis 5 der Richtlinie 98/26/EG des Europäischen Parlaments und des Rates über die Wirksamkeit von Abrechnungen in Zahlungs- und Wertpapierliefer- und -abrechnungssystemen vom 19. Mai 1998 (ABl. EG Nr. L 166 S. 45).</w:t>
      </w:r>
    </w:p>
    <w:p>
      <w:pPr>
        <w:pStyle w:val="Heading5"/>
      </w:pPr>
      <w:bookmarkStart w:id="1064" w:name="b1049"/>
      <w:r>
        <w:t>§ 675 Entgeltliche Geschäftsbesorgung</w:t>
      </w:r>
      <w:r>
        <w:t xml:space="preserve"> </w:t>
      </w:r>
      <w:r>
        <w:rPr>
          <w:rStyle w:val="Suchmarke"/>
        </w:rPr>
        <w:t>#675#</w:t>
      </w:r>
      <w:bookmarkEnd w:id="1064"/>
    </w:p>
    <w:p>
      <w:r>
        <w:t xml:space="preserve">(1) Auf einen Dienstvertrag oder einen Werkvertrag, der eine Geschäftsbesorgung zum Gegenstand hat, finden, soweit in diesem Untertitel nichts Abweichendes bestimmt wird, die Vorschriften der </w:t>
      </w:r>
      <w:hyperlink w:anchor="b1036" w:history="1">
        <w:r>
          <w:rPr>
            <w:color w:val="0A3A8C"/>
            <w:u w:val="single"/>
          </w:rPr>
          <w:t xml:space="preserve">§§ 663</w:t>
        </w:r>
      </w:hyperlink>
      <w:r>
        <w:t xml:space="preserve">, </w:t>
      </w:r>
      <w:hyperlink w:anchor="b1038" w:history="1">
        <w:r>
          <w:rPr>
            <w:color w:val="0A3A8C"/>
            <w:u w:val="single"/>
          </w:rPr>
          <w:t xml:space="preserve">665</w:t>
        </w:r>
      </w:hyperlink>
      <w:r>
        <w:t xml:space="preserve"> bis </w:t>
      </w:r>
      <w:hyperlink w:anchor="b1043" w:history="1">
        <w:r>
          <w:rPr>
            <w:color w:val="0A3A8C"/>
            <w:u w:val="single"/>
          </w:rPr>
          <w:t xml:space="preserve">670</w:t>
        </w:r>
      </w:hyperlink>
      <w:r>
        <w:t xml:space="preserve">, </w:t>
      </w:r>
      <w:hyperlink w:anchor="b1045" w:history="1">
        <w:r>
          <w:rPr>
            <w:color w:val="0A3A8C"/>
            <w:u w:val="single"/>
          </w:rPr>
          <w:t xml:space="preserve">672</w:t>
        </w:r>
      </w:hyperlink>
      <w:r>
        <w:t xml:space="preserve"> bis </w:t>
      </w:r>
      <w:hyperlink w:anchor="b1047" w:history="1">
        <w:r>
          <w:rPr>
            <w:color w:val="0A3A8C"/>
            <w:u w:val="single"/>
          </w:rPr>
          <w:t xml:space="preserve">674</w:t>
        </w:r>
      </w:hyperlink>
      <w:r>
        <w:t xml:space="preserve"> und, wenn dem Verpflichteten das Recht zusteht, ohne Einhaltung einer Kündigungsfrist zu kündigen, auch die Vorschrift des </w:t>
      </w:r>
      <w:hyperlink w:anchor="b1044" w:history="1">
        <w:r>
          <w:rPr>
            <w:color w:val="0A3A8C"/>
            <w:u w:val="single"/>
          </w:rPr>
          <w:t xml:space="preserve">§ 671</w:t>
        </w:r>
      </w:hyperlink>
      <w:r>
        <w:t xml:space="preserve"> Abs. 2 entsprechende Anwendung.</w:t>
      </w:r>
    </w:p>
    <w:p>
      <w:r>
        <w:t>(2) Wer einem anderen einen Rat oder eine Empfehlung erteilt, ist, unbeschadet der sich aus einem Vertragsverhältnis, einer unerlaubten Handlung oder einer sonstigen gesetzlichen Bestimmung ergebenden Verantwortlichkeit, zum Ersatz des aus der Befolgung des Rates oder der Empfehlung entstehenden Schadens nicht verpflichtet.</w:t>
      </w:r>
    </w:p>
    <w:p>
      <w:r>
        <w:t>(3) Ein Vertrag, durch den sich der eine Teil verpflichtet, die Anmeldung oder Registrierung des anderen Teils zur Teilnahme an Gewinnspielen zu bewirken, die von einem Dritten durchgeführt werden, bedarf der Textform.</w:t>
      </w:r>
    </w:p>
    <w:p>
      <w:pPr>
        <w:pStyle w:val="Heading5"/>
      </w:pPr>
      <w:bookmarkStart w:id="1065" w:name="b1050"/>
      <w:r>
        <w:t>§ 675a Informationspflichten</w:t>
      </w:r>
      <w:r>
        <w:t xml:space="preserve"> </w:t>
      </w:r>
      <w:r>
        <w:rPr>
          <w:rStyle w:val="Suchmarke"/>
        </w:rPr>
        <w:t>#675a#</w:t>
      </w:r>
      <w:bookmarkEnd w:id="1065"/>
    </w:p>
    <w:p>
      <w:r>
        <w:t xml:space="preserve">Wer zur Besorgung von Geschäften öffentlich bestellt ist oder sich dazu öffentlich erboten hat, stellt für regelmäßig anfallende standardisierte Geschäftsvorgänge (Standardgeschäfte) unentgeltlich Informationen über Entgelte und Auslagen der Geschäftsbesorgung in Textform zur Verfügung, soweit nicht eine Preisfestsetzung nach </w:t>
      </w:r>
      <w:hyperlink w:anchor="b391" w:history="1">
        <w:r>
          <w:rPr>
            <w:color w:val="0A3A8C"/>
            <w:u w:val="single"/>
          </w:rPr>
          <w:t xml:space="preserve">§ 315</w:t>
        </w:r>
      </w:hyperlink>
      <w:r>
        <w:t xml:space="preserve"> erfolgt oder die Entgelte und Auslagen gesetzlich verbindlich geregelt sind.</w:t>
      </w:r>
    </w:p>
    <w:p>
      <w:pPr>
        <w:pStyle w:val="Heading5"/>
      </w:pPr>
      <w:bookmarkStart w:id="1066" w:name="b1051"/>
      <w:r>
        <w:t>§ 675b Aufträge zur Übertragung von Wertpapieren in Systemen</w:t>
      </w:r>
      <w:r>
        <w:t xml:space="preserve"> </w:t>
      </w:r>
      <w:r>
        <w:rPr>
          <w:rStyle w:val="Suchmarke"/>
        </w:rPr>
        <w:t>#675b#</w:t>
      </w:r>
      <w:bookmarkEnd w:id="1066"/>
    </w:p>
    <w:p>
      <w:r>
        <w:t>Der Teilnehmer an Wertpapierlieferungs- und Abrechnungssystemen kann einen Auftrag, der die Übertragung von Wertpapieren oder Ansprüchen auf Herausgabe von Wertpapieren im Wege der Verbuchung oder auf sonstige Weise zum Gegenstand hat, von dem in den Regeln des Systems bestimmten Zeitpunkt an nicht mehr widerrufen.</w:t>
      </w:r>
    </w:p>
    <w:p>
      <w:pPr>
        <w:pStyle w:val="Heading4"/>
      </w:pPr>
      <w:bookmarkStart w:id="1067" w:name="b1052"/>
      <w:r>
        <w:t>Untertitel 3 Zahlungsdienste</w:t>
      </w:r>
      <w:bookmarkEnd w:id="1067"/>
    </w:p>
    <w:p>
      <w:pPr>
        <w:pStyle w:val="Heading5"/>
      </w:pPr>
      <w:bookmarkStart w:id="1068" w:name="b1053"/>
      <w:r>
        <w:t>Kapitel 1 Allgemeine Vorschriften</w:t>
      </w:r>
      <w:bookmarkEnd w:id="1068"/>
    </w:p>
    <w:p>
      <w:pPr>
        <w:pStyle w:val="Heading6"/>
      </w:pPr>
      <w:bookmarkStart w:id="1069" w:name="b1054"/>
      <w:r>
        <w:t>§ 675c Zahlungsdienste und E-Geld</w:t>
      </w:r>
      <w:r>
        <w:t xml:space="preserve"> </w:t>
      </w:r>
      <w:r>
        <w:rPr>
          <w:rStyle w:val="Suchmarke"/>
        </w:rPr>
        <w:t>#675c#</w:t>
      </w:r>
      <w:bookmarkEnd w:id="1069"/>
    </w:p>
    <w:p>
      <w:r>
        <w:t xml:space="preserve">(1) Auf einen Geschäftsbesorgungsvertrag, der die Erbringung von Zahlungsdiensten zum Gegenstand hat, sind die </w:t>
      </w:r>
      <w:hyperlink w:anchor="b1036" w:history="1">
        <w:r>
          <w:rPr>
            <w:color w:val="0A3A8C"/>
            <w:u w:val="single"/>
          </w:rPr>
          <w:t xml:space="preserve">§§ 663</w:t>
        </w:r>
      </w:hyperlink>
      <w:r>
        <w:t xml:space="preserve">, </w:t>
      </w:r>
      <w:hyperlink w:anchor="b1038" w:history="1">
        <w:r>
          <w:rPr>
            <w:color w:val="0A3A8C"/>
            <w:u w:val="single"/>
          </w:rPr>
          <w:t xml:space="preserve">665</w:t>
        </w:r>
      </w:hyperlink>
      <w:r>
        <w:t xml:space="preserve"> bis </w:t>
      </w:r>
      <w:hyperlink w:anchor="b1043" w:history="1">
        <w:r>
          <w:rPr>
            <w:color w:val="0A3A8C"/>
            <w:u w:val="single"/>
          </w:rPr>
          <w:t xml:space="preserve">670</w:t>
        </w:r>
      </w:hyperlink>
      <w:r>
        <w:t xml:space="preserve"> und </w:t>
      </w:r>
      <w:hyperlink w:anchor="b1045" w:history="1">
        <w:r>
          <w:rPr>
            <w:color w:val="0A3A8C"/>
            <w:u w:val="single"/>
          </w:rPr>
          <w:t xml:space="preserve">672</w:t>
        </w:r>
      </w:hyperlink>
      <w:r>
        <w:t xml:space="preserve"> bis </w:t>
      </w:r>
      <w:hyperlink w:anchor="b1047" w:history="1">
        <w:r>
          <w:rPr>
            <w:color w:val="0A3A8C"/>
            <w:u w:val="single"/>
          </w:rPr>
          <w:t xml:space="preserve">674</w:t>
        </w:r>
      </w:hyperlink>
      <w:r>
        <w:t xml:space="preserve"> entsprechend anzuwenden, soweit in diesem Untertitel nichts Abweichendes bestimmt ist.</w:t>
      </w:r>
    </w:p>
    <w:p>
      <w:r>
        <w:t>(2) Die Vorschriften dieses Untertitels sind auch auf einen Vertrag über die Ausgabe und Nutzung von E-Geld anzuwenden.</w:t>
      </w:r>
    </w:p>
    <w:p>
      <w:r>
        <w:t>(3) Die Begriffsbestimmungen des Kreditwesengesetzes und des Zahlungsdiensteaufsichtsgesetzes sind anzuwenden.</w:t>
      </w:r>
    </w:p>
    <w:p>
      <w:r>
        <w:t xml:space="preserve">(4) Die Vorschriften dieses Untertitels sind mit Ausnahme von </w:t>
      </w:r>
      <w:hyperlink w:anchor="b1055" w:history="1">
        <w:r>
          <w:rPr>
            <w:color w:val="0A3A8C"/>
            <w:u w:val="single"/>
          </w:rPr>
          <w:t xml:space="preserve">§ 675d</w:t>
        </w:r>
      </w:hyperlink>
      <w:r>
        <w:t xml:space="preserve"> Absatz 2 Satz 2 sowie Absatz 3 nicht auf einen Vertrag über die Erbringung von Kontoinformationsdiensten anzuwenden.</w:t>
      </w:r>
    </w:p>
    <w:p>
      <w:pPr>
        <w:pStyle w:val="Heading6"/>
      </w:pPr>
      <w:bookmarkStart w:id="1070" w:name="b1055"/>
      <w:r>
        <w:t>§ 675d Unterrichtung bei Zahlungsdiensten</w:t>
      </w:r>
      <w:r>
        <w:t xml:space="preserve"> </w:t>
      </w:r>
      <w:r>
        <w:rPr>
          <w:rStyle w:val="Suchmarke"/>
        </w:rPr>
        <w:t>#675d#</w:t>
      </w:r>
      <w:bookmarkEnd w:id="1070"/>
    </w:p>
    <w:p>
      <w:r>
        <w:t>(1) Zahlungsdienstleister haben Zahlungsdienstnutzer bei der Erbringung von Zahlungsdiensten über die in Artikel 248 §§ 1 bis 12, 13 Absatz 1, 3 bis 5 und §§ 14 bis 16 des Einführungsgesetzes zum Bürgerlichen Gesetzbuche bestimmten Umstände in der dort vorgesehenen Form zu unterrichten.</w:t>
      </w:r>
    </w:p>
    <w:p>
      <w:r>
        <w:t xml:space="preserve">(2) </w:t>
      </w:r>
      <w:r>
        <w:rPr>
          <w:rStyle w:val="Satznummer"/>
        </w:rPr>
        <w:t>1</w:t>
      </w:r>
      <w:r>
        <w:t xml:space="preserve">Zahlungsauslösedienstleister haben Zahler ausschließlich über die in Artikel 248 § 13 Absatz 1 bis 3 und § 13a des Einführungsgesetzes zum Bürgerlichen Gesetzbuche bestimmten Umstände in der Form zu unterrichten, die in Artikel 248 §§ 2 und 12 des Einführungsgesetzes zum Bürgerlichen Gesetzbuche vorgesehen ist. </w:t>
      </w:r>
      <w:r>
        <w:rPr>
          <w:rStyle w:val="Satznummer"/>
        </w:rPr>
        <w:t>2</w:t>
      </w:r>
      <w:r>
        <w:t>Kontoinformationsdienstleister haben Zahlungsdienstnutzer entsprechend den Anforderungen des Artikels 248 §§ 4 und 13 Absatz 1 und 3 des Einführungsgesetzes zum Bürgerlichen Gesetzbuche zu unterrichten; sie können die Form und den Zeitpunkt der Unterrichtung mit dem Zahlungsdienstnutzer vereinbaren.</w:t>
      </w:r>
    </w:p>
    <w:p>
      <w:r>
        <w:t>(3) Ist die ordnungsgemäße Unterrichtung streitig, so trifft die Beweislast den Zahlungsdienstleister.</w:t>
      </w:r>
    </w:p>
    <w:p>
      <w:r>
        <w:t xml:space="preserve">(4) </w:t>
      </w:r>
      <w:r>
        <w:rPr>
          <w:rStyle w:val="Satznummer"/>
        </w:rPr>
        <w:t>1</w:t>
      </w:r>
      <w:r>
        <w:t>Für die Unterrichtung darf der Zahlungsdienstleister mit dem Zahlungsdienstnutzer nur dann ein Entgelt vereinbaren, wenn die Information auf Verlangen des Zahlungsdienstnutzers erbracht wird und der Zahlungsdienstleister</w:t>
      </w:r>
    </w:p>
    <w:p>
      <w:pPr>
        <w:tabs>
          <w:tab w:pos="567" w:val="left"/>
        </w:tabs>
        <w:ind w:left="567" w:hanging="567"/>
      </w:pPr>
      <w:r>
        <w:t>1.</w:t>
      </w:r>
      <w:r>
        <w:tab/>
      </w:r>
      <w:r>
        <w:t>diese Information häufiger erbringt, als in Artikel 248 §§ 1 bis 16 des Einführungsgesetzes zum Bürgerlichen Gesetzbuche vorgesehen,</w:t>
      </w:r>
    </w:p>
    <w:p>
      <w:pPr>
        <w:tabs>
          <w:tab w:pos="567" w:val="left"/>
        </w:tabs>
        <w:ind w:left="567" w:hanging="567"/>
      </w:pPr>
      <w:r>
        <w:t>2.</w:t>
      </w:r>
      <w:r>
        <w:tab/>
      </w:r>
      <w:r>
        <w:t>eine Information erbringt, die über die in Artikel 248 §§ 1 bis 16 des Einführungsgesetzes zum Bürgerlichen Gesetzbuche vorgeschriebenen hinausgeht, oder</w:t>
      </w:r>
    </w:p>
    <w:p>
      <w:pPr>
        <w:tabs>
          <w:tab w:pos="567" w:val="left"/>
        </w:tabs>
        <w:ind w:left="567" w:hanging="567"/>
      </w:pPr>
      <w:r>
        <w:t>3.</w:t>
      </w:r>
      <w:r>
        <w:tab/>
      </w:r>
      <w:r>
        <w:t>diese Information mithilfe anderer als der im Zahlungsdiensterahmenvertrag vereinbarten Kommunikationsmittel erbringt.</w:t>
      </w:r>
    </w:p>
    <w:p>
      <w:r>
        <w:rPr>
          <w:rStyle w:val="Satznummer"/>
        </w:rPr>
        <w:t>2</w:t>
      </w:r>
      <w:r>
        <w:t>Das Entgelt muss angemessen und an den tatsächlichen Kosten des Zahlungsdienstleisters ausgerichtet sein.</w:t>
      </w:r>
    </w:p>
    <w:p>
      <w:r>
        <w:t xml:space="preserve">(5) </w:t>
      </w:r>
      <w:r>
        <w:rPr>
          <w:rStyle w:val="Satznummer"/>
        </w:rPr>
        <w:t>1</w:t>
      </w:r>
      <w:r>
        <w:t xml:space="preserve">Zahlungsempfänger, Dienstleister, die Bargeldabhebungsdienste erbringen, und Dritte unterrichten über die in Artikel 248 §§ 17 bis 18 des Einführungsgesetzes zum Bürgerlichen Gesetzbuche bestimmten Umstände. </w:t>
      </w:r>
      <w:r>
        <w:rPr>
          <w:rStyle w:val="Satznummer"/>
        </w:rPr>
        <w:t>2</w:t>
      </w:r>
      <w:r>
        <w:t>Der Zahler ist nur dann verpflichtet, die Entgelte gemäß Artikel 248 § 17 Absatz 2 und § 18 des Einführungsgesetzes zum Bürgerlichen Gesetzbuche zu entrichten, wenn deren volle Höhe vor der Auslösung des Zahlungsvorgangs bekannt gemacht wurde.</w:t>
      </w:r>
    </w:p>
    <w:p>
      <w:r>
        <w:t xml:space="preserve">(6) </w:t>
      </w:r>
      <w:r>
        <w:rPr>
          <w:rStyle w:val="Satznummer"/>
        </w:rPr>
        <w:t>1</w:t>
      </w:r>
      <w:r>
        <w:t>Die Absätze 1 bis 5 sind nicht anzuwenden auf</w:t>
      </w:r>
    </w:p>
    <w:p>
      <w:pPr>
        <w:tabs>
          <w:tab w:pos="567" w:val="left"/>
        </w:tabs>
        <w:ind w:left="567" w:hanging="567"/>
      </w:pPr>
      <w:r>
        <w:t>1.</w:t>
      </w:r>
      <w:r>
        <w:tab/>
      </w:r>
      <w:r>
        <w:t>die Bestandteile eines Zahlungsvorgangs, die außerhalb des Europäischen Wirtschaftsraums getätigt werden, wenn</w:t>
      </w:r>
    </w:p>
    <w:p>
      <w:pPr>
        <w:tabs>
          <w:tab w:pos="1134" w:val="left"/>
        </w:tabs>
        <w:ind w:left="1134" w:hanging="567"/>
      </w:pPr>
      <w:r>
        <w:t>a)</w:t>
      </w:r>
      <w:r>
        <w:tab/>
      </w:r>
      <w:r>
        <w:t>der Zahlungsvorgang in der Währung eines Staates außerhalb des Europäischen Wirtschaftsraums erfolgt und sowohl der Zahlungsdienstleister des Zahlers als auch der Zahlungsdienstleister des Zahlungsempfängers innerhalb des Europäischen Wirtschaftsraums belegen ist oder</w:t>
      </w:r>
    </w:p>
    <w:p>
      <w:pPr>
        <w:tabs>
          <w:tab w:pos="1134" w:val="left"/>
        </w:tabs>
        <w:ind w:left="1134" w:hanging="567"/>
      </w:pPr>
      <w:r>
        <w:t>b)</w:t>
      </w:r>
      <w:r>
        <w:tab/>
      </w:r>
      <w:r>
        <w:t>bei Beteiligung mehrerer Zahlungsdienstleister an dem Zahlungsvorgang von diesen Zahlungsdienstleistern mindestens einer innerhalb und mindestens einer außerhalb des Europäischen Wirtschaftsraums belegen ist;</w:t>
      </w:r>
    </w:p>
    <w:p>
      <w:pPr>
        <w:tabs>
          <w:tab w:pos="567" w:val="left"/>
        </w:tabs>
        <w:ind w:left="567" w:hanging="567"/>
      </w:pPr>
      <w:r>
        <w:t>2.</w:t>
      </w:r>
      <w:r>
        <w:tab/>
      </w:r>
      <w:r>
        <w:t>Zahlungsvorgänge, bei denen keiner der beteiligten Zahlungsdienstleister innerhalb des Europäischen Wirtschaftsraums belegen ist.</w:t>
      </w:r>
    </w:p>
    <w:p>
      <w:r>
        <w:rPr>
          <w:rStyle w:val="Satznummer"/>
        </w:rPr>
        <w:t>2</w:t>
      </w:r>
      <w:r>
        <w:t xml:space="preserve">In den Fällen des Satzes 1 Nummer 1 sind die Informationspflichten nach Artikel 248 § 4 Absatz 1 Nummer 2 Buchstabe e, § 6 Nummer 1 sowie § 13 Absatz 1 Satz 1 Nummer 2 des Einführungsgesetzes zum Bürgerlichen Gesetzbuche auch auf die innerhalb des Europäischen Wirtschaftsraums getätigten Bestandteile des Zahlungsvorgangs nicht anzuwenden. </w:t>
      </w:r>
      <w:r>
        <w:rPr>
          <w:rStyle w:val="Satznummer"/>
        </w:rPr>
        <w:t>3</w:t>
      </w:r>
      <w:r>
        <w:t>Gleiches gilt im Fall des Satzes 1 Nummer 1 Buchstabe b für die Informationspflicht nach Artikel 248 § 4 Absatz 1 Nummer 5 Buchstabe g des Einführungsgesetzes zum Bürgerlichen Gesetzbuche.</w:t>
      </w:r>
    </w:p>
    <w:p>
      <w:pPr>
        <w:pStyle w:val="Heading6"/>
      </w:pPr>
      <w:bookmarkStart w:id="1071" w:name="b1056"/>
      <w:r>
        <w:t>§ 675e Abweichende Vereinbarungen</w:t>
      </w:r>
      <w:r>
        <w:t xml:space="preserve"> </w:t>
      </w:r>
      <w:r>
        <w:rPr>
          <w:rStyle w:val="Suchmarke"/>
        </w:rPr>
        <w:t>#675e#</w:t>
      </w:r>
      <w:bookmarkEnd w:id="1071"/>
    </w:p>
    <w:p>
      <w:r>
        <w:t>(1) Soweit nichts anderes bestimmt ist, darf von den Vorschriften dieses Untertitels nicht zum Nachteil des Zahlungsdienstnutzers abgewichen werden.</w:t>
      </w:r>
    </w:p>
    <w:p>
      <w:r>
        <w:t>(2) In den Fällen des § 675d Absatz 6 Satz 1 Nummer 1 und 2</w:t>
      </w:r>
    </w:p>
    <w:p>
      <w:pPr>
        <w:tabs>
          <w:tab w:pos="567" w:val="left"/>
        </w:tabs>
        <w:ind w:left="567" w:hanging="567"/>
      </w:pPr>
      <w:r>
        <w:t>1.</w:t>
      </w:r>
      <w:r>
        <w:tab/>
      </w:r>
      <w:r>
        <w:t xml:space="preserve">sind </w:t>
      </w:r>
      <w:hyperlink w:anchor="b1074" w:history="1">
        <w:r>
          <w:rPr>
            <w:color w:val="0A3A8C"/>
            <w:u w:val="single"/>
          </w:rPr>
          <w:t xml:space="preserve">§ 675s</w:t>
        </w:r>
      </w:hyperlink>
      <w:r>
        <w:t xml:space="preserve"> Absatz 1, </w:t>
      </w:r>
      <w:hyperlink w:anchor="b1075" w:history="1">
        <w:r>
          <w:rPr>
            <w:color w:val="0A3A8C"/>
            <w:u w:val="single"/>
          </w:rPr>
          <w:t xml:space="preserve">§ 675t</w:t>
        </w:r>
      </w:hyperlink>
      <w:r>
        <w:t xml:space="preserve"> Absatz 2, </w:t>
      </w:r>
      <w:hyperlink w:anchor="b1080" w:history="1">
        <w:r>
          <w:rPr>
            <w:color w:val="0A3A8C"/>
            <w:u w:val="single"/>
          </w:rPr>
          <w:t xml:space="preserve">§ 675x</w:t>
        </w:r>
      </w:hyperlink>
      <w:r>
        <w:t xml:space="preserve"> Absatz 1, </w:t>
      </w:r>
      <w:hyperlink w:anchor="b1081" w:history="1">
        <w:r>
          <w:rPr>
            <w:color w:val="0A3A8C"/>
            <w:u w:val="single"/>
          </w:rPr>
          <w:t xml:space="preserve">§ 675y</w:t>
        </w:r>
      </w:hyperlink>
      <w:r>
        <w:t xml:space="preserve"> Absatz 1 bis 4 sowie </w:t>
      </w:r>
      <w:hyperlink w:anchor="b1082" w:history="1">
        <w:r>
          <w:rPr>
            <w:color w:val="0A3A8C"/>
            <w:u w:val="single"/>
          </w:rPr>
          <w:t xml:space="preserve">§ 675z</w:t>
        </w:r>
      </w:hyperlink>
      <w:r>
        <w:t xml:space="preserve"> Satz 3 nicht anzuwenden;</w:t>
      </w:r>
    </w:p>
    <w:p>
      <w:pPr>
        <w:tabs>
          <w:tab w:pos="567" w:val="left"/>
        </w:tabs>
        <w:ind w:left="567" w:hanging="567"/>
      </w:pPr>
      <w:r>
        <w:t>2.</w:t>
      </w:r>
      <w:r>
        <w:tab/>
      </w:r>
      <w:r>
        <w:t>darf im Übrigen zum Nachteil des Zahlungsdienstnutzers von den Vorschriften dieses Untertitels abgewichen werden.</w:t>
      </w:r>
    </w:p>
    <w:p>
      <w:r>
        <w:t xml:space="preserve">(3) Für Zahlungsvorgänge, die nicht in Euro erfolgen, können der Zahlungsdienstnutzer und sein Zahlungsdienstleister vereinbaren, dass </w:t>
      </w:r>
      <w:hyperlink w:anchor="b1075" w:history="1">
        <w:r>
          <w:rPr>
            <w:color w:val="0A3A8C"/>
            <w:u w:val="single"/>
          </w:rPr>
          <w:t xml:space="preserve">§ 675t</w:t>
        </w:r>
      </w:hyperlink>
      <w:r>
        <w:t xml:space="preserve"> Abs. 1 Satz 3 und Abs. 2 ganz oder teilweise nicht anzuwenden ist.</w:t>
      </w:r>
    </w:p>
    <w:p>
      <w:r>
        <w:t xml:space="preserve">(4) Handelt es sich bei dem Zahlungsdienstnutzer nicht um einen Verbraucher, so können die Parteien vereinbaren, dass </w:t>
      </w:r>
      <w:hyperlink w:anchor="b1055" w:history="1">
        <w:r>
          <w:rPr>
            <w:color w:val="0A3A8C"/>
            <w:u w:val="single"/>
          </w:rPr>
          <w:t xml:space="preserve">§ 675d</w:t>
        </w:r>
      </w:hyperlink>
      <w:r>
        <w:t xml:space="preserve"> Absatz 1 bis 5, </w:t>
      </w:r>
      <w:hyperlink w:anchor="b1058" w:history="1">
        <w:r>
          <w:rPr>
            <w:color w:val="0A3A8C"/>
            <w:u w:val="single"/>
          </w:rPr>
          <w:t xml:space="preserve">§ 675f</w:t>
        </w:r>
      </w:hyperlink>
      <w:r>
        <w:t xml:space="preserve"> Absatz 5 Satz 2, die </w:t>
      </w:r>
      <w:hyperlink w:anchor="b1059" w:history="1">
        <w:r>
          <w:rPr>
            <w:color w:val="0A3A8C"/>
            <w:u w:val="single"/>
          </w:rPr>
          <w:t xml:space="preserve">§§ 675g</w:t>
        </w:r>
      </w:hyperlink>
      <w:r>
        <w:t xml:space="preserve">, </w:t>
      </w:r>
      <w:hyperlink w:anchor="b1060" w:history="1">
        <w:r>
          <w:rPr>
            <w:color w:val="0A3A8C"/>
            <w:u w:val="single"/>
          </w:rPr>
          <w:t xml:space="preserve">675h</w:t>
        </w:r>
      </w:hyperlink>
      <w:r>
        <w:t xml:space="preserve">, </w:t>
      </w:r>
      <w:hyperlink w:anchor="b1064" w:history="1">
        <w:r>
          <w:rPr>
            <w:color w:val="0A3A8C"/>
            <w:u w:val="single"/>
          </w:rPr>
          <w:t xml:space="preserve">675j</w:t>
        </w:r>
      </w:hyperlink>
      <w:r>
        <w:t xml:space="preserve"> Absatz 2, die </w:t>
      </w:r>
      <w:hyperlink w:anchor="b1071" w:history="1">
        <w:r>
          <w:rPr>
            <w:color w:val="0A3A8C"/>
            <w:u w:val="single"/>
          </w:rPr>
          <w:t xml:space="preserve">§§ 675p</w:t>
        </w:r>
      </w:hyperlink>
      <w:r>
        <w:t xml:space="preserve"> sowie </w:t>
      </w:r>
      <w:hyperlink w:anchor="b1078" w:history="1">
        <w:r>
          <w:rPr>
            <w:color w:val="0A3A8C"/>
            <w:u w:val="single"/>
          </w:rPr>
          <w:t xml:space="preserve">675v</w:t>
        </w:r>
      </w:hyperlink>
      <w:r>
        <w:t xml:space="preserve"> bis </w:t>
      </w:r>
      <w:hyperlink w:anchor="b1083" w:history="1">
        <w:r>
          <w:rPr>
            <w:color w:val="0A3A8C"/>
            <w:u w:val="single"/>
          </w:rPr>
          <w:t xml:space="preserve">676</w:t>
        </w:r>
      </w:hyperlink>
      <w:r>
        <w:t xml:space="preserve"> ganz oder teilweise nicht anzuwenden sind; sie können auch andere als die in </w:t>
      </w:r>
      <w:hyperlink w:anchor="b1085" w:history="1">
        <w:r>
          <w:rPr>
            <w:color w:val="0A3A8C"/>
            <w:u w:val="single"/>
          </w:rPr>
          <w:t xml:space="preserve">§ 676b</w:t>
        </w:r>
      </w:hyperlink>
      <w:r>
        <w:t xml:space="preserve"> Absatz 2 und 4 vorgesehenen Fristen vereinbaren.</w:t>
      </w:r>
    </w:p>
    <w:p>
      <w:pPr>
        <w:pStyle w:val="Heading5"/>
      </w:pPr>
      <w:bookmarkStart w:id="1072" w:name="b1057"/>
      <w:r>
        <w:t>Kapitel 2 Zahlungsdienstevertrag</w:t>
      </w:r>
      <w:bookmarkEnd w:id="1072"/>
    </w:p>
    <w:p>
      <w:pPr>
        <w:pStyle w:val="Heading6"/>
      </w:pPr>
      <w:bookmarkStart w:id="1073" w:name="b1058"/>
      <w:r>
        <w:t>§ 675f Zahlungsdienstevertrag</w:t>
      </w:r>
      <w:r>
        <w:t xml:space="preserve"> </w:t>
      </w:r>
      <w:r>
        <w:rPr>
          <w:rStyle w:val="Suchmarke"/>
        </w:rPr>
        <w:t>#675f#</w:t>
      </w:r>
      <w:bookmarkEnd w:id="1073"/>
    </w:p>
    <w:p>
      <w:r>
        <w:t>(1) Durch einen Einzelzahlungsvertrag wird der Zahlungsdienstleister verpflichtet, für die Person, die einen Zahlungsdienst als Zahler, Zahlungsempfänger oder in beiden Eigenschaften in Anspruch nimmt (Zahlungsdienstnutzer), einen Zahlungsvorgang auszuführen.</w:t>
      </w:r>
    </w:p>
    <w:p>
      <w:r>
        <w:t xml:space="preserve">(2) </w:t>
      </w:r>
      <w:r>
        <w:rPr>
          <w:rStyle w:val="Satznummer"/>
        </w:rPr>
        <w:t>1</w:t>
      </w:r>
      <w:r>
        <w:t xml:space="preserve">Durch einen Zahlungsdiensterahmenvertrag wird der Zahlungsdienstleister verpflichtet, für den Zahlungsdienstnutzer einzelne und aufeinander folgende Zahlungsvorgänge auszuführen sowie gegebenenfalls für den Zahlungsdienstnutzer ein auf dessen Namen oder die Namen mehrerer Zahlungsdienstnutzer lautendes Zahlungskonto zu führen. </w:t>
      </w:r>
      <w:r>
        <w:rPr>
          <w:rStyle w:val="Satznummer"/>
        </w:rPr>
        <w:t>2</w:t>
      </w:r>
      <w:r>
        <w:t>Ein Zahlungsdiensterahmenvertrag kann auch Bestandteil eines sonstigen Vertrags sein oder mit einem anderen Vertrag zusammenhängen.</w:t>
      </w:r>
    </w:p>
    <w:p>
      <w:r>
        <w:t xml:space="preserve">(3) </w:t>
      </w:r>
      <w:r>
        <w:rPr>
          <w:rStyle w:val="Satznummer"/>
        </w:rPr>
        <w:t>1</w:t>
      </w:r>
      <w:r>
        <w:t xml:space="preserve">Der Zahlungsdienstnutzer ist berechtigt, einen Zahlungsauslösedienst oder einen Kontoinformationsdienst zu nutzen, es sei denn, das Zahlungskonto des Zahlungsdienstnutzers ist für diesen nicht online zugänglich. </w:t>
      </w:r>
      <w:r>
        <w:rPr>
          <w:rStyle w:val="Satznummer"/>
        </w:rPr>
        <w:t>2</w:t>
      </w:r>
      <w:r>
        <w:t>Der kontoführende Zahlungsdienstleister darf die Nutzung dieser Dienste durch den Zahlungsdienstnutzer nicht davon abhängig machen, dass der Zahlungsauslösedienstleister oder der Kontoinformationsdienstleister zu diesem Zweck einen Vertrag mit dem kontoführenden Zahlungsdienstleister abschließt.</w:t>
      </w:r>
    </w:p>
    <w:p>
      <w:r>
        <w:t xml:space="preserve">(4) </w:t>
      </w:r>
      <w:r>
        <w:rPr>
          <w:rStyle w:val="Satznummer"/>
        </w:rPr>
        <w:t>1</w:t>
      </w:r>
      <w:r>
        <w:t xml:space="preserve">Zahlungsvorgang ist jede Bereitstellung, Übermittlung oder Abhebung eines Geldbetrags, unabhängig von der zugrunde liegenden Rechtsbeziehung zwischen Zahler und Zahlungsempfänger. </w:t>
      </w:r>
      <w:r>
        <w:rPr>
          <w:rStyle w:val="Satznummer"/>
        </w:rPr>
        <w:t>2</w:t>
      </w:r>
      <w:r>
        <w:t>Zahlungsauftrag ist jeder Auftrag, den ein Zahler seinem Zahlungsdienstleister zur Ausführung eines Zahlungsvorgangs entweder unmittelbar oder mittelbar über einen Zahlungsauslösedienstleister oder den Zahlungsempfänger erteilt.</w:t>
      </w:r>
    </w:p>
    <w:p>
      <w:r>
        <w:t xml:space="preserve">(5) </w:t>
      </w:r>
      <w:r>
        <w:rPr>
          <w:rStyle w:val="Satznummer"/>
        </w:rPr>
        <w:t>1</w:t>
      </w:r>
      <w:r>
        <w:t xml:space="preserve">Der Zahlungsdienstnutzer ist verpflichtet, dem Zahlungsdienstleister das für die Erbringung eines Zahlungsdienstes vereinbarte Entgelt zu entrichten. </w:t>
      </w:r>
      <w:r>
        <w:rPr>
          <w:rStyle w:val="Satznummer"/>
        </w:rPr>
        <w:t>2</w:t>
      </w:r>
      <w:r>
        <w:t>Für die Erfüllung von Nebenpflichten nach diesem Untertitel hat der Zahlungsdienstleister nur dann einen Anspruch auf ein Entgelt, sofern dies zugelassen und zwischen dem Zahlungsdienstnutzer und dem Zahlungsdienstleister vereinbart worden ist; dieses Entgelt muss angemessen und an den tatsächlichen Kosten des Zahlungsdienstleisters ausgerichtet sein.</w:t>
      </w:r>
    </w:p>
    <w:p>
      <w:r>
        <w:t>(6) In einem Zahlungsdiensterahmenvertrag zwischen dem Zahlungsempfänger und seinem Zahlungsdienstleister darf das Recht des Zahlungsempfängers, dem Zahler für die Nutzung eines bestimmten Zahlungsinstruments eine Ermäßigung oder einen anderweitigen Anreiz anzubieten, nicht ausgeschlossen werden.</w:t>
      </w:r>
    </w:p>
    <w:p>
      <w:pPr>
        <w:pStyle w:val="Heading6"/>
      </w:pPr>
      <w:bookmarkStart w:id="1074" w:name="b1059"/>
      <w:r>
        <w:t>§ 675g Änderung des Zahlungsdiensterahmenvertrags</w:t>
      </w:r>
      <w:r>
        <w:t xml:space="preserve"> </w:t>
      </w:r>
      <w:r>
        <w:rPr>
          <w:rStyle w:val="Suchmarke"/>
        </w:rPr>
        <w:t>#675g#</w:t>
      </w:r>
      <w:bookmarkEnd w:id="1074"/>
    </w:p>
    <w:p>
      <w:r>
        <w:t>(1) Eine Änderung des Zahlungsdiensterahmenvertrags auf Veranlassung des Zahlungsdienstleisters setzt voraus, dass dieser die beabsichtigte Änderung spätestens zwei Monate vor dem vorgeschlagenen Zeitpunkt ihres Wirksamwerdens dem Zahlungsdienstnutzer in der in Artikel 248 §§ 2 und 3 des Einführungsgesetzes zum Bürgerlichen Gesetzbuche vorgesehenen Form anbietet.</w:t>
      </w:r>
    </w:p>
    <w:p>
      <w:r>
        <w:t xml:space="preserve">(2) </w:t>
      </w:r>
      <w:r>
        <w:rPr>
          <w:rStyle w:val="Satznummer"/>
        </w:rPr>
        <w:t>1</w:t>
      </w:r>
      <w:r>
        <w:t xml:space="preserve">Der Zahlungsdienstleister und der Zahlungsdienstnutzer können vereinbaren, dass die Zustimmung des Zahlungsdienstnutzers zu einer Änderung nach Absatz 1 als erteilt gilt, wenn dieser dem Zahlungsdienstleister seine Ablehnung nicht vor dem vorgeschlagenen Zeitpunkt des Wirksamwerdens der Änderung angezeigt hat. </w:t>
      </w:r>
      <w:r>
        <w:rPr>
          <w:rStyle w:val="Satznummer"/>
        </w:rPr>
        <w:t>2</w:t>
      </w:r>
      <w:r>
        <w:t xml:space="preserve">Im Fall einer solchen Vereinbarung ist der Zahlungsdienstnutzer auch berechtigt, den Zahlungsdiensterahmenvertrag vor dem vorgeschlagenen Zeitpunkt des Wirksamwerdens der Änderung fristlos zu kündigen. </w:t>
      </w:r>
      <w:r>
        <w:rPr>
          <w:rStyle w:val="Satznummer"/>
        </w:rPr>
        <w:t>3</w:t>
      </w:r>
      <w:r>
        <w:t>Der Zahlungsdienstleister ist verpflichtet, den Zahlungsdienstnutzer mit dem Angebot zur Vertragsänderung auf die Folgen seines Schweigens sowie auf das Recht zur kostenfreien und fristlosen Kündigung hinzuweisen.</w:t>
      </w:r>
    </w:p>
    <w:p>
      <w:r>
        <w:t xml:space="preserve">(3) </w:t>
      </w:r>
      <w:r>
        <w:rPr>
          <w:rStyle w:val="Satznummer"/>
        </w:rPr>
        <w:t>1</w:t>
      </w:r>
      <w:r>
        <w:t xml:space="preserve">Änderungen von Zinssätzen oder Wechselkursen werden unmittelbar und ohne vorherige Benachrichtigung wirksam, soweit dies im Zahlungsdiensterahmenvertrag vereinbart wurde und die Änderungen auf den dort vereinbarten Referenzzinssätzen oder Referenzwechselkursen beruhen. </w:t>
      </w:r>
      <w:r>
        <w:rPr>
          <w:rStyle w:val="Satznummer"/>
        </w:rPr>
        <w:t>2</w:t>
      </w:r>
      <w:r>
        <w:t xml:space="preserve">Referenzzinssatz ist der Zinssatz, der bei der Zinsberechnung zugrunde gelegt wird und aus einer öffentlich zugänglichen und für beide Parteien eines Zahlungsdienstevertrags überprüfbaren Quelle stammt. </w:t>
      </w:r>
      <w:r>
        <w:rPr>
          <w:rStyle w:val="Satznummer"/>
        </w:rPr>
        <w:t>3</w:t>
      </w:r>
      <w:r>
        <w:t>Referenzwechselkurs ist der Wechselkurs, der bei jedem Währungsumtausch zugrunde gelegt und vom Zahlungsdienstleister zugänglich gemacht wird oder aus einer öffentlich zugänglichen Quelle stammt.</w:t>
      </w:r>
    </w:p>
    <w:p>
      <w:r>
        <w:t>(4) Der Zahlungsdienstnutzer darf durch Vereinbarungen zur Berechnung nach Absatz 3 nicht benachteiligt werden.</w:t>
      </w:r>
    </w:p>
    <w:p>
      <w:pPr>
        <w:pStyle w:val="Heading6"/>
      </w:pPr>
      <w:bookmarkStart w:id="1075" w:name="b1060"/>
      <w:r>
        <w:t>§ 675h Ordentliche Kündigung eines Zahlungsdiensterahmenvertrags</w:t>
      </w:r>
      <w:r>
        <w:t xml:space="preserve"> </w:t>
      </w:r>
      <w:r>
        <w:rPr>
          <w:rStyle w:val="Suchmarke"/>
        </w:rPr>
        <w:t>#675h#</w:t>
      </w:r>
      <w:bookmarkEnd w:id="1075"/>
    </w:p>
    <w:p>
      <w:r>
        <w:t xml:space="preserve">(1) </w:t>
      </w:r>
      <w:r>
        <w:rPr>
          <w:rStyle w:val="Satznummer"/>
        </w:rPr>
        <w:t>1</w:t>
      </w:r>
      <w:r>
        <w:t xml:space="preserve">Der Zahlungsdienstnutzer kann den Zahlungsdiensterahmenvertrag, auch wenn dieser für einen bestimmten Zeitraum geschlossen ist, jederzeit ohne Einhaltung einer Kündigungsfrist kündigen, sofern nicht eine Kündigungsfrist vereinbart wurde. </w:t>
      </w:r>
      <w:r>
        <w:rPr>
          <w:rStyle w:val="Satznummer"/>
        </w:rPr>
        <w:t>2</w:t>
      </w:r>
      <w:r>
        <w:t>Die Vereinbarung einer Kündigungsfrist von mehr als einem Monat ist unwirksam.</w:t>
      </w:r>
    </w:p>
    <w:p>
      <w:r>
        <w:t xml:space="preserve">(2) </w:t>
      </w:r>
      <w:r>
        <w:rPr>
          <w:rStyle w:val="Satznummer"/>
        </w:rPr>
        <w:t>1</w:t>
      </w:r>
      <w:r>
        <w:t xml:space="preserve">Der Zahlungsdienstleister kann den Zahlungsdiensterahmenvertrag nur kündigen, wenn der Vertrag auf unbestimmte Zeit geschlossen wurde und das Kündigungsrecht vereinbart wurde. </w:t>
      </w:r>
      <w:r>
        <w:rPr>
          <w:rStyle w:val="Satznummer"/>
        </w:rPr>
        <w:t>2</w:t>
      </w:r>
      <w:r>
        <w:t xml:space="preserve">Die Kündigungsfrist darf zwei Monate nicht unterschreiten. </w:t>
      </w:r>
      <w:r>
        <w:rPr>
          <w:rStyle w:val="Satznummer"/>
        </w:rPr>
        <w:t>3</w:t>
      </w:r>
      <w:r>
        <w:t>Die Kündigung ist in der in Artikel 248 §§ 2 und 3 des Einführungsgesetzes zum Bürgerlichen Gesetzbuche vorgesehenen Form zu erklären.</w:t>
      </w:r>
    </w:p>
    <w:p>
      <w:r>
        <w:t xml:space="preserve">(3) </w:t>
      </w:r>
      <w:r>
        <w:rPr>
          <w:rStyle w:val="Satznummer"/>
        </w:rPr>
        <w:t>1</w:t>
      </w:r>
      <w:r>
        <w:t xml:space="preserve">Im Fall der Kündigung sind regelmäßig erhobene Entgelte nur anteilig bis zum Zeitpunkt der Beendigung des Vertrags zu entrichten. </w:t>
      </w:r>
      <w:r>
        <w:rPr>
          <w:rStyle w:val="Satznummer"/>
        </w:rPr>
        <w:t>2</w:t>
      </w:r>
      <w:r>
        <w:t>Im Voraus gezahlte Entgelte, die auf die Zeit nach Beendigung des Vertrags fallen, sind anteilig zu erstatten.</w:t>
      </w:r>
    </w:p>
    <w:p>
      <w:r>
        <w:t>(4) Der Zahlungsdienstleister darf mit dem Zahlungsdienstnutzer für die Kündigung des Zahlungsdiensterahmenvertrags kein Entgelt vereinbaren.</w:t>
      </w:r>
    </w:p>
    <w:p>
      <w:pPr>
        <w:pStyle w:val="Heading6"/>
      </w:pPr>
      <w:bookmarkStart w:id="1076" w:name="b1061"/>
      <w:r>
        <w:t>§ 675i Ausnahmen für Kleinbetragsinstrumente und E-Geld</w:t>
      </w:r>
      <w:r>
        <w:t xml:space="preserve"> </w:t>
      </w:r>
      <w:r>
        <w:rPr>
          <w:rStyle w:val="Suchmarke"/>
        </w:rPr>
        <w:t>#675i#</w:t>
      </w:r>
      <w:bookmarkEnd w:id="1076"/>
    </w:p>
    <w:p>
      <w:r>
        <w:t xml:space="preserve">(1) </w:t>
      </w:r>
      <w:r>
        <w:rPr>
          <w:rStyle w:val="Satznummer"/>
        </w:rPr>
        <w:t>1</w:t>
      </w:r>
      <w:r>
        <w:t xml:space="preserve">Ein Zahlungsdienstevertrag kann die Überlassung eines Kleinbetragsinstruments an den Zahlungsdienstnutzer vorsehen. </w:t>
      </w:r>
      <w:r>
        <w:rPr>
          <w:rStyle w:val="Satznummer"/>
        </w:rPr>
        <w:t>2</w:t>
      </w:r>
      <w:r>
        <w:t>Ein Kleinbetragsinstrument ist ein Mittel,</w:t>
      </w:r>
    </w:p>
    <w:p>
      <w:pPr>
        <w:tabs>
          <w:tab w:pos="567" w:val="left"/>
        </w:tabs>
        <w:ind w:left="567" w:hanging="567"/>
      </w:pPr>
      <w:r>
        <w:t>1.</w:t>
      </w:r>
      <w:r>
        <w:tab/>
      </w:r>
      <w:r>
        <w:t>mit dem nur einzelne Zahlungsvorgänge bis höchstens 30 Euro ausgelöst werden können,</w:t>
      </w:r>
    </w:p>
    <w:p>
      <w:pPr>
        <w:tabs>
          <w:tab w:pos="567" w:val="left"/>
        </w:tabs>
        <w:ind w:left="567" w:hanging="567"/>
      </w:pPr>
      <w:r>
        <w:t>2.</w:t>
      </w:r>
      <w:r>
        <w:tab/>
      </w:r>
      <w:r>
        <w:t>das eine Ausgabenobergrenze von 150 Euro hat oder</w:t>
      </w:r>
    </w:p>
    <w:p>
      <w:pPr>
        <w:tabs>
          <w:tab w:pos="567" w:val="left"/>
        </w:tabs>
        <w:ind w:left="567" w:hanging="567"/>
      </w:pPr>
      <w:r>
        <w:t>3.</w:t>
      </w:r>
      <w:r>
        <w:tab/>
      </w:r>
      <w:r>
        <w:t>das Geldbeträge speichert, die zu keiner Zeit 150 Euro übersteigen.</w:t>
      </w:r>
    </w:p>
    <w:p>
      <w:r>
        <w:rPr>
          <w:rStyle w:val="Satznummer"/>
        </w:rPr>
        <w:t>3</w:t>
      </w:r>
      <w:r>
        <w:t>In den Fällen der Nummern 2 und 3 erhöht sich die Betragsgrenze auf 200 Euro, wenn das Kleinbetragsinstrument nur für inländische Zahlungsvorgänge genutzt werden kann.</w:t>
      </w:r>
    </w:p>
    <w:p>
      <w:r>
        <w:t>(2) Im Fall des Absatzes 1 können die Parteien vereinbaren, dass</w:t>
      </w:r>
    </w:p>
    <w:p>
      <w:pPr>
        <w:tabs>
          <w:tab w:pos="567" w:val="left"/>
        </w:tabs>
        <w:ind w:left="567" w:hanging="567"/>
      </w:pPr>
      <w:r>
        <w:t>1.</w:t>
      </w:r>
      <w:r>
        <w:tab/>
      </w:r>
      <w:r>
        <w:t xml:space="preserve">der Zahlungsdienstleister Änderungen der Vertragsbedingungen nicht in der in </w:t>
      </w:r>
      <w:hyperlink w:anchor="b1059" w:history="1">
        <w:r>
          <w:rPr>
            <w:color w:val="0A3A8C"/>
            <w:u w:val="single"/>
          </w:rPr>
          <w:t xml:space="preserve">§ 675g</w:t>
        </w:r>
      </w:hyperlink>
      <w:r>
        <w:t xml:space="preserve"> Abs. 1 vorgesehenen Form anbieten muss,</w:t>
      </w:r>
    </w:p>
    <w:p>
      <w:pPr>
        <w:tabs>
          <w:tab w:pos="567" w:val="left"/>
        </w:tabs>
        <w:ind w:left="567" w:hanging="567"/>
      </w:pPr>
      <w:r>
        <w:t>2.</w:t>
      </w:r>
      <w:r>
        <w:tab/>
      </w:r>
      <w:hyperlink w:anchor="b1066" w:history="1">
        <w:r>
          <w:rPr>
            <w:color w:val="0A3A8C"/>
            <w:u w:val="single"/>
          </w:rPr>
          <w:t xml:space="preserve">§ 675l</w:t>
        </w:r>
      </w:hyperlink>
      <w:r>
        <w:t xml:space="preserve"> Absatz 1 Satz 2, </w:t>
      </w:r>
      <w:hyperlink w:anchor="b1067" w:history="1">
        <w:r>
          <w:rPr>
            <w:color w:val="0A3A8C"/>
            <w:u w:val="single"/>
          </w:rPr>
          <w:t xml:space="preserve">§ 675m</w:t>
        </w:r>
      </w:hyperlink>
      <w:r>
        <w:t xml:space="preserve"> Absatz 1 Satz 1 Nummer 3 und 5 sowie Satz 2 und </w:t>
      </w:r>
      <w:hyperlink w:anchor="b1078" w:history="1">
        <w:r>
          <w:rPr>
            <w:color w:val="0A3A8C"/>
            <w:u w:val="single"/>
          </w:rPr>
          <w:t xml:space="preserve">§ 675v</w:t>
        </w:r>
      </w:hyperlink>
      <w:r>
        <w:t xml:space="preserve"> Absatz 5 nicht anzuwenden sind, wenn das Kleinbetragsinstrument nicht gesperrt oder eine weitere Nutzung nicht verhindert werden kann,</w:t>
      </w:r>
    </w:p>
    <w:p>
      <w:pPr>
        <w:tabs>
          <w:tab w:pos="567" w:val="left"/>
        </w:tabs>
        <w:ind w:left="567" w:hanging="567"/>
      </w:pPr>
      <w:r>
        <w:t>3.</w:t>
      </w:r>
      <w:r>
        <w:tab/>
      </w:r>
      <w:r>
        <w:t xml:space="preserve">die </w:t>
      </w:r>
      <w:hyperlink w:anchor="b1077" w:history="1">
        <w:r>
          <w:rPr>
            <w:color w:val="0A3A8C"/>
            <w:u w:val="single"/>
          </w:rPr>
          <w:t xml:space="preserve">§§ 675u</w:t>
        </w:r>
      </w:hyperlink>
      <w:r>
        <w:t xml:space="preserve">, </w:t>
      </w:r>
      <w:hyperlink w:anchor="b1078" w:history="1">
        <w:r>
          <w:rPr>
            <w:color w:val="0A3A8C"/>
            <w:u w:val="single"/>
          </w:rPr>
          <w:t xml:space="preserve">675v</w:t>
        </w:r>
      </w:hyperlink>
      <w:r>
        <w:t xml:space="preserve"> Absatz 1 bis 3 und 5, die </w:t>
      </w:r>
      <w:hyperlink w:anchor="b1079" w:history="1">
        <w:r>
          <w:rPr>
            <w:color w:val="0A3A8C"/>
            <w:u w:val="single"/>
          </w:rPr>
          <w:t xml:space="preserve">§§ 675w</w:t>
        </w:r>
      </w:hyperlink>
      <w:r>
        <w:t xml:space="preserve"> und </w:t>
      </w:r>
      <w:hyperlink w:anchor="b1083" w:history="1">
        <w:r>
          <w:rPr>
            <w:color w:val="0A3A8C"/>
            <w:u w:val="single"/>
          </w:rPr>
          <w:t xml:space="preserve">676</w:t>
        </w:r>
      </w:hyperlink>
      <w:r>
        <w:t xml:space="preserve"> nicht anzuwenden sind, wenn die Nutzung des Kleinbetragsinstruments keinem Zahlungsdienstnutzer zugeordnet werden kann oder der Zahlungsdienstleister aus anderen Gründen, die in dem Kleinbetragsinstrument selbst angelegt sind, nicht nachweisen kann, dass ein Zahlungsvorgang autorisiert war,</w:t>
      </w:r>
    </w:p>
    <w:p>
      <w:pPr>
        <w:tabs>
          <w:tab w:pos="567" w:val="left"/>
        </w:tabs>
        <w:ind w:left="567" w:hanging="567"/>
      </w:pPr>
      <w:r>
        <w:t>4.</w:t>
      </w:r>
      <w:r>
        <w:tab/>
      </w:r>
      <w:r>
        <w:t xml:space="preserve">der Zahlungsdienstleister abweichend von </w:t>
      </w:r>
      <w:hyperlink w:anchor="b1070" w:history="1">
        <w:r>
          <w:rPr>
            <w:color w:val="0A3A8C"/>
            <w:u w:val="single"/>
          </w:rPr>
          <w:t xml:space="preserve">§ 675o</w:t>
        </w:r>
      </w:hyperlink>
      <w:r>
        <w:t xml:space="preserve"> Abs. 1 nicht verpflichtet ist, den Zahlungsdienstnutzer von einer Ablehnung des Zahlungsauftrags zu unterrichten, wenn die Nichtausführung aus dem Zusammenhang hervorgeht,</w:t>
      </w:r>
    </w:p>
    <w:p>
      <w:pPr>
        <w:tabs>
          <w:tab w:pos="567" w:val="left"/>
        </w:tabs>
        <w:ind w:left="567" w:hanging="567"/>
      </w:pPr>
      <w:r>
        <w:t>5.</w:t>
      </w:r>
      <w:r>
        <w:tab/>
      </w:r>
      <w:r>
        <w:t>der Zahler abweichend von § 675p den Zahlungsauftrag nach dessen Übermittlung oder nachdem er dem Zahlungsempfänger seine Zustimmung zum Zahlungsauftrag erteilt hat, nicht widerrufen kann, oder</w:t>
      </w:r>
    </w:p>
    <w:p>
      <w:pPr>
        <w:tabs>
          <w:tab w:pos="567" w:val="left"/>
        </w:tabs>
        <w:ind w:left="567" w:hanging="567"/>
      </w:pPr>
      <w:r>
        <w:t>6.</w:t>
      </w:r>
      <w:r>
        <w:tab/>
      </w:r>
      <w:r>
        <w:t xml:space="preserve">andere als die in </w:t>
      </w:r>
      <w:hyperlink w:anchor="b1074" w:history="1">
        <w:r>
          <w:rPr>
            <w:color w:val="0A3A8C"/>
            <w:u w:val="single"/>
          </w:rPr>
          <w:t xml:space="preserve">§ 675s</w:t>
        </w:r>
      </w:hyperlink>
      <w:r>
        <w:t xml:space="preserve"> bestimmten Ausführungsfristen gelten.</w:t>
      </w:r>
    </w:p>
    <w:p>
      <w:r>
        <w:t xml:space="preserve">(3) </w:t>
      </w:r>
      <w:r>
        <w:rPr>
          <w:rStyle w:val="Satznummer"/>
        </w:rPr>
        <w:t>1</w:t>
      </w:r>
      <w:r>
        <w:t xml:space="preserve">Die </w:t>
      </w:r>
      <w:hyperlink w:anchor="b1077" w:history="1">
        <w:r>
          <w:rPr>
            <w:color w:val="0A3A8C"/>
            <w:u w:val="single"/>
          </w:rPr>
          <w:t xml:space="preserve">§§ 675u</w:t>
        </w:r>
      </w:hyperlink>
      <w:r>
        <w:t xml:space="preserve"> und </w:t>
      </w:r>
      <w:hyperlink w:anchor="b1078" w:history="1">
        <w:r>
          <w:rPr>
            <w:color w:val="0A3A8C"/>
            <w:u w:val="single"/>
          </w:rPr>
          <w:t xml:space="preserve">675v</w:t>
        </w:r>
      </w:hyperlink>
      <w:r>
        <w:t xml:space="preserve"> sind für E-Geld nicht anzuwenden, wenn der Zahlungsdienstleister des Zahlers nicht die Möglichkeit hat, das Zahlungskonto, auf dem das E-Geld gespeichert ist, oder das Kleinbetragsinstrument zu sperren. </w:t>
      </w:r>
      <w:r>
        <w:rPr>
          <w:rStyle w:val="Satznummer"/>
        </w:rPr>
        <w:t>2</w:t>
      </w:r>
      <w:r>
        <w:t>Satz 1 gilt nur für Zahlungskonten, auf denen das E-Geld gespeichert ist, oder Kleinbetragsinstrumente mit einem Wert von höchstens 200 Euro.</w:t>
      </w:r>
    </w:p>
    <w:p>
      <w:pPr>
        <w:pStyle w:val="Heading5"/>
      </w:pPr>
      <w:bookmarkStart w:id="1077" w:name="b1062"/>
      <w:r>
        <w:t>Kapitel 3 Erbringung und Nutzung von Zahlungsdiensten</w:t>
      </w:r>
      <w:bookmarkEnd w:id="1077"/>
    </w:p>
    <w:p>
      <w:pPr>
        <w:pStyle w:val="Heading6"/>
      </w:pPr>
      <w:bookmarkStart w:id="1078" w:name="b1063"/>
      <w:r>
        <w:t>Unterkapitel 1 Autorisierung von Zahlungsvorgängen; Zahlungsinstrumente; Verweigerung des Zugangs zum Zahlungskonto</w:t>
      </w:r>
      <w:bookmarkEnd w:id="1078"/>
    </w:p>
    <w:p>
      <w:pPr>
        <w:pStyle w:val="Heading7"/>
      </w:pPr>
      <w:bookmarkStart w:id="1079" w:name="b1064"/>
      <w:r>
        <w:t>§ 675j Zustimmung und Widerruf der Zustimmung</w:t>
      </w:r>
      <w:r>
        <w:t xml:space="preserve"> </w:t>
      </w:r>
      <w:r>
        <w:rPr>
          <w:rStyle w:val="Suchmarke"/>
        </w:rPr>
        <w:t>#675j#</w:t>
      </w:r>
      <w:bookmarkEnd w:id="1079"/>
    </w:p>
    <w:p>
      <w:r>
        <w:t xml:space="preserve">(1) </w:t>
      </w:r>
      <w:r>
        <w:rPr>
          <w:rStyle w:val="Satznummer"/>
        </w:rPr>
        <w:t>1</w:t>
      </w:r>
      <w:r>
        <w:t xml:space="preserve">Ein Zahlungsvorgang ist gegenüber dem Zahler nur wirksam, wenn er diesem zugestimmt hat (Autorisierung). </w:t>
      </w:r>
      <w:r>
        <w:rPr>
          <w:rStyle w:val="Satznummer"/>
        </w:rPr>
        <w:t>2</w:t>
      </w:r>
      <w:r>
        <w:t xml:space="preserve">Die Zustimmung kann entweder als Einwilligung oder, sofern zwischen dem Zahler und seinem Zahlungsdienstleister zuvor vereinbart, als Genehmigung erteilt werden. </w:t>
      </w:r>
      <w:r>
        <w:rPr>
          <w:rStyle w:val="Satznummer"/>
        </w:rPr>
        <w:t>3</w:t>
      </w:r>
      <w:r>
        <w:t xml:space="preserve">Art und Weise der Zustimmung sind zwischen dem Zahler und seinem Zahlungsdienstleister zu vereinbaren. </w:t>
      </w:r>
      <w:r>
        <w:rPr>
          <w:rStyle w:val="Satznummer"/>
        </w:rPr>
        <w:t>4</w:t>
      </w:r>
      <w:r>
        <w:t>Insbesondere kann vereinbart werden, dass die Zustimmung mittels eines bestimmten Zahlungsinstruments erteilt werden kann.</w:t>
      </w:r>
    </w:p>
    <w:p>
      <w:r>
        <w:t xml:space="preserve">(2) </w:t>
      </w:r>
      <w:r>
        <w:rPr>
          <w:rStyle w:val="Satznummer"/>
        </w:rPr>
        <w:t>1</w:t>
      </w:r>
      <w:r>
        <w:t>Die Zustimmung kann vom Zahler durch Erklärung gegenüber dem Zahlungsdienstleister so lange widerrufen werden, wie der Zahlungsauftrag widerruflich ist (</w:t>
      </w:r>
      <w:hyperlink w:anchor="b1071" w:history="1">
        <w:r>
          <w:rPr>
            <w:color w:val="0A3A8C"/>
            <w:u w:val="single"/>
          </w:rPr>
          <w:t xml:space="preserve">§ 675p</w:t>
        </w:r>
      </w:hyperlink>
      <w:r>
        <w:t xml:space="preserve">). </w:t>
      </w:r>
      <w:r>
        <w:rPr>
          <w:rStyle w:val="Satznummer"/>
        </w:rPr>
        <w:t>2</w:t>
      </w:r>
      <w:r>
        <w:t>Auch die Zustimmung zur Ausführung mehrerer Zahlungsvorgänge kann mit der Folge widerrufen werden, dass jeder nachfolgende Zahlungsvorgang nicht mehr autorisiert ist.</w:t>
      </w:r>
    </w:p>
    <w:p>
      <w:pPr>
        <w:pStyle w:val="Heading7"/>
      </w:pPr>
      <w:bookmarkStart w:id="1080" w:name="b1065"/>
      <w:r>
        <w:t>§ 675k Begrenzung der Nutzung eines Zahlungsinstruments; Verweigerung des Zugangs zum Zahlungskonto</w:t>
      </w:r>
      <w:r>
        <w:t xml:space="preserve"> </w:t>
      </w:r>
      <w:r>
        <w:rPr>
          <w:rStyle w:val="Suchmarke"/>
        </w:rPr>
        <w:t>#675k#</w:t>
      </w:r>
      <w:bookmarkEnd w:id="1080"/>
    </w:p>
    <w:p>
      <w:r>
        <w:t>(1) In Fällen, in denen die Zustimmung mittels eines Zahlungsinstruments erteilt wird, können der Zahler und der Zahlungsdienstleister Betragsobergrenzen für die Nutzung dieses Zahlungsinstruments vereinbaren.</w:t>
      </w:r>
    </w:p>
    <w:p>
      <w:r>
        <w:t xml:space="preserve">(2) </w:t>
      </w:r>
      <w:r>
        <w:rPr>
          <w:rStyle w:val="Satznummer"/>
        </w:rPr>
        <w:t>1</w:t>
      </w:r>
      <w:r>
        <w:t>Zahler und Zahlungsdienstleister können vereinbaren, dass der Zahlungsdienstleister das Recht hat, ein Zahlungsinstrument zu sperren, wenn</w:t>
      </w:r>
    </w:p>
    <w:p>
      <w:pPr>
        <w:tabs>
          <w:tab w:pos="567" w:val="left"/>
        </w:tabs>
        <w:ind w:left="567" w:hanging="567"/>
      </w:pPr>
      <w:r>
        <w:t>1.</w:t>
      </w:r>
      <w:r>
        <w:tab/>
      </w:r>
      <w:r>
        <w:t>sachliche Gründe im Zusammenhang mit der Sicherheit des Zahlungsinstruments dies rechtfertigen,</w:t>
      </w:r>
    </w:p>
    <w:p>
      <w:pPr>
        <w:tabs>
          <w:tab w:pos="567" w:val="left"/>
        </w:tabs>
        <w:ind w:left="567" w:hanging="567"/>
      </w:pPr>
      <w:r>
        <w:t>2.</w:t>
      </w:r>
      <w:r>
        <w:tab/>
      </w:r>
      <w:r>
        <w:t>der Verdacht einer nicht autorisierten oder einer betrügerischen Verwendung des Zahlungsinstruments besteht oder</w:t>
      </w:r>
    </w:p>
    <w:p>
      <w:pPr>
        <w:tabs>
          <w:tab w:pos="567" w:val="left"/>
        </w:tabs>
        <w:ind w:left="567" w:hanging="567"/>
      </w:pPr>
      <w:r>
        <w:t>3.</w:t>
      </w:r>
      <w:r>
        <w:tab/>
      </w:r>
      <w:r>
        <w:t>bei einem Zahlungsinstrument mit Kreditgewährung ein wesentlich erhöhtes Risiko besteht, dass der Zahler seiner Zahlungspflicht nicht nachkommen kann.</w:t>
      </w:r>
    </w:p>
    <w:p>
      <w:r>
        <w:rPr>
          <w:rStyle w:val="Satznummer"/>
        </w:rPr>
        <w:t>2</w:t>
      </w:r>
      <w:r>
        <w:t xml:space="preserve">In diesem Fall ist der Zahlungsdienstleister verpflichtet, den Zahler über die Sperrung des Zahlungsinstruments möglichst vor, spätestens jedoch unverzüglich nach der Sperrung zu unterrichten. </w:t>
      </w:r>
      <w:r>
        <w:rPr>
          <w:rStyle w:val="Satznummer"/>
        </w:rPr>
        <w:t>3</w:t>
      </w:r>
      <w:r>
        <w:t xml:space="preserve">In der Unterrichtung sind die Gründe für die Sperrung anzugeben. </w:t>
      </w:r>
      <w:r>
        <w:rPr>
          <w:rStyle w:val="Satznummer"/>
        </w:rPr>
        <w:t>4</w:t>
      </w:r>
      <w:r>
        <w:t xml:space="preserve">Die Angabe von Gründen darf unterbleiben, soweit der Zahlungsdienstleister hierdurch gegen gesetzliche Verpflichtungen verstoßen würde. </w:t>
      </w:r>
      <w:r>
        <w:rPr>
          <w:rStyle w:val="Satznummer"/>
        </w:rPr>
        <w:t>5</w:t>
      </w:r>
      <w:r>
        <w:t xml:space="preserve">Der Zahlungsdienstleister ist verpflichtet, das Zahlungsinstrument zu entsperren oder dieses durch ein neues Zahlungsinstrument zu ersetzen, wenn die Gründe für die Sperrung nicht mehr gegeben sind. </w:t>
      </w:r>
      <w:r>
        <w:rPr>
          <w:rStyle w:val="Satznummer"/>
        </w:rPr>
        <w:t>6</w:t>
      </w:r>
      <w:r>
        <w:t>Der Zahlungsdienstnutzer ist über eine Entsperrung unverzüglich zu unterrichten.</w:t>
      </w:r>
    </w:p>
    <w:p>
      <w:r>
        <w:t xml:space="preserve">(3) </w:t>
      </w:r>
      <w:r>
        <w:rPr>
          <w:rStyle w:val="Satznummer"/>
        </w:rPr>
        <w:t>1</w:t>
      </w:r>
      <w:r>
        <w:t xml:space="preserve">Hat der kontoführende Zahlungsdienstleister einem Zahlungsauslöse- oder Kontoinformationsdienstleister den Zugang zum Zahlungskonto des Zahlungsdienstnutzers verweigert, ist er verpflichtet, den Zahlungsdienstnutzer in einer im Zahlungsdiensterahmenvertrag zu vereinbarenden Form über die Gründe zu unterrichten. </w:t>
      </w:r>
      <w:r>
        <w:rPr>
          <w:rStyle w:val="Satznummer"/>
        </w:rPr>
        <w:t>2</w:t>
      </w:r>
      <w:r>
        <w:t xml:space="preserve">Die Unterrichtung muss möglichst vor, spätestens jedoch unverzüglich nach der Verweigerung des Zugangs erfolgen. </w:t>
      </w:r>
      <w:r>
        <w:rPr>
          <w:rStyle w:val="Satznummer"/>
        </w:rPr>
        <w:t>3</w:t>
      </w:r>
      <w:r>
        <w:t>Die Angabe von Gründen darf unterbleiben, soweit der kontoführende Zahlungsdienstleister hierdurch gegen gesetzliche Verpflichtungen verstoßen würde.</w:t>
      </w:r>
    </w:p>
    <w:p>
      <w:pPr>
        <w:pStyle w:val="Heading7"/>
      </w:pPr>
      <w:bookmarkStart w:id="1081" w:name="b1066"/>
      <w:r>
        <w:t>§ 675l Pflichten des Zahlungsdienstnutzers in Bezug auf Zahlungsinstrumente</w:t>
      </w:r>
      <w:r>
        <w:t xml:space="preserve"> </w:t>
      </w:r>
      <w:r>
        <w:rPr>
          <w:rStyle w:val="Suchmarke"/>
        </w:rPr>
        <w:t>#675l#</w:t>
      </w:r>
      <w:bookmarkEnd w:id="1081"/>
    </w:p>
    <w:p>
      <w:r>
        <w:t xml:space="preserve">(1) </w:t>
      </w:r>
      <w:r>
        <w:rPr>
          <w:rStyle w:val="Satznummer"/>
        </w:rPr>
        <w:t>1</w:t>
      </w:r>
      <w:r>
        <w:t xml:space="preserve">Der Zahlungsdienstnutzer ist verpflichtet, unmittelbar nach Erhalt eines Zahlungsinstruments alle zumutbaren Vorkehrungen zu treffen, um die personalisierten Sicherheitsmerkmale vor unbefugtem Zugriff zu schützen. </w:t>
      </w:r>
      <w:r>
        <w:rPr>
          <w:rStyle w:val="Satznummer"/>
        </w:rPr>
        <w:t>2</w:t>
      </w:r>
      <w:r>
        <w:t xml:space="preserve">Er hat dem Zahlungsdienstleister oder einer von diesem benannten Stelle den Verlust, den Diebstahl, die missbräuchliche Verwendung oder die sonstige nicht autorisierte Nutzung eines Zahlungsinstruments unverzüglich anzuzeigen, nachdem er hiervon Kenntnis erlangt hat. </w:t>
      </w:r>
      <w:r>
        <w:rPr>
          <w:rStyle w:val="Satznummer"/>
        </w:rPr>
        <w:t>3</w:t>
      </w:r>
      <w:r>
        <w:t>Für den Ersatz eines verlorenen, gestohlenen, missbräuchlich verwendeten oder sonst nicht autorisiert genutzten Zahlungsinstruments darf der Zahlungsdienstleister mit dem Zahlungsdienstnutzer ein Entgelt vereinbaren, das allenfalls die ausschließlich und unmittelbar mit dem Ersatz verbundenen Kosten abdeckt.</w:t>
      </w:r>
    </w:p>
    <w:p>
      <w:r>
        <w:t>(2) Eine Vereinbarung, durch die sich der Zahlungsdienstnutzer gegenüber dem Zahlungsdienstleister verpflichtet, Bedingungen für die Ausgabe und Nutzung eines Zahlungsinstruments einzuhalten, ist nur insoweit wirksam, als diese Bedingungen sachlich, verhältnismäßig und nicht benachteiligend sind.</w:t>
      </w:r>
    </w:p>
    <w:p>
      <w:pPr>
        <w:pStyle w:val="Heading7"/>
      </w:pPr>
      <w:bookmarkStart w:id="1082" w:name="b1067"/>
      <w:r>
        <w:t>§ 675m Pflichten des Zahlungsdienstleisters in Bezug auf Zahlungsinstrumente; Risiko der Versendung</w:t>
      </w:r>
      <w:r>
        <w:t xml:space="preserve"> </w:t>
      </w:r>
      <w:r>
        <w:rPr>
          <w:rStyle w:val="Suchmarke"/>
        </w:rPr>
        <w:t>#675m#</w:t>
      </w:r>
      <w:bookmarkEnd w:id="1082"/>
    </w:p>
    <w:p>
      <w:r>
        <w:t xml:space="preserve">(1) </w:t>
      </w:r>
      <w:r>
        <w:rPr>
          <w:rStyle w:val="Satznummer"/>
        </w:rPr>
        <w:t>1</w:t>
      </w:r>
      <w:r>
        <w:t>Der Zahlungsdienstleister, der ein Zahlungsinstrument ausgibt, ist verpflichtet,</w:t>
      </w:r>
    </w:p>
    <w:p>
      <w:pPr>
        <w:tabs>
          <w:tab w:pos="567" w:val="left"/>
        </w:tabs>
        <w:ind w:left="567" w:hanging="567"/>
      </w:pPr>
      <w:r>
        <w:t>1.</w:t>
      </w:r>
      <w:r>
        <w:tab/>
      </w:r>
      <w:r>
        <w:t xml:space="preserve">unbeschadet der Pflichten des Zahlungsdienstnutzers gemäß </w:t>
      </w:r>
      <w:hyperlink w:anchor="b1066" w:history="1">
        <w:r>
          <w:rPr>
            <w:color w:val="0A3A8C"/>
            <w:u w:val="single"/>
          </w:rPr>
          <w:t xml:space="preserve">§ 675l</w:t>
        </w:r>
      </w:hyperlink>
      <w:r>
        <w:t xml:space="preserve"> Absatz 1 sicherzustellen, dass die personalisierten Sicherheitsmerkmale des Zahlungsinstruments nur der zur Nutzung berechtigten Person zugänglich sind,</w:t>
      </w:r>
    </w:p>
    <w:p>
      <w:pPr>
        <w:tabs>
          <w:tab w:pos="567" w:val="left"/>
        </w:tabs>
        <w:ind w:left="567" w:hanging="567"/>
      </w:pPr>
      <w:r>
        <w:t>2.</w:t>
      </w:r>
      <w:r>
        <w:tab/>
      </w:r>
      <w:r>
        <w:t>die unaufgeforderte Zusendung von Zahlungsinstrumenten an den Zahlungsdienstnutzer zu unterlassen, es sei denn, ein bereits an den Zahlungsdienstnutzer ausgegebenes Zahlungsinstrument muss ersetzt werden,</w:t>
      </w:r>
    </w:p>
    <w:p>
      <w:pPr>
        <w:tabs>
          <w:tab w:pos="567" w:val="left"/>
        </w:tabs>
        <w:ind w:left="567" w:hanging="567"/>
      </w:pPr>
      <w:r>
        <w:t>3.</w:t>
      </w:r>
      <w:r>
        <w:tab/>
      </w:r>
      <w:r>
        <w:t xml:space="preserve">sicherzustellen, dass der Zahlungsdienstnutzer durch geeignete Mittel jederzeit die Möglichkeit hat, eine Anzeige gemäß </w:t>
      </w:r>
      <w:hyperlink w:anchor="b1066" w:history="1">
        <w:r>
          <w:rPr>
            <w:color w:val="0A3A8C"/>
            <w:u w:val="single"/>
          </w:rPr>
          <w:t xml:space="preserve">§ 675l</w:t>
        </w:r>
      </w:hyperlink>
      <w:r>
        <w:t xml:space="preserve"> Absatz 1 Satz 2 vorzunehmen oder die Aufhebung der Sperrung gemäß </w:t>
      </w:r>
      <w:hyperlink w:anchor="b1065" w:history="1">
        <w:r>
          <w:rPr>
            <w:color w:val="0A3A8C"/>
            <w:u w:val="single"/>
          </w:rPr>
          <w:t xml:space="preserve">§ 675k</w:t>
        </w:r>
      </w:hyperlink>
      <w:r>
        <w:t xml:space="preserve"> Absatz 2 Satz 5 zu verlangen,</w:t>
      </w:r>
    </w:p>
    <w:p>
      <w:pPr>
        <w:tabs>
          <w:tab w:pos="567" w:val="left"/>
        </w:tabs>
        <w:ind w:left="567" w:hanging="567"/>
      </w:pPr>
      <w:r>
        <w:t>4.</w:t>
      </w:r>
      <w:r>
        <w:tab/>
      </w:r>
      <w:r>
        <w:t xml:space="preserve">dem Zahlungsdienstnutzer eine Anzeige gemäß </w:t>
      </w:r>
      <w:hyperlink w:anchor="b1066" w:history="1">
        <w:r>
          <w:rPr>
            <w:color w:val="0A3A8C"/>
            <w:u w:val="single"/>
          </w:rPr>
          <w:t xml:space="preserve">§ 675l</w:t>
        </w:r>
      </w:hyperlink>
      <w:r>
        <w:t xml:space="preserve"> Absatz 1 Satz 2 kostenfrei zu ermöglichen und</w:t>
      </w:r>
    </w:p>
    <w:p>
      <w:pPr>
        <w:tabs>
          <w:tab w:pos="567" w:val="left"/>
        </w:tabs>
        <w:ind w:left="567" w:hanging="567"/>
      </w:pPr>
      <w:r>
        <w:t>5.</w:t>
      </w:r>
      <w:r>
        <w:tab/>
      </w:r>
      <w:r>
        <w:t xml:space="preserve">jede Nutzung des Zahlungsinstruments zu verhindern, sobald eine Anzeige gemäß </w:t>
      </w:r>
      <w:hyperlink w:anchor="b1066" w:history="1">
        <w:r>
          <w:rPr>
            <w:color w:val="0A3A8C"/>
            <w:u w:val="single"/>
          </w:rPr>
          <w:t xml:space="preserve">§ 675l</w:t>
        </w:r>
      </w:hyperlink>
      <w:r>
        <w:t xml:space="preserve"> Absatz 1 Satz 2 erfolgt ist.</w:t>
      </w:r>
    </w:p>
    <w:p>
      <w:r>
        <w:rPr>
          <w:rStyle w:val="Satznummer"/>
        </w:rPr>
        <w:t>2</w:t>
      </w:r>
      <w:r>
        <w:t>Hat der Zahlungsdienstnutzer den Verlust, den Diebstahl, die missbräuchliche Verwendung oder die sonstige nicht autorisierte Nutzung eines Zahlungsinstruments angezeigt, stellt sein Zahlungsdienstleister ihm auf Anfrage bis mindestens 18 Monate nach dieser Anzeige die Mittel zur Verfügung, mit denen der Zahlungsdienstnutzer beweisen kann, dass eine Anzeige erfolgt ist.</w:t>
      </w:r>
    </w:p>
    <w:p>
      <w:r>
        <w:t>(2) Die Gefahr der Versendung eines Zahlungsinstruments und der Versendung personalisierter Sicherheitsmerkmale des Zahlungsinstruments an den Zahlungsdienstnutzer trägt der Zahlungsdienstleister.</w:t>
      </w:r>
    </w:p>
    <w:p>
      <w:r>
        <w:t>(3) Hat ein Zahlungsdienstleister, der kartengebundene Zahlungsinstrumente ausgibt, den kontoführenden Zahlungsdienstleister des Zahlers um Bestätigung ersucht, dass ein für die Ausführung eines kartengebundenen Zahlungsvorgangs erforderlicher Betrag auf dem Zahlungskonto verfügbar ist, so kann der Zahler von seinem kontoführenden Zahlungsdienstleister verlangen, ihm die Identifizierungsdaten dieses Zahlungsdienstleisters und die erteilte Antwort mitzuteilen.</w:t>
      </w:r>
    </w:p>
    <w:p>
      <w:pPr>
        <w:pStyle w:val="Heading6"/>
      </w:pPr>
      <w:bookmarkStart w:id="1083" w:name="b1068"/>
      <w:r>
        <w:t>Unterkapitel 2 Ausführung von Zahlungsvorgängen</w:t>
      </w:r>
      <w:bookmarkEnd w:id="1083"/>
    </w:p>
    <w:p>
      <w:pPr>
        <w:pStyle w:val="Heading7"/>
      </w:pPr>
      <w:bookmarkStart w:id="1084" w:name="b1069"/>
      <w:r>
        <w:t>§ 675n Zugang von Zahlungsaufträgen</w:t>
      </w:r>
      <w:r>
        <w:t xml:space="preserve"> </w:t>
      </w:r>
      <w:r>
        <w:rPr>
          <w:rStyle w:val="Suchmarke"/>
        </w:rPr>
        <w:t>#675n#</w:t>
      </w:r>
      <w:bookmarkEnd w:id="1084"/>
    </w:p>
    <w:p>
      <w:r>
        <w:t xml:space="preserve">(1) </w:t>
      </w:r>
      <w:r>
        <w:rPr>
          <w:rStyle w:val="Satznummer"/>
        </w:rPr>
        <w:t>1</w:t>
      </w:r>
      <w:r>
        <w:t xml:space="preserve">Ein Zahlungsauftrag wird wirksam, wenn er dem Zahlungsdienstleister des Zahlers zugeht. </w:t>
      </w:r>
      <w:r>
        <w:rPr>
          <w:rStyle w:val="Satznummer"/>
        </w:rPr>
        <w:t>2</w:t>
      </w:r>
      <w:r>
        <w:t xml:space="preserve">Fällt der Zeitpunkt des Zugangs nicht auf einen Geschäftstag des Zahlungsdienstleisters des Zahlers, gilt der Zahlungsauftrag als am darauf folgenden Geschäftstag zugegangen. </w:t>
      </w:r>
      <w:r>
        <w:rPr>
          <w:rStyle w:val="Satznummer"/>
        </w:rPr>
        <w:t>3</w:t>
      </w:r>
      <w:r>
        <w:t xml:space="preserve">Der Zahlungsdienstleister kann festlegen, dass Zahlungsaufträge, die nach einem bestimmten Zeitpunkt nahe am Ende eines Geschäftstags zugehen, für die Zwecke des </w:t>
      </w:r>
      <w:hyperlink w:anchor="b1074" w:history="1">
        <w:r>
          <w:rPr>
            <w:color w:val="0A3A8C"/>
            <w:u w:val="single"/>
          </w:rPr>
          <w:t xml:space="preserve">§ 675s</w:t>
        </w:r>
      </w:hyperlink>
      <w:r>
        <w:t xml:space="preserve"> Abs. 1 als am darauf folgenden Geschäftstag zugegangen gelten. </w:t>
      </w:r>
      <w:r>
        <w:rPr>
          <w:rStyle w:val="Satznummer"/>
        </w:rPr>
        <w:t>4</w:t>
      </w:r>
      <w:r>
        <w:t>Geschäftstag ist jeder Tag, an dem der an der Ausführung eines Zahlungsvorgangs beteiligte Zahlungsdienstleister den für die Ausführung von Zahlungsvorgängen erforderlichen Geschäftsbetrieb unterhält.</w:t>
      </w:r>
    </w:p>
    <w:p>
      <w:r>
        <w:t xml:space="preserve">(2) </w:t>
      </w:r>
      <w:r>
        <w:rPr>
          <w:rStyle w:val="Satznummer"/>
        </w:rPr>
        <w:t>1</w:t>
      </w:r>
      <w:r>
        <w:t xml:space="preserve">Vereinbaren der Zahlungsdienstnutzer, der einen Zahlungsvorgang auslöst oder über den ein Zahlungsvorgang ausgelöst wird, und sein Zahlungsdienstleister, dass die Ausführung des Zahlungsauftrags an einem bestimmten Tag oder am Ende eines bestimmten Zeitraums oder an dem Tag, an dem der Zahler dem Zahlungsdienstleister den zur Ausführung erforderlichen Geldbetrag zur Verfügung gestellt hat, beginnen soll, so gilt der vereinbarte Termin für die Zwecke des </w:t>
      </w:r>
      <w:hyperlink w:anchor="b1074" w:history="1">
        <w:r>
          <w:rPr>
            <w:color w:val="0A3A8C"/>
            <w:u w:val="single"/>
          </w:rPr>
          <w:t xml:space="preserve">§ 675s</w:t>
        </w:r>
      </w:hyperlink>
      <w:r>
        <w:t xml:space="preserve"> Abs. 1 als Zeitpunkt des Zugangs. </w:t>
      </w:r>
      <w:r>
        <w:rPr>
          <w:rStyle w:val="Satznummer"/>
        </w:rPr>
        <w:t>2</w:t>
      </w:r>
      <w:r>
        <w:t>Fällt der vereinbarte Termin nicht auf einen Geschäftstag des Zahlungsdienstleisters des Zahlers, so gilt für die Zwecke des § 675s Abs. 1 der darauf folgende Geschäftstag als Zeitpunkt des Zugangs.</w:t>
      </w:r>
    </w:p>
    <w:p>
      <w:pPr>
        <w:pStyle w:val="Heading7"/>
      </w:pPr>
      <w:bookmarkStart w:id="1085" w:name="b1070"/>
      <w:r>
        <w:t>§ 675o Ablehnung von Zahlungsaufträgen</w:t>
      </w:r>
      <w:r>
        <w:t xml:space="preserve"> </w:t>
      </w:r>
      <w:r>
        <w:rPr>
          <w:rStyle w:val="Suchmarke"/>
        </w:rPr>
        <w:t>#675o#</w:t>
      </w:r>
      <w:bookmarkEnd w:id="1085"/>
    </w:p>
    <w:p>
      <w:r>
        <w:t xml:space="preserve">(1) </w:t>
      </w:r>
      <w:r>
        <w:rPr>
          <w:rStyle w:val="Satznummer"/>
        </w:rPr>
        <w:t>1</w:t>
      </w:r>
      <w:r>
        <w:t xml:space="preserve">Lehnt der Zahlungsdienstleister die Ausführung oder Auslösung eines Zahlungsauftrags ab, ist er verpflichtet, den Zahlungsdienstnutzer hierüber unverzüglich, auf jeden Fall aber innerhalb der Fristen gemäß </w:t>
      </w:r>
      <w:hyperlink w:anchor="b1074" w:history="1">
        <w:r>
          <w:rPr>
            <w:color w:val="0A3A8C"/>
            <w:u w:val="single"/>
          </w:rPr>
          <w:t xml:space="preserve">§ 675s</w:t>
        </w:r>
      </w:hyperlink>
      <w:r>
        <w:t xml:space="preserve"> Abs. 1 zu unterrichten. </w:t>
      </w:r>
      <w:r>
        <w:rPr>
          <w:rStyle w:val="Satznummer"/>
        </w:rPr>
        <w:t>2</w:t>
      </w:r>
      <w:r>
        <w:t xml:space="preserve">In der Unterrichtung sind, soweit möglich, die Gründe für die Ablehnung sowie die Möglichkeiten anzugeben, wie Fehler, die zur Ablehnung geführt haben, berichtigt werden können. </w:t>
      </w:r>
      <w:r>
        <w:rPr>
          <w:rStyle w:val="Satznummer"/>
        </w:rPr>
        <w:t>3</w:t>
      </w:r>
      <w:r>
        <w:t xml:space="preserve">Die Angabe von Gründen darf unterbleiben, soweit sie gegen sonstige Rechtsvorschriften verstoßen würde. </w:t>
      </w:r>
      <w:r>
        <w:rPr>
          <w:rStyle w:val="Satznummer"/>
        </w:rPr>
        <w:t>4</w:t>
      </w:r>
      <w:r>
        <w:t>Der Zahlungsdienstleister darf mit dem Zahlungsdienstnutzer im Zahlungsdiensterahmenvertrag ein Entgelt für den Fall vereinbaren, dass er die Ausführung eines Zahlungsauftrags berechtigterweise ablehnt.</w:t>
      </w:r>
    </w:p>
    <w:p>
      <w:r>
        <w:t>(2) Der Zahlungsdienstleister des Zahlers ist nicht berechtigt, die Ausführung eines autorisierten Zahlungsauftrags abzulehnen, wenn die im Zahlungsdiensterahmenvertrag festgelegten Ausführungsbedingungen erfüllt sind und die Ausführung nicht gegen sonstige Rechtsvorschriften verstößt.</w:t>
      </w:r>
    </w:p>
    <w:p>
      <w:r>
        <w:t xml:space="preserve">(3) Für die Zwecke der </w:t>
      </w:r>
      <w:hyperlink w:anchor="b1074" w:history="1">
        <w:r>
          <w:rPr>
            <w:color w:val="0A3A8C"/>
            <w:u w:val="single"/>
          </w:rPr>
          <w:t xml:space="preserve">§§ 675s</w:t>
        </w:r>
      </w:hyperlink>
      <w:r>
        <w:t xml:space="preserve">, </w:t>
      </w:r>
      <w:hyperlink w:anchor="b1081" w:history="1">
        <w:r>
          <w:rPr>
            <w:color w:val="0A3A8C"/>
            <w:u w:val="single"/>
          </w:rPr>
          <w:t xml:space="preserve">675y</w:t>
        </w:r>
      </w:hyperlink>
      <w:r>
        <w:t xml:space="preserve"> und </w:t>
      </w:r>
      <w:hyperlink w:anchor="b1082" w:history="1">
        <w:r>
          <w:rPr>
            <w:color w:val="0A3A8C"/>
            <w:u w:val="single"/>
          </w:rPr>
          <w:t xml:space="preserve">675z</w:t>
        </w:r>
      </w:hyperlink>
      <w:r>
        <w:t xml:space="preserve"> gilt ein Zahlungsauftrag, dessen Ausführung berechtigterweise abgelehnt wurde, als nicht zugegangen.</w:t>
      </w:r>
    </w:p>
    <w:p>
      <w:pPr>
        <w:pStyle w:val="Heading7"/>
      </w:pPr>
      <w:bookmarkStart w:id="1086" w:name="b1071"/>
      <w:r>
        <w:t>§ 675p Unwiderruflichkeit eines Zahlungsauftrags</w:t>
      </w:r>
      <w:r>
        <w:t xml:space="preserve"> </w:t>
      </w:r>
      <w:r>
        <w:rPr>
          <w:rStyle w:val="Suchmarke"/>
        </w:rPr>
        <w:t>#675p#</w:t>
      </w:r>
      <w:bookmarkEnd w:id="1086"/>
    </w:p>
    <w:p>
      <w:r>
        <w:t>(1) Der Zahlungsdienstnutzer kann einen Zahlungsauftrag vorbehaltlich der Absätze 2 bis 4 nach dessen Zugang beim Zahlungsdienstleister des Zahlers nicht mehr widerrufen.</w:t>
      </w:r>
    </w:p>
    <w:p>
      <w:r>
        <w:t xml:space="preserve">(2) </w:t>
      </w:r>
      <w:r>
        <w:rPr>
          <w:rStyle w:val="Satznummer"/>
        </w:rPr>
        <w:t>1</w:t>
      </w:r>
      <w:r>
        <w:t xml:space="preserve">Wurde der Zahlungsvorgang über einen Zahlungsauslösedienstleister, vom Zahlungsempfänger oder über diesen ausgelöst, so kann der Zahler den Zahlungsauftrag nicht mehr widerrufen, nachdem er dem Zahlungsauslösedienstleister die Zustimmung zur Auslösung des Zahlungsvorgangs oder dem Zahlungsempfänger die Zustimmung zur Ausführung des Zahlungsvorgangs erteilt hat. </w:t>
      </w:r>
      <w:r>
        <w:rPr>
          <w:rStyle w:val="Satznummer"/>
        </w:rPr>
        <w:t>2</w:t>
      </w:r>
      <w:r>
        <w:t xml:space="preserve">Im Fall einer Lastschrift kann der Zahler den Zahlungsauftrag jedoch unbeschadet seiner Rechte gemäß </w:t>
      </w:r>
      <w:hyperlink w:anchor="b1080" w:history="1">
        <w:r>
          <w:rPr>
            <w:color w:val="0A3A8C"/>
            <w:u w:val="single"/>
          </w:rPr>
          <w:t xml:space="preserve">§ 675x</w:t>
        </w:r>
      </w:hyperlink>
      <w:r>
        <w:t xml:space="preserve"> bis zum Ende des Geschäftstags vor dem vereinbarten Fälligkeitstag widerrufen.</w:t>
      </w:r>
    </w:p>
    <w:p>
      <w:r>
        <w:t>(3) Ist zwischen dem Zahlungsdienstnutzer und seinem Zahlungsdienstleister ein bestimmter Termin für die Ausführung eines Zahlungsauftrags (</w:t>
      </w:r>
      <w:hyperlink w:anchor="b1069" w:history="1">
        <w:r>
          <w:rPr>
            <w:color w:val="0A3A8C"/>
            <w:u w:val="single"/>
          </w:rPr>
          <w:t xml:space="preserve">§ 675n</w:t>
        </w:r>
      </w:hyperlink>
      <w:r>
        <w:t xml:space="preserve"> Abs. 2) vereinbart worden, kann der Zahlungsdienstnutzer den Zahlungsauftrag bis zum Ende des Geschäftstags vor dem vereinbarten Tag widerrufen.</w:t>
      </w:r>
    </w:p>
    <w:p>
      <w:r>
        <w:t xml:space="preserve">(4) </w:t>
      </w:r>
      <w:r>
        <w:rPr>
          <w:rStyle w:val="Satznummer"/>
        </w:rPr>
        <w:t>1</w:t>
      </w:r>
      <w:r>
        <w:t xml:space="preserve">Nach den in den Absätzen 1 bis 3 genannten Zeitpunkten kann der Zahlungsauftrag nur widerrufen werden, wenn der Zahlungsdienstnutzer und der jeweilige Zahlungsdienstleister dies vereinbart haben. </w:t>
      </w:r>
      <w:r>
        <w:rPr>
          <w:rStyle w:val="Satznummer"/>
        </w:rPr>
        <w:t>2</w:t>
      </w:r>
      <w:r>
        <w:t xml:space="preserve">In den Fällen des Absatzes 2 ist zudem die Zustimmung des Zahlungsempfängers zum Widerruf erforderlich. </w:t>
      </w:r>
      <w:r>
        <w:rPr>
          <w:rStyle w:val="Satznummer"/>
        </w:rPr>
        <w:t>3</w:t>
      </w:r>
      <w:r>
        <w:t>Der Zahlungsdienstleister darf mit dem Zahlungsdienstnutzer im Zahlungsdiensterahmenvertrag für die Bearbeitung eines solchen Widerrufs ein Entgelt vereinbaren.</w:t>
      </w:r>
    </w:p>
    <w:p>
      <w:r>
        <w:t>(5) Der Teilnehmer an Zahlungsverkehrssystemen kann einen Auftrag zugunsten eines anderen Teilnehmers von dem in den Regeln des Systems bestimmten Zeitpunkt an nicht mehr widerrufen.</w:t>
      </w:r>
    </w:p>
    <w:p>
      <w:pPr>
        <w:pStyle w:val="Heading7"/>
      </w:pPr>
      <w:bookmarkStart w:id="1087" w:name="b1072"/>
      <w:r>
        <w:t>§ 675q Entgelte bei Zahlungsvorgängen</w:t>
      </w:r>
      <w:r>
        <w:t xml:space="preserve"> </w:t>
      </w:r>
      <w:r>
        <w:rPr>
          <w:rStyle w:val="Suchmarke"/>
        </w:rPr>
        <w:t>#675q#</w:t>
      </w:r>
      <w:bookmarkEnd w:id="1087"/>
    </w:p>
    <w:p>
      <w:r>
        <w:t>(1) Der Zahlungsdienstleister des Zahlers sowie sämtliche an dem Zahlungsvorgang beteiligte zwischengeschaltete Stellen sind verpflichtet, den Betrag, der Gegenstand des Zahlungsvorgangs ist (Zahlungsbetrag), ungekürzt an den Zahlungsdienstleister des Zahlungsempfängers zu übermitteln.</w:t>
      </w:r>
    </w:p>
    <w:p>
      <w:r>
        <w:t xml:space="preserve">(2) </w:t>
      </w:r>
      <w:r>
        <w:rPr>
          <w:rStyle w:val="Satznummer"/>
        </w:rPr>
        <w:t>1</w:t>
      </w:r>
      <w:r>
        <w:t xml:space="preserve">Der Zahlungsdienstleister des Zahlungsempfängers darf ihm zustehende Entgelte vor Erteilung der Gutschrift nur dann von dem übermittelten Betrag abziehen, wenn dies mit dem Zahlungsempfänger vereinbart wurde. </w:t>
      </w:r>
      <w:r>
        <w:rPr>
          <w:rStyle w:val="Satznummer"/>
        </w:rPr>
        <w:t>2</w:t>
      </w:r>
      <w:r>
        <w:t>In diesem Fall sind der vollständige Betrag des Zahlungsvorgangs und die Entgelte in den Informationen gemäß Artikel 248 §§ 8 und 15 des Einführungsgesetzes zum Bürgerlichen Gesetzbuche für den Zahlungsempfänger getrennt auszuweisen.</w:t>
      </w:r>
    </w:p>
    <w:p>
      <w:r>
        <w:t>(3) Zahlungsempfänger und Zahler tragen jeweils die von ihrem Zahlungsdienstleister erhobenen Entgelte, wenn sowohl der Zahlungsdienstleister des Zahlers als auch der Zahlungsdienstleister des Zahlungsempfängers innerhalb des Europäischen Wirtschaftsraums belegen ist.</w:t>
      </w:r>
    </w:p>
    <w:p>
      <w:r>
        <w:t xml:space="preserve">(4) Wenn einer der Fälle des </w:t>
      </w:r>
      <w:hyperlink w:anchor="b1055" w:history="1">
        <w:r>
          <w:rPr>
            <w:color w:val="0A3A8C"/>
            <w:u w:val="single"/>
          </w:rPr>
          <w:t xml:space="preserve">§ 675d</w:t>
        </w:r>
      </w:hyperlink>
      <w:r>
        <w:t xml:space="preserve"> Absatz 6 Satz 1 Nummer 1 vorliegt,</w:t>
      </w:r>
    </w:p>
    <w:p>
      <w:pPr>
        <w:tabs>
          <w:tab w:pos="567" w:val="left"/>
        </w:tabs>
        <w:ind w:left="567" w:hanging="567"/>
      </w:pPr>
      <w:r>
        <w:t>1.</w:t>
      </w:r>
      <w:r>
        <w:tab/>
      </w:r>
      <w:r>
        <w:t xml:space="preserve">ist </w:t>
      </w:r>
      <w:hyperlink w:anchor="b1072" w:history="1">
        <w:r>
          <w:rPr>
            <w:color w:val="0A3A8C"/>
            <w:u w:val="single"/>
          </w:rPr>
          <w:t xml:space="preserve">§ 675q</w:t>
        </w:r>
      </w:hyperlink>
      <w:r>
        <w:t xml:space="preserve"> Absatz 1 auf die innerhalb des Europäischen Wirtschaftsraums getätigten Bestandteile des Zahlungsvorgangs nicht anzuwenden und</w:t>
      </w:r>
    </w:p>
    <w:p>
      <w:pPr>
        <w:tabs>
          <w:tab w:pos="567" w:val="left"/>
        </w:tabs>
        <w:ind w:left="567" w:hanging="567"/>
      </w:pPr>
      <w:r>
        <w:t>2.</w:t>
      </w:r>
      <w:r>
        <w:tab/>
      </w:r>
      <w:r>
        <w:t xml:space="preserve">kann von </w:t>
      </w:r>
      <w:hyperlink w:anchor="b1072" w:history="1">
        <w:r>
          <w:rPr>
            <w:color w:val="0A3A8C"/>
            <w:u w:val="single"/>
          </w:rPr>
          <w:t xml:space="preserve">§ 675q</w:t>
        </w:r>
      </w:hyperlink>
      <w:r>
        <w:t xml:space="preserve"> Absatz 2 für die innerhalb des Europäischen Wirtschaftsraums getätigten Bestandteile des Zahlungsvorgangs abgewichen werden.</w:t>
      </w:r>
    </w:p>
    <w:p>
      <w:pPr>
        <w:pStyle w:val="Heading7"/>
      </w:pPr>
      <w:bookmarkStart w:id="1088" w:name="b1073"/>
      <w:r>
        <w:t>§ 675r Ausführung eines Zahlungsvorgangs anhand von Kundenkennungen</w:t>
      </w:r>
      <w:r>
        <w:t xml:space="preserve"> </w:t>
      </w:r>
      <w:r>
        <w:rPr>
          <w:rStyle w:val="Suchmarke"/>
        </w:rPr>
        <w:t>#675r#</w:t>
      </w:r>
      <w:bookmarkEnd w:id="1088"/>
    </w:p>
    <w:p>
      <w:r>
        <w:t xml:space="preserve">(1) </w:t>
      </w:r>
      <w:r>
        <w:rPr>
          <w:rStyle w:val="Satznummer"/>
        </w:rPr>
        <w:t>1</w:t>
      </w:r>
      <w:r>
        <w:t xml:space="preserve">Die beteiligten Zahlungsdienstleister sind berechtigt, einen Zahlungsvorgang ausschließlich anhand der von dem Zahlungsdienstnutzer angegebenen Kundenkennung auszuführen. </w:t>
      </w:r>
      <w:r>
        <w:rPr>
          <w:rStyle w:val="Satznummer"/>
        </w:rPr>
        <w:t>2</w:t>
      </w:r>
      <w:r>
        <w:t>Wird ein Zahlungsauftrag in Übereinstimmung mit dieser Kundenkennung ausgeführt, so gilt er im Hinblick auf den durch die Kundenkennung bezeichneten Zahlungsempfänger als ordnungsgemäß ausgeführt.</w:t>
      </w:r>
    </w:p>
    <w:p>
      <w:r>
        <w:t>(2) Eine Kundenkennung ist eine Abfolge aus Buchstaben, Zahlen oder Symbolen, die dem Zahlungsdienstnutzer vom Zahlungsdienstleister mitgeteilt wird und die der Zahlungsdienstnutzer angeben muss, damit ein anderer am Zahlungsvorgang beteiligter Zahlungsdienstnutzer oder dessen Zahlungskonto für einen Zahlungsvorgang zweifelsfrei ermittelt werden kann.</w:t>
      </w:r>
    </w:p>
    <w:p>
      <w:r>
        <w:t>(3) Ist eine vom Zahler angegebene Kundenkennung für den Zahlungsdienstleister des Zahlers erkennbar keinem Zahlungsempfänger oder keinem Zahlungskonto zuzuordnen, ist dieser verpflichtet, den Zahler unverzüglich hierüber zu unterrichten und ihm gegebenenfalls den Zahlungsbetrag wieder herauszugeben.</w:t>
      </w:r>
    </w:p>
    <w:p>
      <w:pPr>
        <w:pStyle w:val="Heading7"/>
      </w:pPr>
      <w:bookmarkStart w:id="1089" w:name="b1074"/>
      <w:r>
        <w:t>§ 675s Ausführungsfrist für Zahlungsvorgänge</w:t>
      </w:r>
      <w:r>
        <w:t xml:space="preserve"> </w:t>
      </w:r>
      <w:r>
        <w:rPr>
          <w:rStyle w:val="Suchmarke"/>
        </w:rPr>
        <w:t>#675s#</w:t>
      </w:r>
      <w:bookmarkEnd w:id="1089"/>
    </w:p>
    <w:p>
      <w:r>
        <w:t xml:space="preserve">(1) </w:t>
      </w:r>
      <w:r>
        <w:rPr>
          <w:rStyle w:val="Satznummer"/>
        </w:rPr>
        <w:t>1</w:t>
      </w:r>
      <w:r>
        <w:t xml:space="preserve">Der Zahlungsdienstleister des Zahlers ist verpflichtet sicherzustellen, dass der Zahlungsbetrag spätestens am Ende des auf den Zugangszeitpunkt des Zahlungsauftrags folgenden Geschäftstags beim Zahlungsdienstleister des Zahlungsempfängers eingeht. </w:t>
      </w:r>
      <w:r>
        <w:rPr>
          <w:rStyle w:val="Satznummer"/>
        </w:rPr>
        <w:t>2</w:t>
      </w:r>
      <w:r>
        <w:t xml:space="preserve">Für Zahlungsvorgänge innerhalb des Europäischen Wirtschaftsraums, die nicht in Euro erfolgen, können ein Zahler und sein Zahlungsdienstleister eine Frist von maximal vier Geschäftstagen vereinbaren. </w:t>
      </w:r>
      <w:r>
        <w:rPr>
          <w:rStyle w:val="Satznummer"/>
        </w:rPr>
        <w:t>3</w:t>
      </w:r>
      <w:r>
        <w:t>Für in Papierform ausgelöste Zahlungsvorgänge können die Fristen nach Satz 1 um einen weiteren Geschäftstag verlängert werden.</w:t>
      </w:r>
    </w:p>
    <w:p>
      <w:r>
        <w:t xml:space="preserve">(2) </w:t>
      </w:r>
      <w:r>
        <w:rPr>
          <w:rStyle w:val="Satznummer"/>
        </w:rPr>
        <w:t>1</w:t>
      </w:r>
      <w:r>
        <w:t xml:space="preserve">Bei einem vom oder über den Zahlungsempfänger ausgelösten Zahlungsvorgang ist der Zahlungsdienstleister des Zahlungsempfängers verpflichtet, den Zahlungsauftrag dem Zahlungsdienstleister des Zahlers innerhalb der zwischen dem Zahlungsempfänger und seinem Zahlungsdienstleister vereinbarten Fristen zu übermitteln. </w:t>
      </w:r>
      <w:r>
        <w:rPr>
          <w:rStyle w:val="Satznummer"/>
        </w:rPr>
        <w:t>2</w:t>
      </w:r>
      <w:r>
        <w:t>Im Fall einer Lastschrift ist der Zahlungsauftrag so rechtzeitig zu übermitteln, dass die Verrechnung an dem vom Zahlungsempfänger mitgeteilten Fälligkeitstag ermöglicht wird.</w:t>
      </w:r>
    </w:p>
    <w:p>
      <w:r>
        <w:t xml:space="preserve">(3) </w:t>
      </w:r>
      <w:r>
        <w:rPr>
          <w:rStyle w:val="Satznummer"/>
        </w:rPr>
        <w:t>1</w:t>
      </w:r>
      <w:r>
        <w:t xml:space="preserve">Wenn einer der Fälle des </w:t>
      </w:r>
      <w:hyperlink w:anchor="b1055" w:history="1">
        <w:r>
          <w:rPr>
            <w:color w:val="0A3A8C"/>
            <w:u w:val="single"/>
          </w:rPr>
          <w:t xml:space="preserve">§ 675d</w:t>
        </w:r>
      </w:hyperlink>
      <w:r>
        <w:t xml:space="preserve"> Absatz 6 Satz 1 Nummer 1 vorliegt, ist </w:t>
      </w:r>
      <w:hyperlink w:anchor="b1074" w:history="1">
        <w:r>
          <w:rPr>
            <w:color w:val="0A3A8C"/>
            <w:u w:val="single"/>
          </w:rPr>
          <w:t xml:space="preserve">§ 675s</w:t>
        </w:r>
      </w:hyperlink>
      <w:r>
        <w:t xml:space="preserve"> Absatz 1 Satz 1 und 3 auf die innerhalb des Europäischen Wirtschaftsraums getätigten Bestandteile des Zahlungsvorgangs nicht anzuwenden. </w:t>
      </w:r>
      <w:r>
        <w:rPr>
          <w:rStyle w:val="Satznummer"/>
        </w:rPr>
        <w:t>2</w:t>
      </w:r>
      <w:r>
        <w:t>Wenn ein Fall des § 675d Absatz 6 Satz 1 Nummer 1 Buchstabe a vorliegt,</w:t>
      </w:r>
    </w:p>
    <w:p>
      <w:pPr>
        <w:tabs>
          <w:tab w:pos="567" w:val="left"/>
        </w:tabs>
        <w:ind w:left="567" w:hanging="567"/>
      </w:pPr>
      <w:r>
        <w:t>1.</w:t>
      </w:r>
      <w:r>
        <w:tab/>
      </w:r>
      <w:r>
        <w:t xml:space="preserve">ist auch </w:t>
      </w:r>
      <w:hyperlink w:anchor="b1074" w:history="1">
        <w:r>
          <w:rPr>
            <w:color w:val="0A3A8C"/>
            <w:u w:val="single"/>
          </w:rPr>
          <w:t xml:space="preserve">§ 675s</w:t>
        </w:r>
      </w:hyperlink>
      <w:r>
        <w:t xml:space="preserve"> Absatz 1 Satz 2 auf die innerhalb des Europäischen Wirtschaftsraums getätigten Bestandteile des Zahlungsvorgangs nicht anzuwenden und</w:t>
      </w:r>
    </w:p>
    <w:p>
      <w:pPr>
        <w:tabs>
          <w:tab w:pos="567" w:val="left"/>
        </w:tabs>
        <w:ind w:left="567" w:hanging="567"/>
      </w:pPr>
      <w:r>
        <w:t>2.</w:t>
      </w:r>
      <w:r>
        <w:tab/>
      </w:r>
      <w:r>
        <w:t xml:space="preserve">kann von </w:t>
      </w:r>
      <w:hyperlink w:anchor="b1074" w:history="1">
        <w:r>
          <w:rPr>
            <w:color w:val="0A3A8C"/>
            <w:u w:val="single"/>
          </w:rPr>
          <w:t xml:space="preserve">§ 675s</w:t>
        </w:r>
      </w:hyperlink>
      <w:r>
        <w:t xml:space="preserve"> Absatz 2 für die innerhalb des Europäischen Wirtschaftsraums getätigten Bestandteile des Zahlungsvorgangs abgewichen werden.</w:t>
      </w:r>
    </w:p>
    <w:p>
      <w:pPr>
        <w:pStyle w:val="Heading7"/>
      </w:pPr>
      <w:bookmarkStart w:id="1090" w:name="b1075"/>
      <w:r>
        <w:t>§ 675t Wertstellungsdatum und Verfügbarkeit von Geldbeträgen; Sperrung eines verfügbaren Geldbetrags</w:t>
      </w:r>
      <w:r>
        <w:t xml:space="preserve"> </w:t>
      </w:r>
      <w:r>
        <w:rPr>
          <w:rStyle w:val="Suchmarke"/>
        </w:rPr>
        <w:t>#675t#</w:t>
      </w:r>
      <w:bookmarkEnd w:id="1090"/>
    </w:p>
    <w:p>
      <w:r>
        <w:t xml:space="preserve">(1) </w:t>
      </w:r>
      <w:r>
        <w:rPr>
          <w:rStyle w:val="Satznummer"/>
        </w:rPr>
        <w:t>1</w:t>
      </w:r>
      <w:r>
        <w:t>Der Zahlungsdienstleister des Zahlungsempfängers ist verpflichtet, dem Zahlungsempfänger den Zahlungsbetrag unverzüglich verfügbar zu machen, nachdem der Betrag auf dem Konto des Zahlungsdienstleisters eingegangen ist, wenn dieser</w:t>
      </w:r>
    </w:p>
    <w:p>
      <w:pPr>
        <w:tabs>
          <w:tab w:pos="567" w:val="left"/>
        </w:tabs>
        <w:ind w:left="567" w:hanging="567"/>
      </w:pPr>
      <w:r>
        <w:t>1.</w:t>
      </w:r>
      <w:r>
        <w:tab/>
      </w:r>
      <w:r>
        <w:t>keine Währungsumrechnung vornehmen muss oder</w:t>
      </w:r>
    </w:p>
    <w:p>
      <w:pPr>
        <w:tabs>
          <w:tab w:pos="567" w:val="left"/>
        </w:tabs>
        <w:ind w:left="567" w:hanging="567"/>
      </w:pPr>
      <w:r>
        <w:t>2.</w:t>
      </w:r>
      <w:r>
        <w:tab/>
      </w:r>
      <w:r>
        <w:t>nur eine Währungsumrechnung zwischen dem Euro und einer Währung eines Vertragsstaates des Abkommens über den Europäischen Wirtschaftsraum oder zwischen den Währungen zweier Vertragsstaaten des Abkommens über den Europäischen Wirtschaftsraum vornehmen muss.</w:t>
      </w:r>
    </w:p>
    <w:p>
      <w:r>
        <w:rPr>
          <w:rStyle w:val="Satznummer"/>
        </w:rPr>
        <w:t>2</w:t>
      </w:r>
      <w:r>
        <w:t xml:space="preserve">Sofern der Zahlungsbetrag auf einem Zahlungskonto des Zahlungsempfängers gutgeschrieben werden soll, ist die Gutschrift, auch wenn sie nachträglich erfolgt, so vorzunehmen, dass der Zeitpunkt, den der Zahlungsdienstleister für die Berechnung der Zinsen bei Gutschrift oder Belastung eines Betrags auf einem Zahlungskonto zugrunde legt (Wertstellungsdatum), spätestens der Geschäftstag ist, an dem der Zahlungsbetrag auf dem Konto des Zahlungsdienstleisters des Zahlungsempfängers eingegangen ist. </w:t>
      </w:r>
      <w:r>
        <w:rPr>
          <w:rStyle w:val="Satznummer"/>
        </w:rPr>
        <w:t>3</w:t>
      </w:r>
      <w:r>
        <w:t>Satz 1 gilt auch dann, wenn der Zahlungsempfänger kein Zahlungskonto unterhält.</w:t>
      </w:r>
    </w:p>
    <w:p>
      <w:r>
        <w:t xml:space="preserve">(2) </w:t>
      </w:r>
      <w:r>
        <w:rPr>
          <w:rStyle w:val="Satznummer"/>
        </w:rPr>
        <w:t>1</w:t>
      </w:r>
      <w:r>
        <w:t xml:space="preserve">Zahlt ein Verbraucher Bargeld auf ein Zahlungskonto bei einem Zahlungsdienstleister in der Währung des betreffenden Zahlungskontos ein, so stellt dieser Zahlungsdienstleister sicher, dass der Betrag dem Zahlungsempfänger unverzüglich nach dem Zeitpunkt der Entgegennahme verfügbar gemacht und wertgestellt wird. </w:t>
      </w:r>
      <w:r>
        <w:rPr>
          <w:rStyle w:val="Satznummer"/>
        </w:rPr>
        <w:t>2</w:t>
      </w:r>
      <w:r>
        <w:t>Ist der Zahlungsdienstnutzer kein Verbraucher, so muss dem Zahlungsempfänger der Geldbetrag spätestens an dem auf die Entgegennahme folgenden Geschäftstag verfügbar gemacht und wertgestellt werden.</w:t>
      </w:r>
    </w:p>
    <w:p>
      <w:r>
        <w:t xml:space="preserve">(3) </w:t>
      </w:r>
      <w:r>
        <w:rPr>
          <w:rStyle w:val="Satznummer"/>
        </w:rPr>
        <w:t>1</w:t>
      </w:r>
      <w:r>
        <w:t xml:space="preserve">Eine Belastung auf dem Zahlungskonto des Zahlers ist so vorzunehmen, dass das Wertstellungsdatum frühestens der Zeitpunkt ist, an dem dieses Zahlungskonto mit dem Zahlungsbetrag belastet wird. </w:t>
      </w:r>
      <w:r>
        <w:rPr>
          <w:rStyle w:val="Satznummer"/>
        </w:rPr>
        <w:t>2</w:t>
      </w:r>
      <w:r>
        <w:t>Das Zahlungskonto des Zahlers darf nicht belastet werden, bevor der Zahlungsauftrag seinem Zahlungsdienstleister zugegangen ist.</w:t>
      </w:r>
    </w:p>
    <w:p>
      <w:r>
        <w:t xml:space="preserve">(4) </w:t>
      </w:r>
      <w:r>
        <w:rPr>
          <w:rStyle w:val="Satznummer"/>
        </w:rPr>
        <w:t>1</w:t>
      </w:r>
      <w:r>
        <w:t>Unbeschadet sonstiger gesetzlicher oder vertraglicher Rechte ist der Zahlungsdienstleister des Zahlers im Fall eines kartengebundenen Zahlungsvorgangs berechtigt, einen verfügbaren Geldbetrag auf dem Zahlungskonto des Zahlers zu sperren, wenn</w:t>
      </w:r>
    </w:p>
    <w:p>
      <w:pPr>
        <w:tabs>
          <w:tab w:pos="567" w:val="left"/>
        </w:tabs>
        <w:ind w:left="567" w:hanging="567"/>
      </w:pPr>
      <w:r>
        <w:t>1.</w:t>
      </w:r>
      <w:r>
        <w:tab/>
      </w:r>
      <w:r>
        <w:t>der Zahlungsvorgang vom oder über den Zahlungsempfänger ausgelöst worden ist und</w:t>
      </w:r>
    </w:p>
    <w:p>
      <w:pPr>
        <w:tabs>
          <w:tab w:pos="567" w:val="left"/>
        </w:tabs>
        <w:ind w:left="567" w:hanging="567"/>
      </w:pPr>
      <w:r>
        <w:t>2.</w:t>
      </w:r>
      <w:r>
        <w:tab/>
      </w:r>
      <w:r>
        <w:t>der Zahler auch der genauen Höhe des zu sperrenden Geldbetrags zugestimmt hat.</w:t>
      </w:r>
    </w:p>
    <w:p>
      <w:r>
        <w:rPr>
          <w:rStyle w:val="Satznummer"/>
        </w:rPr>
        <w:t>2</w:t>
      </w:r>
      <w:r>
        <w:t>Den gesperrten Geldbetrag gibt der Zahlungsdienstleister des Zahlers unbeschadet sonstiger gesetzlicher oder vertraglicher Rechte unverzüglich frei, nachdem ihm entweder der genaue Zahlungsbetrag mitgeteilt worden oder der Zahlungsauftrag zugegangen ist.</w:t>
      </w:r>
    </w:p>
    <w:p>
      <w:r>
        <w:t>(5) Wenn ein Fall des § 675d Absatz 6 Satz 1 Nummer 1 Buchstabe a vorliegt,</w:t>
      </w:r>
    </w:p>
    <w:p>
      <w:pPr>
        <w:tabs>
          <w:tab w:pos="567" w:val="left"/>
        </w:tabs>
        <w:ind w:left="567" w:hanging="567"/>
      </w:pPr>
      <w:r>
        <w:t>1.</w:t>
      </w:r>
      <w:r>
        <w:tab/>
      </w:r>
      <w:r>
        <w:t xml:space="preserve">kann von </w:t>
      </w:r>
      <w:hyperlink w:anchor="b1075" w:history="1">
        <w:r>
          <w:rPr>
            <w:color w:val="0A3A8C"/>
            <w:u w:val="single"/>
          </w:rPr>
          <w:t xml:space="preserve">§ 675t</w:t>
        </w:r>
      </w:hyperlink>
      <w:r>
        <w:t xml:space="preserve"> Absatz 1 Satz 3 für die innerhalb des Europäischen Wirtschaftsraums getätigten Bestandteile des Zahlungsvorgangs abgewichen werden und</w:t>
      </w:r>
    </w:p>
    <w:p>
      <w:pPr>
        <w:tabs>
          <w:tab w:pos="567" w:val="left"/>
        </w:tabs>
        <w:ind w:left="567" w:hanging="567"/>
      </w:pPr>
      <w:r>
        <w:t>2.</w:t>
      </w:r>
      <w:r>
        <w:tab/>
      </w:r>
      <w:r>
        <w:t xml:space="preserve">ist </w:t>
      </w:r>
      <w:hyperlink w:anchor="b1075" w:history="1">
        <w:r>
          <w:rPr>
            <w:color w:val="0A3A8C"/>
            <w:u w:val="single"/>
          </w:rPr>
          <w:t xml:space="preserve">§ 675t</w:t>
        </w:r>
      </w:hyperlink>
      <w:r>
        <w:t xml:space="preserve"> Absatz 2 auf die innerhalb des Europäischen Wirtschaftsraums getätigten Bestandteile des Zahlungsvorgangs nicht anzuwenden.</w:t>
      </w:r>
    </w:p>
    <w:p>
      <w:pPr>
        <w:pStyle w:val="Heading6"/>
      </w:pPr>
      <w:bookmarkStart w:id="1091" w:name="b1076"/>
      <w:r>
        <w:t>Unterkapitel 3 Haftung</w:t>
      </w:r>
      <w:bookmarkEnd w:id="1091"/>
    </w:p>
    <w:p>
      <w:pPr>
        <w:pStyle w:val="Heading7"/>
      </w:pPr>
      <w:bookmarkStart w:id="1092" w:name="b1077"/>
      <w:r>
        <w:t>§ 675u Haftung des Zahlungsdienstleisters für nicht autorisierte Zahlungsvorgänge</w:t>
      </w:r>
      <w:r>
        <w:t xml:space="preserve"> </w:t>
      </w:r>
      <w:r>
        <w:rPr>
          <w:rStyle w:val="Suchmarke"/>
        </w:rPr>
        <w:t>#675u#</w:t>
      </w:r>
      <w:bookmarkEnd w:id="1092"/>
    </w:p>
    <w:p>
      <w:r>
        <w:rPr>
          <w:rStyle w:val="Satznummer"/>
        </w:rPr>
        <w:t>1</w:t>
      </w:r>
      <w:r>
        <w:t xml:space="preserve">Im Fall eines nicht autorisierten Zahlungsvorgangs hat der Zahlungsdienstleister des Zahlers gegen diesen keinen Anspruch auf Erstattung seiner Aufwendungen. </w:t>
      </w:r>
      <w:r>
        <w:rPr>
          <w:rStyle w:val="Satznummer"/>
        </w:rPr>
        <w:t>2</w:t>
      </w:r>
      <w:r>
        <w:t xml:space="preserve">Er ist verpflichtet, dem Zahler den Zahlungsbetrag unverzüglich zu erstatten und, sofern der Betrag einem Zahlungskonto belastet worden ist, dieses Zahlungskonto wieder auf den Stand zu bringen, auf dem es sich ohne die Belastung durch den nicht autorisierten Zahlungsvorgang befunden hätte. </w:t>
      </w:r>
      <w:r>
        <w:rPr>
          <w:rStyle w:val="Satznummer"/>
        </w:rPr>
        <w:t>3</w:t>
      </w:r>
      <w:r>
        <w:t xml:space="preserve">Diese Verpflichtung ist unverzüglich, spätestens jedoch bis zum Ende des Geschäftstags zu erfüllen, der auf den Tag folgt, an welchem dem Zahlungsdienstleister angezeigt wurde, dass der Zahlungsvorgang nicht autorisiert ist, oder er auf andere Weise davon Kenntnis erhalten hat. </w:t>
      </w:r>
      <w:r>
        <w:rPr>
          <w:rStyle w:val="Satznummer"/>
        </w:rPr>
        <w:t>4</w:t>
      </w:r>
      <w:r>
        <w:t xml:space="preserve">Hat der Zahlungsdienstleister einer zuständigen Behörde berechtigte Gründe für den Verdacht, dass ein betrügerisches Verhalten des Zahlers vorliegt, schriftlich mitgeteilt, hat der Zahlungsdienstleister seine Verpflichtung aus Satz 2 unverzüglich zu prüfen und zu erfüllen, wenn sich der Betrugsverdacht nicht bestätigt. </w:t>
      </w:r>
      <w:r>
        <w:rPr>
          <w:rStyle w:val="Satznummer"/>
        </w:rPr>
        <w:t>5</w:t>
      </w:r>
      <w:r>
        <w:t>Wurde der Zahlungsvorgang über einen Zahlungsauslösedienstleister ausgelöst, so treffen die Pflichten aus den Sätzen 2 bis 4 den kontoführenden Zahlungsdienstleister.</w:t>
      </w:r>
    </w:p>
    <w:p>
      <w:pPr>
        <w:pStyle w:val="Heading7"/>
      </w:pPr>
      <w:bookmarkStart w:id="1093" w:name="b1078"/>
      <w:r>
        <w:t>§ 675v Haftung des Zahlers bei missbräuchlicher Nutzung eines Zahlungsinstruments</w:t>
      </w:r>
      <w:r>
        <w:t xml:space="preserve"> </w:t>
      </w:r>
      <w:r>
        <w:rPr>
          <w:rStyle w:val="Suchmarke"/>
        </w:rPr>
        <w:t>#675v#</w:t>
      </w:r>
      <w:bookmarkEnd w:id="1093"/>
    </w:p>
    <w:p>
      <w:r>
        <w:t>(1) Beruhen nicht autorisierte Zahlungsvorgänge auf der Nutzung eines verloren gegangenen, gestohlenen oder sonst abhandengekommenen Zahlungsinstruments oder auf der sonstigen missbräuchlichen Verwendung eines Zahlungsinstruments, so kann der Zahlungsdienstleister des Zahlers von diesem den Ersatz des hierdurch entstandenen Schadens bis zu einem Betrag von 50 Euro verlangen.</w:t>
      </w:r>
    </w:p>
    <w:p>
      <w:r>
        <w:t>(2) Der Zahler haftet nicht nach Absatz 1, wenn</w:t>
      </w:r>
    </w:p>
    <w:p>
      <w:pPr>
        <w:tabs>
          <w:tab w:pos="567" w:val="left"/>
        </w:tabs>
        <w:ind w:left="567" w:hanging="567"/>
      </w:pPr>
      <w:r>
        <w:t>1.</w:t>
      </w:r>
      <w:r>
        <w:tab/>
      </w:r>
      <w:r>
        <w:t>es ihm nicht möglich gewesen ist, den Verlust, den Diebstahl, das Abhandenkommen oder eine sonstige missbräuchliche Verwendung des Zahlungsinstruments vor dem nicht autorisierten Zahlungsvorgang zu bemerken, oder</w:t>
      </w:r>
    </w:p>
    <w:p>
      <w:pPr>
        <w:tabs>
          <w:tab w:pos="567" w:val="left"/>
        </w:tabs>
        <w:ind w:left="567" w:hanging="567"/>
      </w:pPr>
      <w:r>
        <w:t>2.</w:t>
      </w:r>
      <w:r>
        <w:tab/>
      </w:r>
      <w:r>
        <w:t>der Verlust des Zahlungsinstruments durch einen Angestellten, einen Agenten, eine Zweigniederlassung eines Zahlungsdienstleisters oder eine sonstige Stelle, an die Tätigkeiten des Zahlungsdienstleisters ausgelagert wurden, verursacht worden ist.</w:t>
      </w:r>
    </w:p>
    <w:p>
      <w:r>
        <w:t>(3) Abweichend von den Absätzen 1 und 2 ist der Zahler seinem Zahlungsdienstleister zum Ersatz des gesamten Schadens verpflichtet, der infolge eines nicht autorisierten Zahlungsvorgangs entstanden ist, wenn der Zahler</w:t>
      </w:r>
    </w:p>
    <w:p>
      <w:pPr>
        <w:tabs>
          <w:tab w:pos="567" w:val="left"/>
        </w:tabs>
        <w:ind w:left="567" w:hanging="567"/>
      </w:pPr>
      <w:r>
        <w:t>1.</w:t>
      </w:r>
      <w:r>
        <w:tab/>
      </w:r>
      <w:r>
        <w:t>in betrügerischer Absicht gehandelt hat oder</w:t>
      </w:r>
    </w:p>
    <w:p>
      <w:pPr>
        <w:tabs>
          <w:tab w:pos="567" w:val="left"/>
        </w:tabs>
        <w:ind w:left="567" w:hanging="567"/>
      </w:pPr>
      <w:r>
        <w:t>2.</w:t>
      </w:r>
      <w:r>
        <w:tab/>
      </w:r>
      <w:r>
        <w:t>den Schaden herbeigeführt hat durch vorsätzliche oder grob fahrlässige Verletzung</w:t>
      </w:r>
    </w:p>
    <w:p>
      <w:pPr>
        <w:tabs>
          <w:tab w:pos="1134" w:val="left"/>
        </w:tabs>
        <w:ind w:left="1134" w:hanging="567"/>
      </w:pPr>
      <w:r>
        <w:t>a)</w:t>
      </w:r>
      <w:r>
        <w:tab/>
      </w:r>
      <w:r>
        <w:t xml:space="preserve">einer oder mehrerer Pflichten gemäß </w:t>
      </w:r>
      <w:hyperlink w:anchor="b1066" w:history="1">
        <w:r>
          <w:rPr>
            <w:color w:val="0A3A8C"/>
            <w:u w:val="single"/>
          </w:rPr>
          <w:t xml:space="preserve">§ 675l</w:t>
        </w:r>
      </w:hyperlink>
      <w:r>
        <w:t xml:space="preserve"> Absatz 1 oder</w:t>
      </w:r>
    </w:p>
    <w:p>
      <w:pPr>
        <w:tabs>
          <w:tab w:pos="1134" w:val="left"/>
        </w:tabs>
        <w:ind w:left="1134" w:hanging="567"/>
      </w:pPr>
      <w:r>
        <w:t>b)</w:t>
      </w:r>
      <w:r>
        <w:tab/>
      </w:r>
      <w:r>
        <w:t>einer oder mehrerer vereinbarter Bedingungen für die Ausgabe und Nutzung des Zahlungsinstruments.</w:t>
      </w:r>
    </w:p>
    <w:p>
      <w:r>
        <w:t xml:space="preserve">(4) </w:t>
      </w:r>
      <w:r>
        <w:rPr>
          <w:rStyle w:val="Satznummer"/>
        </w:rPr>
        <w:t>1</w:t>
      </w:r>
      <w:r>
        <w:t>Abweichend von den Absätzen 1 und 3 ist der Zahler seinem Zahlungsdienstleister nicht zum Schadensersatz verpflichtet, wenn</w:t>
      </w:r>
    </w:p>
    <w:p>
      <w:pPr>
        <w:tabs>
          <w:tab w:pos="567" w:val="left"/>
        </w:tabs>
        <w:ind w:left="567" w:hanging="567"/>
      </w:pPr>
      <w:r>
        <w:t>1.</w:t>
      </w:r>
      <w:r>
        <w:tab/>
      </w:r>
      <w:r>
        <w:t>der Zahlungsdienstleister des Zahlers eine starke Kundenauthentifizierung im Sinne des § 1 Absatz 24 des Zahlungsdiensteaufsichtsgesetzes nicht verlangt oder</w:t>
      </w:r>
    </w:p>
    <w:p>
      <w:pPr>
        <w:tabs>
          <w:tab w:pos="567" w:val="left"/>
        </w:tabs>
        <w:ind w:left="567" w:hanging="567"/>
      </w:pPr>
      <w:r>
        <w:t>2.</w:t>
      </w:r>
      <w:r>
        <w:tab/>
      </w:r>
      <w:r>
        <w:t>der Zahlungsempfänger oder sein Zahlungsdienstleister eine starke Kundenauthentifizierung im Sinne des § 1 Absatz 24 des Zahlungsdiensteaufsichtsgesetzes nicht akzeptiert.</w:t>
      </w:r>
    </w:p>
    <w:p>
      <w:r>
        <w:rPr>
          <w:rStyle w:val="Satznummer"/>
        </w:rPr>
        <w:t>2</w:t>
      </w:r>
      <w:r>
        <w:t xml:space="preserve">Satz 1 gilt nicht, wenn der Zahler in betrügerischer Absicht gehandelt hat. </w:t>
      </w:r>
      <w:r>
        <w:rPr>
          <w:rStyle w:val="Satznummer"/>
        </w:rPr>
        <w:t>3</w:t>
      </w:r>
      <w:r>
        <w:t>Im Fall von Satz 1 Nummer 2 ist derjenige, der eine starke Kundenauthentifizierung nicht akzeptiert, verpflichtet, dem Zahlungsdienstleister des Zahlers den daraus entstehenden Schaden zu ersetzen.</w:t>
      </w:r>
    </w:p>
    <w:p>
      <w:r>
        <w:t xml:space="preserve">(5) </w:t>
      </w:r>
      <w:r>
        <w:rPr>
          <w:rStyle w:val="Satznummer"/>
        </w:rPr>
        <w:t>1</w:t>
      </w:r>
      <w:r>
        <w:t xml:space="preserve">Abweichend von den Absätzen 1 und 3 ist der Zahler nicht zum Ersatz von Schäden verpflichtet, die aus der Nutzung eines nach der Anzeige gemäß </w:t>
      </w:r>
      <w:hyperlink w:anchor="b1066" w:history="1">
        <w:r>
          <w:rPr>
            <w:color w:val="0A3A8C"/>
            <w:u w:val="single"/>
          </w:rPr>
          <w:t xml:space="preserve">§ 675l</w:t>
        </w:r>
      </w:hyperlink>
      <w:r>
        <w:t xml:space="preserve"> Absatz 1 Satz 2 verwendeten Zahlungsinstruments entstanden sind. </w:t>
      </w:r>
      <w:r>
        <w:rPr>
          <w:rStyle w:val="Satznummer"/>
        </w:rPr>
        <w:t>2</w:t>
      </w:r>
      <w:r>
        <w:t xml:space="preserve">Der Zahler ist auch nicht zum Ersatz von Schäden im Sinne des Absatzes 1 verpflichtet, wenn der Zahlungsdienstleister seiner Pflicht gemäß </w:t>
      </w:r>
      <w:hyperlink w:anchor="b1067" w:history="1">
        <w:r>
          <w:rPr>
            <w:color w:val="0A3A8C"/>
            <w:u w:val="single"/>
          </w:rPr>
          <w:t xml:space="preserve">§ 675m</w:t>
        </w:r>
      </w:hyperlink>
      <w:r>
        <w:t xml:space="preserve"> Abs. 1 Nr. 3 nicht nachgekommen ist. </w:t>
      </w:r>
      <w:r>
        <w:rPr>
          <w:rStyle w:val="Satznummer"/>
        </w:rPr>
        <w:t>3</w:t>
      </w:r>
      <w:r>
        <w:t>Die Sätze 1 und 2 sind nicht anzuwenden, wenn der Zahler in betrügerischer Absicht gehandelt hat.</w:t>
      </w:r>
    </w:p>
    <w:p>
      <w:pPr>
        <w:pStyle w:val="Heading7"/>
      </w:pPr>
      <w:bookmarkStart w:id="1094" w:name="b1079"/>
      <w:r>
        <w:t>§ 675w Nachweis der Authentifizierung</w:t>
      </w:r>
      <w:r>
        <w:t xml:space="preserve"> </w:t>
      </w:r>
      <w:r>
        <w:rPr>
          <w:rStyle w:val="Suchmarke"/>
        </w:rPr>
        <w:t>#675w#</w:t>
      </w:r>
      <w:bookmarkEnd w:id="1094"/>
    </w:p>
    <w:p>
      <w:r>
        <w:rPr>
          <w:rStyle w:val="Satznummer"/>
        </w:rPr>
        <w:t>1</w:t>
      </w:r>
      <w:r>
        <w:t xml:space="preserve">Ist die Autorisierung eines ausgeführten Zahlungsvorgangs streitig, hat der Zahlungsdienstleister nachzuweisen, dass eine Authentifizierung erfolgt ist und der Zahlungsvorgang ordnungsgemäß aufgezeichnet, verbucht sowie nicht durch eine Störung beeinträchtigt wurde. </w:t>
      </w:r>
      <w:r>
        <w:rPr>
          <w:rStyle w:val="Satznummer"/>
        </w:rPr>
        <w:t>2</w:t>
      </w:r>
      <w:r>
        <w:t xml:space="preserve">Eine Authentifizierung ist erfolgt, wenn der Zahlungsdienstleister die Nutzung eines bestimmten Zahlungsinstruments, einschließlich seiner personalisierten Sicherheitsmerkmale, mit Hilfe eines Verfahrens überprüft hat. </w:t>
      </w:r>
      <w:r>
        <w:rPr>
          <w:rStyle w:val="Satznummer"/>
        </w:rPr>
        <w:t>3</w:t>
      </w:r>
      <w:r>
        <w:t>Wurde der Zahlungsvorgang mittels eines Zahlungsinstruments ausgelöst, reicht die Aufzeichnung der Nutzung des Zahlungsinstruments einschließlich der Authentifizierung durch den Zahlungsdienstleister und gegebenenfalls einen Zahlungsauslösedienstleister allein nicht notwendigerweise aus, um nachzuweisen, dass der Zahler</w:t>
      </w:r>
    </w:p>
    <w:p>
      <w:pPr>
        <w:tabs>
          <w:tab w:pos="567" w:val="left"/>
        </w:tabs>
        <w:ind w:left="567" w:hanging="567"/>
      </w:pPr>
      <w:r>
        <w:t>1.</w:t>
      </w:r>
      <w:r>
        <w:tab/>
      </w:r>
      <w:r>
        <w:t>den Zahlungsvorgang autorisiert,</w:t>
      </w:r>
    </w:p>
    <w:p>
      <w:pPr>
        <w:tabs>
          <w:tab w:pos="567" w:val="left"/>
        </w:tabs>
        <w:ind w:left="567" w:hanging="567"/>
      </w:pPr>
      <w:r>
        <w:t>2.</w:t>
      </w:r>
      <w:r>
        <w:tab/>
      </w:r>
      <w:r>
        <w:t>in betrügerischer Absicht gehandelt,</w:t>
      </w:r>
    </w:p>
    <w:p>
      <w:pPr>
        <w:tabs>
          <w:tab w:pos="567" w:val="left"/>
        </w:tabs>
        <w:ind w:left="567" w:hanging="567"/>
      </w:pPr>
      <w:r>
        <w:t>3.</w:t>
      </w:r>
      <w:r>
        <w:tab/>
      </w:r>
      <w:r>
        <w:t xml:space="preserve">eine oder mehrere Pflichten gemäß </w:t>
      </w:r>
      <w:hyperlink w:anchor="b1066" w:history="1">
        <w:r>
          <w:rPr>
            <w:color w:val="0A3A8C"/>
            <w:u w:val="single"/>
          </w:rPr>
          <w:t xml:space="preserve">§ 675l</w:t>
        </w:r>
      </w:hyperlink>
      <w:r>
        <w:t xml:space="preserve"> Absatz 1 verletzt oder</w:t>
      </w:r>
    </w:p>
    <w:p>
      <w:pPr>
        <w:tabs>
          <w:tab w:pos="567" w:val="left"/>
        </w:tabs>
        <w:ind w:left="567" w:hanging="567"/>
      </w:pPr>
      <w:r>
        <w:t>4.</w:t>
      </w:r>
      <w:r>
        <w:tab/>
      </w:r>
      <w:r>
        <w:t>vorsätzlich oder grob fahrlässig gegen eine oder mehrere Bedingungen für die Ausgabe und Nutzung des Zahlungsinstruments verstoßen</w:t>
      </w:r>
    </w:p>
    <w:p>
      <w:r>
        <w:t xml:space="preserve">hat. </w:t>
      </w:r>
      <w:r>
        <w:rPr>
          <w:rStyle w:val="Satznummer"/>
        </w:rPr>
        <w:t>4</w:t>
      </w:r>
      <w:r>
        <w:t>Der Zahlungsdienstleister muss unterstützende Beweismittel vorlegen, um Betrug, Vorsatz oder grobe Fahrlässigkeit des Zahlungsdienstnutzers nachzuweisen.</w:t>
      </w:r>
    </w:p>
    <w:p>
      <w:pPr>
        <w:pStyle w:val="Heading7"/>
      </w:pPr>
      <w:bookmarkStart w:id="1095" w:name="b1080"/>
      <w:r>
        <w:t>§ 675x Erstattungsanspruch bei einem vom oder über den Zahlungsempfänger ausgelösten autorisierten Zahlungsvorgang</w:t>
      </w:r>
      <w:r>
        <w:t xml:space="preserve"> </w:t>
      </w:r>
      <w:r>
        <w:rPr>
          <w:rStyle w:val="Suchmarke"/>
        </w:rPr>
        <w:t>#675x#</w:t>
      </w:r>
      <w:bookmarkEnd w:id="1095"/>
    </w:p>
    <w:p>
      <w:r>
        <w:t xml:space="preserve">(1) </w:t>
      </w:r>
      <w:r>
        <w:rPr>
          <w:rStyle w:val="Satznummer"/>
        </w:rPr>
        <w:t>1</w:t>
      </w:r>
      <w:r>
        <w:t>Der Zahler hat gegen seinen Zahlungsdienstleister einen Anspruch auf Erstattung eines belasteten Zahlungsbetrags, der auf einem autorisierten, vom oder über den Zahlungsempfänger ausgelösten Zahlungsvorgang beruht, wenn</w:t>
      </w:r>
    </w:p>
    <w:p>
      <w:pPr>
        <w:tabs>
          <w:tab w:pos="567" w:val="left"/>
        </w:tabs>
        <w:ind w:left="567" w:hanging="567"/>
      </w:pPr>
      <w:r>
        <w:t>1.</w:t>
      </w:r>
      <w:r>
        <w:tab/>
      </w:r>
      <w:r>
        <w:t>bei der Autorisierung der genaue Betrag nicht angegeben wurde und</w:t>
      </w:r>
    </w:p>
    <w:p>
      <w:pPr>
        <w:tabs>
          <w:tab w:pos="567" w:val="left"/>
        </w:tabs>
        <w:ind w:left="567" w:hanging="567"/>
      </w:pPr>
      <w:r>
        <w:t>2.</w:t>
      </w:r>
      <w:r>
        <w:tab/>
      </w:r>
      <w:r>
        <w:t>der Zahlungsbetrag den Betrag übersteigt, den der Zahler entsprechend seinem bisherigen Ausgabeverhalten, den Bedingungen des Zahlungsdiensterahmenvertrags und den jeweiligen Umständen des Einzelfalls hätte erwarten können; mit einem etwaigen Währungsumtausch zusammenhängende Gründe bleiben außer Betracht, wenn der zwischen den Parteien vereinbarte Referenzwechselkurs zugrunde gelegt wurde.</w:t>
      </w:r>
    </w:p>
    <w:p>
      <w:r>
        <w:rPr>
          <w:rStyle w:val="Satznummer"/>
        </w:rPr>
        <w:t>2</w:t>
      </w:r>
      <w:r>
        <w:t xml:space="preserve">Ist der Zahlungsbetrag einem Zahlungskonto belastet worden, so ist die Gutschrift des Zahlungsbetrags auf diesem Zahlungskonto so vorzunehmen, dass das Wertstellungsdatum spätestens der Geschäftstag der Belastung ist. </w:t>
      </w:r>
      <w:r>
        <w:rPr>
          <w:rStyle w:val="Satznummer"/>
        </w:rPr>
        <w:t>3</w:t>
      </w:r>
      <w:r>
        <w:t>Auf Verlangen seines Zahlungsdienstleisters hat der Zahler nachzuweisen, dass die Voraussetzungen des Satzes 1 Nummer 1 und 2 erfüllt sind.</w:t>
      </w:r>
    </w:p>
    <w:p>
      <w:r>
        <w:t>(2) Unbeschadet des Absatzes 3 hat der Zahler bei SEPA-Basislastschriften und SEPA-Firmenlastschriften ohne Angabe von Gründen auch dann einen Anspruch auf Erstattung gegen seinen Zahlungsdienstleister, wenn die Voraussetzungen für eine Erstattung nach Absatz 1 nicht erfüllt sind.</w:t>
      </w:r>
    </w:p>
    <w:p>
      <w:r>
        <w:t>(3) Der Zahler kann mit seinem Zahlungsdienstleister vereinbaren, dass er keinen Anspruch auf Erstattung hat, wenn er seine Zustimmung zur Ausführung des Zahlungsvorgangs direkt seinem Zahlungsdienstleister erteilt hat und er, sofern vereinbart, über den anstehenden Zahlungsvorgang mindestens vier Wochen vor dem Fälligkeitstermin vom Zahlungsdienstleister oder vom Zahlungsempfänger unterrichtet wurde.</w:t>
      </w:r>
    </w:p>
    <w:p>
      <w:r>
        <w:t>(4) Ein Anspruch des Zahlers auf Erstattung ist ausgeschlossen, wenn er ihn nicht innerhalb von acht Wochen ab dem Zeitpunkt der Belastung des betreffenden Zahlungsbetrags gegenüber seinem Zahlungsdienstleister geltend macht.</w:t>
      </w:r>
    </w:p>
    <w:p>
      <w:r>
        <w:t xml:space="preserve">(5) </w:t>
      </w:r>
      <w:r>
        <w:rPr>
          <w:rStyle w:val="Satznummer"/>
        </w:rPr>
        <w:t>1</w:t>
      </w:r>
      <w:r>
        <w:t xml:space="preserve">Der Zahlungsdienstleister ist verpflichtet, innerhalb von zehn Geschäftstagen nach Zugang eines Erstattungsverlangens entweder den vollständigen Betrag des Zahlungsvorgangs zu erstatten oder dem Zahler die Gründe für die Ablehnung der Erstattung mitzuteilen. </w:t>
      </w:r>
      <w:r>
        <w:rPr>
          <w:rStyle w:val="Satznummer"/>
        </w:rPr>
        <w:t>2</w:t>
      </w:r>
      <w:r>
        <w:t xml:space="preserve">Im Fall der Ablehnung hat der Zahlungsdienstleister auf die Beschwerdemöglichkeiten gemäß den §§ 60 bis 62 des Zahlungsdiensteaufsichtsgesetzes und auf die Möglichkeit, eine Schlichtungsstelle gemäß § 14 des Unterlassungsklagengesetzes anzurufen, hinzuweisen. </w:t>
      </w:r>
      <w:r>
        <w:rPr>
          <w:rStyle w:val="Satznummer"/>
        </w:rPr>
        <w:t>3</w:t>
      </w:r>
      <w:r>
        <w:t>Das Recht des Zahlungsdienstleisters, eine innerhalb der Frist nach Absatz 4 geltend gemachte Erstattung abzulehnen, erstreckt sich nicht auf den Fall nach Absatz 2.</w:t>
      </w:r>
    </w:p>
    <w:p>
      <w:r>
        <w:t>(6) Wenn ein Fall des § 675d Absatz 6 Satz 1 Nummer 1 Buchstabe b vorliegt,</w:t>
      </w:r>
    </w:p>
    <w:p>
      <w:pPr>
        <w:tabs>
          <w:tab w:pos="567" w:val="left"/>
        </w:tabs>
        <w:ind w:left="567" w:hanging="567"/>
      </w:pPr>
      <w:r>
        <w:t>1.</w:t>
      </w:r>
      <w:r>
        <w:tab/>
      </w:r>
      <w:r>
        <w:t xml:space="preserve">ist </w:t>
      </w:r>
      <w:hyperlink w:anchor="b1080" w:history="1">
        <w:r>
          <w:rPr>
            <w:color w:val="0A3A8C"/>
            <w:u w:val="single"/>
          </w:rPr>
          <w:t xml:space="preserve">§ 675x</w:t>
        </w:r>
      </w:hyperlink>
      <w:r>
        <w:t xml:space="preserve"> Absatz 1 auf die innerhalb des Europäischen Wirtschaftsraums getätigten Bestandteile des Zahlungsvorgangs nicht anzuwenden und</w:t>
      </w:r>
    </w:p>
    <w:p>
      <w:pPr>
        <w:tabs>
          <w:tab w:pos="567" w:val="left"/>
        </w:tabs>
        <w:ind w:left="567" w:hanging="567"/>
      </w:pPr>
      <w:r>
        <w:t>2.</w:t>
      </w:r>
      <w:r>
        <w:tab/>
      </w:r>
      <w:r>
        <w:t xml:space="preserve">kann von </w:t>
      </w:r>
      <w:hyperlink w:anchor="b1080" w:history="1">
        <w:r>
          <w:rPr>
            <w:color w:val="0A3A8C"/>
            <w:u w:val="single"/>
          </w:rPr>
          <w:t xml:space="preserve">§ 675x</w:t>
        </w:r>
      </w:hyperlink>
      <w:r>
        <w:t xml:space="preserve"> Absatz 2 bis 5 für die innerhalb des Europäischen Wirtschaftsraums getätigten Bestandteile des Zahlungsvorgangs abgewichen werden.</w:t>
      </w:r>
    </w:p>
    <w:p>
      <w:pPr>
        <w:pStyle w:val="Heading7"/>
      </w:pPr>
      <w:bookmarkStart w:id="1096" w:name="b1081"/>
      <w:r>
        <w:t>§ 675y Haftung der Zahlungsdienstleister bei nicht erfolgter, fehlerhafter oder verspäteter Ausführung eines Zahlungsauftrags; Nachforschungspflicht</w:t>
      </w:r>
      <w:r>
        <w:t xml:space="preserve"> </w:t>
      </w:r>
      <w:r>
        <w:rPr>
          <w:rStyle w:val="Suchmarke"/>
        </w:rPr>
        <w:t>#675y#</w:t>
      </w:r>
      <w:bookmarkEnd w:id="1096"/>
    </w:p>
    <w:p>
      <w:r>
        <w:t xml:space="preserve">(1) </w:t>
      </w:r>
      <w:r>
        <w:rPr>
          <w:rStyle w:val="Satznummer"/>
        </w:rPr>
        <w:t>1</w:t>
      </w:r>
      <w:r>
        <w:t xml:space="preserve">Wird ein Zahlungsvorgang vom Zahler ausgelöst, kann dieser von seinem Zahlungsdienstleister im Fall einer nicht erfolgten oder fehlerhaften Ausführung des Zahlungsauftrags die unverzügliche und ungekürzte Erstattung des Zahlungsbetrags verlangen. </w:t>
      </w:r>
      <w:r>
        <w:rPr>
          <w:rStyle w:val="Satznummer"/>
        </w:rPr>
        <w:t>2</w:t>
      </w:r>
      <w:r>
        <w:t xml:space="preserve">Wurde der Betrag einem Zahlungskonto des Zahlers belastet, ist dieses Zahlungskonto wieder auf den Stand zu bringen, auf dem es sich ohne den fehlerhaft ausgeführten Zahlungsvorgang befunden hätte. </w:t>
      </w:r>
      <w:r>
        <w:rPr>
          <w:rStyle w:val="Satznummer"/>
        </w:rPr>
        <w:t>3</w:t>
      </w:r>
      <w:r>
        <w:t xml:space="preserve">Wird ein Zahlungsvorgang vom Zahler über einen Zahlungsauslösedienstleister ausgelöst, so treffen die Pflichten aus den Sätzen 1 und 2 den kontoführenden Zahlungsdienstleister. </w:t>
      </w:r>
      <w:r>
        <w:rPr>
          <w:rStyle w:val="Satznummer"/>
        </w:rPr>
        <w:t>4</w:t>
      </w:r>
      <w:r>
        <w:t xml:space="preserve">Soweit vom Zahlungsbetrag entgegen § 675q Abs. 1 Entgelte abgezogen wurden, hat der Zahlungsdienstleister des Zahlers den abgezogenen Betrag dem Zahlungsempfänger unverzüglich zu übermitteln. </w:t>
      </w:r>
      <w:r>
        <w:rPr>
          <w:rStyle w:val="Satznummer"/>
        </w:rPr>
        <w:t>5</w:t>
      </w:r>
      <w:r>
        <w:t>Weist der Zahlungsdienstleister des Zahlers nach, dass der Zahlungsbetrag ungekürzt beim Zahlungsdienstleister des Zahlungsempfängers eingegangen ist, entfällt die Haftung nach diesem Absatz.</w:t>
      </w:r>
    </w:p>
    <w:p>
      <w:r>
        <w:t xml:space="preserve">(2) </w:t>
      </w:r>
      <w:r>
        <w:rPr>
          <w:rStyle w:val="Satznummer"/>
        </w:rPr>
        <w:t>1</w:t>
      </w:r>
      <w:r>
        <w:t xml:space="preserve">Wird ein Zahlungsvorgang vom oder über den Zahlungsempfänger ausgelöst, kann dieser im Fall einer nicht erfolgten oder fehlerhaften Ausführung des Zahlungsauftrags verlangen, dass sein Zahlungsdienstleister diesen Zahlungsauftrag unverzüglich, gegebenenfalls erneut, an den Zahlungsdienstleister des Zahlers übermittelt. </w:t>
      </w:r>
      <w:r>
        <w:rPr>
          <w:rStyle w:val="Satznummer"/>
        </w:rPr>
        <w:t>2</w:t>
      </w:r>
      <w:r>
        <w:t xml:space="preserve">Weist der Zahlungsdienstleister des Zahlungsempfängers nach, dass er die ihm bei der Ausführung des Zahlungsvorgangs obliegenden Pflichten erfüllt hat, hat der Zahlungsdienstleister des Zahlers dem Zahler gegebenenfalls unverzüglich den ungekürzten Zahlungsbetrag entsprechend Absatz 1 Satz 1 und 2 zu erstatten. </w:t>
      </w:r>
      <w:r>
        <w:rPr>
          <w:rStyle w:val="Satznummer"/>
        </w:rPr>
        <w:t>3</w:t>
      </w:r>
      <w:r>
        <w:t>Soweit vom Zahlungsbetrag entgegen § 675q Abs. 1 und 2 Entgelte abgezogen wurden, hat der Zahlungsdienstleister des Zahlungsempfängers den abgezogenen Betrag dem Zahlungsempfänger unverzüglich verfügbar zu machen.</w:t>
      </w:r>
    </w:p>
    <w:p>
      <w:r>
        <w:t xml:space="preserve">(3) </w:t>
      </w:r>
      <w:r>
        <w:rPr>
          <w:rStyle w:val="Satznummer"/>
        </w:rPr>
        <w:t>1</w:t>
      </w:r>
      <w:r>
        <w:t xml:space="preserve">Wird ein Zahlungsvorgang vom Zahler ausgelöst, kann dieser im Fall einer verspäteten Ausführung des Zahlungsauftrags verlangen, dass sein Zahlungsdienstleister gegen den Zahlungsdienstleister des Zahlungsempfängers den Anspruch nach Satz 2 geltend macht. </w:t>
      </w:r>
      <w:r>
        <w:rPr>
          <w:rStyle w:val="Satznummer"/>
        </w:rPr>
        <w:t>2</w:t>
      </w:r>
      <w:r>
        <w:t xml:space="preserve">Der Zahlungsdienstleister des Zahlers kann vom Zahlungsdienstleister des Zahlungsempfängers verlangen, die Gutschrift des Zahlungsbetrags auf dem Zahlungskonto des Zahlungsempfängers so vorzunehmen, als sei der Zahlungsvorgang ordnungsgemäß ausgeführt worden. </w:t>
      </w:r>
      <w:r>
        <w:rPr>
          <w:rStyle w:val="Satznummer"/>
        </w:rPr>
        <w:t>3</w:t>
      </w:r>
      <w:r>
        <w:t xml:space="preserve">Wird ein Zahlungsvorgang vom Zahler über einen Zahlungsauslösedienstleister ausgelöst, so trifft die Pflicht aus Satz 1 den kontoführenden Zahlungsdienstleister. </w:t>
      </w:r>
      <w:r>
        <w:rPr>
          <w:rStyle w:val="Satznummer"/>
        </w:rPr>
        <w:t>4</w:t>
      </w:r>
      <w:r>
        <w:t>Weist der Zahlungsdienstleister des Zahlers nach, dass der Zahlungsbetrag rechtzeitig beim Zahlungsdienstleister des Zahlungsempfängers eingegangen ist, entfällt die Haftung nach diesem Absatz.</w:t>
      </w:r>
    </w:p>
    <w:p>
      <w:r>
        <w:t xml:space="preserve">(4) </w:t>
      </w:r>
      <w:r>
        <w:rPr>
          <w:rStyle w:val="Satznummer"/>
        </w:rPr>
        <w:t>1</w:t>
      </w:r>
      <w:r>
        <w:t xml:space="preserve">Wird ein Zahlungsvorgang vom oder über den Zahlungsempfänger ausgelöst, kann dieser im Fall einer verspäteten Übermittlung des Zahlungsauftrags verlangen, dass sein Zahlungsdienstleister die Gutschrift des Zahlungsbetrags auf dem Zahlungskonto des Zahlungsempfängers so vornimmt, als sei der Zahlungsvorgang ordnungsgemäß ausgeführt worden. </w:t>
      </w:r>
      <w:r>
        <w:rPr>
          <w:rStyle w:val="Satznummer"/>
        </w:rPr>
        <w:t>2</w:t>
      </w:r>
      <w:r>
        <w:t xml:space="preserve">Weist der Zahlungsdienstleister des Zahlungsempfängers nach, dass er den Zahlungsauftrag rechtzeitig an den Zahlungsdienstleister des Zahlers übermittelt hat, ist der Zahlungsdienstleister des Zahlers verpflichtet, dem Zahler gegebenenfalls unverzüglich den ungekürzten Zahlungsbetrag nach Absatz 1 Satz 1 und 2 zu erstatten. </w:t>
      </w:r>
      <w:r>
        <w:rPr>
          <w:rStyle w:val="Satznummer"/>
        </w:rPr>
        <w:t>3</w:t>
      </w:r>
      <w:r>
        <w:t xml:space="preserve">Dies gilt nicht, wenn der Zahlungsdienstleister des Zahlers nachweist, dass der Zahlungsbetrag lediglich verspätet beim Zahlungsdienstleister des Zahlungsempfängers eingegangen ist. </w:t>
      </w:r>
      <w:r>
        <w:rPr>
          <w:rStyle w:val="Satznummer"/>
        </w:rPr>
        <w:t>4</w:t>
      </w:r>
      <w:r>
        <w:t>In diesem Fall ist der Zahlungsdienstleister des Zahlungsempfängers verpflichtet, den Zahlungsbetrag entsprechend Satz 1 auf dem Zahlungskonto des Zahlungsempfängers gutzuschreiben.</w:t>
      </w:r>
    </w:p>
    <w:p>
      <w:r>
        <w:t xml:space="preserve">(5) </w:t>
      </w:r>
      <w:r>
        <w:rPr>
          <w:rStyle w:val="Satznummer"/>
        </w:rPr>
        <w:t>1</w:t>
      </w:r>
      <w:r>
        <w:t xml:space="preserve">Ansprüche des Zahlungsdienstnutzers gegen seinen Zahlungsdienstleister nach Absatz 1 Satz 1 und 2 sowie Absatz 2 Satz 2 bestehen nicht, soweit der Zahlungsauftrag in Übereinstimmung mit der vom Zahlungsdienstnutzer angegebenen fehlerhaften Kundenkennung ausgeführt wurde. </w:t>
      </w:r>
      <w:r>
        <w:rPr>
          <w:rStyle w:val="Satznummer"/>
        </w:rPr>
        <w:t>2</w:t>
      </w:r>
      <w:r>
        <w:t xml:space="preserve">In diesem Fall kann der Zahler von seinem Zahlungsdienstleister jedoch verlangen, dass dieser sich im Rahmen seiner Möglichkeiten darum bemüht, den Zahlungsbetrag wiederzuerlangen. </w:t>
      </w:r>
      <w:r>
        <w:rPr>
          <w:rStyle w:val="Satznummer"/>
        </w:rPr>
        <w:t>3</w:t>
      </w:r>
      <w:r>
        <w:t xml:space="preserve">Der Zahlungsdienstleister des Zahlungsempfängers ist verpflichtet, dem Zahlungsdienstleister des Zahlers alle für die Wiedererlangung des Zahlungsbetrags erforderlichen Informationen mitzuteilen. </w:t>
      </w:r>
      <w:r>
        <w:rPr>
          <w:rStyle w:val="Satznummer"/>
        </w:rPr>
        <w:t>4</w:t>
      </w:r>
      <w:r>
        <w:t xml:space="preserve">Ist die Wiedererlangung des Zahlungsbetrags nach den Sätzen 2 und 3 nicht möglich, so ist der Zahlungsdienstleister des Zahlers verpflichtet, dem Zahler auf schriftlichen Antrag alle verfügbaren Informationen mitzuteilen, damit der Zahler einen Anspruch auf Erstattung des Zahlungsbetrags geltend machen kann. </w:t>
      </w:r>
      <w:r>
        <w:rPr>
          <w:rStyle w:val="Satznummer"/>
        </w:rPr>
        <w:t>5</w:t>
      </w:r>
      <w:r>
        <w:t>Der Zahlungsdienstleister kann mit dem Zahlungsdienstnutzer im Zahlungsdiensterahmenvertrag ein Entgelt für Tätigkeiten nach den Sätzen 2 bis 4 vereinbaren.</w:t>
      </w:r>
    </w:p>
    <w:p>
      <w:r>
        <w:t>(6) Ein Zahlungsdienstnutzer kann von seinem Zahlungsdienstleister über die Ansprüche nach den Absätzen 1 und 2 hinaus die Erstattung der Entgelte und Zinsen verlangen, die der Zahlungsdienstleister ihm im Zusammenhang mit der nicht erfolgten oder fehlerhaften Ausführung des Zahlungsvorgangs in Rechnung gestellt oder mit denen er dessen Zahlungskonto belastet hat.</w:t>
      </w:r>
    </w:p>
    <w:p>
      <w:r>
        <w:t>(7) Wurde ein Zahlungsauftrag nicht oder fehlerhaft ausgeführt, hat der Zahlungsdienstleister desjenigen Zahlungsdienstnutzers, der einen Zahlungsvorgang ausgelöst hat oder über den ein Zahlungsvorgang ausgelöst wurde, auf Verlangen seines Zahlungsdienstnutzers den Zahlungsvorgang nachzuvollziehen und seinen Zahlungsdienstnutzer über das Ergebnis zu unterrichten.</w:t>
      </w:r>
    </w:p>
    <w:p>
      <w:r>
        <w:t xml:space="preserve">(8) Wenn ein Fall des § 675d Absatz 6 Satz 1 Nummer 1 Buchstabe b vorliegt, ist </w:t>
      </w:r>
      <w:hyperlink w:anchor="b1081" w:history="1">
        <w:r>
          <w:rPr>
            <w:color w:val="0A3A8C"/>
            <w:u w:val="single"/>
          </w:rPr>
          <w:t xml:space="preserve">§ 675y</w:t>
        </w:r>
      </w:hyperlink>
      <w:r>
        <w:t xml:space="preserve"> Absatz 1 bis 4 auf die innerhalb des Europäischen Wirtschaftsraums getätigten Bestandteile des Zahlungsvorgangs nicht anzuwenden.</w:t>
      </w:r>
    </w:p>
    <w:p>
      <w:pPr>
        <w:pStyle w:val="Heading7"/>
      </w:pPr>
      <w:bookmarkStart w:id="1097" w:name="b1082"/>
      <w:r>
        <w:t>§ 675z Sonstige Ansprüche bei nicht erfolgter, fehlerhafter oder verspäteter Ausführung eines Zahlungsauftrags oder bei einem nicht autorisierten Zahlungsvorgang</w:t>
      </w:r>
      <w:r>
        <w:t xml:space="preserve"> </w:t>
      </w:r>
      <w:r>
        <w:rPr>
          <w:rStyle w:val="Suchmarke"/>
        </w:rPr>
        <w:t>#675z#</w:t>
      </w:r>
      <w:bookmarkEnd w:id="1097"/>
    </w:p>
    <w:p>
      <w:r>
        <w:rPr>
          <w:rStyle w:val="Satznummer"/>
        </w:rPr>
        <w:t>1</w:t>
      </w:r>
      <w:r>
        <w:t xml:space="preserve">Die </w:t>
      </w:r>
      <w:hyperlink w:anchor="b1077" w:history="1">
        <w:r>
          <w:rPr>
            <w:color w:val="0A3A8C"/>
            <w:u w:val="single"/>
          </w:rPr>
          <w:t xml:space="preserve">§§ 675u</w:t>
        </w:r>
      </w:hyperlink>
      <w:r>
        <w:t xml:space="preserve"> und </w:t>
      </w:r>
      <w:hyperlink w:anchor="b1081" w:history="1">
        <w:r>
          <w:rPr>
            <w:color w:val="0A3A8C"/>
            <w:u w:val="single"/>
          </w:rPr>
          <w:t xml:space="preserve">675y</w:t>
        </w:r>
      </w:hyperlink>
      <w:r>
        <w:t xml:space="preserve"> sind hinsichtlich der dort geregelten Ansprüche eines Zahlungsdienstnutzers abschließend. </w:t>
      </w:r>
      <w:r>
        <w:rPr>
          <w:rStyle w:val="Satznummer"/>
        </w:rPr>
        <w:t>2</w:t>
      </w:r>
      <w:r>
        <w:t xml:space="preserve">Die Haftung eines Zahlungsdienstleisters gegenüber seinem Zahlungsdienstnutzer für einen wegen nicht erfolgter, fehlerhafter oder verspäteter Ausführung eines Zahlungsauftrags entstandenen Schaden, der nicht bereits von </w:t>
      </w:r>
      <w:hyperlink w:anchor="b1081" w:history="1">
        <w:r>
          <w:rPr>
            <w:color w:val="0A3A8C"/>
            <w:u w:val="single"/>
          </w:rPr>
          <w:t xml:space="preserve">§ 675y</w:t>
        </w:r>
      </w:hyperlink>
      <w:r>
        <w:t xml:space="preserve"> erfasst ist, kann auf 12 500 Euro begrenzt werden; dies gilt nicht für Vorsatz und grobe Fahrlässigkeit, den Zinsschaden und für Gefahren, die der Zahlungsdienstleister besonders übernommen hat. </w:t>
      </w:r>
      <w:r>
        <w:rPr>
          <w:rStyle w:val="Satznummer"/>
        </w:rPr>
        <w:t>3</w:t>
      </w:r>
      <w:r>
        <w:t xml:space="preserve">Zahlungsdienstleister haben hierbei ein Verschulden, das einer zwischengeschalteten Stelle zur Last fällt, wie eigenes Verschulden zu vertreten, es sei denn, dass die wesentliche Ursache bei einer zwischengeschalteten Stelle liegt, die der Zahlungsdienstnutzer vorgegeben hat. </w:t>
      </w:r>
      <w:r>
        <w:rPr>
          <w:rStyle w:val="Satznummer"/>
        </w:rPr>
        <w:t>4</w:t>
      </w:r>
      <w:r>
        <w:t xml:space="preserve">In den Fällen von Satz 3 zweiter Halbsatz haftet die von dem Zahlungsdienstnutzer vorgegebene zwischengeschaltete Stelle anstelle des Zahlungsdienstleisters des Zahlungsdienstnutzers. </w:t>
      </w:r>
      <w:r>
        <w:rPr>
          <w:rStyle w:val="Satznummer"/>
        </w:rPr>
        <w:t>5</w:t>
      </w:r>
      <w:hyperlink w:anchor="b1081" w:history="1">
        <w:r>
          <w:rPr>
            <w:color w:val="0A3A8C"/>
            <w:u w:val="single"/>
          </w:rPr>
          <w:t xml:space="preserve">§ 675y</w:t>
        </w:r>
      </w:hyperlink>
      <w:r>
        <w:t xml:space="preserve"> Absatz 5 Satz 1 ist auf die Haftung eines Zahlungsdienstleisters nach den Sätzen 2 bis 4 entsprechend anzuwenden. </w:t>
      </w:r>
      <w:r>
        <w:rPr>
          <w:rStyle w:val="Satznummer"/>
        </w:rPr>
        <w:t>6</w:t>
      </w:r>
      <w:r>
        <w:t xml:space="preserve">Wenn ein Fall des § 675d Absatz 6 Satz 1 Nummer 1 Buchstabe b vorliegt, ist </w:t>
      </w:r>
      <w:hyperlink w:anchor="b1082" w:history="1">
        <w:r>
          <w:rPr>
            <w:color w:val="0A3A8C"/>
            <w:u w:val="single"/>
          </w:rPr>
          <w:t xml:space="preserve">§ 675z</w:t>
        </w:r>
      </w:hyperlink>
      <w:r>
        <w:t xml:space="preserve"> Satz 3 auf die innerhalb des Europäischen Wirtschaftsraums getätigten Bestandteile des Zahlungsvorgangs nicht anzuwenden.</w:t>
      </w:r>
    </w:p>
    <w:p>
      <w:pPr>
        <w:pStyle w:val="Heading7"/>
      </w:pPr>
      <w:bookmarkStart w:id="1098" w:name="b1083"/>
      <w:r>
        <w:t>§ 676 Nachweis der Ausführung von Zahlungsvorgängen</w:t>
      </w:r>
      <w:r>
        <w:t xml:space="preserve"> </w:t>
      </w:r>
      <w:r>
        <w:rPr>
          <w:rStyle w:val="Suchmarke"/>
        </w:rPr>
        <w:t>#676#</w:t>
      </w:r>
      <w:bookmarkEnd w:id="1098"/>
    </w:p>
    <w:p>
      <w:r>
        <w:t>Ist zwischen dem Zahlungsdienstnutzer und seinem Zahlungsdienstleister streitig, ob der Zahlungsvorgang ordnungsgemäß ausgeführt wurde, muss der Zahlungsdienstleister nachweisen, dass der Zahlungsvorgang ordnungsgemäß aufgezeichnet und verbucht sowie nicht durch eine Störung beeinträchtigt wurde.</w:t>
      </w:r>
    </w:p>
    <w:p>
      <w:pPr>
        <w:pStyle w:val="Heading7"/>
      </w:pPr>
      <w:bookmarkStart w:id="1099" w:name="b1084"/>
      <w:r>
        <w:t>§ 676a Ausgleichsanspruch</w:t>
      </w:r>
      <w:r>
        <w:t xml:space="preserve"> </w:t>
      </w:r>
      <w:r>
        <w:rPr>
          <w:rStyle w:val="Suchmarke"/>
        </w:rPr>
        <w:t>#676a#</w:t>
      </w:r>
      <w:bookmarkEnd w:id="1099"/>
    </w:p>
    <w:p>
      <w:r>
        <w:t xml:space="preserve">(1) Liegt die Ursache für die Haftung eines Zahlungsdienstleisters gemäß den §§ 675u, 675y und 675z im Verantwortungsbereich eines anderen Zahlungsdienstleisters, eines Zahlungsauslösedienstleisters oder einer zwischengeschalteten Stelle, so kann der Zahlungsdienstleister von dem anderen Zahlungsdienstleister, dem Zahlungsauslösedienstleister oder der zwischengeschalteten Stelle den Ersatz des Schadens verlangen, der ihm aus der Erfüllung der Ansprüche eines Zahlungsdienstnutzers gemäß den </w:t>
      </w:r>
      <w:hyperlink w:anchor="b1077" w:history="1">
        <w:r>
          <w:rPr>
            <w:color w:val="0A3A8C"/>
            <w:u w:val="single"/>
          </w:rPr>
          <w:t xml:space="preserve">§§ 675u</w:t>
        </w:r>
      </w:hyperlink>
      <w:r>
        <w:t xml:space="preserve">, </w:t>
      </w:r>
      <w:hyperlink w:anchor="b1081" w:history="1">
        <w:r>
          <w:rPr>
            <w:color w:val="0A3A8C"/>
            <w:u w:val="single"/>
          </w:rPr>
          <w:t xml:space="preserve">675y</w:t>
        </w:r>
      </w:hyperlink>
      <w:r>
        <w:t xml:space="preserve"> und </w:t>
      </w:r>
      <w:hyperlink w:anchor="b1082" w:history="1">
        <w:r>
          <w:rPr>
            <w:color w:val="0A3A8C"/>
            <w:u w:val="single"/>
          </w:rPr>
          <w:t xml:space="preserve">675z</w:t>
        </w:r>
      </w:hyperlink>
      <w:r>
        <w:t xml:space="preserve"> entsteht.</w:t>
      </w:r>
    </w:p>
    <w:p>
      <w:r>
        <w:t>(2) Ist zwischen dem kontoführenden Zahlungsdienstleister des Zahlers und einem Zahlungsauslösedienstleister streitig, ob ein ausgeführter Zahlungsvorgang autorisiert wurde, muss der Zahlungsauslösedienstleister nachweisen, dass in seinem Verantwortungsbereich eine Authentifizierung erfolgt ist und der Zahlungsvorgang ordnungsgemäß aufgezeichnet sowie nicht durch eine Störung beeinträchtigt wurde.</w:t>
      </w:r>
    </w:p>
    <w:p>
      <w:r>
        <w:t>(3) Ist zwischen dem kontoführenden Zahlungsdienstleister des Zahlers und einem Zahlungsauslösedienstleister streitig, ob ein Zahlungsvorgang ordnungsgemäß ausgeführt wurde, muss der Zahlungsauslösedienstleister nachweisen, dass</w:t>
      </w:r>
    </w:p>
    <w:p>
      <w:pPr>
        <w:tabs>
          <w:tab w:pos="567" w:val="left"/>
        </w:tabs>
        <w:ind w:left="567" w:hanging="567"/>
      </w:pPr>
      <w:r>
        <w:t>1.</w:t>
      </w:r>
      <w:r>
        <w:tab/>
      </w:r>
      <w:r>
        <w:t xml:space="preserve">der Zahlungsauftrag dem kontoführenden Zahlungsdienstleister gemäß </w:t>
      </w:r>
      <w:hyperlink w:anchor="b1069" w:history="1">
        <w:r>
          <w:rPr>
            <w:color w:val="0A3A8C"/>
            <w:u w:val="single"/>
          </w:rPr>
          <w:t xml:space="preserve">§ 675n</w:t>
        </w:r>
      </w:hyperlink>
      <w:r>
        <w:t xml:space="preserve"> zugegangen ist und</w:t>
      </w:r>
    </w:p>
    <w:p>
      <w:pPr>
        <w:tabs>
          <w:tab w:pos="567" w:val="left"/>
        </w:tabs>
        <w:ind w:left="567" w:hanging="567"/>
      </w:pPr>
      <w:r>
        <w:t>2.</w:t>
      </w:r>
      <w:r>
        <w:tab/>
      </w:r>
      <w:r>
        <w:t>der Zahlungsvorgang im Verantwortungsbereich des Zahlungsauslösedienstleisters ordnungsgemäß aufgezeichnet sowie nicht durch eine Störung beeinträchtigt wurde.</w:t>
      </w:r>
    </w:p>
    <w:p>
      <w:pPr>
        <w:pStyle w:val="Heading7"/>
      </w:pPr>
      <w:bookmarkStart w:id="1100" w:name="b1085"/>
      <w:r>
        <w:t>§ 676b Anzeige nicht autorisierter oder fehlerhaft ausgeführter Zahlungsvorgänge</w:t>
      </w:r>
      <w:r>
        <w:t xml:space="preserve"> </w:t>
      </w:r>
      <w:r>
        <w:rPr>
          <w:rStyle w:val="Suchmarke"/>
        </w:rPr>
        <w:t>#676b#</w:t>
      </w:r>
      <w:bookmarkEnd w:id="1100"/>
    </w:p>
    <w:p>
      <w:r>
        <w:t>(1) Der Zahlungsdienstnutzer hat seinen Zahlungsdienstleister unverzüglich nach Feststellung eines nicht autorisierten oder fehlerhaft ausgeführten Zahlungsvorgangs zu unterrichten.</w:t>
      </w:r>
    </w:p>
    <w:p>
      <w:r>
        <w:t xml:space="preserve">(2) </w:t>
      </w:r>
      <w:r>
        <w:rPr>
          <w:rStyle w:val="Satznummer"/>
        </w:rPr>
        <w:t>1</w:t>
      </w:r>
      <w:r>
        <w:t xml:space="preserve">Ansprüche und Einwendungen des Zahlungsdienstnutzers gegen den Zahlungsdienstleister nach diesem Unterkapitel sind ausgeschlossen, wenn dieser seinen Zahlungsdienstleister nicht spätestens 13 Monate nach dem Tag der Belastung mit einem nicht autorisierten oder fehlerhaft ausgeführten Zahlungsvorgang hiervon unterrichtet hat. </w:t>
      </w:r>
      <w:r>
        <w:rPr>
          <w:rStyle w:val="Satznummer"/>
        </w:rPr>
        <w:t>2</w:t>
      </w:r>
      <w:r>
        <w:t>Der Lauf der Frist beginnt nur, wenn der Zahlungsdienstleister den Zahlungsdienstnutzer über die den Zahlungsvorgang betreffenden Angaben gemäß Artikel 248 §§ 7, 10 oder § 14 des Einführungsgesetzes zum Bürgerlichen Gesetzbuche unterrichtet hat; anderenfalls ist für den Fristbeginn der Tag der Unterrichtung maßgeblich.</w:t>
      </w:r>
    </w:p>
    <w:p>
      <w:r>
        <w:t xml:space="preserve">(3) Für andere als die in </w:t>
      </w:r>
      <w:hyperlink w:anchor="b1082" w:history="1">
        <w:r>
          <w:rPr>
            <w:color w:val="0A3A8C"/>
            <w:u w:val="single"/>
          </w:rPr>
          <w:t xml:space="preserve">§ 675z</w:t>
        </w:r>
      </w:hyperlink>
      <w:r>
        <w:t xml:space="preserve"> Satz 1 genannten Ansprüche des Zahlungsdienstnutzers gegen seinen Zahlungsdienstleister wegen eines nicht autorisierten oder fehlerhaft ausgeführten Zahlungsvorgangs gilt Absatz 2 mit der Maßgabe, dass der Zahlungsdienstnutzer diese Ansprüche auch nach Ablauf der Frist geltend machen kann, wenn er ohne Verschulden an der Einhaltung der Frist verhindert war.</w:t>
      </w:r>
    </w:p>
    <w:p>
      <w:r>
        <w:t xml:space="preserve">(4) </w:t>
      </w:r>
      <w:r>
        <w:rPr>
          <w:rStyle w:val="Satznummer"/>
        </w:rPr>
        <w:t>1</w:t>
      </w:r>
      <w:r>
        <w:t xml:space="preserve">Wurde der Zahlungsvorgang über einen Zahlungsauslösedienstleister ausgelöst, sind Ansprüche und Einwendungen des Zahlungsdienstnutzers gegen seinen kontoführenden Zahlungsdienstleister ausgeschlossen, wenn der Zahlungsdienstnutzer den kontoführenden Zahlungsdienstleister nicht spätestens 13 Monate nach dem Tag der Belastung mit einem nicht autorisierten oder fehlerhaften Zahlungsvorgang hiervon unterrichtet hat. </w:t>
      </w:r>
      <w:r>
        <w:rPr>
          <w:rStyle w:val="Satznummer"/>
        </w:rPr>
        <w:t>2</w:t>
      </w:r>
      <w:r>
        <w:t>Der Lauf der Frist beginnt nur, wenn der kontoführende Zahlungsdienstleister den Zahlungsdienstnutzer über die den Zahlungsvorgang betreffenden Angaben gemäß Artikel 248 §§ 7, 10 oder § 14 des Einführungsgesetzes zum Bürgerlichen Gesetzbuche unterrichtet hat; anderenfalls ist für den Fristbeginn der Tag der Unterrichtung durch den kontoführenden Zahlungsdienstleister maßgeblich.</w:t>
      </w:r>
    </w:p>
    <w:p>
      <w:r>
        <w:t xml:space="preserve">(5) Für andere als die in </w:t>
      </w:r>
      <w:hyperlink w:anchor="b1082" w:history="1">
        <w:r>
          <w:rPr>
            <w:color w:val="0A3A8C"/>
            <w:u w:val="single"/>
          </w:rPr>
          <w:t xml:space="preserve">§ 675z</w:t>
        </w:r>
      </w:hyperlink>
      <w:r>
        <w:t xml:space="preserve"> Satz 1 genannten Ansprüche des Zahlungsdienstnutzers gegen seinen kontoführenden Zahlungsdienstleister oder gegen den Zahlungsauslösedienstleister wegen eines nicht autorisierten oder fehlerhaft ausgeführten Zahlungsvorgangs gilt Absatz 4 mit der Maßgabe, dass</w:t>
      </w:r>
    </w:p>
    <w:p>
      <w:pPr>
        <w:tabs>
          <w:tab w:pos="567" w:val="left"/>
        </w:tabs>
        <w:ind w:left="567" w:hanging="567"/>
      </w:pPr>
      <w:r>
        <w:t>1.</w:t>
      </w:r>
      <w:r>
        <w:tab/>
      </w:r>
      <w:r>
        <w:t>die Anzeige an den kontoführenden Zahlungsdienstleister auch zur Erhaltung von Ansprüchen und Einwendungen des Zahlungsdienstnutzers gegen den Zahlungsauslösedienstleister genügt und</w:t>
      </w:r>
    </w:p>
    <w:p>
      <w:pPr>
        <w:tabs>
          <w:tab w:pos="567" w:val="left"/>
        </w:tabs>
        <w:ind w:left="567" w:hanging="567"/>
      </w:pPr>
      <w:r>
        <w:t>2.</w:t>
      </w:r>
      <w:r>
        <w:tab/>
      </w:r>
      <w:r>
        <w:t>der Zahlungsdienstnutzer seine Ansprüche gegen den kontoführenden Zahlungsdienstleister oder gegen den Zahlungsauslösedienstleister auch nach Ablauf der Frist geltend machen kann, wenn er ohne Verschulden an der Einhaltung der Frist verhindert war.</w:t>
      </w:r>
    </w:p>
    <w:p>
      <w:pPr>
        <w:pStyle w:val="Heading7"/>
      </w:pPr>
      <w:bookmarkStart w:id="1101" w:name="b1086"/>
      <w:r>
        <w:t>§ 676c Haftungsausschluss</w:t>
      </w:r>
      <w:r>
        <w:t xml:space="preserve"> </w:t>
      </w:r>
      <w:r>
        <w:rPr>
          <w:rStyle w:val="Suchmarke"/>
        </w:rPr>
        <w:t>#676c#</w:t>
      </w:r>
      <w:bookmarkEnd w:id="1101"/>
    </w:p>
    <w:p>
      <w:r>
        <w:t>Ansprüche nach diesem Kapitel sind ausgeschlossen, wenn die einen Anspruch begründenden Umstände</w:t>
      </w:r>
    </w:p>
    <w:p>
      <w:pPr>
        <w:tabs>
          <w:tab w:pos="567" w:val="left"/>
        </w:tabs>
        <w:ind w:left="567" w:hanging="567"/>
      </w:pPr>
      <w:r>
        <w:t>1.</w:t>
      </w:r>
      <w:r>
        <w:tab/>
      </w:r>
      <w:r>
        <w:t>auf einem ungewöhnlichen und unvorhersehbaren Ereignis beruhen, auf das diejenige Partei, die sich auf dieses Ereignis beruft, keinen Einfluss hat, und dessen Folgen trotz Anwendung der gebotenen Sorgfalt nicht hätten vermieden werden können, oder</w:t>
      </w:r>
    </w:p>
    <w:p>
      <w:pPr>
        <w:tabs>
          <w:tab w:pos="567" w:val="left"/>
        </w:tabs>
        <w:ind w:left="567" w:hanging="567"/>
      </w:pPr>
      <w:r>
        <w:t>2.</w:t>
      </w:r>
      <w:r>
        <w:tab/>
      </w:r>
      <w:r>
        <w:t>vom Zahlungsdienstleister auf Grund einer gesetzlichen Verpflichtung herbeigeführt wurden.</w:t>
      </w:r>
    </w:p>
    <w:p>
      <w:pPr>
        <w:pStyle w:val="Heading3"/>
      </w:pPr>
      <w:bookmarkStart w:id="1102" w:name="b1087"/>
      <w:r>
        <w:t>Titel 13 Geschäftsführung ohne Auftrag</w:t>
      </w:r>
      <w:bookmarkEnd w:id="1102"/>
    </w:p>
    <w:p>
      <w:pPr>
        <w:pStyle w:val="Heading4"/>
      </w:pPr>
      <w:bookmarkStart w:id="1103" w:name="b1088"/>
      <w:r>
        <w:t>§ 677 Pflichten des Geschäftsführers</w:t>
      </w:r>
      <w:r>
        <w:t xml:space="preserve"> </w:t>
      </w:r>
      <w:r>
        <w:rPr>
          <w:rStyle w:val="Suchmarke"/>
        </w:rPr>
        <w:t>#677#</w:t>
      </w:r>
      <w:bookmarkEnd w:id="1103"/>
    </w:p>
    <w:p>
      <w:r>
        <w:t>Wer ein Geschäft für einen anderen besorgt, ohne von ihm beauftragt oder ihm gegenüber sonst dazu berechtigt zu sein, hat das Geschäft so zu führen, wie das Interesse des Geschäftsherrn mit Rücksicht auf dessen wirklichen oder mutmaßlichen Willen es erfordert.</w:t>
      </w:r>
    </w:p>
    <w:p>
      <w:pPr>
        <w:pStyle w:val="Heading4"/>
      </w:pPr>
      <w:bookmarkStart w:id="1104" w:name="b1089"/>
      <w:r>
        <w:t>§ 678 Geschäftsführung gegen den Willen des Geschäftsherrn</w:t>
      </w:r>
      <w:r>
        <w:t xml:space="preserve"> </w:t>
      </w:r>
      <w:r>
        <w:rPr>
          <w:rStyle w:val="Suchmarke"/>
        </w:rPr>
        <w:t>#678#</w:t>
      </w:r>
      <w:bookmarkEnd w:id="1104"/>
    </w:p>
    <w:p>
      <w:r>
        <w:t>Steht die Übernahme der Geschäftsführung mit dem wirklichen oder dem mutmaßlichen Willen des Geschäftsherrn in Widerspruch und musste der Geschäftsführer dies erkennen, so ist er dem Geschäftsherrn zum Ersatz des aus der Geschäftsführung entstehenden Schadens auch dann verpflichtet, wenn ihm ein sonstiges Verschulden nicht zur Last fällt.</w:t>
      </w:r>
    </w:p>
    <w:p>
      <w:pPr>
        <w:pStyle w:val="Heading4"/>
      </w:pPr>
      <w:bookmarkStart w:id="1105" w:name="b1090"/>
      <w:r>
        <w:t>§ 679 Unbeachtlichkeit des entgegenstehenden Willens des Geschäftsherrn</w:t>
      </w:r>
      <w:r>
        <w:t xml:space="preserve"> </w:t>
      </w:r>
      <w:r>
        <w:rPr>
          <w:rStyle w:val="Suchmarke"/>
        </w:rPr>
        <w:t>#679#</w:t>
      </w:r>
      <w:bookmarkEnd w:id="1105"/>
    </w:p>
    <w:p>
      <w:r>
        <w:t>Ein der Geschäftsführung entgegenstehender Wille des Geschäftsherrn kommt nicht in Betracht, wenn ohne die Geschäftsführung eine Pflicht des Geschäftsherrn, deren Erfüllung im öffentlichen Interesse liegt, oder eine gesetzliche Unterhaltspflicht des Geschäftsherrn nicht rechtzeitig erfüllt werden würde.</w:t>
      </w:r>
    </w:p>
    <w:p>
      <w:pPr>
        <w:pStyle w:val="Heading4"/>
      </w:pPr>
      <w:bookmarkStart w:id="1106" w:name="b1091"/>
      <w:r>
        <w:t>§ 680 Geschäftsführung zur Gefahrenabwehr</w:t>
      </w:r>
      <w:r>
        <w:t xml:space="preserve"> </w:t>
      </w:r>
      <w:r>
        <w:rPr>
          <w:rStyle w:val="Suchmarke"/>
        </w:rPr>
        <w:t>#680#</w:t>
      </w:r>
      <w:bookmarkEnd w:id="1106"/>
    </w:p>
    <w:p>
      <w:r>
        <w:t>Bezweckt die Geschäftsführung die Abwendung einer dem Geschäftsherrn drohenden dringenden Gefahr, so hat der Geschäftsführer nur Vorsatz und grobe Fahrlässigkeit zu vertreten.</w:t>
      </w:r>
    </w:p>
    <w:p>
      <w:pPr>
        <w:pStyle w:val="Heading4"/>
      </w:pPr>
      <w:bookmarkStart w:id="1107" w:name="b1092"/>
      <w:r>
        <w:t>§ 681 Nebenpflichten des Geschäftsführers</w:t>
      </w:r>
      <w:r>
        <w:t xml:space="preserve"> </w:t>
      </w:r>
      <w:r>
        <w:rPr>
          <w:rStyle w:val="Suchmarke"/>
        </w:rPr>
        <w:t>#681#</w:t>
      </w:r>
      <w:bookmarkEnd w:id="1107"/>
    </w:p>
    <w:p>
      <w:r>
        <w:rPr>
          <w:rStyle w:val="Satznummer"/>
        </w:rPr>
        <w:t>1</w:t>
      </w:r>
      <w:r>
        <w:t xml:space="preserve">Der Geschäftsführer hat die Übernahme der Geschäftsführung, sobald es tunlich ist, dem Geschäftsherrn anzuzeigen und, wenn nicht mit dem Aufschub Gefahr verbunden ist, dessen Entschließung abzuwarten. </w:t>
      </w:r>
      <w:r>
        <w:rPr>
          <w:rStyle w:val="Satznummer"/>
        </w:rPr>
        <w:t>2</w:t>
      </w:r>
      <w:r>
        <w:t xml:space="preserve">Im Übrigen finden auf die Verpflichtungen des Geschäftsführers die für einen Beauftragten geltenden Vorschriften der </w:t>
      </w:r>
      <w:hyperlink w:anchor="b1039" w:history="1">
        <w:r>
          <w:rPr>
            <w:color w:val="0A3A8C"/>
            <w:u w:val="single"/>
          </w:rPr>
          <w:t xml:space="preserve">§§ 666</w:t>
        </w:r>
      </w:hyperlink>
      <w:r>
        <w:t xml:space="preserve"> bis </w:t>
      </w:r>
      <w:hyperlink w:anchor="b1041" w:history="1">
        <w:r>
          <w:rPr>
            <w:color w:val="0A3A8C"/>
            <w:u w:val="single"/>
          </w:rPr>
          <w:t xml:space="preserve">668</w:t>
        </w:r>
      </w:hyperlink>
      <w:r>
        <w:t xml:space="preserve"> entsprechende Anwendung.</w:t>
      </w:r>
    </w:p>
    <w:p>
      <w:pPr>
        <w:pStyle w:val="Heading4"/>
      </w:pPr>
      <w:bookmarkStart w:id="1108" w:name="b1093"/>
      <w:r>
        <w:t>§ 682 Fehlende Geschäftsfähigkeit des Geschäftsführers</w:t>
      </w:r>
      <w:r>
        <w:t xml:space="preserve"> </w:t>
      </w:r>
      <w:r>
        <w:rPr>
          <w:rStyle w:val="Suchmarke"/>
        </w:rPr>
        <w:t>#682#</w:t>
      </w:r>
      <w:bookmarkEnd w:id="1108"/>
    </w:p>
    <w:p>
      <w:r>
        <w:t>Ist der Geschäftsführer geschäftsunfähig oder in der Geschäftsfähigkeit beschränkt, so ist er nur nach den Vorschriften über den Schadensersatz wegen unerlaubter Handlungen und über die Herausgabe einer ungerechtfertigten Bereicherung verantwortlich.</w:t>
      </w:r>
    </w:p>
    <w:p>
      <w:pPr>
        <w:pStyle w:val="Heading4"/>
      </w:pPr>
      <w:bookmarkStart w:id="1109" w:name="b1094"/>
      <w:r>
        <w:t>§ 683 Ersatz von Aufwendungen</w:t>
      </w:r>
      <w:r>
        <w:t xml:space="preserve"> </w:t>
      </w:r>
      <w:r>
        <w:rPr>
          <w:rStyle w:val="Suchmarke"/>
        </w:rPr>
        <w:t>#683#</w:t>
      </w:r>
      <w:bookmarkEnd w:id="1109"/>
    </w:p>
    <w:p>
      <w:r>
        <w:rPr>
          <w:rStyle w:val="Satznummer"/>
        </w:rPr>
        <w:t>1</w:t>
      </w:r>
      <w:r>
        <w:t xml:space="preserve">Entspricht die Übernahme der Geschäftsführung dem Interesse und dem wirklichen oder dem mutmaßlichen Willen des Geschäftsherrn, so kann der Geschäftsführer wie ein Beauftragter Ersatz seiner Aufwendungen verlangen. </w:t>
      </w:r>
      <w:r>
        <w:rPr>
          <w:rStyle w:val="Satznummer"/>
        </w:rPr>
        <w:t>2</w:t>
      </w:r>
      <w:r>
        <w:t xml:space="preserve">In den Fällen des </w:t>
      </w:r>
      <w:hyperlink w:anchor="b1090" w:history="1">
        <w:r>
          <w:rPr>
            <w:color w:val="0A3A8C"/>
            <w:u w:val="single"/>
          </w:rPr>
          <w:t xml:space="preserve">§ 679</w:t>
        </w:r>
      </w:hyperlink>
      <w:r>
        <w:t xml:space="preserve"> steht dieser Anspruch dem Geschäftsführer zu, auch wenn die Übernahme der Geschäftsführung mit dem Willen des Geschäftsherrn in Widerspruch steht.</w:t>
      </w:r>
    </w:p>
    <w:p>
      <w:pPr>
        <w:pStyle w:val="Heading4"/>
      </w:pPr>
      <w:bookmarkStart w:id="1110" w:name="b1095"/>
      <w:r>
        <w:t>§ 684 Herausgabe der Bereicherung</w:t>
      </w:r>
      <w:r>
        <w:t xml:space="preserve"> </w:t>
      </w:r>
      <w:r>
        <w:rPr>
          <w:rStyle w:val="Suchmarke"/>
        </w:rPr>
        <w:t>#684#</w:t>
      </w:r>
      <w:bookmarkEnd w:id="1110"/>
    </w:p>
    <w:p>
      <w:r>
        <w:rPr>
          <w:rStyle w:val="Satznummer"/>
        </w:rPr>
        <w:t>1</w:t>
      </w:r>
      <w:r>
        <w:t xml:space="preserve">Liegen die Voraussetzungen des </w:t>
      </w:r>
      <w:hyperlink w:anchor="b1094" w:history="1">
        <w:r>
          <w:rPr>
            <w:color w:val="0A3A8C"/>
            <w:u w:val="single"/>
          </w:rPr>
          <w:t xml:space="preserve">§ 683</w:t>
        </w:r>
      </w:hyperlink>
      <w:r>
        <w:t xml:space="preserve"> nicht vor, so ist der Geschäftsherr verpflichtet, dem Geschäftsführer alles, was er durch die Geschäftsführung erlangt, nach den Vorschriften über die Herausgabe einer ungerechtfertigten Bereicherung herauszugeben. </w:t>
      </w:r>
      <w:r>
        <w:rPr>
          <w:rStyle w:val="Satznummer"/>
        </w:rPr>
        <w:t>2</w:t>
      </w:r>
      <w:r>
        <w:t xml:space="preserve">Genehmigt der Geschäftsherr die Geschäftsführung, so steht dem Geschäftsführer der in </w:t>
      </w:r>
      <w:hyperlink w:anchor="b1094" w:history="1">
        <w:r>
          <w:rPr>
            <w:color w:val="0A3A8C"/>
            <w:u w:val="single"/>
          </w:rPr>
          <w:t xml:space="preserve">§ 683</w:t>
        </w:r>
      </w:hyperlink>
      <w:r>
        <w:t xml:space="preserve"> bestimmte Anspruch zu.</w:t>
      </w:r>
    </w:p>
    <w:p>
      <w:pPr>
        <w:pStyle w:val="Heading4"/>
      </w:pPr>
      <w:bookmarkStart w:id="1111" w:name="b1096"/>
      <w:r>
        <w:t>§ 685 Schenkungsabsicht</w:t>
      </w:r>
      <w:r>
        <w:t xml:space="preserve"> </w:t>
      </w:r>
      <w:r>
        <w:rPr>
          <w:rStyle w:val="Suchmarke"/>
        </w:rPr>
        <w:t>#685#</w:t>
      </w:r>
      <w:bookmarkEnd w:id="1111"/>
    </w:p>
    <w:p>
      <w:r>
        <w:t>(1) Dem Geschäftsführer steht ein Anspruch nicht zu, wenn er nicht die Absicht hatte, von dem Geschäftsherrn Ersatz zu verlangen.</w:t>
      </w:r>
    </w:p>
    <w:p>
      <w:r>
        <w:t>(2) Gewähren Eltern oder Voreltern ihren Abkömmlingen oder diese jenen Unterhalt, so ist im Zweifel anzunehmen, dass die Absicht fehlt, von dem Empfänger Ersatz zu verlangen.</w:t>
      </w:r>
    </w:p>
    <w:p>
      <w:pPr>
        <w:pStyle w:val="Heading4"/>
      </w:pPr>
      <w:bookmarkStart w:id="1112" w:name="b1097"/>
      <w:r>
        <w:t>§ 686 Irrtum über die Person des Geschäftsherrn</w:t>
      </w:r>
      <w:r>
        <w:t xml:space="preserve"> </w:t>
      </w:r>
      <w:r>
        <w:rPr>
          <w:rStyle w:val="Suchmarke"/>
        </w:rPr>
        <w:t>#686#</w:t>
      </w:r>
      <w:bookmarkEnd w:id="1112"/>
    </w:p>
    <w:p>
      <w:r>
        <w:t>Ist der Geschäftsführer über die Person des Geschäftsherrn im Irrtum, so wird der wirkliche Geschäftsherr aus der Geschäftsführung berechtigt und verpflichtet.</w:t>
      </w:r>
    </w:p>
    <w:p>
      <w:pPr>
        <w:pStyle w:val="Heading4"/>
      </w:pPr>
      <w:bookmarkStart w:id="1113" w:name="b1098"/>
      <w:r>
        <w:t>§ 687 Unechte Geschäftsführung</w:t>
      </w:r>
      <w:r>
        <w:t xml:space="preserve"> </w:t>
      </w:r>
      <w:r>
        <w:rPr>
          <w:rStyle w:val="Suchmarke"/>
        </w:rPr>
        <w:t>#687#</w:t>
      </w:r>
      <w:bookmarkEnd w:id="1113"/>
    </w:p>
    <w:p>
      <w:r>
        <w:t xml:space="preserve">(1) Die Vorschriften der </w:t>
      </w:r>
      <w:hyperlink w:anchor="b1088" w:history="1">
        <w:r>
          <w:rPr>
            <w:color w:val="0A3A8C"/>
            <w:u w:val="single"/>
          </w:rPr>
          <w:t xml:space="preserve">§§ 677</w:t>
        </w:r>
      </w:hyperlink>
      <w:r>
        <w:t xml:space="preserve"> bis </w:t>
      </w:r>
      <w:hyperlink w:anchor="b1097" w:history="1">
        <w:r>
          <w:rPr>
            <w:color w:val="0A3A8C"/>
            <w:u w:val="single"/>
          </w:rPr>
          <w:t xml:space="preserve">686</w:t>
        </w:r>
      </w:hyperlink>
      <w:r>
        <w:t xml:space="preserve"> finden keine Anwendung, wenn jemand ein fremdes Geschäft in der Meinung besorgt, dass es sein eigenes sei.</w:t>
      </w:r>
    </w:p>
    <w:p>
      <w:r>
        <w:t xml:space="preserve">(2) </w:t>
      </w:r>
      <w:r>
        <w:rPr>
          <w:rStyle w:val="Satznummer"/>
        </w:rPr>
        <w:t>1</w:t>
      </w:r>
      <w:r>
        <w:t xml:space="preserve">Behandelt jemand ein fremdes Geschäft als sein eigenes, obwohl er weiß, dass er nicht dazu berechtigt ist, so kann der Geschäftsherr die sich aus den </w:t>
      </w:r>
      <w:hyperlink w:anchor="b1088" w:history="1">
        <w:r>
          <w:rPr>
            <w:color w:val="0A3A8C"/>
            <w:u w:val="single"/>
          </w:rPr>
          <w:t xml:space="preserve">§§ 677</w:t>
        </w:r>
      </w:hyperlink>
      <w:r>
        <w:t xml:space="preserve">, </w:t>
      </w:r>
      <w:hyperlink w:anchor="b1089" w:history="1">
        <w:r>
          <w:rPr>
            <w:color w:val="0A3A8C"/>
            <w:u w:val="single"/>
          </w:rPr>
          <w:t xml:space="preserve">678</w:t>
        </w:r>
      </w:hyperlink>
      <w:r>
        <w:t xml:space="preserve">, </w:t>
      </w:r>
      <w:hyperlink w:anchor="b1092" w:history="1">
        <w:r>
          <w:rPr>
            <w:color w:val="0A3A8C"/>
            <w:u w:val="single"/>
          </w:rPr>
          <w:t xml:space="preserve">681</w:t>
        </w:r>
      </w:hyperlink>
      <w:r>
        <w:t xml:space="preserve">, </w:t>
      </w:r>
      <w:hyperlink w:anchor="b1093" w:history="1">
        <w:r>
          <w:rPr>
            <w:color w:val="0A3A8C"/>
            <w:u w:val="single"/>
          </w:rPr>
          <w:t xml:space="preserve">682</w:t>
        </w:r>
      </w:hyperlink>
      <w:r>
        <w:t xml:space="preserve"> ergebenden Ansprüche geltend machen. </w:t>
      </w:r>
      <w:r>
        <w:rPr>
          <w:rStyle w:val="Satznummer"/>
        </w:rPr>
        <w:t>2</w:t>
      </w:r>
      <w:r>
        <w:t xml:space="preserve">Macht er sie geltend, so ist er dem Geschäftsführer nach </w:t>
      </w:r>
      <w:hyperlink w:anchor="b1095" w:history="1">
        <w:r>
          <w:rPr>
            <w:color w:val="0A3A8C"/>
            <w:u w:val="single"/>
          </w:rPr>
          <w:t xml:space="preserve">§ 684</w:t>
        </w:r>
      </w:hyperlink>
      <w:r>
        <w:t xml:space="preserve"> Satz 1 verpflichtet.</w:t>
      </w:r>
    </w:p>
    <w:p>
      <w:pPr>
        <w:pStyle w:val="Heading3"/>
      </w:pPr>
      <w:bookmarkStart w:id="1114" w:name="b1099"/>
      <w:r>
        <w:t>Titel 14 Verwahrung</w:t>
      </w:r>
      <w:bookmarkEnd w:id="1114"/>
    </w:p>
    <w:p>
      <w:pPr>
        <w:pStyle w:val="Heading4"/>
      </w:pPr>
      <w:bookmarkStart w:id="1115" w:name="b1100"/>
      <w:r>
        <w:t>§ 688 Vertragstypische Pflichten bei der Verwahrung</w:t>
      </w:r>
      <w:r>
        <w:t xml:space="preserve"> </w:t>
      </w:r>
      <w:r>
        <w:rPr>
          <w:rStyle w:val="Suchmarke"/>
        </w:rPr>
        <w:t>#688#</w:t>
      </w:r>
      <w:bookmarkEnd w:id="1115"/>
    </w:p>
    <w:p>
      <w:r>
        <w:t>Durch den Verwahrungsvertrag wird der Verwahrer verpflichtet, eine ihm von dem Hinterleger übergebene bewegliche Sache aufzubewahren.</w:t>
      </w:r>
    </w:p>
    <w:p>
      <w:pPr>
        <w:pStyle w:val="Heading4"/>
      </w:pPr>
      <w:bookmarkStart w:id="1116" w:name="b1101"/>
      <w:r>
        <w:t>§ 689 Vergütung</w:t>
      </w:r>
      <w:r>
        <w:t xml:space="preserve"> </w:t>
      </w:r>
      <w:r>
        <w:rPr>
          <w:rStyle w:val="Suchmarke"/>
        </w:rPr>
        <w:t>#689#</w:t>
      </w:r>
      <w:bookmarkEnd w:id="1116"/>
    </w:p>
    <w:p>
      <w:r>
        <w:t>Eine Vergütung für die Aufbewahrung gilt als stillschweigend vereinbart, wenn die Aufbewahrung den Umständen nach nur gegen eine Vergütung zu erwarten ist.</w:t>
      </w:r>
    </w:p>
    <w:p>
      <w:pPr>
        <w:pStyle w:val="Heading4"/>
      </w:pPr>
      <w:bookmarkStart w:id="1117" w:name="b1102"/>
      <w:r>
        <w:t>§ 690 Haftung bei unentgeltlicher Verwahrung</w:t>
      </w:r>
      <w:r>
        <w:t xml:space="preserve"> </w:t>
      </w:r>
      <w:r>
        <w:rPr>
          <w:rStyle w:val="Suchmarke"/>
        </w:rPr>
        <w:t>#690#</w:t>
      </w:r>
      <w:bookmarkEnd w:id="1117"/>
    </w:p>
    <w:p>
      <w:r>
        <w:t>Wird die Aufbewahrung unentgeltlich übernommen, so hat der Verwahrer nur für diejenige Sorgfalt einzustehen, welche er in eigenen Angelegenheiten anzuwenden pflegt.</w:t>
      </w:r>
    </w:p>
    <w:p>
      <w:pPr>
        <w:pStyle w:val="Heading4"/>
      </w:pPr>
      <w:bookmarkStart w:id="1118" w:name="b1103"/>
      <w:r>
        <w:t>§ 691 Hinterlegung bei Dritten</w:t>
      </w:r>
      <w:r>
        <w:t xml:space="preserve"> </w:t>
      </w:r>
      <w:r>
        <w:rPr>
          <w:rStyle w:val="Suchmarke"/>
        </w:rPr>
        <w:t>#691#</w:t>
      </w:r>
      <w:bookmarkEnd w:id="1118"/>
    </w:p>
    <w:p>
      <w:r>
        <w:rPr>
          <w:rStyle w:val="Satznummer"/>
        </w:rPr>
        <w:t>1</w:t>
      </w:r>
      <w:r>
        <w:t xml:space="preserve">Der Verwahrer ist im Zweifel nicht berechtigt, die hinterlegte Sache bei einem Dritten zu hinterlegen. </w:t>
      </w:r>
      <w:r>
        <w:rPr>
          <w:rStyle w:val="Satznummer"/>
        </w:rPr>
        <w:t>2</w:t>
      </w:r>
      <w:r>
        <w:t xml:space="preserve">Ist die Hinterlegung bei einem Dritten gestattet, so hat der Verwahrer nur ein ihm bei dieser Hinterlegung zur Last fallendes Verschulden zu vertreten. </w:t>
      </w:r>
      <w:r>
        <w:rPr>
          <w:rStyle w:val="Satznummer"/>
        </w:rPr>
        <w:t>3</w:t>
      </w:r>
      <w:r>
        <w:t xml:space="preserve">Für das Verschulden eines Gehilfen ist er nach </w:t>
      </w:r>
      <w:hyperlink w:anchor="b322" w:history="1">
        <w:r>
          <w:rPr>
            <w:color w:val="0A3A8C"/>
            <w:u w:val="single"/>
          </w:rPr>
          <w:t xml:space="preserve">§ 278</w:t>
        </w:r>
      </w:hyperlink>
      <w:r>
        <w:t xml:space="preserve"> verantwortlich.</w:t>
      </w:r>
    </w:p>
    <w:p>
      <w:pPr>
        <w:pStyle w:val="Heading4"/>
      </w:pPr>
      <w:bookmarkStart w:id="1119" w:name="b1104"/>
      <w:r>
        <w:t>§ 692 Änderung der Aufbewahrung</w:t>
      </w:r>
      <w:r>
        <w:t xml:space="preserve"> </w:t>
      </w:r>
      <w:r>
        <w:rPr>
          <w:rStyle w:val="Suchmarke"/>
        </w:rPr>
        <w:t>#692#</w:t>
      </w:r>
      <w:bookmarkEnd w:id="1119"/>
    </w:p>
    <w:p>
      <w:r>
        <w:rPr>
          <w:rStyle w:val="Satznummer"/>
        </w:rPr>
        <w:t>1</w:t>
      </w:r>
      <w:r>
        <w:t xml:space="preserve">Der Verwahrer ist berechtigt, die vereinbarte Art der Aufbewahrung zu ändern, wenn er den Umständen nach annehmen darf, dass der Hinterleger bei Kenntnis der Sachlage die Änderung billigen würde. </w:t>
      </w:r>
      <w:r>
        <w:rPr>
          <w:rStyle w:val="Satznummer"/>
        </w:rPr>
        <w:t>2</w:t>
      </w:r>
      <w:r>
        <w:t>Der Verwahrer hat vor der Änderung dem Hinterleger Anzeige zu machen und dessen Entschließung abzuwarten, wenn nicht mit dem Aufschub Gefahr verbunden ist.</w:t>
      </w:r>
    </w:p>
    <w:p>
      <w:pPr>
        <w:pStyle w:val="Heading4"/>
      </w:pPr>
      <w:bookmarkStart w:id="1120" w:name="b1105"/>
      <w:r>
        <w:t>§ 693 Ersatz von Aufwendungen</w:t>
      </w:r>
      <w:r>
        <w:t xml:space="preserve"> </w:t>
      </w:r>
      <w:r>
        <w:rPr>
          <w:rStyle w:val="Suchmarke"/>
        </w:rPr>
        <w:t>#693#</w:t>
      </w:r>
      <w:bookmarkEnd w:id="1120"/>
    </w:p>
    <w:p>
      <w:r>
        <w:t>Macht der Verwahrer zum Zwecke der Aufbewahrung Aufwendungen, die er den Umständen nach für erforderlich halten darf, so ist der Hinterleger zum Ersatz verpflichtet.</w:t>
      </w:r>
    </w:p>
    <w:p>
      <w:pPr>
        <w:pStyle w:val="Heading4"/>
      </w:pPr>
      <w:bookmarkStart w:id="1121" w:name="b1106"/>
      <w:r>
        <w:t>§ 694 Schadensersatzpflicht des Hinterlegers</w:t>
      </w:r>
      <w:r>
        <w:t xml:space="preserve"> </w:t>
      </w:r>
      <w:r>
        <w:rPr>
          <w:rStyle w:val="Suchmarke"/>
        </w:rPr>
        <w:t>#694#</w:t>
      </w:r>
      <w:bookmarkEnd w:id="1121"/>
    </w:p>
    <w:p>
      <w:r>
        <w:t>Der Hinterleger hat den durch die Beschaffenheit der hinterlegten Sache dem Verwahrer entstehenden Schaden zu ersetzen, es sei denn, dass er die Gefahr drohende Beschaffenheit der Sache bei der Hinterlegung weder kennt noch kennen muss oder dass er sie dem Verwahrer angezeigt oder dieser sie ohne Anzeige gekannt hat.</w:t>
      </w:r>
    </w:p>
    <w:p>
      <w:pPr>
        <w:pStyle w:val="Heading4"/>
      </w:pPr>
      <w:bookmarkStart w:id="1122" w:name="b1107"/>
      <w:r>
        <w:t>§ 695 Rückforderungsrecht des Hinterlegers</w:t>
      </w:r>
      <w:r>
        <w:t xml:space="preserve"> </w:t>
      </w:r>
      <w:r>
        <w:rPr>
          <w:rStyle w:val="Suchmarke"/>
        </w:rPr>
        <w:t>#695#</w:t>
      </w:r>
      <w:bookmarkEnd w:id="1122"/>
    </w:p>
    <w:p>
      <w:r>
        <w:rPr>
          <w:rStyle w:val="Satznummer"/>
        </w:rPr>
        <w:t>1</w:t>
      </w:r>
      <w:r>
        <w:t xml:space="preserve">Der Hinterleger kann die hinterlegte Sache jederzeit zurückfordern, auch wenn für die Aufbewahrung eine Zeit bestimmt ist. </w:t>
      </w:r>
      <w:r>
        <w:rPr>
          <w:rStyle w:val="Satznummer"/>
        </w:rPr>
        <w:t>2</w:t>
      </w:r>
      <w:r>
        <w:t>Die Verjährung des Anspruchs auf Rückgabe der Sache beginnt mit der Rückforderung.</w:t>
      </w:r>
    </w:p>
    <w:p>
      <w:pPr>
        <w:pStyle w:val="Heading4"/>
      </w:pPr>
      <w:bookmarkStart w:id="1123" w:name="b1108"/>
      <w:r>
        <w:t>§ 696 Rücknahmeanspruch des Verwahrers</w:t>
      </w:r>
      <w:r>
        <w:t xml:space="preserve"> </w:t>
      </w:r>
      <w:r>
        <w:rPr>
          <w:rStyle w:val="Suchmarke"/>
        </w:rPr>
        <w:t>#696#</w:t>
      </w:r>
      <w:bookmarkEnd w:id="1123"/>
    </w:p>
    <w:p>
      <w:r>
        <w:rPr>
          <w:rStyle w:val="Satznummer"/>
        </w:rPr>
        <w:t>1</w:t>
      </w:r>
      <w:r>
        <w:t xml:space="preserve">Der Verwahrer kann, wenn eine Zeit für die Aufbewahrung nicht bestimmt ist, jederzeit die Rücknahme der hinterlegten Sache verlangen. </w:t>
      </w:r>
      <w:r>
        <w:rPr>
          <w:rStyle w:val="Satznummer"/>
        </w:rPr>
        <w:t>2</w:t>
      </w:r>
      <w:r>
        <w:t xml:space="preserve">Ist eine Zeit bestimmt, so kann er die vorzeitige Rücknahme nur verlangen, wenn ein wichtiger Grund vorliegt. </w:t>
      </w:r>
      <w:r>
        <w:rPr>
          <w:rStyle w:val="Satznummer"/>
        </w:rPr>
        <w:t>3</w:t>
      </w:r>
      <w:r>
        <w:t>Die Verjährung des Anspruchs beginnt mit dem Verlangen auf Rücknahme.</w:t>
      </w:r>
    </w:p>
    <w:p>
      <w:pPr>
        <w:pStyle w:val="Heading4"/>
      </w:pPr>
      <w:bookmarkStart w:id="1124" w:name="b1109"/>
      <w:r>
        <w:t>§ 697 Rückgabeort</w:t>
      </w:r>
      <w:r>
        <w:t xml:space="preserve"> </w:t>
      </w:r>
      <w:r>
        <w:rPr>
          <w:rStyle w:val="Suchmarke"/>
        </w:rPr>
        <w:t>#697#</w:t>
      </w:r>
      <w:bookmarkEnd w:id="1124"/>
    </w:p>
    <w:p>
      <w:r>
        <w:t>Die Rückgabe der hinterlegten Sache hat an dem Ort zu erfolgen, an welchem die Sache aufzubewahren war; der Verwahrer ist nicht verpflichtet, die Sache dem Hinterleger zu bringen.</w:t>
      </w:r>
    </w:p>
    <w:p>
      <w:pPr>
        <w:pStyle w:val="Heading4"/>
      </w:pPr>
      <w:bookmarkStart w:id="1125" w:name="b1110"/>
      <w:r>
        <w:t>§ 698 Verzinsung des verwendeten Geldes</w:t>
      </w:r>
      <w:r>
        <w:t xml:space="preserve"> </w:t>
      </w:r>
      <w:r>
        <w:rPr>
          <w:rStyle w:val="Suchmarke"/>
        </w:rPr>
        <w:t>#698#</w:t>
      </w:r>
      <w:bookmarkEnd w:id="1125"/>
    </w:p>
    <w:p>
      <w:r>
        <w:t>Verwendet der Verwahrer hinterlegtes Geld für sich, so ist er verpflichtet, es von der Zeit der Verwendung an zu verzinsen.</w:t>
      </w:r>
    </w:p>
    <w:p>
      <w:pPr>
        <w:pStyle w:val="Heading4"/>
      </w:pPr>
      <w:bookmarkStart w:id="1126" w:name="b1111"/>
      <w:r>
        <w:t>§ 699 Fälligkeit der Vergütung</w:t>
      </w:r>
      <w:r>
        <w:t xml:space="preserve"> </w:t>
      </w:r>
      <w:r>
        <w:rPr>
          <w:rStyle w:val="Suchmarke"/>
        </w:rPr>
        <w:t>#699#</w:t>
      </w:r>
      <w:bookmarkEnd w:id="1126"/>
    </w:p>
    <w:p>
      <w:r>
        <w:t xml:space="preserve">(1) </w:t>
      </w:r>
      <w:r>
        <w:rPr>
          <w:rStyle w:val="Satznummer"/>
        </w:rPr>
        <w:t>1</w:t>
      </w:r>
      <w:r>
        <w:t xml:space="preserve">Der Hinterleger hat die vereinbarte Vergütung bei der Beendigung der Aufbewahrung zu entrichten. </w:t>
      </w:r>
      <w:r>
        <w:rPr>
          <w:rStyle w:val="Satznummer"/>
        </w:rPr>
        <w:t>2</w:t>
      </w:r>
      <w:r>
        <w:t>Ist die Vergütung nach Zeitabschnitten bemessen, so ist sie nach dem Ablauf der einzelnen Zeitabschnitte zu entrichten.</w:t>
      </w:r>
    </w:p>
    <w:p>
      <w:r>
        <w:t>(2) Endigt die Aufbewahrung vor dem Ablauf der für sie bestimmten Zeit, so kann der Verwahrer einen seinen bisherigen Leistungen entsprechenden Teil der Vergütung verlangen, sofern nicht aus der Vereinbarung über die Vergütung sich ein anderes ergibt.</w:t>
      </w:r>
    </w:p>
    <w:p>
      <w:pPr>
        <w:pStyle w:val="Heading4"/>
      </w:pPr>
      <w:bookmarkStart w:id="1127" w:name="b1112"/>
      <w:r>
        <w:t>§ 700 Unregelmäßiger Verwahrungsvertrag</w:t>
      </w:r>
      <w:r>
        <w:t xml:space="preserve"> </w:t>
      </w:r>
      <w:r>
        <w:rPr>
          <w:rStyle w:val="Suchmarke"/>
        </w:rPr>
        <w:t>#700#</w:t>
      </w:r>
      <w:bookmarkEnd w:id="1127"/>
    </w:p>
    <w:p>
      <w:r>
        <w:t xml:space="preserve">(1) </w:t>
      </w:r>
      <w:r>
        <w:rPr>
          <w:rStyle w:val="Satznummer"/>
        </w:rPr>
        <w:t>1</w:t>
      </w:r>
      <w:r>
        <w:t xml:space="preserve">Werden vertretbare Sachen in der Art hinterlegt, dass das Eigentum auf den Verwahrer übergehen und dieser verpflichtet sein soll, Sachen von gleicher Art, Güte und Menge zurückzugewähren, so finden bei Geld die Vorschriften über den Darlehensvertrag, bei anderen Sachen die Vorschriften über den Sachdarlehensvertrag Anwendung. </w:t>
      </w:r>
      <w:r>
        <w:rPr>
          <w:rStyle w:val="Satznummer"/>
        </w:rPr>
        <w:t>2</w:t>
      </w:r>
      <w:r>
        <w:t xml:space="preserve">Gestattet der Hinterleger dem Verwahrer, hinterlegte vertretbare Sachen zu verbrauchen, so finden bei Geld die Vorschriften über den Darlehensvertrag, bei anderen Sachen die Vorschriften über den Sachdarlehensvertrag von dem Zeitpunkt an Anwendung, in welchem der Verwahrer sich die Sachen aneignet. </w:t>
      </w:r>
      <w:r>
        <w:rPr>
          <w:rStyle w:val="Satznummer"/>
        </w:rPr>
        <w:t>3</w:t>
      </w:r>
      <w:r>
        <w:t>In beiden Fällen bestimmen sich jedoch Zeit und Ort der Rückgabe im Zweifel nach den Vorschriften über den Verwahrungsvertrag.</w:t>
      </w:r>
    </w:p>
    <w:p>
      <w:r>
        <w:t>(2) Bei der Hinterlegung von Wertpapieren ist eine Vereinbarung der im Absatz 1 bezeichneten Art nur gültig, wenn sie ausdrücklich getroffen wird.</w:t>
      </w:r>
    </w:p>
    <w:p>
      <w:pPr>
        <w:pStyle w:val="Heading3"/>
      </w:pPr>
      <w:bookmarkStart w:id="1128" w:name="b1113"/>
      <w:r>
        <w:t>Titel 15 Einbringung von Sachen bei Gastwirten</w:t>
      </w:r>
      <w:bookmarkEnd w:id="1128"/>
    </w:p>
    <w:p>
      <w:pPr>
        <w:pStyle w:val="Heading4"/>
      </w:pPr>
      <w:bookmarkStart w:id="1129" w:name="b1114"/>
      <w:r>
        <w:t>§ 701 Haftung des Gastwirts</w:t>
      </w:r>
      <w:r>
        <w:t xml:space="preserve"> </w:t>
      </w:r>
      <w:r>
        <w:rPr>
          <w:rStyle w:val="Suchmarke"/>
        </w:rPr>
        <w:t>#701#</w:t>
      </w:r>
      <w:bookmarkEnd w:id="1129"/>
    </w:p>
    <w:p>
      <w:r>
        <w:t>(1) Ein Gastwirt, der gewerbsmäßig Fremde zur Beherbergung aufnimmt, hat den Schaden zu ersetzen, der durch den Verlust, die Zerstörung oder die Beschädigung von Sachen entsteht, die ein im Betrieb dieses Gewerbes aufgenommener Gast eingebracht hat.</w:t>
      </w:r>
    </w:p>
    <w:p>
      <w:r>
        <w:t xml:space="preserve">(2) </w:t>
      </w:r>
      <w:r>
        <w:rPr>
          <w:rStyle w:val="Satznummer"/>
        </w:rPr>
        <w:t>1</w:t>
      </w:r>
      <w:r>
        <w:t>Als eingebracht gelten</w:t>
      </w:r>
    </w:p>
    <w:p>
      <w:pPr>
        <w:tabs>
          <w:tab w:pos="567" w:val="left"/>
        </w:tabs>
        <w:ind w:left="567" w:hanging="567"/>
      </w:pPr>
      <w:r>
        <w:t>1.</w:t>
      </w:r>
      <w:r>
        <w:tab/>
      </w:r>
      <w:r>
        <w:t>Sachen, welche in der Zeit, in der der Gast zur Beherbergung aufgenommen ist, in die Gastwirtschaft oder an einen von dem Gastwirt oder dessen Leuten angewiesenen oder von dem Gastwirt allgemein hierzu bestimmten Ort außerhalb der Gastwirtschaft gebracht oder sonst außerhalb der Gastwirtschaft von dem Gastwirt oder dessen Leuten in Obhut genommen sind,</w:t>
      </w:r>
    </w:p>
    <w:p>
      <w:pPr>
        <w:tabs>
          <w:tab w:pos="567" w:val="left"/>
        </w:tabs>
        <w:ind w:left="567" w:hanging="567"/>
      </w:pPr>
      <w:r>
        <w:t>2.</w:t>
      </w:r>
      <w:r>
        <w:tab/>
      </w:r>
      <w:r>
        <w:t>Sachen, welche innerhalb einer angemessenen Frist vor oder nach der Zeit, in der der Gast zur Beherbergung aufgenommen war, von dem Gastwirt oder seinen Leuten in Obhut genommen sind.</w:t>
      </w:r>
    </w:p>
    <w:p>
      <w:r>
        <w:rPr>
          <w:rStyle w:val="Satznummer"/>
        </w:rPr>
        <w:t>2</w:t>
      </w:r>
      <w:r>
        <w:t>Im Falle einer Anweisung oder einer Übernahme der Obhut durch Leute des Gastwirts gilt dies jedoch nur, wenn sie dazu bestellt oder nach den Umständen als dazu bestellt anzusehen waren.</w:t>
      </w:r>
    </w:p>
    <w:p>
      <w:r>
        <w:t>(3) Die Ersatzpflicht tritt nicht ein, wenn der Verlust, die Zerstörung oder die Beschädigung von dem Gast, einem Begleiter des Gastes oder einer Person, die der Gast bei sich aufgenommen hat, oder durch die Beschaffenheit der Sachen oder durch höhere Gewalt verursacht wird.</w:t>
      </w:r>
    </w:p>
    <w:p>
      <w:r>
        <w:t>(4) Die Ersatzpflicht erstreckt sich nicht auf Fahrzeuge, auf Sachen, die in einem Fahrzeug belassen worden sind, und auf lebende Tiere.</w:t>
      </w:r>
    </w:p>
    <w:p>
      <w:pPr>
        <w:pStyle w:val="Heading4"/>
      </w:pPr>
      <w:bookmarkStart w:id="1130" w:name="b1115"/>
      <w:r>
        <w:t>§ 702 Beschränkung der Haftung; Wertsachen</w:t>
      </w:r>
      <w:r>
        <w:t xml:space="preserve"> </w:t>
      </w:r>
      <w:r>
        <w:rPr>
          <w:rStyle w:val="Suchmarke"/>
        </w:rPr>
        <w:t>#702#</w:t>
      </w:r>
      <w:bookmarkEnd w:id="1130"/>
    </w:p>
    <w:p>
      <w:r>
        <w:t xml:space="preserve">(1) Der Gastwirt haftet auf Grund des </w:t>
      </w:r>
      <w:hyperlink w:anchor="b1114" w:history="1">
        <w:r>
          <w:rPr>
            <w:color w:val="0A3A8C"/>
            <w:u w:val="single"/>
          </w:rPr>
          <w:t xml:space="preserve">§ 701</w:t>
        </w:r>
      </w:hyperlink>
      <w:r>
        <w:t xml:space="preserve"> nur bis zu einem Betrag, der dem Hundertfachen des Beherbergungspreises für einen Tag entspricht, jedoch mindestens bis zu dem Betrag von 600 Euro und höchstens bis zu dem Betrag von 3.500 Euro; für Geld, Wertpapiere und Kostbarkeiten tritt an die Stelle von 3.500 Euro der Betrag von 800 Euro.</w:t>
      </w:r>
    </w:p>
    <w:p>
      <w:r>
        <w:t>(2) Die Haftung des Gastwirts ist unbeschränkt,</w:t>
      </w:r>
    </w:p>
    <w:p>
      <w:pPr>
        <w:tabs>
          <w:tab w:pos="567" w:val="left"/>
        </w:tabs>
        <w:ind w:left="567" w:hanging="567"/>
      </w:pPr>
      <w:r>
        <w:t>1.</w:t>
      </w:r>
      <w:r>
        <w:tab/>
      </w:r>
      <w:r>
        <w:t>wenn der Verlust, die Zerstörung oder die Beschädigung von ihm oder seinen Leuten verschuldet ist,</w:t>
      </w:r>
    </w:p>
    <w:p>
      <w:pPr>
        <w:tabs>
          <w:tab w:pos="567" w:val="left"/>
        </w:tabs>
        <w:ind w:left="567" w:hanging="567"/>
      </w:pPr>
      <w:r>
        <w:t>2.</w:t>
      </w:r>
      <w:r>
        <w:tab/>
      </w:r>
      <w:r>
        <w:t>wenn es sich um eingebrachte Sachen handelt, die er zur Aufbewahrung übernommen oder deren Übernahme zur Aufbewahrung er entgegen der Vorschrift des Absatzes 3 abgelehnt hat.</w:t>
      </w:r>
    </w:p>
    <w:p>
      <w:r>
        <w:t xml:space="preserve">(3) </w:t>
      </w:r>
      <w:r>
        <w:rPr>
          <w:rStyle w:val="Satznummer"/>
        </w:rPr>
        <w:t>1</w:t>
      </w:r>
      <w:r>
        <w:t xml:space="preserve">Der Gastwirt ist verpflichtet, Geld, Wertpapiere, Kostbarkeiten und andere Wertsachen zur Aufbewahrung zu übernehmen, es sei denn, dass sie im Hinblick auf die Größe oder den Rang der Gastwirtschaft von übermäßigem Wert oder Umfang oder dass sie gefährlich sind. </w:t>
      </w:r>
      <w:r>
        <w:rPr>
          <w:rStyle w:val="Satznummer"/>
        </w:rPr>
        <w:t>2</w:t>
      </w:r>
      <w:r>
        <w:t>Er kann verlangen, dass sie in einem verschlossenen oder versiegelten Behältnis übergeben werden.</w:t>
      </w:r>
    </w:p>
    <w:p>
      <w:pPr>
        <w:pStyle w:val="Heading4"/>
      </w:pPr>
      <w:bookmarkStart w:id="1131" w:name="b1116"/>
      <w:r>
        <w:t>§ 702a Erlass der Haftung</w:t>
      </w:r>
      <w:r>
        <w:t xml:space="preserve"> </w:t>
      </w:r>
      <w:r>
        <w:rPr>
          <w:rStyle w:val="Suchmarke"/>
        </w:rPr>
        <w:t>#702a#</w:t>
      </w:r>
      <w:bookmarkEnd w:id="1131"/>
    </w:p>
    <w:p>
      <w:r>
        <w:t xml:space="preserve">(1) </w:t>
      </w:r>
      <w:r>
        <w:rPr>
          <w:rStyle w:val="Satznummer"/>
        </w:rPr>
        <w:t>1</w:t>
      </w:r>
      <w:r>
        <w:t xml:space="preserve">Die Haftung des Gastwirts kann im Voraus nur erlassen werden, soweit sie den nach </w:t>
      </w:r>
      <w:hyperlink w:anchor="b1115" w:history="1">
        <w:r>
          <w:rPr>
            <w:color w:val="0A3A8C"/>
            <w:u w:val="single"/>
          </w:rPr>
          <w:t xml:space="preserve">§ 702</w:t>
        </w:r>
      </w:hyperlink>
      <w:r>
        <w:t xml:space="preserve"> Abs. 1 maßgeblichen Höchstbetrag übersteigt. </w:t>
      </w:r>
      <w:r>
        <w:rPr>
          <w:rStyle w:val="Satznummer"/>
        </w:rPr>
        <w:t>2</w:t>
      </w:r>
      <w:r>
        <w:t xml:space="preserve">Auch insoweit kann sie nicht erlassen werden für den Fall, dass der Verlust, die Zerstörung oder die Beschädigung von dem Gastwirt oder von Leuten des Gastwirts vorsätzlich oder grob fahrlässig verursacht wird oder dass es sich um Sachen handelt, deren Übernahme zur Aufbewahrung der Gastwirt entgegen der Vorschrift des </w:t>
      </w:r>
      <w:hyperlink w:anchor="b1115" w:history="1">
        <w:r>
          <w:rPr>
            <w:color w:val="0A3A8C"/>
            <w:u w:val="single"/>
          </w:rPr>
          <w:t xml:space="preserve">§ 702</w:t>
        </w:r>
      </w:hyperlink>
      <w:r>
        <w:t xml:space="preserve"> Abs. 3 abgelehnt hat.</w:t>
      </w:r>
    </w:p>
    <w:p>
      <w:r>
        <w:t>(2) Der Erlass ist nur wirksam, wenn die Erklärung des Gastes schriftlich erteilt ist und wenn sie keine anderen Bestimmungen enthält.</w:t>
      </w:r>
    </w:p>
    <w:p>
      <w:pPr>
        <w:pStyle w:val="Heading4"/>
      </w:pPr>
      <w:bookmarkStart w:id="1132" w:name="b1117"/>
      <w:r>
        <w:t>§ 703 Erlöschen des Schadensersatzanspruchs</w:t>
      </w:r>
      <w:r>
        <w:t xml:space="preserve"> </w:t>
      </w:r>
      <w:r>
        <w:rPr>
          <w:rStyle w:val="Suchmarke"/>
        </w:rPr>
        <w:t>#703#</w:t>
      </w:r>
      <w:bookmarkEnd w:id="1132"/>
    </w:p>
    <w:p>
      <w:r>
        <w:rPr>
          <w:rStyle w:val="Satznummer"/>
        </w:rPr>
        <w:t>1</w:t>
      </w:r>
      <w:r>
        <w:t xml:space="preserve">Der dem Gast auf Grund der </w:t>
      </w:r>
      <w:hyperlink w:anchor="b1114" w:history="1">
        <w:r>
          <w:rPr>
            <w:color w:val="0A3A8C"/>
            <w:u w:val="single"/>
          </w:rPr>
          <w:t xml:space="preserve">§§ 701</w:t>
        </w:r>
      </w:hyperlink>
      <w:r>
        <w:t xml:space="preserve">, </w:t>
      </w:r>
      <w:hyperlink w:anchor="b1115" w:history="1">
        <w:r>
          <w:rPr>
            <w:color w:val="0A3A8C"/>
            <w:u w:val="single"/>
          </w:rPr>
          <w:t xml:space="preserve">702</w:t>
        </w:r>
      </w:hyperlink>
      <w:r>
        <w:t xml:space="preserve"> zustehende Anspruch erlischt, wenn nicht der Gast unverzüglich, nachdem er von dem Verlust, der Zerstörung oder der Beschädigung Kenntnis erlangt hat, dem Gastwirt Anzeige macht. </w:t>
      </w:r>
      <w:r>
        <w:rPr>
          <w:rStyle w:val="Satznummer"/>
        </w:rPr>
        <w:t>2</w:t>
      </w:r>
      <w:r>
        <w:t>Dies gilt nicht, wenn die Sachen von dem Gastwirt zur Aufbewahrung übernommen waren oder wenn der Verlust, die Zerstörung oder die Beschädigung von ihm oder seinen Leuten verschuldet ist.</w:t>
      </w:r>
    </w:p>
    <w:p>
      <w:pPr>
        <w:pStyle w:val="Heading4"/>
      </w:pPr>
      <w:bookmarkStart w:id="1133" w:name="b1118"/>
      <w:r>
        <w:t>§ 704 Pfandrecht des Gastwirts</w:t>
      </w:r>
      <w:r>
        <w:t xml:space="preserve"> </w:t>
      </w:r>
      <w:r>
        <w:rPr>
          <w:rStyle w:val="Suchmarke"/>
        </w:rPr>
        <w:t>#704#</w:t>
      </w:r>
      <w:bookmarkEnd w:id="1133"/>
    </w:p>
    <w:p>
      <w:r>
        <w:rPr>
          <w:rStyle w:val="Satznummer"/>
        </w:rPr>
        <w:t>1</w:t>
      </w:r>
      <w:r>
        <w:t xml:space="preserve">Der Gastwirt hat für seine Forderungen für Wohnung und andere dem Gast zur Befriedigung seiner Bedürfnisse gewährte Leistungen, mit Einschluss der Auslagen, ein Pfandrecht an den eingebrachten Sachen des Gastes. </w:t>
      </w:r>
      <w:r>
        <w:rPr>
          <w:rStyle w:val="Satznummer"/>
        </w:rPr>
        <w:t>2</w:t>
      </w:r>
      <w:r>
        <w:t xml:space="preserve">Die für das Pfandrecht des Vermieters geltenden Vorschriften des </w:t>
      </w:r>
      <w:hyperlink w:anchor="b779" w:history="1">
        <w:r>
          <w:rPr>
            <w:color w:val="0A3A8C"/>
            <w:u w:val="single"/>
          </w:rPr>
          <w:t xml:space="preserve">§ 562</w:t>
        </w:r>
      </w:hyperlink>
      <w:r>
        <w:t xml:space="preserve"> Abs. 1 Satz 2 und der </w:t>
      </w:r>
      <w:hyperlink w:anchor="b780" w:history="1">
        <w:r>
          <w:rPr>
            <w:color w:val="0A3A8C"/>
            <w:u w:val="single"/>
          </w:rPr>
          <w:t xml:space="preserve">§§ 562a</w:t>
        </w:r>
      </w:hyperlink>
      <w:r>
        <w:t xml:space="preserve"> bis </w:t>
      </w:r>
      <w:hyperlink w:anchor="b783" w:history="1">
        <w:r>
          <w:rPr>
            <w:color w:val="0A3A8C"/>
            <w:u w:val="single"/>
          </w:rPr>
          <w:t xml:space="preserve">562d</w:t>
        </w:r>
      </w:hyperlink>
      <w:r>
        <w:t xml:space="preserve"> finden entsprechende Anwendung.</w:t>
      </w:r>
    </w:p>
    <w:p>
      <w:pPr>
        <w:pStyle w:val="Heading3"/>
      </w:pPr>
      <w:bookmarkStart w:id="1134" w:name="b1119"/>
      <w:r>
        <w:t>Titel 16 Gesellschaft</w:t>
      </w:r>
      <w:bookmarkEnd w:id="1134"/>
    </w:p>
    <w:p>
      <w:pPr>
        <w:pStyle w:val="Heading4"/>
      </w:pPr>
      <w:bookmarkStart w:id="1135" w:name="b1120"/>
      <w:r>
        <w:t>Untertitel 1 Allgemeine Bestimmungen</w:t>
      </w:r>
      <w:bookmarkEnd w:id="1135"/>
    </w:p>
    <w:p>
      <w:pPr>
        <w:pStyle w:val="Heading5"/>
      </w:pPr>
      <w:bookmarkStart w:id="1136" w:name="b1121"/>
      <w:r>
        <w:t>§ 705 Rechtsnatur der Gesellschaft</w:t>
      </w:r>
      <w:r>
        <w:t xml:space="preserve"> </w:t>
      </w:r>
      <w:r>
        <w:rPr>
          <w:rStyle w:val="Suchmarke"/>
        </w:rPr>
        <w:t>#705#</w:t>
      </w:r>
      <w:bookmarkEnd w:id="1136"/>
    </w:p>
    <w:p>
      <w:r>
        <w:t>(1) Die Gesellschaft wird durch den Abschluss des Gesellschaftsvertrags errichtet, in dem sich die Gesellschafter verpflichten, die Erreichung eines gemeinsamen Zwecks in der durch den Vertrag bestimmten Weise zu fördern.</w:t>
      </w:r>
    </w:p>
    <w:p>
      <w:r>
        <w:t>(2) Die Gesellschaft kann entweder selbst Rechte erwerben und Verbindlichkeiten eingehen, wenn sie nach dem gemeinsamen Willen der Gesellschafter am Rechtsverkehr teilnehmen soll (rechtsfähige Gesellschaft), oder sie kann den Gesellschaftern zur Ausgestaltung ihres Rechtsverhältnisses untereinander dienen (nicht rechtsfähige Gesellschaft).</w:t>
      </w:r>
    </w:p>
    <w:p>
      <w:r>
        <w:t>(3) Ist der Gegenstand der Gesellschaft der Betrieb eines Unternehmens unter gemeinschaftlichem Namen, so wird vermutet, dass die Gesellschaft nach dem gemeinsamen Willen der Gesellschafter am Rechtsverkehr teilnimmt.</w:t>
      </w:r>
    </w:p>
    <w:p>
      <w:pPr>
        <w:pStyle w:val="Heading4"/>
      </w:pPr>
      <w:bookmarkStart w:id="1137" w:name="b1122"/>
      <w:r>
        <w:t>Untertitel 2 Rechtsfähige Gesellschaft</w:t>
      </w:r>
      <w:bookmarkEnd w:id="1137"/>
    </w:p>
    <w:p>
      <w:pPr>
        <w:pStyle w:val="Heading5"/>
      </w:pPr>
      <w:bookmarkStart w:id="1138" w:name="b1123"/>
      <w:r>
        <w:t>Kapitel 1 Sitz; Registrierung</w:t>
      </w:r>
      <w:bookmarkEnd w:id="1138"/>
    </w:p>
    <w:p>
      <w:pPr>
        <w:pStyle w:val="Heading6"/>
      </w:pPr>
      <w:bookmarkStart w:id="1139" w:name="b1124"/>
      <w:r>
        <w:t>§ 706 Sitz der Gesellschaft</w:t>
      </w:r>
      <w:r>
        <w:t xml:space="preserve"> </w:t>
      </w:r>
      <w:r>
        <w:rPr>
          <w:rStyle w:val="Suchmarke"/>
        </w:rPr>
        <w:t>#706#</w:t>
      </w:r>
      <w:bookmarkEnd w:id="1139"/>
    </w:p>
    <w:p>
      <w:r>
        <w:rPr>
          <w:rStyle w:val="Satznummer"/>
        </w:rPr>
        <w:t>1</w:t>
      </w:r>
      <w:r>
        <w:t xml:space="preserve">Sitz der Gesellschaft ist der Ort, an dem deren Geschäfte tatsächlich geführt werden (Verwaltungssitz). </w:t>
      </w:r>
      <w:r>
        <w:rPr>
          <w:rStyle w:val="Satznummer"/>
        </w:rPr>
        <w:t>2</w:t>
      </w:r>
      <w:r>
        <w:t>Ist die Gesellschaft im Gesellschaftsregister eingetragen und haben die Gesellschafter einen Ort im Inland als Sitz vereinbart (Vertragssitz), so ist abweichend von Satz 1 dieser Ort Sitz der Gesellschaft.</w:t>
      </w:r>
    </w:p>
    <w:p>
      <w:pPr>
        <w:pStyle w:val="Heading6"/>
      </w:pPr>
      <w:bookmarkStart w:id="1140" w:name="b1125"/>
      <w:r>
        <w:t>§ 707 Anmeldung zum Gesellschaftsregister</w:t>
      </w:r>
      <w:r>
        <w:t xml:space="preserve"> </w:t>
      </w:r>
      <w:r>
        <w:rPr>
          <w:rStyle w:val="Suchmarke"/>
        </w:rPr>
        <w:t>#707#</w:t>
      </w:r>
      <w:bookmarkEnd w:id="1140"/>
    </w:p>
    <w:p>
      <w:r>
        <w:t>(1) Die Gesellschafter können die Gesellschaft bei dem Gericht, in dessen Bezirk sie ihren Sitz hat, zur Eintragung in das Gesellschaftsregister anmelden.</w:t>
      </w:r>
    </w:p>
    <w:p>
      <w:r>
        <w:t>(2) Die Anmeldung muss enthalten:</w:t>
      </w:r>
    </w:p>
    <w:p>
      <w:pPr>
        <w:tabs>
          <w:tab w:pos="567" w:val="left"/>
        </w:tabs>
        <w:ind w:left="567" w:hanging="567"/>
      </w:pPr>
      <w:r>
        <w:t>1.</w:t>
      </w:r>
      <w:r>
        <w:tab/>
      </w:r>
      <w:r>
        <w:t>folgende Angaben zur Gesellschaft:</w:t>
      </w:r>
    </w:p>
    <w:p>
      <w:pPr>
        <w:tabs>
          <w:tab w:pos="1134" w:val="left"/>
        </w:tabs>
        <w:ind w:left="1134" w:hanging="567"/>
      </w:pPr>
      <w:r>
        <w:t>a)</w:t>
      </w:r>
      <w:r>
        <w:tab/>
      </w:r>
      <w:r>
        <w:t>den Namen,</w:t>
      </w:r>
    </w:p>
    <w:p>
      <w:pPr>
        <w:tabs>
          <w:tab w:pos="1134" w:val="left"/>
        </w:tabs>
        <w:ind w:left="1134" w:hanging="567"/>
      </w:pPr>
      <w:r>
        <w:t>b)</w:t>
      </w:r>
      <w:r>
        <w:tab/>
      </w:r>
      <w:r>
        <w:t>den Sitz und</w:t>
      </w:r>
    </w:p>
    <w:p>
      <w:pPr>
        <w:tabs>
          <w:tab w:pos="1134" w:val="left"/>
        </w:tabs>
        <w:ind w:left="1134" w:hanging="567"/>
      </w:pPr>
      <w:r>
        <w:t>c)</w:t>
      </w:r>
      <w:r>
        <w:tab/>
      </w:r>
      <w:r>
        <w:t>die Anschrift, in einem Mitgliedstaat der Europäischen Union;</w:t>
      </w:r>
    </w:p>
    <w:p>
      <w:pPr>
        <w:tabs>
          <w:tab w:pos="567" w:val="left"/>
        </w:tabs>
        <w:ind w:left="567" w:hanging="567"/>
      </w:pPr>
      <w:r>
        <w:t>2.</w:t>
      </w:r>
      <w:r>
        <w:tab/>
      </w:r>
      <w:r>
        <w:t>folgende Angaben zu jedem Gesellschafter:</w:t>
      </w:r>
    </w:p>
    <w:p>
      <w:pPr>
        <w:tabs>
          <w:tab w:pos="1134" w:val="left"/>
        </w:tabs>
        <w:ind w:left="1134" w:hanging="567"/>
      </w:pPr>
      <w:r>
        <w:t>a)</w:t>
      </w:r>
      <w:r>
        <w:tab/>
      </w:r>
      <w:r>
        <w:t>wenn der Gesellschafter eine natürliche Person ist: dessen Namen, Vornamen, Geburtsdatum und Wohnort;</w:t>
      </w:r>
    </w:p>
    <w:p>
      <w:pPr>
        <w:tabs>
          <w:tab w:pos="1134" w:val="left"/>
        </w:tabs>
        <w:ind w:left="1134" w:hanging="567"/>
      </w:pPr>
      <w:r>
        <w:t>b)</w:t>
      </w:r>
      <w:r>
        <w:tab/>
      </w:r>
      <w:r>
        <w:t>wenn der Gesellschafter eine juristische Person oder rechtsfähige Personengesellschaft ist: deren Firma oder Namen, Rechtsform, Sitz und, soweit gesetzlich vorgesehen, zuständiges Register und Registernummer;</w:t>
      </w:r>
    </w:p>
    <w:p>
      <w:pPr>
        <w:tabs>
          <w:tab w:pos="567" w:val="left"/>
        </w:tabs>
        <w:ind w:left="567" w:hanging="567"/>
      </w:pPr>
      <w:r>
        <w:t>3.</w:t>
      </w:r>
      <w:r>
        <w:tab/>
      </w:r>
      <w:r>
        <w:t>die Angabe der Vertretungsbefugnis der Gesellschafter;</w:t>
      </w:r>
    </w:p>
    <w:p>
      <w:pPr>
        <w:tabs>
          <w:tab w:pos="567" w:val="left"/>
        </w:tabs>
        <w:ind w:left="567" w:hanging="567"/>
      </w:pPr>
      <w:r>
        <w:t>4.</w:t>
      </w:r>
      <w:r>
        <w:tab/>
      </w:r>
      <w:r>
        <w:t>die Versicherung, dass die Gesellschaft nicht bereits im Handels- oder im Partnerschaftsregister eingetragen ist.</w:t>
      </w:r>
    </w:p>
    <w:p>
      <w:r>
        <w:t xml:space="preserve">(3) </w:t>
      </w:r>
      <w:r>
        <w:rPr>
          <w:rStyle w:val="Satznummer"/>
        </w:rPr>
        <w:t>1</w:t>
      </w:r>
      <w:r>
        <w:t xml:space="preserve">Wird der Name der im Gesellschaftsregister eingetragenen Gesellschaft geändert, der Sitz an einen anderen Ort verlegt oder die Anschrift geändert oder ändert sich die Vertretungsbefugnis eines Gesellschafters, ist dies zur Eintragung in das Gesellschaftsregister anzumelden. </w:t>
      </w:r>
      <w:r>
        <w:rPr>
          <w:rStyle w:val="Satznummer"/>
        </w:rPr>
        <w:t>2</w:t>
      </w:r>
      <w:r>
        <w:t>Ist die Gesellschaft im Gesellschaftsregister eingetragen, so sind auch das Ausscheiden eines Gesellschafters und der Eintritt eines neuen Gesellschafters zur Eintragung in das Gesellschaftsregister anzumelden.</w:t>
      </w:r>
    </w:p>
    <w:p>
      <w:r>
        <w:t xml:space="preserve">(4) </w:t>
      </w:r>
      <w:r>
        <w:rPr>
          <w:rStyle w:val="Satznummer"/>
        </w:rPr>
        <w:t>1</w:t>
      </w:r>
      <w:r>
        <w:t xml:space="preserve">Anmeldungen sind vorbehaltlich der Sätze 2 und 3 von sämtlichen Gesellschaftern zu bewirken. </w:t>
      </w:r>
      <w:r>
        <w:rPr>
          <w:rStyle w:val="Satznummer"/>
        </w:rPr>
        <w:t>2</w:t>
      </w:r>
      <w:r>
        <w:t xml:space="preserve">Scheidet ein Gesellschafter durch Tod aus, kann die Anmeldung ohne Mitwirkung der Erben erfolgen, sofern einer solchen Mitwirkung besondere Hindernisse entgegenstehen. </w:t>
      </w:r>
      <w:r>
        <w:rPr>
          <w:rStyle w:val="Satznummer"/>
        </w:rPr>
        <w:t>3</w:t>
      </w:r>
      <w:r>
        <w:t>Ändert sich nur die Anschrift der Gesellschaft, ist die Anmeldung von der Gesellschaft zu bewirken.</w:t>
      </w:r>
    </w:p>
    <w:p>
      <w:pPr>
        <w:pStyle w:val="Heading6"/>
      </w:pPr>
      <w:bookmarkStart w:id="1141" w:name="b1126"/>
      <w:r>
        <w:t>§ 707a Inhalt und Wirkungen der Eintragung im Gesellschaftsregister</w:t>
      </w:r>
      <w:r>
        <w:t xml:space="preserve"> </w:t>
      </w:r>
      <w:r>
        <w:rPr>
          <w:rStyle w:val="Suchmarke"/>
        </w:rPr>
        <w:t>#707a#</w:t>
      </w:r>
      <w:bookmarkEnd w:id="1141"/>
    </w:p>
    <w:p>
      <w:r>
        <w:t xml:space="preserve">(1) </w:t>
      </w:r>
      <w:r>
        <w:rPr>
          <w:rStyle w:val="Satznummer"/>
        </w:rPr>
        <w:t>1</w:t>
      </w:r>
      <w:r>
        <w:t xml:space="preserve">Die Eintragung im Gesellschaftsregister hat die in </w:t>
      </w:r>
      <w:hyperlink w:anchor="b1125" w:history="1">
        <w:r>
          <w:rPr>
            <w:color w:val="0A3A8C"/>
            <w:u w:val="single"/>
          </w:rPr>
          <w:t xml:space="preserve">§ 707</w:t>
        </w:r>
      </w:hyperlink>
      <w:r>
        <w:t xml:space="preserve"> Absatz 2 Nummer 1 bis 3 genannten Angaben zu enthalten. </w:t>
      </w:r>
      <w:r>
        <w:rPr>
          <w:rStyle w:val="Satznummer"/>
        </w:rPr>
        <w:t>2</w:t>
      </w:r>
      <w:r>
        <w:t>Eine Gesellschaft soll als Gesellschafter nur eingetragen werden, wenn sie im Gesellschaftsregister eingetragen ist.</w:t>
      </w:r>
    </w:p>
    <w:p>
      <w:r>
        <w:t xml:space="preserve">(2) </w:t>
      </w:r>
      <w:r>
        <w:rPr>
          <w:rStyle w:val="Satznummer"/>
        </w:rPr>
        <w:t>1</w:t>
      </w:r>
      <w:r>
        <w:t xml:space="preserve">Mit der Eintragung ist die Gesellschaft verpflichtet, als Namenszusatz die Bezeichnungen „eingetragene Gesellschaft bürgerlichen Rechts“ oder „eGbR“ zu führen. </w:t>
      </w:r>
      <w:r>
        <w:rPr>
          <w:rStyle w:val="Satznummer"/>
        </w:rPr>
        <w:t>2</w:t>
      </w:r>
      <w:r>
        <w:t>Wenn in einer eingetragenen Gesellschaft keine natürliche Person als Gesellschafter haftet, muss der Name eine Bezeichnung enthalten, welche die Haftungsbeschränkung kennzeichnet.</w:t>
      </w:r>
    </w:p>
    <w:p>
      <w:r>
        <w:t xml:space="preserve">(3) </w:t>
      </w:r>
      <w:r>
        <w:rPr>
          <w:rStyle w:val="Satznummer"/>
        </w:rPr>
        <w:t>1</w:t>
      </w:r>
      <w:r>
        <w:t xml:space="preserve">Die Eintragung bewirkt, dass § 15 des Handelsgesetzbuchs mit der Maßgabe entsprechend anzuwenden ist, dass das Fehlen der Kaufmannseigenschaft nicht an der Publizität des Gesellschaftsregisters teilnimmt. </w:t>
      </w:r>
      <w:r>
        <w:rPr>
          <w:rStyle w:val="Satznummer"/>
        </w:rPr>
        <w:t>2</w:t>
      </w:r>
      <w:r>
        <w:t>Die Eintragung lässt die Pflicht, die Gesellschaft zur Eintragung in das Handelsregister anzumelden (§ 106 Absatz 1 des Handelsgesetzbuchs), unberührt.</w:t>
      </w:r>
    </w:p>
    <w:p>
      <w:r>
        <w:t>(4) Nach Eintragung der Gesellschaft findet die Löschung der Gesellschaft nur nach den allgemeinen Vorschriften statt.</w:t>
      </w:r>
    </w:p>
    <w:p>
      <w:pPr>
        <w:pStyle w:val="Heading6"/>
      </w:pPr>
      <w:bookmarkStart w:id="1142" w:name="b1127"/>
      <w:r>
        <w:t>§ 707b Entsprechend anwendbare Vorschriften des Handelsgesetzbuchs</w:t>
      </w:r>
      <w:r>
        <w:t xml:space="preserve"> </w:t>
      </w:r>
      <w:r>
        <w:rPr>
          <w:rStyle w:val="Suchmarke"/>
        </w:rPr>
        <w:t>#707b#</w:t>
      </w:r>
      <w:bookmarkEnd w:id="1142"/>
    </w:p>
    <w:p>
      <w:r>
        <w:t>Folgende Vorschriften des Handelsgesetzbuchs sind auf eingetragene Gesellschaften entsprechend anzuwenden:</w:t>
      </w:r>
    </w:p>
    <w:p>
      <w:pPr>
        <w:tabs>
          <w:tab w:pos="567" w:val="left"/>
        </w:tabs>
        <w:ind w:left="567" w:hanging="567"/>
      </w:pPr>
      <w:r>
        <w:t>1.</w:t>
      </w:r>
      <w:r>
        <w:tab/>
      </w:r>
      <w:r>
        <w:t xml:space="preserve">auf die Auswahl und den Schutz des Namens der Gesellschaft: die §§ 18, </w:t>
      </w:r>
      <w:hyperlink w:anchor="b18" w:history="1">
        <w:r>
          <w:rPr>
            <w:color w:val="0A3A8C"/>
            <w:u w:val="single"/>
          </w:rPr>
          <w:t xml:space="preserve">21</w:t>
        </w:r>
      </w:hyperlink>
      <w:r>
        <w:t xml:space="preserve"> bis </w:t>
      </w:r>
      <w:hyperlink w:anchor="b21" w:history="1">
        <w:r>
          <w:rPr>
            <w:color w:val="0A3A8C"/>
            <w:u w:val="single"/>
          </w:rPr>
          <w:t xml:space="preserve">24</w:t>
        </w:r>
      </w:hyperlink>
      <w:r>
        <w:t xml:space="preserve">, </w:t>
      </w:r>
      <w:hyperlink w:anchor="b27" w:history="1">
        <w:r>
          <w:rPr>
            <w:color w:val="0A3A8C"/>
            <w:u w:val="single"/>
          </w:rPr>
          <w:t xml:space="preserve">30</w:t>
        </w:r>
      </w:hyperlink>
      <w:r>
        <w:t xml:space="preserve"> und </w:t>
      </w:r>
      <w:hyperlink w:anchor="b36" w:history="1">
        <w:r>
          <w:rPr>
            <w:color w:val="0A3A8C"/>
            <w:u w:val="single"/>
          </w:rPr>
          <w:t xml:space="preserve">37</w:t>
        </w:r>
      </w:hyperlink>
      <w:r>
        <w:t>,</w:t>
      </w:r>
    </w:p>
    <w:p>
      <w:pPr>
        <w:tabs>
          <w:tab w:pos="567" w:val="left"/>
        </w:tabs>
        <w:ind w:left="567" w:hanging="567"/>
      </w:pPr>
      <w:r>
        <w:t>2.</w:t>
      </w:r>
      <w:r>
        <w:tab/>
      </w:r>
      <w:r>
        <w:t xml:space="preserve">auf die registerrechtliche Behandlung der Gesellschaft und die Führung des Gesellschaftsregisters: die </w:t>
      </w:r>
      <w:hyperlink w:anchor="b7" w:history="1">
        <w:r>
          <w:rPr>
            <w:color w:val="0A3A8C"/>
            <w:u w:val="single"/>
          </w:rPr>
          <w:t xml:space="preserve">§§ 8</w:t>
        </w:r>
      </w:hyperlink>
      <w:r>
        <w:t xml:space="preserve">, 8a Absatz 1, </w:t>
      </w:r>
      <w:hyperlink w:anchor="b8" w:history="1">
        <w:r>
          <w:rPr>
            <w:color w:val="0A3A8C"/>
            <w:u w:val="single"/>
          </w:rPr>
          <w:t xml:space="preserve">§ 9</w:t>
        </w:r>
      </w:hyperlink>
      <w:r>
        <w:t xml:space="preserve"> Absatz 1 Satz 1 und Absatz 3 bis 6, die </w:t>
      </w:r>
      <w:hyperlink w:anchor="b9" w:history="1">
        <w:r>
          <w:rPr>
            <w:color w:val="0A3A8C"/>
            <w:u w:val="single"/>
          </w:rPr>
          <w:t xml:space="preserve">§§ 10</w:t>
        </w:r>
      </w:hyperlink>
      <w:r>
        <w:t xml:space="preserve"> bis </w:t>
      </w:r>
      <w:hyperlink w:anchor="b11" w:history="1">
        <w:r>
          <w:rPr>
            <w:color w:val="0A3A8C"/>
            <w:u w:val="single"/>
          </w:rPr>
          <w:t xml:space="preserve">12</w:t>
        </w:r>
      </w:hyperlink>
      <w:r>
        <w:t xml:space="preserve">, 13h, </w:t>
      </w:r>
      <w:hyperlink w:anchor="b13" w:history="1">
        <w:r>
          <w:rPr>
            <w:color w:val="0A3A8C"/>
            <w:u w:val="single"/>
          </w:rPr>
          <w:t xml:space="preserve">14</w:t>
        </w:r>
      </w:hyperlink>
      <w:r>
        <w:t xml:space="preserve">, 16 und </w:t>
      </w:r>
      <w:hyperlink w:anchor="b31" w:history="1">
        <w:r>
          <w:rPr>
            <w:color w:val="0A3A8C"/>
            <w:u w:val="single"/>
          </w:rPr>
          <w:t xml:space="preserve">32</w:t>
        </w:r>
      </w:hyperlink>
      <w:r>
        <w:t xml:space="preserve"> und</w:t>
      </w:r>
    </w:p>
    <w:p>
      <w:pPr>
        <w:tabs>
          <w:tab w:pos="567" w:val="left"/>
        </w:tabs>
        <w:ind w:left="567" w:hanging="567"/>
      </w:pPr>
      <w:r>
        <w:t>3.</w:t>
      </w:r>
      <w:r>
        <w:tab/>
      </w:r>
      <w:r>
        <w:t xml:space="preserve">auf die registerrechtliche Behandlung der Zweigniederlassung einer Gesellschaft: die </w:t>
      </w:r>
      <w:hyperlink w:anchor="b12" w:history="1">
        <w:r>
          <w:rPr>
            <w:color w:val="0A3A8C"/>
            <w:u w:val="single"/>
          </w:rPr>
          <w:t xml:space="preserve">§§ 13</w:t>
        </w:r>
      </w:hyperlink>
      <w:r>
        <w:t xml:space="preserve"> und 13d mit der Maßgabe, dass eine Verpflichtung zur Anmeldung der Zweigniederlassung nicht besteht.</w:t>
      </w:r>
    </w:p>
    <w:p>
      <w:pPr>
        <w:pStyle w:val="Heading6"/>
      </w:pPr>
      <w:bookmarkStart w:id="1143" w:name="b1128"/>
      <w:r>
        <w:t>§ 707c Statuswechsel</w:t>
      </w:r>
      <w:r>
        <w:t xml:space="preserve"> </w:t>
      </w:r>
      <w:r>
        <w:rPr>
          <w:rStyle w:val="Suchmarke"/>
        </w:rPr>
        <w:t>#707c#</w:t>
      </w:r>
      <w:bookmarkEnd w:id="1143"/>
    </w:p>
    <w:p>
      <w:r>
        <w:t>(1) Die Anmeldung zur Eintragung einer bereits in einem Register eingetragenen Gesellschaft unter einer anderen Rechtsform einer rechtsfähigen Personengesellschaft in ein anderes Register (Statuswechsel) kann nur bei dem Gericht erfolgen, das das Register führt, in dem die Gesellschaft eingetragen ist.</w:t>
      </w:r>
    </w:p>
    <w:p>
      <w:r>
        <w:t xml:space="preserve">(2) </w:t>
      </w:r>
      <w:r>
        <w:rPr>
          <w:rStyle w:val="Satznummer"/>
        </w:rPr>
        <w:t>1</w:t>
      </w:r>
      <w:r>
        <w:t xml:space="preserve">Wird ein Statuswechsel angemeldet, trägt das Gericht die Rechtsform ein, in der die Gesellschaft in dem anderen Register fortgesetzt wird (Statuswechselvermerk). </w:t>
      </w:r>
      <w:r>
        <w:rPr>
          <w:rStyle w:val="Satznummer"/>
        </w:rPr>
        <w:t>2</w:t>
      </w:r>
      <w:r>
        <w:t xml:space="preserve">Diese Eintragung ist mit dem Vermerk zu versehen, dass die Eintragung erst mit der Eintragung der Gesellschaft in dem anderen Register wirksam wird, sofern die Eintragungen in den beteiligten Registern nicht am selben Tag erfolgen. </w:t>
      </w:r>
      <w:r>
        <w:rPr>
          <w:rStyle w:val="Satznummer"/>
        </w:rPr>
        <w:t>3</w:t>
      </w:r>
      <w:r>
        <w:t xml:space="preserve">Sodann gibt das Gericht das Verfahren von Amts wegen an das für die Führung des anderen Registers zuständige Gericht ab. </w:t>
      </w:r>
      <w:r>
        <w:rPr>
          <w:rStyle w:val="Satznummer"/>
        </w:rPr>
        <w:t>4</w:t>
      </w:r>
      <w:r>
        <w:t xml:space="preserve">Nach Vollzug des Statuswechsels trägt das Gericht den Tag ein, an dem die Gesellschaft in dem anderen Register eingetragen worden ist. </w:t>
      </w:r>
      <w:r>
        <w:rPr>
          <w:rStyle w:val="Satznummer"/>
        </w:rPr>
        <w:t>5</w:t>
      </w:r>
      <w:r>
        <w:t>Ist die Eintragung der Gesellschaft in dem anderen Register rechtskräftig abgelehnt worden oder wird die Anmeldung zurückgenommen, wird der Statuswechselvermerk von Amts wegen gelöscht.</w:t>
      </w:r>
    </w:p>
    <w:p>
      <w:r>
        <w:t xml:space="preserve">(3) </w:t>
      </w:r>
      <w:r>
        <w:rPr>
          <w:rStyle w:val="Satznummer"/>
        </w:rPr>
        <w:t>1</w:t>
      </w:r>
      <w:r>
        <w:t>Das Gericht soll eine Gesellschaft, die bereits im Handels- oder im Partnerschaftsregister eingetragen ist, in das Gesellschaftsregister nur eintragen, wenn</w:t>
      </w:r>
    </w:p>
    <w:p>
      <w:pPr>
        <w:tabs>
          <w:tab w:pos="567" w:val="left"/>
        </w:tabs>
        <w:ind w:left="567" w:hanging="567"/>
      </w:pPr>
      <w:r>
        <w:t>1.</w:t>
      </w:r>
      <w:r>
        <w:tab/>
      </w:r>
      <w:r>
        <w:t>der Statuswechsel zu dem anderen Register angemeldet wurde,</w:t>
      </w:r>
    </w:p>
    <w:p>
      <w:pPr>
        <w:tabs>
          <w:tab w:pos="567" w:val="left"/>
        </w:tabs>
        <w:ind w:left="567" w:hanging="567"/>
      </w:pPr>
      <w:r>
        <w:t>2.</w:t>
      </w:r>
      <w:r>
        <w:tab/>
      </w:r>
      <w:r>
        <w:t>der Statuswechselvermerk in das andere Register eingetragen wurde und</w:t>
      </w:r>
    </w:p>
    <w:p>
      <w:pPr>
        <w:tabs>
          <w:tab w:pos="567" w:val="left"/>
        </w:tabs>
        <w:ind w:left="567" w:hanging="567"/>
      </w:pPr>
      <w:r>
        <w:t>3.</w:t>
      </w:r>
      <w:r>
        <w:tab/>
      </w:r>
      <w:r>
        <w:t>das für die Führung des anderen Registers zuständige Gericht das Verfahren an das für die Führung des Gesellschaftsregisters zuständige Gericht abgegeben hat.</w:t>
      </w:r>
    </w:p>
    <w:p>
      <w:r>
        <w:rPr>
          <w:rStyle w:val="Satznummer"/>
        </w:rPr>
        <w:t>2</w:t>
      </w:r>
      <w:hyperlink w:anchor="b1125" w:history="1">
        <w:r>
          <w:rPr>
            <w:color w:val="0A3A8C"/>
            <w:u w:val="single"/>
          </w:rPr>
          <w:t xml:space="preserve">§ 707</w:t>
        </w:r>
      </w:hyperlink>
      <w:r>
        <w:t xml:space="preserve"> Absatz 2 bleibt unberührt.</w:t>
      </w:r>
    </w:p>
    <w:p>
      <w:r>
        <w:t xml:space="preserve">(4) </w:t>
      </w:r>
      <w:r>
        <w:rPr>
          <w:rStyle w:val="Satznummer"/>
        </w:rPr>
        <w:t>1</w:t>
      </w:r>
      <w:r>
        <w:t xml:space="preserve">Die Eintragung der Gesellschaft hat die Angabe des für die Führung des Handels- oder des Partnerschaftsregisters zuständigen Gerichts, die Firma oder den Namen und die Registernummer, unter der die Gesellschaft bislang eingetragen ist, zu enthalten. </w:t>
      </w:r>
      <w:r>
        <w:rPr>
          <w:rStyle w:val="Satznummer"/>
        </w:rPr>
        <w:t>2</w:t>
      </w:r>
      <w:r>
        <w:t xml:space="preserve">Das Gericht teilt dem Gericht, das das Verfahren abgegeben hat, von Amts wegen den Tag der Eintragung der Gesellschaft in das Gesellschaftsregister und die neue Registernummer mit. </w:t>
      </w:r>
      <w:r>
        <w:rPr>
          <w:rStyle w:val="Satznummer"/>
        </w:rPr>
        <w:t>3</w:t>
      </w:r>
      <w:r>
        <w:t>Die Ablehnung der Eintragung teilt das Gericht ebenfalls von Amts wegen dem Gericht, das das Verfahren abgegeben hat, mit, sobald die Entscheidung rechtskräftig geworden ist.</w:t>
      </w:r>
    </w:p>
    <w:p>
      <w:r>
        <w:t xml:space="preserve">(5) </w:t>
      </w:r>
      <w:r>
        <w:rPr>
          <w:rStyle w:val="Satznummer"/>
        </w:rPr>
        <w:t>1</w:t>
      </w:r>
      <w:r>
        <w:t xml:space="preserve">Wird ein Gesellschafter Kommanditist, ist für die Begrenzung seiner Haftung für die zum Zeitpunkt seiner Eintragung im Handelsregister begründeten Verbindlichkeiten </w:t>
      </w:r>
      <w:hyperlink w:anchor="b1161" w:history="1">
        <w:r>
          <w:rPr>
            <w:color w:val="0A3A8C"/>
            <w:u w:val="single"/>
          </w:rPr>
          <w:t xml:space="preserve">§ 728b</w:t>
        </w:r>
      </w:hyperlink>
      <w:r>
        <w:t xml:space="preserve"> entsprechend anzuwenden. </w:t>
      </w:r>
      <w:r>
        <w:rPr>
          <w:rStyle w:val="Satznummer"/>
        </w:rPr>
        <w:t>2</w:t>
      </w:r>
      <w:r>
        <w:t xml:space="preserve">Dies gilt auch, wenn er in der Gesellschaft oder einem ihr als Gesellschafter angehörenden Unternehmen geschäftsführend tätig wird. </w:t>
      </w:r>
      <w:r>
        <w:rPr>
          <w:rStyle w:val="Satznummer"/>
        </w:rPr>
        <w:t>3</w:t>
      </w:r>
      <w:r>
        <w:t>Seine Haftung als Kommanditist bleibt unberührt.</w:t>
      </w:r>
    </w:p>
    <w:p>
      <w:pPr>
        <w:pStyle w:val="Heading6"/>
      </w:pPr>
      <w:bookmarkStart w:id="1144" w:name="b1129"/>
      <w:r>
        <w:t>§ 707d Verordnungsermächtigung</w:t>
      </w:r>
      <w:r>
        <w:t xml:space="preserve"> </w:t>
      </w:r>
      <w:r>
        <w:rPr>
          <w:rStyle w:val="Suchmarke"/>
        </w:rPr>
        <w:t>#707d#</w:t>
      </w:r>
      <w:bookmarkEnd w:id="1144"/>
    </w:p>
    <w:p>
      <w:r>
        <w:t xml:space="preserve">(1) </w:t>
      </w:r>
      <w:r>
        <w:rPr>
          <w:rStyle w:val="Satznummer"/>
        </w:rPr>
        <w:t>1</w:t>
      </w:r>
      <w:r>
        <w:t xml:space="preserve">Die Landesregierungen werden ermächtigt, durch Rechtsverordnung nähere Bestimmungen über die elektronische Führung des Gesellschaftsregisters, die elektronische Anmeldung, die elektronische Einreichung von Dokumenten sowie deren Aufbewahrung zu treffen, soweit nicht durch das Bundesministerium der Justiz nach § 387 Absatz 2 des Gesetzes über das Verfahren in Familiensachen und in den Angelegenheiten der freiwilligen Gerichtsbarkeit entsprechende Vorschriften erlassen werden. </w:t>
      </w:r>
      <w:r>
        <w:rPr>
          <w:rStyle w:val="Satznummer"/>
        </w:rPr>
        <w:t>2</w:t>
      </w:r>
      <w:r>
        <w:t xml:space="preserve">Dabei können sie auch Einzelheiten der Datenübermittlung regeln sowie die Form zu übermittelnder elektronischer Dokumente festlegen, um die Eignung für die Bearbeitung durch das Gericht sicherzustellen. </w:t>
      </w:r>
      <w:r>
        <w:rPr>
          <w:rStyle w:val="Satznummer"/>
        </w:rPr>
        <w:t>3</w:t>
      </w:r>
      <w:r>
        <w:t>Die Landesregierungen können die Ermächtigung durch Rechtsverordnung auf die Landesjustizverwaltungen übertragen.</w:t>
      </w:r>
    </w:p>
    <w:p>
      <w:r>
        <w:t xml:space="preserve">(2) </w:t>
      </w:r>
      <w:r>
        <w:rPr>
          <w:rStyle w:val="Satznummer"/>
        </w:rPr>
        <w:t>1</w:t>
      </w:r>
      <w:r>
        <w:t xml:space="preserve">Die Landesjustizverwaltungen bestimmen das elektronische Informations- und Kommunikationssystem, über das die Daten aus den Gesellschaftsregistern abrufbar sind, und sind für die Abwicklung des elektronischen Abrufverfahrens zuständig. </w:t>
      </w:r>
      <w:r>
        <w:rPr>
          <w:rStyle w:val="Satznummer"/>
        </w:rPr>
        <w:t>2</w:t>
      </w:r>
      <w:r>
        <w:t xml:space="preserve">Die Landesregierung kann die Zuständigkeit durch Rechtsverordnung abweichend regeln; sie kann diese Ermächtigung durch Rechtsverordnung auf die Landesjustizverwaltung übertragen. </w:t>
      </w:r>
      <w:r>
        <w:rPr>
          <w:rStyle w:val="Satznummer"/>
        </w:rPr>
        <w:t>3</w:t>
      </w:r>
      <w:r>
        <w:t xml:space="preserve">Die Länder können ein länderübergreifendes, zentrales elektronisches Informations- und Kommunikationssystem bestimmen. </w:t>
      </w:r>
      <w:r>
        <w:rPr>
          <w:rStyle w:val="Satznummer"/>
        </w:rPr>
        <w:t>4</w:t>
      </w:r>
      <w:r>
        <w:t>Sie können auch eine Übertragung der Abwicklungsaufgaben auf die zuständige Stelle eines anderen Landes sowie mit dem Betreiber des Unternehmensregisters eine Übertragung der Abwicklungsaufgaben auf das Unternehmensregister vereinbaren.</w:t>
      </w:r>
    </w:p>
    <w:p>
      <w:pPr>
        <w:pStyle w:val="Heading5"/>
      </w:pPr>
      <w:bookmarkStart w:id="1145" w:name="b1130"/>
      <w:r>
        <w:t>Kapitel 2 Rechtsverhältnis der Gesellschafter untereinander und der Gesellschafter zur Gesellschaft</w:t>
      </w:r>
      <w:bookmarkEnd w:id="1145"/>
    </w:p>
    <w:p>
      <w:pPr>
        <w:pStyle w:val="Heading6"/>
      </w:pPr>
      <w:bookmarkStart w:id="1146" w:name="b1131"/>
      <w:r>
        <w:t>§ 708 Gestaltungsfreiheit</w:t>
      </w:r>
      <w:r>
        <w:t xml:space="preserve"> </w:t>
      </w:r>
      <w:r>
        <w:rPr>
          <w:rStyle w:val="Suchmarke"/>
        </w:rPr>
        <w:t>#708#</w:t>
      </w:r>
      <w:bookmarkEnd w:id="1146"/>
    </w:p>
    <w:p>
      <w:r>
        <w:t>Von den Vorschriften dieses Kapitels kann durch den Gesellschaftsvertrag abgewichen werden, soweit im Gesetz nichts anderes bestimmt ist.</w:t>
      </w:r>
    </w:p>
    <w:p>
      <w:pPr>
        <w:pStyle w:val="Heading6"/>
      </w:pPr>
      <w:bookmarkStart w:id="1147" w:name="b1132"/>
      <w:r>
        <w:t>§ 709 Beiträge; Stimmkraft; Anteil an Gewinn und Verlust</w:t>
      </w:r>
      <w:r>
        <w:t xml:space="preserve"> </w:t>
      </w:r>
      <w:r>
        <w:rPr>
          <w:rStyle w:val="Suchmarke"/>
        </w:rPr>
        <w:t>#709#</w:t>
      </w:r>
      <w:bookmarkEnd w:id="1147"/>
    </w:p>
    <w:p>
      <w:r>
        <w:t>(1) Der Beitrag eines Gesellschafters kann in jeder Förderung des gemeinsamen Zwecks, auch in der Leistung von Diensten, bestehen.</w:t>
      </w:r>
    </w:p>
    <w:p>
      <w:r>
        <w:t>(2) Im Zweifel sind die Gesellschafter zu gleichen Beiträgen verpflichtet.</w:t>
      </w:r>
    </w:p>
    <w:p>
      <w:r>
        <w:t xml:space="preserve">(3) </w:t>
      </w:r>
      <w:r>
        <w:rPr>
          <w:rStyle w:val="Satznummer"/>
        </w:rPr>
        <w:t>1</w:t>
      </w:r>
      <w:r>
        <w:t xml:space="preserve">Die Stimmkraft und der Anteil an Gewinn und Verlust richten sich vorrangig nach den vereinbarten Beteiligungsverhältnissen. </w:t>
      </w:r>
      <w:r>
        <w:rPr>
          <w:rStyle w:val="Satznummer"/>
        </w:rPr>
        <w:t>2</w:t>
      </w:r>
      <w:r>
        <w:t xml:space="preserve">Sind keine Beteiligungsverhältnisse vereinbart worden, richten sie sich nach dem Verhältnis der vereinbarten Werte der Beiträge. </w:t>
      </w:r>
      <w:r>
        <w:rPr>
          <w:rStyle w:val="Satznummer"/>
        </w:rPr>
        <w:t>3</w:t>
      </w:r>
      <w:r>
        <w:t>Sind auch Werte der Beiträge nicht vereinbart worden, hat jeder Gesellschafter ohne Rücksicht auf den Wert seines Beitrags die gleiche Stimmkraft und einen gleichen Anteil am Gewinn und Verlust.</w:t>
      </w:r>
    </w:p>
    <w:p>
      <w:pPr>
        <w:pStyle w:val="Heading6"/>
      </w:pPr>
      <w:bookmarkStart w:id="1148" w:name="b1133"/>
      <w:r>
        <w:t>§ 710 Mehrbelastungsverbot</w:t>
      </w:r>
      <w:r>
        <w:t xml:space="preserve"> </w:t>
      </w:r>
      <w:r>
        <w:rPr>
          <w:rStyle w:val="Suchmarke"/>
        </w:rPr>
        <w:t>#710#</w:t>
      </w:r>
      <w:bookmarkEnd w:id="1148"/>
    </w:p>
    <w:p>
      <w:r>
        <w:rPr>
          <w:rStyle w:val="Satznummer"/>
        </w:rPr>
        <w:t>1</w:t>
      </w:r>
      <w:r>
        <w:t xml:space="preserve">Zur Erhöhung seines Beitrags kann ein Gesellschafter nicht ohne seine Zustimmung verpflichtet werden. </w:t>
      </w:r>
      <w:r>
        <w:rPr>
          <w:rStyle w:val="Satznummer"/>
        </w:rPr>
        <w:t>2</w:t>
      </w:r>
      <w:r>
        <w:t xml:space="preserve">Die </w:t>
      </w:r>
      <w:hyperlink w:anchor="b1160" w:history="1">
        <w:r>
          <w:rPr>
            <w:color w:val="0A3A8C"/>
            <w:u w:val="single"/>
          </w:rPr>
          <w:t xml:space="preserve">§§ 728a</w:t>
        </w:r>
      </w:hyperlink>
      <w:r>
        <w:t xml:space="preserve"> und </w:t>
      </w:r>
      <w:hyperlink w:anchor="b1176" w:history="1">
        <w:r>
          <w:rPr>
            <w:color w:val="0A3A8C"/>
            <w:u w:val="single"/>
          </w:rPr>
          <w:t xml:space="preserve">737</w:t>
        </w:r>
      </w:hyperlink>
      <w:r>
        <w:t xml:space="preserve"> bleiben unberührt.</w:t>
      </w:r>
    </w:p>
    <w:p>
      <w:pPr>
        <w:pStyle w:val="Heading6"/>
      </w:pPr>
      <w:bookmarkStart w:id="1149" w:name="b1134"/>
      <w:r>
        <w:t>§ 711 Übertragung und Übergang von Gesellschaftsanteilen</w:t>
      </w:r>
      <w:r>
        <w:t xml:space="preserve"> </w:t>
      </w:r>
      <w:r>
        <w:rPr>
          <w:rStyle w:val="Suchmarke"/>
        </w:rPr>
        <w:t>#711#</w:t>
      </w:r>
      <w:bookmarkEnd w:id="1149"/>
    </w:p>
    <w:p>
      <w:r>
        <w:t xml:space="preserve">(1) </w:t>
      </w:r>
      <w:r>
        <w:rPr>
          <w:rStyle w:val="Satznummer"/>
        </w:rPr>
        <w:t>1</w:t>
      </w:r>
      <w:r>
        <w:t xml:space="preserve">Die Übertragung eines Gesellschaftsanteils bedarf der Zustimmung der anderen Gesellschafter. </w:t>
      </w:r>
      <w:r>
        <w:rPr>
          <w:rStyle w:val="Satznummer"/>
        </w:rPr>
        <w:t>2</w:t>
      </w:r>
      <w:r>
        <w:t>Die Gesellschaft kann eigene Anteile nicht erwerben.</w:t>
      </w:r>
    </w:p>
    <w:p>
      <w:r>
        <w:t xml:space="preserve">(2) </w:t>
      </w:r>
      <w:r>
        <w:rPr>
          <w:rStyle w:val="Satznummer"/>
        </w:rPr>
        <w:t>1</w:t>
      </w:r>
      <w:r>
        <w:t xml:space="preserve">Ist im Gesellschaftsvertrag vereinbart, dass im Fall des Todes eines Gesellschafters die Gesellschaft mit seinem Erben fortgesetzt werden soll, geht der Anteil auf den Erben über. </w:t>
      </w:r>
      <w:r>
        <w:rPr>
          <w:rStyle w:val="Satznummer"/>
        </w:rPr>
        <w:t>2</w:t>
      </w:r>
      <w:r>
        <w:t xml:space="preserve">Sind mehrere Erben vorhanden, fällt der Gesellschaftsanteil kraft Gesetzes jedem Erben entsprechend der Erbquote zu. </w:t>
      </w:r>
      <w:r>
        <w:rPr>
          <w:rStyle w:val="Satznummer"/>
        </w:rPr>
        <w:t>3</w:t>
      </w:r>
      <w:r>
        <w:t>Die Vorschriften über die Erbengemeinschaft finden insoweit keine Anwendung.</w:t>
      </w:r>
    </w:p>
    <w:p>
      <w:pPr>
        <w:pStyle w:val="Heading6"/>
      </w:pPr>
      <w:bookmarkStart w:id="1150" w:name="b1135"/>
      <w:r>
        <w:t>§ 711a Übertragbarkeit von Gesellschafterrechten</w:t>
      </w:r>
      <w:r>
        <w:t xml:space="preserve"> </w:t>
      </w:r>
      <w:r>
        <w:rPr>
          <w:rStyle w:val="Suchmarke"/>
        </w:rPr>
        <w:t>#711a#</w:t>
      </w:r>
      <w:bookmarkEnd w:id="1150"/>
    </w:p>
    <w:p>
      <w:r>
        <w:rPr>
          <w:rStyle w:val="Satznummer"/>
        </w:rPr>
        <w:t>1</w:t>
      </w:r>
      <w:r>
        <w:t xml:space="preserve">Die Rechte der Gesellschafter aus dem Gesellschaftsverhältnis sind nicht übertragbar. </w:t>
      </w:r>
      <w:r>
        <w:rPr>
          <w:rStyle w:val="Satznummer"/>
        </w:rPr>
        <w:t>2</w:t>
      </w:r>
      <w:r>
        <w:t>Hiervon ausgenommen sind Ansprüche, die einem Gesellschafter aus seiner Geschäftsbesorgung für die Gesellschaft zustehen, soweit deren Befriedigung außerhalb der Liquidation verlangt werden kann, sowie Ansprüche eines Gesellschafters auf einen Gewinnanteil oder auf dasjenige, was ihm im Fall der Liquidation zukommt.</w:t>
      </w:r>
    </w:p>
    <w:p>
      <w:pPr>
        <w:pStyle w:val="Heading6"/>
      </w:pPr>
      <w:bookmarkStart w:id="1151" w:name="b1136"/>
      <w:r>
        <w:t>§ 712 Ausscheiden eines Gesellschafters; Eintritt eines neuen Gesellschafters</w:t>
      </w:r>
      <w:r>
        <w:t xml:space="preserve"> </w:t>
      </w:r>
      <w:r>
        <w:rPr>
          <w:rStyle w:val="Suchmarke"/>
        </w:rPr>
        <w:t>#712#</w:t>
      </w:r>
      <w:bookmarkEnd w:id="1151"/>
    </w:p>
    <w:p>
      <w:r>
        <w:t>(1) Scheidet ein Gesellschafter aus der Gesellschaft aus, so wächst sein Anteil an der Gesellschaft den übrigen Gesellschaftern im Zweifel im Verhältnis ihrer Anteile zu.</w:t>
      </w:r>
    </w:p>
    <w:p>
      <w:r>
        <w:t>(2) Tritt ein neuer Gesellschafter in die Gesellschaft ein, so mindern sich die Anteile der anderen Gesellschafter an der Gesellschaft im Zweifel im Umfang des dem neuen Gesellschafter zuwachsenden Anteils und in dem Verhältnis ihrer bisherigen Anteile.</w:t>
      </w:r>
    </w:p>
    <w:p>
      <w:pPr>
        <w:pStyle w:val="Heading6"/>
      </w:pPr>
      <w:bookmarkStart w:id="1152" w:name="b1137"/>
      <w:r>
        <w:t>§ 712a Ausscheiden des vorletzten Gesellschafters</w:t>
      </w:r>
      <w:r>
        <w:t xml:space="preserve"> </w:t>
      </w:r>
      <w:r>
        <w:rPr>
          <w:rStyle w:val="Suchmarke"/>
        </w:rPr>
        <w:t>#712a#</w:t>
      </w:r>
      <w:bookmarkEnd w:id="1152"/>
    </w:p>
    <w:p>
      <w:r>
        <w:t xml:space="preserve">(1) </w:t>
      </w:r>
      <w:r>
        <w:rPr>
          <w:rStyle w:val="Satznummer"/>
        </w:rPr>
        <w:t>1</w:t>
      </w:r>
      <w:r>
        <w:t xml:space="preserve">Verbleibt nur noch ein Gesellschafter, so erlischt die Gesellschaft ohne Liquidation. </w:t>
      </w:r>
      <w:r>
        <w:rPr>
          <w:rStyle w:val="Satznummer"/>
        </w:rPr>
        <w:t>2</w:t>
      </w:r>
      <w:r>
        <w:t>Das Gesellschaftsvermögen geht zum Zeitpunkt des Ausscheidens des vorletzten Gesellschafters im Wege der Gesamtrechtsnachfolge auf den verbleibenden Gesellschafter über.</w:t>
      </w:r>
    </w:p>
    <w:p>
      <w:r>
        <w:t xml:space="preserve">(2) In Bezug auf die Rechte und Pflichten des vorletzten Gesellschafters sind anlässlich seines Ausscheidens die </w:t>
      </w:r>
      <w:hyperlink w:anchor="b1159" w:history="1">
        <w:r>
          <w:rPr>
            <w:color w:val="0A3A8C"/>
            <w:u w:val="single"/>
          </w:rPr>
          <w:t xml:space="preserve">§§ 728</w:t>
        </w:r>
      </w:hyperlink>
      <w:r>
        <w:t xml:space="preserve"> bis </w:t>
      </w:r>
      <w:hyperlink w:anchor="b1161" w:history="1">
        <w:r>
          <w:rPr>
            <w:color w:val="0A3A8C"/>
            <w:u w:val="single"/>
          </w:rPr>
          <w:t xml:space="preserve">728b</w:t>
        </w:r>
      </w:hyperlink>
      <w:r>
        <w:t xml:space="preserve"> entsprechend anzuwenden.</w:t>
      </w:r>
    </w:p>
    <w:p>
      <w:pPr>
        <w:pStyle w:val="Heading6"/>
      </w:pPr>
      <w:bookmarkStart w:id="1153" w:name="b1138"/>
      <w:r>
        <w:t>§ 713 Gesellschaftsvermögen</w:t>
      </w:r>
      <w:r>
        <w:t xml:space="preserve"> </w:t>
      </w:r>
      <w:r>
        <w:rPr>
          <w:rStyle w:val="Suchmarke"/>
        </w:rPr>
        <w:t>#713#</w:t>
      </w:r>
      <w:bookmarkEnd w:id="1153"/>
    </w:p>
    <w:p>
      <w:r>
        <w:t>Die Beiträge der Gesellschafter sowie die für oder durch die Gesellschaft erworbenen Rechte und die gegen sie begründeten Verbindlichkeiten sind Vermögen der Gesellschaft.</w:t>
      </w:r>
    </w:p>
    <w:p>
      <w:pPr>
        <w:pStyle w:val="Heading6"/>
      </w:pPr>
      <w:bookmarkStart w:id="1154" w:name="b1139"/>
      <w:r>
        <w:t>§ 714 Beschlussfassung</w:t>
      </w:r>
      <w:r>
        <w:t xml:space="preserve"> </w:t>
      </w:r>
      <w:r>
        <w:rPr>
          <w:rStyle w:val="Suchmarke"/>
        </w:rPr>
        <w:t>#714#</w:t>
      </w:r>
      <w:bookmarkEnd w:id="1154"/>
    </w:p>
    <w:p>
      <w:r>
        <w:t>Gesellschafterbeschlüsse bedürfen der Zustimmung aller stimmberechtigten Gesellschafter.</w:t>
      </w:r>
    </w:p>
    <w:p>
      <w:pPr>
        <w:pStyle w:val="Heading6"/>
      </w:pPr>
      <w:bookmarkStart w:id="1155" w:name="b1140"/>
      <w:r>
        <w:t>§ 715 Geschäftsführungsbefugnis</w:t>
      </w:r>
      <w:r>
        <w:t xml:space="preserve"> </w:t>
      </w:r>
      <w:r>
        <w:rPr>
          <w:rStyle w:val="Suchmarke"/>
        </w:rPr>
        <w:t>#715#</w:t>
      </w:r>
      <w:bookmarkEnd w:id="1155"/>
    </w:p>
    <w:p>
      <w:r>
        <w:t>(1) Zur Führung der Geschäfte der Gesellschaft sind alle Gesellschafter berechtigt und verpflichtet.</w:t>
      </w:r>
    </w:p>
    <w:p>
      <w:r>
        <w:t xml:space="preserve">(2) </w:t>
      </w:r>
      <w:r>
        <w:rPr>
          <w:rStyle w:val="Satznummer"/>
        </w:rPr>
        <w:t>1</w:t>
      </w:r>
      <w:r>
        <w:t xml:space="preserve">Die Befugnis zur Geschäftsführung erstreckt sich auf alle Geschäfte, die die Teilnahme der Gesellschaft am Rechtsverkehr gewöhnlich mit sich bringt. </w:t>
      </w:r>
      <w:r>
        <w:rPr>
          <w:rStyle w:val="Satznummer"/>
        </w:rPr>
        <w:t>2</w:t>
      </w:r>
      <w:r>
        <w:t>Zur Vornahme von Geschäften, die darüber hinausgehen, ist ein Beschluss aller Gesellschafter erforderlich.</w:t>
      </w:r>
    </w:p>
    <w:p>
      <w:r>
        <w:t xml:space="preserve">(3) </w:t>
      </w:r>
      <w:r>
        <w:rPr>
          <w:rStyle w:val="Satznummer"/>
        </w:rPr>
        <w:t>1</w:t>
      </w:r>
      <w:r>
        <w:t xml:space="preserve">Die Geschäftsführung steht allen Gesellschaftern in der Art zu, dass sie nur gemeinsam zu handeln berechtigt sind, es sei denn, dass mit dem Aufschub eines Geschäfts Gefahr für die Gesellschaft oder das Gesellschaftsvermögen verbunden ist. </w:t>
      </w:r>
      <w:r>
        <w:rPr>
          <w:rStyle w:val="Satznummer"/>
        </w:rPr>
        <w:t>2</w:t>
      </w:r>
      <w:r>
        <w:t>Dies gilt im Zweifel entsprechend, wenn nach dem Gesellschaftsvertrag die Geschäftsführung mehreren Gesellschaftern zusteht.</w:t>
      </w:r>
    </w:p>
    <w:p>
      <w:r>
        <w:t xml:space="preserve">(4) </w:t>
      </w:r>
      <w:r>
        <w:rPr>
          <w:rStyle w:val="Satznummer"/>
        </w:rPr>
        <w:t>1</w:t>
      </w:r>
      <w:r>
        <w:t xml:space="preserve">Steht nach dem Gesellschaftsvertrag die Geschäftsführung allen oder mehreren Gesellschaftern in der Art zu, dass jeder allein zu handeln berechtigt ist, kann jeder andere geschäftsführungsbefugte Gesellschafter der Vornahme des Geschäfts widersprechen. </w:t>
      </w:r>
      <w:r>
        <w:rPr>
          <w:rStyle w:val="Satznummer"/>
        </w:rPr>
        <w:t>2</w:t>
      </w:r>
      <w:r>
        <w:t>Im Fall des Widerspruchs muss das Geschäft unterbleiben.</w:t>
      </w:r>
    </w:p>
    <w:p>
      <w:r>
        <w:t xml:space="preserve">(5) </w:t>
      </w:r>
      <w:r>
        <w:rPr>
          <w:rStyle w:val="Satznummer"/>
        </w:rPr>
        <w:t>1</w:t>
      </w:r>
      <w:r>
        <w:t xml:space="preserve">Die Befugnis zur Geschäftsführung kann einem Gesellschafter durch Beschluss der anderen Gesellschafter ganz oder teilweise entzogen werden, wenn ein wichtiger Grund vorliegt. </w:t>
      </w:r>
      <w:r>
        <w:rPr>
          <w:rStyle w:val="Satznummer"/>
        </w:rPr>
        <w:t>2</w:t>
      </w:r>
      <w:r>
        <w:t>Ein wichtiger Grund ist insbesondere eine grobe Pflichtverletzung des Gesellschafters oder die Unfähigkeit des Gesellschafters zur ordnungsgemäßen Geschäftsführung.</w:t>
      </w:r>
    </w:p>
    <w:p>
      <w:r>
        <w:t xml:space="preserve">(6) </w:t>
      </w:r>
      <w:r>
        <w:rPr>
          <w:rStyle w:val="Satznummer"/>
        </w:rPr>
        <w:t>1</w:t>
      </w:r>
      <w:r>
        <w:t xml:space="preserve">Der Gesellschafter kann seinerseits die Geschäftsführung ganz oder teilweise kündigen, wenn ein wichtiger Grund vorliegt. </w:t>
      </w:r>
      <w:r>
        <w:rPr>
          <w:rStyle w:val="Satznummer"/>
        </w:rPr>
        <w:t>2</w:t>
      </w:r>
      <w:hyperlink w:anchor="b1044" w:history="1">
        <w:r>
          <w:rPr>
            <w:color w:val="0A3A8C"/>
            <w:u w:val="single"/>
          </w:rPr>
          <w:t xml:space="preserve">§ 671</w:t>
        </w:r>
      </w:hyperlink>
      <w:r>
        <w:t xml:space="preserve"> Absatz 2 und 3 ist entsprechend anzuwenden.</w:t>
      </w:r>
    </w:p>
    <w:p>
      <w:pPr>
        <w:pStyle w:val="Heading6"/>
      </w:pPr>
      <w:bookmarkStart w:id="1156" w:name="b1141"/>
      <w:r>
        <w:t>§ 715a Notgeschäftsführungsbefugnis</w:t>
      </w:r>
      <w:r>
        <w:t xml:space="preserve"> </w:t>
      </w:r>
      <w:r>
        <w:rPr>
          <w:rStyle w:val="Suchmarke"/>
        </w:rPr>
        <w:t>#715a#</w:t>
      </w:r>
      <w:bookmarkEnd w:id="1156"/>
    </w:p>
    <w:p>
      <w:r>
        <w:rPr>
          <w:rStyle w:val="Satznummer"/>
        </w:rPr>
        <w:t>1</w:t>
      </w:r>
      <w:r>
        <w:t xml:space="preserve">Sind alle geschäftsführungsbefugten Gesellschafter verhindert, nach Maßgabe von </w:t>
      </w:r>
      <w:hyperlink w:anchor="b1140" w:history="1">
        <w:r>
          <w:rPr>
            <w:color w:val="0A3A8C"/>
            <w:u w:val="single"/>
          </w:rPr>
          <w:t xml:space="preserve">§ 715</w:t>
        </w:r>
      </w:hyperlink>
      <w:r>
        <w:t xml:space="preserve"> Absatz 3 bei einem Geschäft mitzuwirken, kann jeder Gesellschafter das Geschäft vornehmen, wenn mit dem Aufschub Gefahr für die Gesellschaft oder das Gesellschaftsvermögen verbunden ist. </w:t>
      </w:r>
      <w:r>
        <w:rPr>
          <w:rStyle w:val="Satznummer"/>
        </w:rPr>
        <w:t>2</w:t>
      </w:r>
      <w:r>
        <w:t>Eine Vereinbarung im Gesellschaftsvertrag, welche dieses Recht ausschließt, ist unwirksam.</w:t>
      </w:r>
    </w:p>
    <w:p>
      <w:pPr>
        <w:pStyle w:val="Heading6"/>
      </w:pPr>
      <w:bookmarkStart w:id="1157" w:name="b1142"/>
      <w:r>
        <w:t>§ 715b Gesellschafterklage</w:t>
      </w:r>
      <w:r>
        <w:t xml:space="preserve"> </w:t>
      </w:r>
      <w:r>
        <w:rPr>
          <w:rStyle w:val="Suchmarke"/>
        </w:rPr>
        <w:t>#715b#</w:t>
      </w:r>
      <w:bookmarkEnd w:id="1157"/>
    </w:p>
    <w:p>
      <w:r>
        <w:t xml:space="preserve">(1) </w:t>
      </w:r>
      <w:r>
        <w:rPr>
          <w:rStyle w:val="Satznummer"/>
        </w:rPr>
        <w:t>1</w:t>
      </w:r>
      <w:r>
        <w:t xml:space="preserve">Jeder Gesellschafter ist befugt, einen auf dem Gesellschaftsverhältnis beruhenden Anspruch der Gesellschaft gegen einen anderen Gesellschafter im eigenen Namen gerichtlich geltend zu machen, wenn der dazu berufene geschäftsführungsbefugte Gesellschafter dies pflichtwidrig unterlässt. </w:t>
      </w:r>
      <w:r>
        <w:rPr>
          <w:rStyle w:val="Satznummer"/>
        </w:rPr>
        <w:t>2</w:t>
      </w:r>
      <w:r>
        <w:t>Die Befugnis nach Satz 1 erstreckt sich auch auf einen Anspruch der Gesellschaft gegen einen Dritten, wenn dieser an dem pflichtwidrigen Unterlassen mitwirkte oder es kannte.</w:t>
      </w:r>
    </w:p>
    <w:p>
      <w:r>
        <w:t>(2) Eine Vereinbarung im Gesellschaftsvertrag, welche das Klagerecht ausschließt oder dieser Vorschrift zuwider beschränkt, ist unwirksam.</w:t>
      </w:r>
    </w:p>
    <w:p>
      <w:r>
        <w:t xml:space="preserve">(3) </w:t>
      </w:r>
      <w:r>
        <w:rPr>
          <w:rStyle w:val="Satznummer"/>
        </w:rPr>
        <w:t>1</w:t>
      </w:r>
      <w:r>
        <w:t xml:space="preserve">Der klagende Gesellschafter hat die Gesellschaft unverzüglich über die Erhebung der Klage und die Lage des Rechtsstreits zu unterrichten. </w:t>
      </w:r>
      <w:r>
        <w:rPr>
          <w:rStyle w:val="Satznummer"/>
        </w:rPr>
        <w:t>2</w:t>
      </w:r>
      <w:r>
        <w:t xml:space="preserve">Ferner hat er das Gericht über die erfolgte Unterrichtung in Kenntnis zu setzen. </w:t>
      </w:r>
      <w:r>
        <w:rPr>
          <w:rStyle w:val="Satznummer"/>
        </w:rPr>
        <w:t>3</w:t>
      </w:r>
      <w:r>
        <w:t>Das Gericht hat auf eine unverzügliche Unterrichtung der Gesellschaft hinzuwirken.</w:t>
      </w:r>
    </w:p>
    <w:p>
      <w:r>
        <w:t>(4) Soweit über den Anspruch durch rechtskräftiges Urteil entschieden worden ist, wirkt die Entscheidung für und gegen die Gesellschaft.</w:t>
      </w:r>
    </w:p>
    <w:p>
      <w:pPr>
        <w:pStyle w:val="Heading6"/>
      </w:pPr>
      <w:bookmarkStart w:id="1158" w:name="b1143"/>
      <w:r>
        <w:t>§ 716 Ersatz von Aufwendungen und Verlusten; Vorschusspflicht; Herausgabepflicht; Verzinsungspflicht</w:t>
      </w:r>
      <w:r>
        <w:t xml:space="preserve"> </w:t>
      </w:r>
      <w:r>
        <w:rPr>
          <w:rStyle w:val="Suchmarke"/>
        </w:rPr>
        <w:t>#716#</w:t>
      </w:r>
      <w:bookmarkEnd w:id="1158"/>
    </w:p>
    <w:p>
      <w:r>
        <w:t>(1) Macht ein Gesellschafter zum Zwecke der Geschäftsbesorgung für die Gesellschaft Aufwendungen, die er den Umständen nach für erforderlich halten darf, oder erleidet er unmittelbar infolge der Geschäftsbesorgung Verluste, ist ihm die Gesellschaft zum Ersatz verpflichtet.</w:t>
      </w:r>
    </w:p>
    <w:p>
      <w:r>
        <w:t>(2) Für die erforderlichen Aufwendungen hat die Gesellschaft dem Gesellschafter auf dessen Verlangen Vorschuss zu leisten.</w:t>
      </w:r>
    </w:p>
    <w:p>
      <w:r>
        <w:t>(3) Der Gesellschafter ist verpflichtet, der Gesellschaft dasjenige, was er selbst aus der Geschäftsbesorgung erlangt, herauszugeben.</w:t>
      </w:r>
    </w:p>
    <w:p>
      <w:r>
        <w:t xml:space="preserve">(4) </w:t>
      </w:r>
      <w:r>
        <w:rPr>
          <w:rStyle w:val="Satznummer"/>
        </w:rPr>
        <w:t>1</w:t>
      </w:r>
      <w:r>
        <w:t xml:space="preserve">Verwendet der Gesellschafter Geld für sich, das er der Gesellschaft nach Absatz 3 herauszugeben hat, ist er verpflichtet, es von der Zeit der Verwendung an zu verzinsen. </w:t>
      </w:r>
      <w:r>
        <w:rPr>
          <w:rStyle w:val="Satznummer"/>
        </w:rPr>
        <w:t>2</w:t>
      </w:r>
      <w:r>
        <w:t>Satz 1 gilt entsprechend für die Verzinsung des Anspruchs des Gesellschafters auf ersatzfähige Aufwendungen oder Verluste.</w:t>
      </w:r>
    </w:p>
    <w:p>
      <w:pPr>
        <w:pStyle w:val="Heading6"/>
      </w:pPr>
      <w:bookmarkStart w:id="1159" w:name="b1144"/>
      <w:r>
        <w:t>§ 717 Informationsrechte und -pflichten</w:t>
      </w:r>
      <w:r>
        <w:t xml:space="preserve"> </w:t>
      </w:r>
      <w:r>
        <w:rPr>
          <w:rStyle w:val="Suchmarke"/>
        </w:rPr>
        <w:t>#717#</w:t>
      </w:r>
      <w:bookmarkEnd w:id="1159"/>
    </w:p>
    <w:p>
      <w:r>
        <w:t xml:space="preserve">(1) </w:t>
      </w:r>
      <w:r>
        <w:rPr>
          <w:rStyle w:val="Satznummer"/>
        </w:rPr>
        <w:t>1</w:t>
      </w:r>
      <w:r>
        <w:t xml:space="preserve">Jeder Gesellschafter hat gegenüber der Gesellschaft das Recht, die Unterlagen der Gesellschaft einzusehen und sich aus ihnen Auszüge anzufertigen. </w:t>
      </w:r>
      <w:r>
        <w:rPr>
          <w:rStyle w:val="Satznummer"/>
        </w:rPr>
        <w:t>2</w:t>
      </w:r>
      <w:r>
        <w:t xml:space="preserve">Ergänzend kann er von der Gesellschaft Auskunft über die Gesellschaftsangelegenheiten verlangen. </w:t>
      </w:r>
      <w:r>
        <w:rPr>
          <w:rStyle w:val="Satznummer"/>
        </w:rPr>
        <w:t>3</w:t>
      </w:r>
      <w:r>
        <w:t>Eine Vereinbarung im Gesellschaftsvertrag, welche diese Rechte ausschließt oder dieser Vorschrift zuwider beschränkt, steht ihrer Geltendmachung nicht entgegen, soweit dies zur Wahrnehmung eigener Mitgliedschaftsrechte erforderlich ist, insbesondere, wenn Grund zur Annahme unredlicher Geschäftsführung besteht.</w:t>
      </w:r>
    </w:p>
    <w:p>
      <w:r>
        <w:t xml:space="preserve">(2) </w:t>
      </w:r>
      <w:r>
        <w:rPr>
          <w:rStyle w:val="Satznummer"/>
        </w:rPr>
        <w:t>1</w:t>
      </w:r>
      <w:r>
        <w:t xml:space="preserve">Die geschäftsführungsbefugten Gesellschafter haben der Gesellschaft von sich aus die erforderlichen Nachrichten zu geben, auf Verlangen über die Gesellschaftsangelegenheiten Auskunft zu erteilen und nach Beendigung der Geschäftsführertätigkeit Rechenschaft abzulegen. </w:t>
      </w:r>
      <w:r>
        <w:rPr>
          <w:rStyle w:val="Satznummer"/>
        </w:rPr>
        <w:t>2</w:t>
      </w:r>
      <w:r>
        <w:t>Eine Vereinbarung im Gesellschaftsvertrag, welche diese Verpflichtungen ausschließt, ist unwirksam.</w:t>
      </w:r>
    </w:p>
    <w:p>
      <w:pPr>
        <w:pStyle w:val="Heading6"/>
      </w:pPr>
      <w:bookmarkStart w:id="1160" w:name="b1145"/>
      <w:r>
        <w:t>§ 718 Rechnungsabschluss und Gewinnverteilung</w:t>
      </w:r>
      <w:r>
        <w:t xml:space="preserve"> </w:t>
      </w:r>
      <w:r>
        <w:rPr>
          <w:rStyle w:val="Suchmarke"/>
        </w:rPr>
        <w:t>#718#</w:t>
      </w:r>
      <w:bookmarkEnd w:id="1160"/>
    </w:p>
    <w:p>
      <w:r>
        <w:t>Der Rechnungsabschluss und die Gewinnverteilung haben im Zweifel zum Schluss jedes Kalenderjahrs zu erfolgen.</w:t>
      </w:r>
    </w:p>
    <w:p>
      <w:pPr>
        <w:pStyle w:val="Heading5"/>
      </w:pPr>
      <w:bookmarkStart w:id="1161" w:name="b1146"/>
      <w:r>
        <w:t>Kapitel 3 Rechtsverhältnis der Gesellschaft zu Dritten</w:t>
      </w:r>
      <w:bookmarkEnd w:id="1161"/>
    </w:p>
    <w:p>
      <w:pPr>
        <w:pStyle w:val="Heading6"/>
      </w:pPr>
      <w:bookmarkStart w:id="1162" w:name="b1147"/>
      <w:r>
        <w:t>§ 719 Entstehung der Gesellschaft im Verhältnis zu Dritten</w:t>
      </w:r>
      <w:r>
        <w:t xml:space="preserve"> </w:t>
      </w:r>
      <w:r>
        <w:rPr>
          <w:rStyle w:val="Suchmarke"/>
        </w:rPr>
        <w:t>#719#</w:t>
      </w:r>
      <w:bookmarkEnd w:id="1162"/>
    </w:p>
    <w:p>
      <w:r>
        <w:t>(1) Im Verhältnis zu Dritten entsteht die Gesellschaft, sobald sie mit Zustimmung sämtlicher Gesellschafter am Rechtsverkehr teilnimmt, spätestens aber mit ihrer Eintragung im Gesellschaftsregister.</w:t>
      </w:r>
    </w:p>
    <w:p>
      <w:r>
        <w:t>(2) Eine Vereinbarung, dass die Gesellschaft erst zu einem späteren Zeitpunkt entstehen soll, ist Dritten gegenüber unwirksam.</w:t>
      </w:r>
    </w:p>
    <w:p>
      <w:pPr>
        <w:pStyle w:val="Heading6"/>
      </w:pPr>
      <w:bookmarkStart w:id="1163" w:name="b1148"/>
      <w:r>
        <w:t>§ 720 Vertretung der Gesellschaft</w:t>
      </w:r>
      <w:r>
        <w:t xml:space="preserve"> </w:t>
      </w:r>
      <w:r>
        <w:rPr>
          <w:rStyle w:val="Suchmarke"/>
        </w:rPr>
        <w:t>#720#</w:t>
      </w:r>
      <w:bookmarkEnd w:id="1163"/>
    </w:p>
    <w:p>
      <w:r>
        <w:t>(1) Zur Vertretung der Gesellschaft sind alle Gesellschafter gemeinsam befugt, es sei denn, der Gesellschaftsvertrag bestimmt etwas anderes.</w:t>
      </w:r>
    </w:p>
    <w:p>
      <w:r>
        <w:t>(2) Die zur Gesamtvertretung nach Absatz 1 befugten Gesellschafter können einzelne von ihnen zur Vornahme bestimmter Geschäfte oder bestimmter Arten von Geschäften ermächtigen.</w:t>
      </w:r>
    </w:p>
    <w:p>
      <w:r>
        <w:t xml:space="preserve">(3) </w:t>
      </w:r>
      <w:r>
        <w:rPr>
          <w:rStyle w:val="Satznummer"/>
        </w:rPr>
        <w:t>1</w:t>
      </w:r>
      <w:r>
        <w:t xml:space="preserve">Die Vertretungsbefugnis der Gesellschafter erstreckt sich auf alle Geschäfte der Gesellschaft. </w:t>
      </w:r>
      <w:r>
        <w:rPr>
          <w:rStyle w:val="Satznummer"/>
        </w:rPr>
        <w:t>2</w:t>
      </w:r>
      <w:r>
        <w:t xml:space="preserve">Eine Beschränkung des Umfangs der Vertretungsbefugnis ist Dritten gegenüber unwirksam. </w:t>
      </w:r>
      <w:r>
        <w:rPr>
          <w:rStyle w:val="Satznummer"/>
        </w:rPr>
        <w:t>3</w:t>
      </w:r>
      <w:r>
        <w:t>Dies gilt insbesondere für die Beschränkung, dass sich die Vertretung nur auf bestimmte Geschäfte oder Arten von Geschäften erstreckt oder dass sie nur unter gewissen Umständen oder für eine gewisse Zeit oder an einzelnen Orten stattfinden soll.</w:t>
      </w:r>
    </w:p>
    <w:p>
      <w:r>
        <w:t xml:space="preserve">(4) Die Vertretungsbefugnis kann einem Gesellschafter in entsprechender Anwendung von </w:t>
      </w:r>
      <w:hyperlink w:anchor="b1140" w:history="1">
        <w:r>
          <w:rPr>
            <w:color w:val="0A3A8C"/>
            <w:u w:val="single"/>
          </w:rPr>
          <w:t xml:space="preserve">§ 715</w:t>
        </w:r>
      </w:hyperlink>
      <w:r>
        <w:t xml:space="preserve"> Absatz 5 ganz oder teilweise entzogen werden.</w:t>
      </w:r>
    </w:p>
    <w:p>
      <w:r>
        <w:t>(5) Ist der Gesellschaft gegenüber eine Willenserklärung abzugeben, genügt die Abgabe gegenüber einem vertretungsbefugten Gesellschafter.</w:t>
      </w:r>
    </w:p>
    <w:p>
      <w:pPr>
        <w:pStyle w:val="Heading6"/>
      </w:pPr>
      <w:bookmarkStart w:id="1164" w:name="b1149"/>
      <w:r>
        <w:t>§ 721 Persönliche Haftung der Gesellschafter</w:t>
      </w:r>
      <w:r>
        <w:t xml:space="preserve"> </w:t>
      </w:r>
      <w:r>
        <w:rPr>
          <w:rStyle w:val="Suchmarke"/>
        </w:rPr>
        <w:t>#721#</w:t>
      </w:r>
      <w:bookmarkEnd w:id="1164"/>
    </w:p>
    <w:p>
      <w:r>
        <w:rPr>
          <w:rStyle w:val="Satznummer"/>
        </w:rPr>
        <w:t>1</w:t>
      </w:r>
      <w:r>
        <w:t xml:space="preserve">Die Gesellschafter haften für die Verbindlichkeiten der Gesellschaft den Gläubigern als Gesamtschuldner persönlich. </w:t>
      </w:r>
      <w:r>
        <w:rPr>
          <w:rStyle w:val="Satznummer"/>
        </w:rPr>
        <w:t>2</w:t>
      </w:r>
      <w:r>
        <w:t>Eine entgegenstehende Vereinbarung ist Dritten gegenüber unwirksam.</w:t>
      </w:r>
    </w:p>
    <w:p>
      <w:pPr>
        <w:pStyle w:val="Heading6"/>
      </w:pPr>
      <w:bookmarkStart w:id="1165" w:name="b1150"/>
      <w:r>
        <w:t>§ 721a Haftung des eintretenden Gesellschafters</w:t>
      </w:r>
      <w:r>
        <w:t xml:space="preserve"> </w:t>
      </w:r>
      <w:r>
        <w:rPr>
          <w:rStyle w:val="Suchmarke"/>
        </w:rPr>
        <w:t>#721a#</w:t>
      </w:r>
      <w:bookmarkEnd w:id="1165"/>
    </w:p>
    <w:p>
      <w:r>
        <w:rPr>
          <w:rStyle w:val="Satznummer"/>
        </w:rPr>
        <w:t>1</w:t>
      </w:r>
      <w:r>
        <w:t xml:space="preserve">Wer in eine bestehende Gesellschaft eintritt, haftet gleich den anderen Gesellschaftern nach Maßgabe der </w:t>
      </w:r>
      <w:hyperlink w:anchor="b1149" w:history="1">
        <w:r>
          <w:rPr>
            <w:color w:val="0A3A8C"/>
            <w:u w:val="single"/>
          </w:rPr>
          <w:t xml:space="preserve">§§ 721</w:t>
        </w:r>
      </w:hyperlink>
      <w:r>
        <w:t xml:space="preserve"> und </w:t>
      </w:r>
      <w:hyperlink w:anchor="b1151" w:history="1">
        <w:r>
          <w:rPr>
            <w:color w:val="0A3A8C"/>
            <w:u w:val="single"/>
          </w:rPr>
          <w:t xml:space="preserve">721b</w:t>
        </w:r>
      </w:hyperlink>
      <w:r>
        <w:t xml:space="preserve"> für die vor seinem Eintritt begründeten Verbindlichkeiten der Gesellschaft. </w:t>
      </w:r>
      <w:r>
        <w:rPr>
          <w:rStyle w:val="Satznummer"/>
        </w:rPr>
        <w:t>2</w:t>
      </w:r>
      <w:r>
        <w:t>Eine entgegenstehende Vereinbarung ist Dritten gegenüber unwirksam.</w:t>
      </w:r>
    </w:p>
    <w:p>
      <w:pPr>
        <w:pStyle w:val="Heading6"/>
      </w:pPr>
      <w:bookmarkStart w:id="1166" w:name="b1151"/>
      <w:r>
        <w:t>§ 721b Einwendungen und Einreden des Gesellschafters</w:t>
      </w:r>
      <w:r>
        <w:t xml:space="preserve"> </w:t>
      </w:r>
      <w:r>
        <w:rPr>
          <w:rStyle w:val="Suchmarke"/>
        </w:rPr>
        <w:t>#721b#</w:t>
      </w:r>
      <w:bookmarkEnd w:id="1166"/>
    </w:p>
    <w:p>
      <w:r>
        <w:t>(1) Wird ein Gesellschafter wegen einer Verbindlichkeit der Gesellschaft in Anspruch genommen, kann er Einwendungen und Einreden, die nicht in seiner Person begründet sind, insoweit geltend machen, als sie von der Gesellschaft erhoben werden können.</w:t>
      </w:r>
    </w:p>
    <w:p>
      <w:r>
        <w:t>(2) Der Gesellschafter kann die Befriedigung des Gläubigers verweigern, solange der Gesellschaft in Ansehung der Verbindlichkeit das Recht zur Anfechtung oder Aufrechnung oder ein anderes Gestaltungsrecht, dessen Ausübung die Gesellschaft ihrerseits zur Leistungsverweigerung berechtigen würde, zusteht.</w:t>
      </w:r>
    </w:p>
    <w:p>
      <w:pPr>
        <w:pStyle w:val="Heading6"/>
      </w:pPr>
      <w:bookmarkStart w:id="1167" w:name="b1152"/>
      <w:r>
        <w:t>§ 722 Zwangsvollstreckung gegen die Gesellschaft oder gegen ihre Gesellschafter</w:t>
      </w:r>
      <w:r>
        <w:t xml:space="preserve"> </w:t>
      </w:r>
      <w:r>
        <w:rPr>
          <w:rStyle w:val="Suchmarke"/>
        </w:rPr>
        <w:t>#722#</w:t>
      </w:r>
      <w:bookmarkEnd w:id="1167"/>
    </w:p>
    <w:p>
      <w:r>
        <w:t>(1) Zur Zwangsvollstreckung in das Vermögen der Gesellschaft ist ein gegen die Gesellschaft gerichteter Vollstreckungstitel erforderlich.</w:t>
      </w:r>
    </w:p>
    <w:p>
      <w:r>
        <w:t>(2) Aus einem gegen die Gesellschaft gerichteten Vollstreckungstitel findet die Zwangsvollstreckung gegen die Gesellschafter nicht statt.</w:t>
      </w:r>
    </w:p>
    <w:p>
      <w:pPr>
        <w:pStyle w:val="Heading5"/>
      </w:pPr>
      <w:bookmarkStart w:id="1168" w:name="b1153"/>
      <w:r>
        <w:t>Kapitel 4 Ausscheiden eines Gesellschafters</w:t>
      </w:r>
      <w:bookmarkEnd w:id="1168"/>
    </w:p>
    <w:p>
      <w:pPr>
        <w:pStyle w:val="Heading6"/>
      </w:pPr>
      <w:bookmarkStart w:id="1169" w:name="b1154"/>
      <w:r>
        <w:t>§ 723 Gründe für das Ausscheiden; Zeitpunkt des Ausscheidens</w:t>
      </w:r>
      <w:r>
        <w:t xml:space="preserve"> </w:t>
      </w:r>
      <w:r>
        <w:rPr>
          <w:rStyle w:val="Suchmarke"/>
        </w:rPr>
        <w:t>#723#</w:t>
      </w:r>
      <w:bookmarkEnd w:id="1169"/>
    </w:p>
    <w:p>
      <w:r>
        <w:t>(1) Folgende Gründe führen zum Ausscheiden eines Gesellschafters aus der Gesellschaft, sofern der Gesellschaftsvertrag für diese Fälle nicht die Auflösung der Gesellschaft vorsieht:</w:t>
      </w:r>
    </w:p>
    <w:p>
      <w:pPr>
        <w:tabs>
          <w:tab w:pos="567" w:val="left"/>
        </w:tabs>
        <w:ind w:left="567" w:hanging="567"/>
      </w:pPr>
      <w:r>
        <w:t>1.</w:t>
      </w:r>
      <w:r>
        <w:tab/>
      </w:r>
      <w:r>
        <w:t>Tod des Gesellschafters;</w:t>
      </w:r>
    </w:p>
    <w:p>
      <w:pPr>
        <w:tabs>
          <w:tab w:pos="567" w:val="left"/>
        </w:tabs>
        <w:ind w:left="567" w:hanging="567"/>
      </w:pPr>
      <w:r>
        <w:t>2.</w:t>
      </w:r>
      <w:r>
        <w:tab/>
      </w:r>
      <w:r>
        <w:t>Kündigung der Mitgliedschaft durch den Gesellschafter;</w:t>
      </w:r>
    </w:p>
    <w:p>
      <w:pPr>
        <w:tabs>
          <w:tab w:pos="567" w:val="left"/>
        </w:tabs>
        <w:ind w:left="567" w:hanging="567"/>
      </w:pPr>
      <w:r>
        <w:t>3.</w:t>
      </w:r>
      <w:r>
        <w:tab/>
      </w:r>
      <w:r>
        <w:t>Eröffnung des Insolvenzverfahrens über das Vermögen des Gesellschafters;</w:t>
      </w:r>
    </w:p>
    <w:p>
      <w:pPr>
        <w:tabs>
          <w:tab w:pos="567" w:val="left"/>
        </w:tabs>
        <w:ind w:left="567" w:hanging="567"/>
      </w:pPr>
      <w:r>
        <w:t>4.</w:t>
      </w:r>
      <w:r>
        <w:tab/>
      </w:r>
      <w:r>
        <w:t>Kündigung der Mitgliedschaft durch einen Privatgläubiger des Gesellschafters;</w:t>
      </w:r>
    </w:p>
    <w:p>
      <w:pPr>
        <w:tabs>
          <w:tab w:pos="567" w:val="left"/>
        </w:tabs>
        <w:ind w:left="567" w:hanging="567"/>
      </w:pPr>
      <w:r>
        <w:t>5.</w:t>
      </w:r>
      <w:r>
        <w:tab/>
      </w:r>
      <w:r>
        <w:t>Ausschließung des Gesellschafters aus wichtigem Grund.</w:t>
      </w:r>
    </w:p>
    <w:p>
      <w:r>
        <w:t>(2) Im Gesellschaftsvertrag können weitere Gründe für das Ausscheiden eines Gesellschafters vereinbart werden.</w:t>
      </w:r>
    </w:p>
    <w:p>
      <w:r>
        <w:t>(3) Der Gesellschafter scheidet mit Eintritt des ihn betreffenden Ausscheidensgrundes aus, im Fall der Kündigung der Mitgliedschaft aber nicht vor Ablauf der Kündigungsfrist und im Fall der Ausschließung aus wichtigem Grund nicht vor Mitteilung des betreffenden Beschlusses an den auszuschließenden Gesellschafter.</w:t>
      </w:r>
    </w:p>
    <w:p>
      <w:pPr>
        <w:pStyle w:val="Heading6"/>
      </w:pPr>
      <w:bookmarkStart w:id="1170" w:name="b1155"/>
      <w:r>
        <w:t>§ 724 Fortsetzung mit dem Erben; Ausscheiden des Erben</w:t>
      </w:r>
      <w:r>
        <w:t xml:space="preserve"> </w:t>
      </w:r>
      <w:r>
        <w:rPr>
          <w:rStyle w:val="Suchmarke"/>
        </w:rPr>
        <w:t>#724#</w:t>
      </w:r>
      <w:bookmarkEnd w:id="1170"/>
    </w:p>
    <w:p>
      <w:r>
        <w:t>(1) Geht der Anteil eines verstorbenen Gesellschafters auf seine Erben über und erfüllt die Gesellschaft die Voraussetzungen nach § 107 Absatz 1 des Handelsgesetzbuchs, um in das Handelsregister eingetragen zu werden, so kann jeder Erbe gegenüber den anderen Gesellschaftern antragen, dass ihm die Stellung eines Kommanditisten eingeräumt und der auf ihn entfallende Anteil des Erblassers als seine Kommanditeinlage anerkannt wird.</w:t>
      </w:r>
    </w:p>
    <w:p>
      <w:r>
        <w:t>(2) Nehmen die anderen Gesellschafter einen Antrag nach Absatz 1 nicht an oder ist eine Fortführung der Gesellschaft als Kommanditgesellschaft nicht möglich, ist der Erbe befugt, seine Mitgliedschaft in der Gesellschaft ohne Einhaltung einer Kündigungsfrist zu kündigen.</w:t>
      </w:r>
    </w:p>
    <w:p>
      <w:r>
        <w:t xml:space="preserve">(3) </w:t>
      </w:r>
      <w:r>
        <w:rPr>
          <w:rStyle w:val="Satznummer"/>
        </w:rPr>
        <w:t>1</w:t>
      </w:r>
      <w:r>
        <w:t xml:space="preserve">Die Rechte nach den Absätzen 1 bis 2 können von dem Erben nur innerhalb von drei Monaten nach dem Zeitpunkt, zu dem er von dem Anfall der Erbschaft Kenntnis erlangt hat, geltend gemacht werden. </w:t>
      </w:r>
      <w:r>
        <w:rPr>
          <w:rStyle w:val="Satznummer"/>
        </w:rPr>
        <w:t>2</w:t>
      </w:r>
      <w:r>
        <w:t xml:space="preserve">Auf den Lauf der Frist ist </w:t>
      </w:r>
      <w:hyperlink w:anchor="b250" w:history="1">
        <w:r>
          <w:rPr>
            <w:color w:val="0A3A8C"/>
            <w:u w:val="single"/>
          </w:rPr>
          <w:t xml:space="preserve">§ 210</w:t>
        </w:r>
      </w:hyperlink>
      <w:r>
        <w:t xml:space="preserve"> entsprechend anzuwenden. </w:t>
      </w:r>
      <w:r>
        <w:rPr>
          <w:rStyle w:val="Satznummer"/>
        </w:rPr>
        <w:t>3</w:t>
      </w:r>
      <w:r>
        <w:t>Ist bei Ablauf der drei Monate das Recht zur Ausschlagung der Erbschaft noch nicht verloren, endet die Frist nicht vor dem Ablauf der Ausschlagungsfrist.</w:t>
      </w:r>
    </w:p>
    <w:p>
      <w:r>
        <w:t>(4) Scheidet innerhalb der Frist des Absatzes 3 der Erbe aus der Gesellschaft aus oder wird innerhalb der Frist die Gesellschaft aufgelöst oder dem Erben die Stellung eines Kommanditisten eingeräumt, so haftet er für die bis dahin entstandenen Gesellschaftsverbindlichkeiten nur nach Maßgabe der Vorschriften, welche die Haftung des Erben für die Nachlassverbindlichkeiten betreffen.</w:t>
      </w:r>
    </w:p>
    <w:p>
      <w:pPr>
        <w:pStyle w:val="Heading6"/>
      </w:pPr>
      <w:bookmarkStart w:id="1171" w:name="b1156"/>
      <w:r>
        <w:t>§ 725 Kündigung der Mitgliedschaft durch den Gesellschafter</w:t>
      </w:r>
      <w:r>
        <w:t xml:space="preserve"> </w:t>
      </w:r>
      <w:r>
        <w:rPr>
          <w:rStyle w:val="Suchmarke"/>
        </w:rPr>
        <w:t>#725#</w:t>
      </w:r>
      <w:bookmarkEnd w:id="1171"/>
    </w:p>
    <w:p>
      <w:r>
        <w:t>(1) Ist das Gesellschaftsverhältnis auf unbestimmte Zeit eingegangen, kann ein Gesellschafter seine Mitgliedschaft unter Einhaltung einer Frist von drei Monaten zum Ablauf des Kalenderjahres gegenüber der Gesellschaft kündigen, es sei denn, aus dem Gesellschaftsvertrag oder aus dem Zweck der Gesellschaft ergibt sich etwas anderes.</w:t>
      </w:r>
    </w:p>
    <w:p>
      <w:r>
        <w:t xml:space="preserve">(2) </w:t>
      </w:r>
      <w:r>
        <w:rPr>
          <w:rStyle w:val="Satznummer"/>
        </w:rPr>
        <w:t>1</w:t>
      </w:r>
      <w:r>
        <w:t xml:space="preserve">Ist für das Gesellschaftsverhältnis eine Zeitdauer vereinbart, ist die Kündigung der Mitgliedschaft durch einen Gesellschafter vor dem Ablauf dieser Zeit zulässig, wenn ein wichtiger Grund vorliegt. </w:t>
      </w:r>
      <w:r>
        <w:rPr>
          <w:rStyle w:val="Satznummer"/>
        </w:rPr>
        <w:t>2</w:t>
      </w:r>
      <w:r>
        <w:t>Ein wichtiger Grund liegt insbesondere vor, wenn ein anderer Gesellschafter eine ihm nach dem Gesellschaftsvertrag obliegende wesentliche Verpflichtung vorsätzlich oder grob fahrlässig verletzt hat oder wenn die Erfüllung einer solchen Verpflichtung unmöglich wird.</w:t>
      </w:r>
    </w:p>
    <w:p>
      <w:r>
        <w:t>(3) Liegt ein wichtiger Grund im Sinne von Absatz 2 Satz 2 vor, so ist eine Kündigung der Mitgliedschaft durch einen Gesellschafter stets ohne Einhaltung einer Kündigungsfrist zulässig.</w:t>
      </w:r>
    </w:p>
    <w:p>
      <w:r>
        <w:t xml:space="preserve">(4) </w:t>
      </w:r>
      <w:r>
        <w:rPr>
          <w:rStyle w:val="Satznummer"/>
        </w:rPr>
        <w:t>1</w:t>
      </w:r>
      <w:r>
        <w:t xml:space="preserve">Ein Gesellschafter kann seine Mitgliedschaft auch kündigen, wenn er volljährig geworden ist. </w:t>
      </w:r>
      <w:r>
        <w:rPr>
          <w:rStyle w:val="Satznummer"/>
        </w:rPr>
        <w:t>2</w:t>
      </w:r>
      <w:r>
        <w:t xml:space="preserve">Das Kündigungsrecht besteht nicht, wenn der Gesellschafter bezüglich des Gegenstands der Gesellschaft zum selbständigen Betrieb eines Erwerbsgeschäfts gemäß </w:t>
      </w:r>
      <w:hyperlink w:anchor="b140" w:history="1">
        <w:r>
          <w:rPr>
            <w:color w:val="0A3A8C"/>
            <w:u w:val="single"/>
          </w:rPr>
          <w:t xml:space="preserve">§ 112</w:t>
        </w:r>
      </w:hyperlink>
      <w:r>
        <w:t xml:space="preserve"> ermächtigt war oder der Zweck der Gesellschaft allein der Befriedigung seiner persönlichen Bedürfnisse diente. </w:t>
      </w:r>
      <w:r>
        <w:rPr>
          <w:rStyle w:val="Satznummer"/>
        </w:rPr>
        <w:t>3</w:t>
      </w:r>
      <w:r>
        <w:t>Der volljährig Gewordene kann die Kündigung nur binnen drei Monaten von dem Zeitpunkt an erklären, in welchem er von seiner Gesellschafterstellung Kenntnis hatte oder haben musste.</w:t>
      </w:r>
    </w:p>
    <w:p>
      <w:r>
        <w:t xml:space="preserve">(5) </w:t>
      </w:r>
      <w:r>
        <w:rPr>
          <w:rStyle w:val="Satznummer"/>
        </w:rPr>
        <w:t>1</w:t>
      </w:r>
      <w:r>
        <w:t xml:space="preserve">Die Kündigung darf nicht zur Unzeit geschehen, es sei denn, dass ein wichtiger Grund für die unzeitige Kündigung vorliegt. </w:t>
      </w:r>
      <w:r>
        <w:rPr>
          <w:rStyle w:val="Satznummer"/>
        </w:rPr>
        <w:t>2</w:t>
      </w:r>
      <w:r>
        <w:t>Kündigt ein Gesellschafter seine Mitgliedschaft ohne solchen Grund zur Unzeit, hat er der Gesellschaft den daraus entstehenden Schaden zu ersetzen.</w:t>
      </w:r>
    </w:p>
    <w:p>
      <w:r>
        <w:t>(6) Eine Vereinbarung im Gesellschaftsvertrag, welche das Kündigungsrecht nach den Absätzen 2 und 4 ausschließt oder diesen Vorschriften zuwider beschränkt, ist unwirksam.</w:t>
      </w:r>
    </w:p>
    <w:p>
      <w:pPr>
        <w:pStyle w:val="Heading6"/>
      </w:pPr>
      <w:bookmarkStart w:id="1172" w:name="b1157"/>
      <w:r>
        <w:t>§ 726 Kündigung der Mitgliedschaft durch einen Privatgläubiger des Gesellschafters</w:t>
      </w:r>
      <w:r>
        <w:t xml:space="preserve"> </w:t>
      </w:r>
      <w:r>
        <w:rPr>
          <w:rStyle w:val="Suchmarke"/>
        </w:rPr>
        <w:t>#726#</w:t>
      </w:r>
      <w:bookmarkEnd w:id="1172"/>
    </w:p>
    <w:p>
      <w:r>
        <w:t>Hat ein Privatgläubiger eines Gesellschafters, nachdem innerhalb der letzten sechs Monate eine Zwangsvollstreckung in das bewegliche Vermögen des Gesellschafters ohne Erfolg versucht wurde, aufgrund eines nicht bloß vorläufig vollstreckbaren Schuldtitels die Pfändung des Anteils des Gesellschafters an der Gesellschaft erwirkt, kann er dessen Mitgliedschaft gegenüber der Gesellschaft unter Einhaltung einer Frist von drei Monaten zum Ablauf des Kalenderjahrs kündigen.</w:t>
      </w:r>
    </w:p>
    <w:p>
      <w:pPr>
        <w:pStyle w:val="Heading6"/>
      </w:pPr>
      <w:bookmarkStart w:id="1173" w:name="b1158"/>
      <w:r>
        <w:t>§ 727 Ausschließung aus wichtigem Grund</w:t>
      </w:r>
      <w:r>
        <w:t xml:space="preserve"> </w:t>
      </w:r>
      <w:r>
        <w:rPr>
          <w:rStyle w:val="Suchmarke"/>
        </w:rPr>
        <w:t>#727#</w:t>
      </w:r>
      <w:bookmarkEnd w:id="1173"/>
    </w:p>
    <w:p>
      <w:r>
        <w:rPr>
          <w:rStyle w:val="Satznummer"/>
        </w:rPr>
        <w:t>1</w:t>
      </w:r>
      <w:r>
        <w:t xml:space="preserve">Tritt in der Person eines Gesellschafters ein wichtiger Grund ein, kann er durch Beschluss der anderen Gesellschafter aus der Gesellschaft ausgeschlossen werden. </w:t>
      </w:r>
      <w:r>
        <w:rPr>
          <w:rStyle w:val="Satznummer"/>
        </w:rPr>
        <w:t>2</w:t>
      </w:r>
      <w:r>
        <w:t xml:space="preserve">Ein wichtiger Grund liegt insbesondere vor, wenn der Gesellschafter eine ihm nach dem Gesellschaftsvertrag obliegende wesentliche Verpflichtung vorsätzlich oder grob fahrlässig verletzt hat oder wenn ihm die Erfüllung einer solchen Verpflichtung unmöglich wird. </w:t>
      </w:r>
      <w:r>
        <w:rPr>
          <w:rStyle w:val="Satznummer"/>
        </w:rPr>
        <w:t>3</w:t>
      </w:r>
      <w:r>
        <w:t>Dem Beschluss steht nicht entgegen, dass nach der Ausschließung nur ein Gesellschafter verbleibt.</w:t>
      </w:r>
    </w:p>
    <w:p>
      <w:pPr>
        <w:pStyle w:val="Heading6"/>
      </w:pPr>
      <w:bookmarkStart w:id="1174" w:name="b1159"/>
      <w:r>
        <w:t>§ 728 Ansprüche des ausgeschiedenen Gesellschafters</w:t>
      </w:r>
      <w:r>
        <w:t xml:space="preserve"> </w:t>
      </w:r>
      <w:r>
        <w:rPr>
          <w:rStyle w:val="Suchmarke"/>
        </w:rPr>
        <w:t>#728#</w:t>
      </w:r>
      <w:bookmarkEnd w:id="1174"/>
    </w:p>
    <w:p>
      <w:r>
        <w:t xml:space="preserve">(1) </w:t>
      </w:r>
      <w:r>
        <w:rPr>
          <w:rStyle w:val="Satznummer"/>
        </w:rPr>
        <w:t>1</w:t>
      </w:r>
      <w:r>
        <w:t xml:space="preserve">Sofern im Gesellschaftsvertrag nichts anderes vereinbart ist, ist die Gesellschaft verpflichtet, den ausgeschiedenen Gesellschafter von der Haftung für die Verbindlichkeiten der Gesellschaft zu befreien und ihm eine dem Wert seines Anteils angemessene Abfindung zu zahlen. </w:t>
      </w:r>
      <w:r>
        <w:rPr>
          <w:rStyle w:val="Satznummer"/>
        </w:rPr>
        <w:t>2</w:t>
      </w:r>
      <w:r>
        <w:t xml:space="preserve">Sind Verbindlichkeiten der Gesellschaft noch nicht fällig, kann die Gesellschaft dem Ausgeschiedenen Sicherheit leisten, statt ihn von der Haftung nach </w:t>
      </w:r>
      <w:hyperlink w:anchor="b1149" w:history="1">
        <w:r>
          <w:rPr>
            <w:color w:val="0A3A8C"/>
            <w:u w:val="single"/>
          </w:rPr>
          <w:t xml:space="preserve">§ 721</w:t>
        </w:r>
      </w:hyperlink>
      <w:r>
        <w:t xml:space="preserve"> zu befreien.</w:t>
      </w:r>
    </w:p>
    <w:p>
      <w:r>
        <w:t>(2) Der Wert des Gesellschaftsanteils ist, soweit erforderlich, im Wege der Schätzung zu ermitteln.</w:t>
      </w:r>
    </w:p>
    <w:p>
      <w:pPr>
        <w:pStyle w:val="Heading6"/>
      </w:pPr>
      <w:bookmarkStart w:id="1175" w:name="b1160"/>
      <w:r>
        <w:t>§ 728a Haftung des ausgeschiedenen Gesellschafters für Fehlbetrag</w:t>
      </w:r>
      <w:r>
        <w:t xml:space="preserve"> </w:t>
      </w:r>
      <w:r>
        <w:rPr>
          <w:rStyle w:val="Suchmarke"/>
        </w:rPr>
        <w:t>#728a#</w:t>
      </w:r>
      <w:bookmarkEnd w:id="1175"/>
    </w:p>
    <w:p>
      <w:r>
        <w:t>Reicht der Wert des Gesellschaftsvermögens zur Deckung der Verbindlichkeiten der Gesellschaft nicht aus, hat der ausgeschiedene Gesellschafter der Gesellschaft für den Fehlbetrag nach dem Verhältnis seines Anteils am Gewinn und Verlust aufzukommen.</w:t>
      </w:r>
    </w:p>
    <w:p>
      <w:pPr>
        <w:pStyle w:val="Heading6"/>
      </w:pPr>
      <w:bookmarkStart w:id="1176" w:name="b1161"/>
      <w:r>
        <w:t>§ 728b Nachhaftung des ausgeschiedenen Gesellschafters</w:t>
      </w:r>
      <w:r>
        <w:t xml:space="preserve"> </w:t>
      </w:r>
      <w:r>
        <w:rPr>
          <w:rStyle w:val="Suchmarke"/>
        </w:rPr>
        <w:t>#728b#</w:t>
      </w:r>
      <w:bookmarkEnd w:id="1176"/>
    </w:p>
    <w:p>
      <w:r>
        <w:t xml:space="preserve">(1) </w:t>
      </w:r>
      <w:r>
        <w:rPr>
          <w:rStyle w:val="Satznummer"/>
        </w:rPr>
        <w:t>1</w:t>
      </w:r>
      <w:r>
        <w:t>Scheidet ein Gesellschafter aus der Gesellschaft aus, so haftet er für deren bis dahin begründete Verbindlichkeiten, wenn sie vor Ablauf von fünf Jahren nach seinem Ausscheiden fällig sind und</w:t>
      </w:r>
    </w:p>
    <w:p>
      <w:pPr>
        <w:tabs>
          <w:tab w:pos="567" w:val="left"/>
        </w:tabs>
        <w:ind w:left="567" w:hanging="567"/>
      </w:pPr>
      <w:r>
        <w:t>1.</w:t>
      </w:r>
      <w:r>
        <w:tab/>
      </w:r>
      <w:r>
        <w:t xml:space="preserve">daraus Ansprüche gegen ihn in einer in </w:t>
      </w:r>
      <w:hyperlink w:anchor="b235" w:history="1">
        <w:r>
          <w:rPr>
            <w:color w:val="0A3A8C"/>
            <w:u w:val="single"/>
          </w:rPr>
          <w:t xml:space="preserve">§ 197</w:t>
        </w:r>
      </w:hyperlink>
      <w:r>
        <w:t xml:space="preserve"> Absatz 1 Nummer 3 bis 5 bezeichneten Art festgestellt sind oder</w:t>
      </w:r>
    </w:p>
    <w:p>
      <w:pPr>
        <w:tabs>
          <w:tab w:pos="567" w:val="left"/>
        </w:tabs>
        <w:ind w:left="567" w:hanging="567"/>
      </w:pPr>
      <w:r>
        <w:t>2.</w:t>
      </w:r>
      <w:r>
        <w:tab/>
      </w:r>
      <w:r>
        <w:t>eine gerichtliche oder behördliche Vollstreckungshandlung vorgenommen oder beantragt wird; bei öffentlich-rechtlichen Verbindlichkeiten genügt der Erlass eines Verwaltungsakts.</w:t>
      </w:r>
    </w:p>
    <w:p>
      <w:r>
        <w:rPr>
          <w:rStyle w:val="Satznummer"/>
        </w:rPr>
        <w:t>2</w:t>
      </w:r>
      <w:r>
        <w:t xml:space="preserve">Ist die Verbindlichkeit auf Schadensersatz gerichtet, haftet der ausgeschiedene Gesellschafter nach Satz 1 nur, wenn auch die zum Schadensersatz führende Verletzung vertraglicher oder gesetzlicher Pflichten vor dem Ausscheiden des Gesellschafters eingetreten ist. </w:t>
      </w:r>
      <w:r>
        <w:rPr>
          <w:rStyle w:val="Satznummer"/>
        </w:rPr>
        <w:t>3</w:t>
      </w:r>
      <w:r>
        <w:t xml:space="preserve">Die Frist beginnt, sobald der Gläubiger von dem Ausscheiden des Gesellschafters Kenntnis erlangt hat oder das Ausscheiden des Gesellschafters im Gesellschaftsregister eingetragen worden ist. </w:t>
      </w:r>
      <w:r>
        <w:rPr>
          <w:rStyle w:val="Satznummer"/>
        </w:rPr>
        <w:t>4</w:t>
      </w:r>
      <w:r>
        <w:t xml:space="preserve">Die </w:t>
      </w:r>
      <w:hyperlink w:anchor="b243" w:history="1">
        <w:r>
          <w:rPr>
            <w:color w:val="0A3A8C"/>
            <w:u w:val="single"/>
          </w:rPr>
          <w:t xml:space="preserve">§§ 204</w:t>
        </w:r>
      </w:hyperlink>
      <w:r>
        <w:t xml:space="preserve">, </w:t>
      </w:r>
      <w:hyperlink w:anchor="b246" w:history="1">
        <w:r>
          <w:rPr>
            <w:color w:val="0A3A8C"/>
            <w:u w:val="single"/>
          </w:rPr>
          <w:t xml:space="preserve">206</w:t>
        </w:r>
      </w:hyperlink>
      <w:r>
        <w:t xml:space="preserve">, </w:t>
      </w:r>
      <w:hyperlink w:anchor="b250" w:history="1">
        <w:r>
          <w:rPr>
            <w:color w:val="0A3A8C"/>
            <w:u w:val="single"/>
          </w:rPr>
          <w:t xml:space="preserve">210</w:t>
        </w:r>
      </w:hyperlink>
      <w:r>
        <w:t xml:space="preserve">, </w:t>
      </w:r>
      <w:hyperlink w:anchor="b251" w:history="1">
        <w:r>
          <w:rPr>
            <w:color w:val="0A3A8C"/>
            <w:u w:val="single"/>
          </w:rPr>
          <w:t xml:space="preserve">211</w:t>
        </w:r>
      </w:hyperlink>
      <w:r>
        <w:t xml:space="preserve"> und </w:t>
      </w:r>
      <w:hyperlink w:anchor="b252" w:history="1">
        <w:r>
          <w:rPr>
            <w:color w:val="0A3A8C"/>
            <w:u w:val="single"/>
          </w:rPr>
          <w:t xml:space="preserve">212</w:t>
        </w:r>
      </w:hyperlink>
      <w:r>
        <w:t xml:space="preserve"> Absatz 2 und 3 sind entsprechend anzuwenden.</w:t>
      </w:r>
    </w:p>
    <w:p>
      <w:r>
        <w:t xml:space="preserve">(2) Einer Feststellung in einer in </w:t>
      </w:r>
      <w:hyperlink w:anchor="b235" w:history="1">
        <w:r>
          <w:rPr>
            <w:color w:val="0A3A8C"/>
            <w:u w:val="single"/>
          </w:rPr>
          <w:t xml:space="preserve">§ 197</w:t>
        </w:r>
      </w:hyperlink>
      <w:r>
        <w:t xml:space="preserve"> Absatz 1 Nummer 3 bis 5 bezeichneten Art bedarf es nicht, soweit der Gesellschafter den Anspruch schriftlich anerkannt hat.</w:t>
      </w:r>
    </w:p>
    <w:p>
      <w:pPr>
        <w:pStyle w:val="Heading5"/>
      </w:pPr>
      <w:bookmarkStart w:id="1177" w:name="b1162"/>
      <w:r>
        <w:t>Kapitel 5 Auflösung der Gesellschaft</w:t>
      </w:r>
      <w:bookmarkEnd w:id="1177"/>
    </w:p>
    <w:p>
      <w:pPr>
        <w:pStyle w:val="Heading6"/>
      </w:pPr>
      <w:bookmarkStart w:id="1178" w:name="b1163"/>
      <w:r>
        <w:t>§ 729 Auflösungsgründe</w:t>
      </w:r>
      <w:r>
        <w:t xml:space="preserve"> </w:t>
      </w:r>
      <w:r>
        <w:rPr>
          <w:rStyle w:val="Suchmarke"/>
        </w:rPr>
        <w:t>#729#</w:t>
      </w:r>
      <w:bookmarkEnd w:id="1178"/>
    </w:p>
    <w:p>
      <w:r>
        <w:t>(1) Die Gesellschaft wird aufgelöst durch:</w:t>
      </w:r>
    </w:p>
    <w:p>
      <w:pPr>
        <w:tabs>
          <w:tab w:pos="567" w:val="left"/>
        </w:tabs>
        <w:ind w:left="567" w:hanging="567"/>
      </w:pPr>
      <w:r>
        <w:t>1.</w:t>
      </w:r>
      <w:r>
        <w:tab/>
      </w:r>
      <w:r>
        <w:t>Ablauf der Zeit, für welche sie eingegangen wurde;</w:t>
      </w:r>
    </w:p>
    <w:p>
      <w:pPr>
        <w:tabs>
          <w:tab w:pos="567" w:val="left"/>
        </w:tabs>
        <w:ind w:left="567" w:hanging="567"/>
      </w:pPr>
      <w:r>
        <w:t>2.</w:t>
      </w:r>
      <w:r>
        <w:tab/>
      </w:r>
      <w:r>
        <w:t>Eröffnung des Insolvenzverfahrens über das Vermögen der Gesellschaft;</w:t>
      </w:r>
    </w:p>
    <w:p>
      <w:pPr>
        <w:tabs>
          <w:tab w:pos="567" w:val="left"/>
        </w:tabs>
        <w:ind w:left="567" w:hanging="567"/>
      </w:pPr>
      <w:r>
        <w:t>3.</w:t>
      </w:r>
      <w:r>
        <w:tab/>
      </w:r>
      <w:r>
        <w:t>Kündigung der Gesellschaft;</w:t>
      </w:r>
    </w:p>
    <w:p>
      <w:pPr>
        <w:tabs>
          <w:tab w:pos="567" w:val="left"/>
        </w:tabs>
        <w:ind w:left="567" w:hanging="567"/>
      </w:pPr>
      <w:r>
        <w:t>4.</w:t>
      </w:r>
      <w:r>
        <w:tab/>
      </w:r>
      <w:r>
        <w:t>Auflösungsbeschluss.</w:t>
      </w:r>
    </w:p>
    <w:p>
      <w:r>
        <w:t>(2) Die Gesellschaft wird ferner aufgelöst, wenn der Zweck, zu dem sie errichtet wurde, erreicht oder seine Erreichung unmöglich geworden ist.</w:t>
      </w:r>
    </w:p>
    <w:p>
      <w:r>
        <w:t xml:space="preserve">(3) </w:t>
      </w:r>
      <w:r>
        <w:rPr>
          <w:rStyle w:val="Satznummer"/>
        </w:rPr>
        <w:t>1</w:t>
      </w:r>
      <w:r>
        <w:t>Eine Gesellschaft, bei der kein persönlich haftender Gesellschafter eine natürliche Person ist, wird ferner aufgelöst:</w:t>
      </w:r>
    </w:p>
    <w:p>
      <w:pPr>
        <w:tabs>
          <w:tab w:pos="567" w:val="left"/>
        </w:tabs>
        <w:ind w:left="567" w:hanging="567"/>
      </w:pPr>
      <w:r>
        <w:t>1.</w:t>
      </w:r>
      <w:r>
        <w:tab/>
      </w:r>
      <w:r>
        <w:t>mit der Rechtskraft des Beschlusses, durch den die Eröffnung des Insolvenzverfahrens mangels Masse abgelehnt worden ist;</w:t>
      </w:r>
    </w:p>
    <w:p>
      <w:pPr>
        <w:tabs>
          <w:tab w:pos="567" w:val="left"/>
        </w:tabs>
        <w:ind w:left="567" w:hanging="567"/>
      </w:pPr>
      <w:r>
        <w:t>2.</w:t>
      </w:r>
      <w:r>
        <w:tab/>
      </w:r>
      <w:r>
        <w:t>durch die Löschung wegen Vermögenslosigkeit nach § 394 des Gesetzes über das Verfahren in Familiensachen und in den Angelegenheiten der freiwilligen Gerichtsbarkeit.</w:t>
      </w:r>
    </w:p>
    <w:p>
      <w:r>
        <w:rPr>
          <w:rStyle w:val="Satznummer"/>
        </w:rPr>
        <w:t>2</w:t>
      </w:r>
      <w:r>
        <w:t>Dies gilt nicht, wenn zu den persönlich haftenden Gesellschaftern eine andere rechtsfähige Personengesellschaft gehört, bei der mindestens ein persönlich haftender Gesellschafter eine natürliche Person ist.</w:t>
      </w:r>
    </w:p>
    <w:p>
      <w:r>
        <w:t>(4) Im Gesellschaftsvertrag können weitere Auflösungsgründe vereinbart werden.</w:t>
      </w:r>
    </w:p>
    <w:p>
      <w:pPr>
        <w:pStyle w:val="Heading6"/>
      </w:pPr>
      <w:bookmarkStart w:id="1179" w:name="b1164"/>
      <w:r>
        <w:t>§ 730 Auflösung bei Tod oder Insolvenz eines Gesellschafters</w:t>
      </w:r>
      <w:r>
        <w:t xml:space="preserve"> </w:t>
      </w:r>
      <w:r>
        <w:rPr>
          <w:rStyle w:val="Suchmarke"/>
        </w:rPr>
        <w:t>#730#</w:t>
      </w:r>
      <w:bookmarkEnd w:id="1179"/>
    </w:p>
    <w:p>
      <w:r>
        <w:t xml:space="preserve">(1) </w:t>
      </w:r>
      <w:r>
        <w:rPr>
          <w:rStyle w:val="Satznummer"/>
        </w:rPr>
        <w:t>1</w:t>
      </w:r>
      <w:r>
        <w:t xml:space="preserve">Ist im Gesellschaftsvertrag vereinbart, dass die Gesellschaft durch den Tod eines Gesellschafters aufgelöst wird, hat der Erbe des verstorbenen Gesellschafters den anderen Gesellschaftern dessen Tod unverzüglich anzuzeigen. </w:t>
      </w:r>
      <w:r>
        <w:rPr>
          <w:rStyle w:val="Satznummer"/>
        </w:rPr>
        <w:t>2</w:t>
      </w:r>
      <w:r>
        <w:t xml:space="preserve">Wenn mit dem Aufschub Gefahr für die Gesellschaft oder das Gesellschaftsvermögen verbunden ist, hat der Erbe außerdem die laufenden Geschäfte fortzuführen, bis die anderen Gesellschafter in Gemeinschaft mit ihm anderweitig Fürsorge treffen können. </w:t>
      </w:r>
      <w:r>
        <w:rPr>
          <w:rStyle w:val="Satznummer"/>
        </w:rPr>
        <w:t>3</w:t>
      </w:r>
      <w:r>
        <w:t xml:space="preserve">Abweichend von </w:t>
      </w:r>
      <w:hyperlink w:anchor="b1173" w:history="1">
        <w:r>
          <w:rPr>
            <w:color w:val="0A3A8C"/>
            <w:u w:val="single"/>
          </w:rPr>
          <w:t xml:space="preserve">§ 736b</w:t>
        </w:r>
      </w:hyperlink>
      <w:r>
        <w:t xml:space="preserve"> Absatz 1 gilt für die einstweilige Fortführung der laufenden Geschäfte die dem Erblasser durch den Gesellschaftsvertrag übertragene Geschäftsführungs- und Vertretungsbefugnis als fortbestehend. </w:t>
      </w:r>
      <w:r>
        <w:rPr>
          <w:rStyle w:val="Satznummer"/>
        </w:rPr>
        <w:t>4</w:t>
      </w:r>
      <w:r>
        <w:t>Die anderen Gesellschafter sind in gleicher Weise zur einstweiligen Fortführung der laufenden Geschäfte berechtigt und verpflichtet.</w:t>
      </w:r>
    </w:p>
    <w:p>
      <w:r>
        <w:t>(2) Absatz 1 Satz 4 gilt entsprechend, wenn im Gesellschaftsvertrag vereinbart ist, dass die Gesellschaft durch die Eröffnung des Insolvenzverfahrens über das Vermögen eines Gesellschafters aufgelöst wird.</w:t>
      </w:r>
    </w:p>
    <w:p>
      <w:pPr>
        <w:pStyle w:val="Heading6"/>
      </w:pPr>
      <w:bookmarkStart w:id="1180" w:name="b1165"/>
      <w:r>
        <w:t>§ 731 Kündigung der Gesellschaft</w:t>
      </w:r>
      <w:r>
        <w:t xml:space="preserve"> </w:t>
      </w:r>
      <w:r>
        <w:rPr>
          <w:rStyle w:val="Suchmarke"/>
        </w:rPr>
        <w:t>#731#</w:t>
      </w:r>
      <w:bookmarkEnd w:id="1180"/>
    </w:p>
    <w:p>
      <w:r>
        <w:t xml:space="preserve">(1) </w:t>
      </w:r>
      <w:r>
        <w:rPr>
          <w:rStyle w:val="Satznummer"/>
        </w:rPr>
        <w:t>1</w:t>
      </w:r>
      <w:r>
        <w:t xml:space="preserve">Ein Gesellschafter kann die Gesellschaft jederzeit aus wichtigem Grund ohne Einhaltung einer Kündigungsfrist kündigen, wenn ihm die Fortsetzung der Gesellschaft nicht zuzumuten ist. </w:t>
      </w:r>
      <w:r>
        <w:rPr>
          <w:rStyle w:val="Satznummer"/>
        </w:rPr>
        <w:t>2</w:t>
      </w:r>
      <w:r>
        <w:t>Ein wichtiger Grund liegt insbesondere vor, wenn ein anderer Gesellschafter eine ihm nach dem Gesellschaftsvertrag obliegende wesentliche Verpflichtung vorsätzlich oder grob fahrlässig verletzt hat oder wenn die Erfüllung einer solchen Verpflichtung unmöglich wird.</w:t>
      </w:r>
    </w:p>
    <w:p>
      <w:r>
        <w:t>(2) Eine Vereinbarung im Gesellschaftsvertrag, welche das Kündigungsrecht ausschließt oder dieser Vorschrift zuwider beschränkt, ist unwirksam.</w:t>
      </w:r>
    </w:p>
    <w:p>
      <w:pPr>
        <w:pStyle w:val="Heading6"/>
      </w:pPr>
      <w:bookmarkStart w:id="1181" w:name="b1166"/>
      <w:r>
        <w:t>§ 732 Auflösungsbeschluss</w:t>
      </w:r>
      <w:r>
        <w:t xml:space="preserve"> </w:t>
      </w:r>
      <w:r>
        <w:rPr>
          <w:rStyle w:val="Suchmarke"/>
        </w:rPr>
        <w:t>#732#</w:t>
      </w:r>
      <w:bookmarkEnd w:id="1181"/>
    </w:p>
    <w:p>
      <w:r>
        <w:t>Hat nach dem Gesellschaftsvertrag die Mehrheit der Stimmen zu entscheiden, muss ein Beschluss, der die Auflösung der Gesellschaft zum Gegenstand hat, mit einer Mehrheit von mindestens drei Viertel der abgegebenen Stimmen gefasst werden.</w:t>
      </w:r>
    </w:p>
    <w:p>
      <w:pPr>
        <w:pStyle w:val="Heading6"/>
      </w:pPr>
      <w:bookmarkStart w:id="1182" w:name="b1167"/>
      <w:r>
        <w:t>§ 733 Anmeldung der Auflösung</w:t>
      </w:r>
      <w:r>
        <w:t xml:space="preserve"> </w:t>
      </w:r>
      <w:r>
        <w:rPr>
          <w:rStyle w:val="Suchmarke"/>
        </w:rPr>
        <w:t>#733#</w:t>
      </w:r>
      <w:bookmarkEnd w:id="1182"/>
    </w:p>
    <w:p>
      <w:r>
        <w:t xml:space="preserve">(1) </w:t>
      </w:r>
      <w:r>
        <w:rPr>
          <w:rStyle w:val="Satznummer"/>
        </w:rPr>
        <w:t>1</w:t>
      </w:r>
      <w:r>
        <w:t xml:space="preserve">Ist die Gesellschaft im Gesellschaftsregister eingetragen, ist ihre Auflösung von sämtlichen Gesellschaftern zur Eintragung in das Gesellschaftsregister anzumelden. </w:t>
      </w:r>
      <w:r>
        <w:rPr>
          <w:rStyle w:val="Satznummer"/>
        </w:rPr>
        <w:t>2</w:t>
      </w:r>
      <w:r>
        <w:t>Dies gilt nicht in den Fällen der Eröffnung oder der Ablehnung der Eröffnung des Insolvenzverfahrens über das Vermögen der Gesellschaft (</w:t>
      </w:r>
      <w:hyperlink w:anchor="b1163" w:history="1">
        <w:r>
          <w:rPr>
            <w:color w:val="0A3A8C"/>
            <w:u w:val="single"/>
          </w:rPr>
          <w:t xml:space="preserve">§ 729</w:t>
        </w:r>
      </w:hyperlink>
      <w:r>
        <w:t xml:space="preserve"> Absatz 1 Nummer 2 und Absatz 3 Satz 1 Nummer 1); dann hat das Gericht die Auflösung und ihren Grund von Amts wegen einzutragen. </w:t>
      </w:r>
      <w:r>
        <w:rPr>
          <w:rStyle w:val="Satznummer"/>
        </w:rPr>
        <w:t>3</w:t>
      </w:r>
      <w:r>
        <w:t>Im Fall der Löschung der Gesellschaft (</w:t>
      </w:r>
      <w:hyperlink w:anchor="b1163" w:history="1">
        <w:r>
          <w:rPr>
            <w:color w:val="0A3A8C"/>
            <w:u w:val="single"/>
          </w:rPr>
          <w:t xml:space="preserve">§ 729</w:t>
        </w:r>
      </w:hyperlink>
      <w:r>
        <w:t xml:space="preserve"> Absatz 3 Satz 1 Nummer 2) entfällt die Eintragung der Auflösung.</w:t>
      </w:r>
    </w:p>
    <w:p>
      <w:r>
        <w:t>(2) Ist aufgrund einer Vereinbarung im Gesellschaftsvertrag die Gesellschaft durch den Tod eines Gesellschafters aufgelöst, kann die Anmeldung der Auflösung der Gesellschaft ohne Mitwirkung der Erben erfolgen, sofern einer solchen Mitwirkung besondere Hindernisse entgegenstehen.</w:t>
      </w:r>
    </w:p>
    <w:p>
      <w:pPr>
        <w:pStyle w:val="Heading6"/>
      </w:pPr>
      <w:bookmarkStart w:id="1183" w:name="b1168"/>
      <w:r>
        <w:t>§ 734 Fortsetzung der Gesellschaft</w:t>
      </w:r>
      <w:r>
        <w:t xml:space="preserve"> </w:t>
      </w:r>
      <w:r>
        <w:rPr>
          <w:rStyle w:val="Suchmarke"/>
        </w:rPr>
        <w:t>#734#</w:t>
      </w:r>
      <w:bookmarkEnd w:id="1183"/>
    </w:p>
    <w:p>
      <w:r>
        <w:t>(1) Die Gesellschafter können nach Auflösung der Gesellschaft deren Fortsetzung beschließen, sobald der Auflösungsgrund beseitigt ist.</w:t>
      </w:r>
    </w:p>
    <w:p>
      <w:r>
        <w:t>(2) Hat nach dem Gesellschaftsvertrag die Mehrheit der Stimmen zu entscheiden, muss der Beschluss über die Fortsetzung der Gesellschaft mit einer Mehrheit von mindestens drei Viertel der abgegebenen Stimmen gefasst werden.</w:t>
      </w:r>
    </w:p>
    <w:p>
      <w:r>
        <w:t>(3) War die Gesellschaft vor ihrer Auflösung im Gesellschaftsregister eingetragen, ist die Fortsetzung von sämtlichen Gesellschaftern zur Eintragung in das Gesellschaftsregister anzumelden.</w:t>
      </w:r>
    </w:p>
    <w:p>
      <w:pPr>
        <w:pStyle w:val="Heading5"/>
      </w:pPr>
      <w:bookmarkStart w:id="1184" w:name="b1169"/>
      <w:r>
        <w:t>Kapitel 6 Liquidation der Gesellschaft</w:t>
      </w:r>
      <w:bookmarkEnd w:id="1184"/>
    </w:p>
    <w:p>
      <w:pPr>
        <w:pStyle w:val="Heading6"/>
      </w:pPr>
      <w:bookmarkStart w:id="1185" w:name="b1170"/>
      <w:r>
        <w:t>§ 735 Notwendigkeit der Liquidation; anwendbare Vorschriften</w:t>
      </w:r>
      <w:r>
        <w:t xml:space="preserve"> </w:t>
      </w:r>
      <w:r>
        <w:rPr>
          <w:rStyle w:val="Suchmarke"/>
        </w:rPr>
        <w:t>#735#</w:t>
      </w:r>
      <w:bookmarkEnd w:id="1185"/>
    </w:p>
    <w:p>
      <w:r>
        <w:t xml:space="preserve">(1) </w:t>
      </w:r>
      <w:r>
        <w:rPr>
          <w:rStyle w:val="Satznummer"/>
        </w:rPr>
        <w:t>1</w:t>
      </w:r>
      <w:r>
        <w:t xml:space="preserve">Nach Auflösung der Gesellschaft findet die Liquidation statt, sofern nicht über das Vermögen der Gesellschaft das Insolvenzverfahren eröffnet ist. </w:t>
      </w:r>
      <w:r>
        <w:rPr>
          <w:rStyle w:val="Satznummer"/>
        </w:rPr>
        <w:t>2</w:t>
      </w:r>
      <w:r>
        <w:t>Ist die Gesellschaft durch Löschung wegen Vermögenslosigkeit aufgelöst, findet eine Liquidation nur statt, wenn sich nach der Löschung herausstellt, dass noch Vermögen vorhanden ist, das der Verteilung unterliegt.</w:t>
      </w:r>
    </w:p>
    <w:p>
      <w:r>
        <w:t xml:space="preserve">(2) </w:t>
      </w:r>
      <w:r>
        <w:rPr>
          <w:rStyle w:val="Satznummer"/>
        </w:rPr>
        <w:t>1</w:t>
      </w:r>
      <w:r>
        <w:t xml:space="preserve">Die Gesellschafter können anstelle der Liquidation eine andere Art der Abwicklung vereinbaren. </w:t>
      </w:r>
      <w:r>
        <w:rPr>
          <w:rStyle w:val="Satznummer"/>
        </w:rPr>
        <w:t>2</w:t>
      </w:r>
      <w:r>
        <w:t xml:space="preserve">Ist aufgrund einer Vereinbarung im Gesellschaftsvertrag die Gesellschaft durch die Kündigung eines Privatgläubigers eines Gesellschafters oder durch die Eröffnung des Insolvenzverfahrens über das Vermögen eines Gesellschafters aufgelöst, bedarf eine Vereinbarung über eine andere Art der Abwicklung der Zustimmung des Privatgläubigers oder des Insolvenzverwalters. </w:t>
      </w:r>
      <w:r>
        <w:rPr>
          <w:rStyle w:val="Satznummer"/>
        </w:rPr>
        <w:t>3</w:t>
      </w:r>
      <w:r>
        <w:t>Ist im Insolvenzverfahren Eigenverwaltung angeordnet, tritt an die Stelle der Zustimmung des Insolvenzverwalters die Zustimmung des Schuldners.</w:t>
      </w:r>
    </w:p>
    <w:p>
      <w:r>
        <w:t>(3) Die Liquidation erfolgt nach den folgenden Vorschriften dieses Kapitels, sofern sich nicht aus dem Gesellschaftsvertrag etwas anderes ergibt.</w:t>
      </w:r>
    </w:p>
    <w:p>
      <w:pPr>
        <w:pStyle w:val="Heading6"/>
      </w:pPr>
      <w:bookmarkStart w:id="1186" w:name="b1171"/>
      <w:r>
        <w:t>§ 736 Liquidatoren</w:t>
      </w:r>
      <w:r>
        <w:t xml:space="preserve"> </w:t>
      </w:r>
      <w:r>
        <w:rPr>
          <w:rStyle w:val="Suchmarke"/>
        </w:rPr>
        <w:t>#736#</w:t>
      </w:r>
      <w:bookmarkEnd w:id="1186"/>
    </w:p>
    <w:p>
      <w:r>
        <w:t>(1) Zur Liquidation sind alle Gesellschafter berufen.</w:t>
      </w:r>
    </w:p>
    <w:p>
      <w:r>
        <w:t>(2) Ist über das Vermögen eines Gesellschafters das Insolvenzverfahren eröffnet und ein Insolvenzverwalter bestellt worden, tritt dieser an die Stelle des Gesellschafters.</w:t>
      </w:r>
    </w:p>
    <w:p>
      <w:r>
        <w:t>(3) Mehrere Erben eines Gesellschafters haben einen gemeinsamen Vertreter zu bestellen.</w:t>
      </w:r>
    </w:p>
    <w:p>
      <w:r>
        <w:t xml:space="preserve">(4) </w:t>
      </w:r>
      <w:r>
        <w:rPr>
          <w:rStyle w:val="Satznummer"/>
        </w:rPr>
        <w:t>1</w:t>
      </w:r>
      <w:r>
        <w:t xml:space="preserve">Durch Vereinbarung im Gesellschaftsvertrag oder durch Beschluss der Gesellschafter können auch einzelne Gesellschafter oder andere Personen zu Liquidatoren berufen werden. </w:t>
      </w:r>
      <w:r>
        <w:rPr>
          <w:rStyle w:val="Satznummer"/>
        </w:rPr>
        <w:t>2</w:t>
      </w:r>
      <w:r>
        <w:t xml:space="preserve">Das Recht, einen solchen Liquidator nach </w:t>
      </w:r>
      <w:hyperlink w:anchor="b1172" w:history="1">
        <w:r>
          <w:rPr>
            <w:color w:val="0A3A8C"/>
            <w:u w:val="single"/>
          </w:rPr>
          <w:t xml:space="preserve">§ 736a</w:t>
        </w:r>
      </w:hyperlink>
      <w:r>
        <w:t xml:space="preserve"> Absatz 1 Satz 1 zu berufen, bleibt unberührt.</w:t>
      </w:r>
    </w:p>
    <w:p>
      <w:r>
        <w:t>(5) Hat nach dem Gesellschaftsvertrag die Mehrheit der Stimmen zu entscheiden, gilt dies im Zweifel nicht für die Berufung und Abberufung eines Liquidators.</w:t>
      </w:r>
    </w:p>
    <w:p>
      <w:pPr>
        <w:pStyle w:val="Heading6"/>
      </w:pPr>
      <w:bookmarkStart w:id="1187" w:name="b1172"/>
      <w:r>
        <w:t>§ 736a Gerichtliche Berufung und Abberufung von Liquidatoren</w:t>
      </w:r>
      <w:r>
        <w:t xml:space="preserve"> </w:t>
      </w:r>
      <w:r>
        <w:rPr>
          <w:rStyle w:val="Suchmarke"/>
        </w:rPr>
        <w:t>#736a#</w:t>
      </w:r>
      <w:bookmarkEnd w:id="1187"/>
    </w:p>
    <w:p>
      <w:r>
        <w:t xml:space="preserve">(1) </w:t>
      </w:r>
      <w:r>
        <w:rPr>
          <w:rStyle w:val="Satznummer"/>
        </w:rPr>
        <w:t>1</w:t>
      </w:r>
      <w:r>
        <w:t xml:space="preserve">Ist die Gesellschaft im Gesellschaftsregister eingetragen, kann auf Antrag eines Beteiligten ein Liquidator aus wichtigem Grund durch das Gericht, in dessen Bezirk die Gesellschaft ihren Sitz hat, berufen und abberufen werden. </w:t>
      </w:r>
      <w:r>
        <w:rPr>
          <w:rStyle w:val="Satznummer"/>
        </w:rPr>
        <w:t>2</w:t>
      </w:r>
      <w:r>
        <w:t>Eine Vereinbarung im Gesellschaftsvertrag, welche dieses Recht ausschließt, ist unwirksam.</w:t>
      </w:r>
    </w:p>
    <w:p>
      <w:r>
        <w:t>(2) Beteiligte sind:</w:t>
      </w:r>
    </w:p>
    <w:p>
      <w:pPr>
        <w:tabs>
          <w:tab w:pos="567" w:val="left"/>
        </w:tabs>
        <w:ind w:left="567" w:hanging="567"/>
      </w:pPr>
      <w:r>
        <w:t>1.</w:t>
      </w:r>
      <w:r>
        <w:tab/>
      </w:r>
      <w:r>
        <w:t>jeder Gesellschafter (</w:t>
      </w:r>
      <w:hyperlink w:anchor="b1171" w:history="1">
        <w:r>
          <w:rPr>
            <w:color w:val="0A3A8C"/>
            <w:u w:val="single"/>
          </w:rPr>
          <w:t xml:space="preserve">§ 736</w:t>
        </w:r>
      </w:hyperlink>
      <w:r>
        <w:t xml:space="preserve"> Absatz 1),</w:t>
      </w:r>
    </w:p>
    <w:p>
      <w:pPr>
        <w:tabs>
          <w:tab w:pos="567" w:val="left"/>
        </w:tabs>
        <w:ind w:left="567" w:hanging="567"/>
      </w:pPr>
      <w:r>
        <w:t>2.</w:t>
      </w:r>
      <w:r>
        <w:tab/>
      </w:r>
      <w:r>
        <w:t>der Insolvenzverwalter über das Vermögen des Gesellschafters (</w:t>
      </w:r>
      <w:hyperlink w:anchor="b1171" w:history="1">
        <w:r>
          <w:rPr>
            <w:color w:val="0A3A8C"/>
            <w:u w:val="single"/>
          </w:rPr>
          <w:t xml:space="preserve">§ 736</w:t>
        </w:r>
      </w:hyperlink>
      <w:r>
        <w:t xml:space="preserve"> Absatz 2),</w:t>
      </w:r>
    </w:p>
    <w:p>
      <w:pPr>
        <w:tabs>
          <w:tab w:pos="567" w:val="left"/>
        </w:tabs>
        <w:ind w:left="567" w:hanging="567"/>
      </w:pPr>
      <w:r>
        <w:t>3.</w:t>
      </w:r>
      <w:r>
        <w:tab/>
      </w:r>
      <w:r>
        <w:t>der gemeinsame Vertreter (</w:t>
      </w:r>
      <w:hyperlink w:anchor="b1171" w:history="1">
        <w:r>
          <w:rPr>
            <w:color w:val="0A3A8C"/>
            <w:u w:val="single"/>
          </w:rPr>
          <w:t xml:space="preserve">§ 736</w:t>
        </w:r>
      </w:hyperlink>
      <w:r>
        <w:t xml:space="preserve"> Absatz 3) und</w:t>
      </w:r>
    </w:p>
    <w:p>
      <w:pPr>
        <w:tabs>
          <w:tab w:pos="567" w:val="left"/>
        </w:tabs>
        <w:ind w:left="567" w:hanging="567"/>
      </w:pPr>
      <w:r>
        <w:t>4.</w:t>
      </w:r>
      <w:r>
        <w:tab/>
      </w:r>
      <w:r>
        <w:t>der Privatgläubiger des Gesellschafters, durch den die zur Auflösung der Gesellschaft führende Kündigung erfolgt ist (</w:t>
      </w:r>
      <w:hyperlink w:anchor="b1170" w:history="1">
        <w:r>
          <w:rPr>
            <w:color w:val="0A3A8C"/>
            <w:u w:val="single"/>
          </w:rPr>
          <w:t xml:space="preserve">§ 735</w:t>
        </w:r>
      </w:hyperlink>
      <w:r>
        <w:t xml:space="preserve"> Absatz 2 Satz 2).</w:t>
      </w:r>
    </w:p>
    <w:p>
      <w:r>
        <w:t xml:space="preserve">(3) </w:t>
      </w:r>
      <w:r>
        <w:rPr>
          <w:rStyle w:val="Satznummer"/>
        </w:rPr>
        <w:t>1</w:t>
      </w:r>
      <w:r>
        <w:t xml:space="preserve">Gehört der Liquidator nicht zu den Gesellschaftern, hat er Anspruch auf Ersatz der erforderlichen Aufwendungen und auf Vergütung für seine Tätigkeit. </w:t>
      </w:r>
      <w:r>
        <w:rPr>
          <w:rStyle w:val="Satznummer"/>
        </w:rPr>
        <w:t>2</w:t>
      </w:r>
      <w:r>
        <w:t xml:space="preserve">Einigen sich der Liquidator und die Gesellschaft hierüber nicht, setzt das Gericht die Aufwendungen und die Vergütung fest. </w:t>
      </w:r>
      <w:r>
        <w:rPr>
          <w:rStyle w:val="Satznummer"/>
        </w:rPr>
        <w:t>3</w:t>
      </w:r>
      <w:r>
        <w:t xml:space="preserve">Gegen die Entscheidung ist die Beschwerde zulässig; die Rechtsbeschwerde ist ausgeschlossen. </w:t>
      </w:r>
      <w:r>
        <w:rPr>
          <w:rStyle w:val="Satznummer"/>
        </w:rPr>
        <w:t>4</w:t>
      </w:r>
      <w:r>
        <w:t>Aus der rechtskräftigen Entscheidung findet die Zwangsvollstreckung nach der Zivilprozessordnung statt.</w:t>
      </w:r>
    </w:p>
    <w:p>
      <w:pPr>
        <w:pStyle w:val="Heading6"/>
      </w:pPr>
      <w:bookmarkStart w:id="1188" w:name="b1173"/>
      <w:r>
        <w:t>§ 736b Geschäftsführungs- und Vertretungsbefugnis der Liquidatoren</w:t>
      </w:r>
      <w:r>
        <w:t xml:space="preserve"> </w:t>
      </w:r>
      <w:r>
        <w:rPr>
          <w:rStyle w:val="Suchmarke"/>
        </w:rPr>
        <w:t>#736b#</w:t>
      </w:r>
      <w:bookmarkEnd w:id="1188"/>
    </w:p>
    <w:p>
      <w:r>
        <w:t xml:space="preserve">(1) </w:t>
      </w:r>
      <w:r>
        <w:rPr>
          <w:rStyle w:val="Satznummer"/>
        </w:rPr>
        <w:t>1</w:t>
      </w:r>
      <w:r>
        <w:t xml:space="preserve">Mit der Auflösung der Gesellschaft erlischt die einem Gesellschafter im Gesellschaftsvertrag übertragene Befugnis zur Geschäftsführung und Vertretung. </w:t>
      </w:r>
      <w:r>
        <w:rPr>
          <w:rStyle w:val="Satznummer"/>
        </w:rPr>
        <w:t>2</w:t>
      </w:r>
      <w:r>
        <w:t>Diese Befugnis steht von der Auflösung an allen Liquidatoren gemeinsam zu.</w:t>
      </w:r>
    </w:p>
    <w:p>
      <w:r>
        <w:t>(2) Die bisherige Befugnis eines Gesellschafters zur Geschäftsführung und, sofern die Gesellschaft nicht im Gesellschaftsregister eingetragen ist, zur Vertretung gilt gleichwohl zu seinen Gunsten als fortbestehend, bis er von der Auflösung der Gesellschaft Kenntnis erlangt hat oder die Auflösung kennen muss.</w:t>
      </w:r>
    </w:p>
    <w:p>
      <w:pPr>
        <w:pStyle w:val="Heading6"/>
      </w:pPr>
      <w:bookmarkStart w:id="1189" w:name="b1174"/>
      <w:r>
        <w:t>§ 736c Anmeldung der Liquidatoren</w:t>
      </w:r>
      <w:r>
        <w:t xml:space="preserve"> </w:t>
      </w:r>
      <w:r>
        <w:rPr>
          <w:rStyle w:val="Suchmarke"/>
        </w:rPr>
        <w:t>#736c#</w:t>
      </w:r>
      <w:bookmarkEnd w:id="1189"/>
    </w:p>
    <w:p>
      <w:r>
        <w:t xml:space="preserve">(1) </w:t>
      </w:r>
      <w:r>
        <w:rPr>
          <w:rStyle w:val="Satznummer"/>
        </w:rPr>
        <w:t>1</w:t>
      </w:r>
      <w:r>
        <w:t xml:space="preserve">Ist die Gesellschaft im Gesellschaftsregister eingetragen, sind die Liquidatoren und ihre Vertretungsbefugnis von sämtlichen Gesellschaftern zur Eintragung in das Gesellschaftsregister anzumelden. </w:t>
      </w:r>
      <w:r>
        <w:rPr>
          <w:rStyle w:val="Satznummer"/>
        </w:rPr>
        <w:t>2</w:t>
      </w:r>
      <w:r>
        <w:t xml:space="preserve">Das Gleiche gilt für jede Änderung in der Person des Liquidators oder seiner Vertretungsbefugnis. </w:t>
      </w:r>
      <w:r>
        <w:rPr>
          <w:rStyle w:val="Satznummer"/>
        </w:rPr>
        <w:t>3</w:t>
      </w:r>
      <w:r>
        <w:t>Wenn im Fall des Todes eines Gesellschafters anzunehmen ist, dass die Anmeldung den Tatsachen entspricht, kann die Eintragung erfolgen, auch ohne dass die Erben bei der Anmeldung mitwirken, sofern einer solchen Mitwirkung besondere Hindernisse entgegenstehen.</w:t>
      </w:r>
    </w:p>
    <w:p>
      <w:r>
        <w:t>(2) Die Eintragung gerichtlich berufener Liquidatoren sowie die Eintragung der gerichtlichen Abberufung von Liquidatoren geschieht von Amts wegen.</w:t>
      </w:r>
    </w:p>
    <w:p>
      <w:pPr>
        <w:pStyle w:val="Heading6"/>
      </w:pPr>
      <w:bookmarkStart w:id="1190" w:name="b1175"/>
      <w:r>
        <w:t>§ 736d Rechtstellung der Liquidatoren</w:t>
      </w:r>
      <w:r>
        <w:t xml:space="preserve"> </w:t>
      </w:r>
      <w:r>
        <w:rPr>
          <w:rStyle w:val="Suchmarke"/>
        </w:rPr>
        <w:t>#736d#</w:t>
      </w:r>
      <w:bookmarkEnd w:id="1190"/>
    </w:p>
    <w:p>
      <w:r>
        <w:t xml:space="preserve">(1) </w:t>
      </w:r>
      <w:r>
        <w:rPr>
          <w:rStyle w:val="Satznummer"/>
        </w:rPr>
        <w:t>1</w:t>
      </w:r>
      <w:r>
        <w:t xml:space="preserve">Die Liquidatoren haben, auch wenn sie vom Gericht berufen sind, den Weisungen Folge zu leisten, welche die Beteiligten in Bezug auf die Geschäftsführung beschließen. </w:t>
      </w:r>
      <w:r>
        <w:rPr>
          <w:rStyle w:val="Satznummer"/>
        </w:rPr>
        <w:t>2</w:t>
      </w:r>
      <w:r>
        <w:t xml:space="preserve">Hat nach dem Gesellschaftsvertrag die Mehrheit der Stimmen zu entscheiden, bedarf der Beschluss der Zustimmung der Beteiligten nach </w:t>
      </w:r>
      <w:hyperlink w:anchor="b1172" w:history="1">
        <w:r>
          <w:rPr>
            <w:color w:val="0A3A8C"/>
            <w:u w:val="single"/>
          </w:rPr>
          <w:t xml:space="preserve">§ 736a</w:t>
        </w:r>
      </w:hyperlink>
      <w:r>
        <w:t xml:space="preserve"> Absatz 2 Nummer 2 und 4.</w:t>
      </w:r>
    </w:p>
    <w:p>
      <w:r>
        <w:t xml:space="preserve">(2) </w:t>
      </w:r>
      <w:r>
        <w:rPr>
          <w:rStyle w:val="Satznummer"/>
        </w:rPr>
        <w:t>1</w:t>
      </w:r>
      <w:r>
        <w:t xml:space="preserve">Die Liquidatoren haben die laufenden Geschäfte zu beendigen, die Forderungen der Gesellschaft einzuziehen und das übrige Vermögen in Geld umzusetzen. </w:t>
      </w:r>
      <w:r>
        <w:rPr>
          <w:rStyle w:val="Satznummer"/>
        </w:rPr>
        <w:t>2</w:t>
      </w:r>
      <w:r>
        <w:t>Zur Beendigung der laufenden Geschäfte können die Liquidatoren auch neue Geschäfte eingehen.</w:t>
      </w:r>
    </w:p>
    <w:p>
      <w:r>
        <w:t>(3) Ist die Gesellschaft im Gesellschaftsregister eingetragen, haben die Liquidatoren bei Abgabe ihrer Unterschrift dem Namen der Gesellschaft einen Liquidationszusatz beizufügen.</w:t>
      </w:r>
    </w:p>
    <w:p>
      <w:r>
        <w:t xml:space="preserve">(4) </w:t>
      </w:r>
      <w:r>
        <w:rPr>
          <w:rStyle w:val="Satznummer"/>
        </w:rPr>
        <w:t>1</w:t>
      </w:r>
      <w:r>
        <w:t xml:space="preserve">Aus dem Vermögen der Gesellschaft sind zunächst die Gläubiger der Gesellschaft zu befriedigen. </w:t>
      </w:r>
      <w:r>
        <w:rPr>
          <w:rStyle w:val="Satznummer"/>
        </w:rPr>
        <w:t>2</w:t>
      </w:r>
      <w:r>
        <w:t>Ist eine Verbindlichkeit noch nicht fällig oder ist sie streitig, ist das zur Berichtigung der Verbindlichkeit Erforderliche zurückzubehalten.</w:t>
      </w:r>
    </w:p>
    <w:p>
      <w:r>
        <w:t xml:space="preserve">(5) </w:t>
      </w:r>
      <w:r>
        <w:rPr>
          <w:rStyle w:val="Satznummer"/>
        </w:rPr>
        <w:t>1</w:t>
      </w:r>
      <w:r>
        <w:t xml:space="preserve">Aus dem nach der Berichtigung der Verbindlichkeiten verbleibenden Gesellschaftsvermögen sind die geleisteten Beiträge zurückzuerstatten. </w:t>
      </w:r>
      <w:r>
        <w:rPr>
          <w:rStyle w:val="Satznummer"/>
        </w:rPr>
        <w:t>2</w:t>
      </w:r>
      <w:r>
        <w:t xml:space="preserve">Für Beiträge, die nicht in Geld bestanden haben, ist der Wert zu ersetzen, den sie zur Zeit der Einbringung gehabt haben. </w:t>
      </w:r>
      <w:r>
        <w:rPr>
          <w:rStyle w:val="Satznummer"/>
        </w:rPr>
        <w:t>3</w:t>
      </w:r>
      <w:r>
        <w:t>Für Beiträge, die in der Leistung von Diensten oder in der Überlassung der Benutzung eines Gegenstands bestanden haben, kann im Zweifel kein Ersatz verlangt werden.</w:t>
      </w:r>
    </w:p>
    <w:p>
      <w:r>
        <w:t>(6) Das nach Berichtigung der Verbindlichkeiten und Rückerstattung der Beiträge verbleibende Vermögen der Gesellschaft ist unter den Gesellschaftern nach dem Verhältnis ihrer Anteile am Gewinn und Verlust zu verteilen.</w:t>
      </w:r>
    </w:p>
    <w:p>
      <w:pPr>
        <w:pStyle w:val="Heading6"/>
      </w:pPr>
      <w:bookmarkStart w:id="1191" w:name="b1176"/>
      <w:r>
        <w:t>§ 737 Haftung der Gesellschafter für Fehlbetrag</w:t>
      </w:r>
      <w:r>
        <w:t xml:space="preserve"> </w:t>
      </w:r>
      <w:r>
        <w:rPr>
          <w:rStyle w:val="Suchmarke"/>
        </w:rPr>
        <w:t>#737#</w:t>
      </w:r>
      <w:bookmarkEnd w:id="1191"/>
    </w:p>
    <w:p>
      <w:r>
        <w:rPr>
          <w:rStyle w:val="Satznummer"/>
        </w:rPr>
        <w:t>1</w:t>
      </w:r>
      <w:r>
        <w:t xml:space="preserve">Reicht das Gesellschaftsvermögen zur Berichtigung der Verbindlichkeiten und zur Rückerstattung der Beiträge nicht aus, haben die Gesellschafter der Gesellschaft für den Fehlbetrag nach dem Verhältnis ihrer Anteile am Gewinn und Verlust aufzukommen. </w:t>
      </w:r>
      <w:r>
        <w:rPr>
          <w:rStyle w:val="Satznummer"/>
        </w:rPr>
        <w:t>2</w:t>
      </w:r>
      <w:r>
        <w:t>Kann von einem Gesellschafter der auf ihn entfallende Betrag nicht erlangt werden, haben die anderen Gesellschafter den Ausfall nach dem gleichen Verhältnis zu tragen.</w:t>
      </w:r>
    </w:p>
    <w:p>
      <w:pPr>
        <w:pStyle w:val="Heading6"/>
      </w:pPr>
      <w:bookmarkStart w:id="1192" w:name="b1177"/>
      <w:r>
        <w:t>§ 738 Anmeldung des Erlöschens</w:t>
      </w:r>
      <w:r>
        <w:t xml:space="preserve"> </w:t>
      </w:r>
      <w:r>
        <w:rPr>
          <w:rStyle w:val="Suchmarke"/>
        </w:rPr>
        <w:t>#738#</w:t>
      </w:r>
      <w:bookmarkEnd w:id="1192"/>
    </w:p>
    <w:p>
      <w:r>
        <w:t>Ist die Gesellschaft im Gesellschaftsregister eingetragen, ist das Erlöschen der Gesellschaft von sämtlichen Liquidatoren zur Eintragung in das Gesellschaftsregister anzumelden, sobald die Liquidation beendigt ist.</w:t>
      </w:r>
    </w:p>
    <w:p>
      <w:pPr>
        <w:pStyle w:val="Heading6"/>
      </w:pPr>
      <w:bookmarkStart w:id="1193" w:name="b1178"/>
      <w:r>
        <w:t>§ 739 Verjährung von Ansprüchen aus der Gesellschafterhaftung</w:t>
      </w:r>
      <w:r>
        <w:t xml:space="preserve"> </w:t>
      </w:r>
      <w:r>
        <w:rPr>
          <w:rStyle w:val="Suchmarke"/>
        </w:rPr>
        <w:t>#739#</w:t>
      </w:r>
      <w:bookmarkEnd w:id="1193"/>
    </w:p>
    <w:p>
      <w:r>
        <w:t>(1) Ist die Gesellschaft durch Liquidation oder auf andere Weise erloschen, verjähren Ansprüche gegen einen Gesellschafter aus Verbindlichkeiten der Gesellschaft in fünf Jahren, sofern nicht der Anspruch gegen die Gesellschaft einer kürzeren Verjährung unterliegt.</w:t>
      </w:r>
    </w:p>
    <w:p>
      <w:r>
        <w:t xml:space="preserve">(2) Die Verjährung beginnt abweichend von </w:t>
      </w:r>
      <w:hyperlink w:anchor="b237" w:history="1">
        <w:r>
          <w:rPr>
            <w:color w:val="0A3A8C"/>
            <w:u w:val="single"/>
          </w:rPr>
          <w:t xml:space="preserve">§ 199</w:t>
        </w:r>
      </w:hyperlink>
      <w:r>
        <w:t xml:space="preserve"> Absatz 1, sobald der Gläubiger von dem Erlöschen der Gesellschaft Kenntnis erlangt hat oder das Erlöschen der Gesellschaft im Gesellschaftsregister eingetragen worden ist.</w:t>
      </w:r>
    </w:p>
    <w:p>
      <w:r>
        <w:t xml:space="preserve">(3) Beginnt die Verjährung des Anspruchs gegen die Gesellschaft neu oder wird die Verjährung des Anspruchs gegenüber der Gesellschaft nach den </w:t>
      </w:r>
      <w:hyperlink w:anchor="b242" w:history="1">
        <w:r>
          <w:rPr>
            <w:color w:val="0A3A8C"/>
            <w:u w:val="single"/>
          </w:rPr>
          <w:t xml:space="preserve">§§ 203</w:t>
        </w:r>
      </w:hyperlink>
      <w:r>
        <w:t xml:space="preserve">, </w:t>
      </w:r>
      <w:hyperlink w:anchor="b243" w:history="1">
        <w:r>
          <w:rPr>
            <w:color w:val="0A3A8C"/>
            <w:u w:val="single"/>
          </w:rPr>
          <w:t xml:space="preserve">204</w:t>
        </w:r>
      </w:hyperlink>
      <w:r>
        <w:t xml:space="preserve">, </w:t>
      </w:r>
      <w:hyperlink w:anchor="b245" w:history="1">
        <w:r>
          <w:rPr>
            <w:color w:val="0A3A8C"/>
            <w:u w:val="single"/>
          </w:rPr>
          <w:t xml:space="preserve">205</w:t>
        </w:r>
      </w:hyperlink>
      <w:r>
        <w:t xml:space="preserve"> oder </w:t>
      </w:r>
      <w:hyperlink w:anchor="b246" w:history="1">
        <w:r>
          <w:rPr>
            <w:color w:val="0A3A8C"/>
            <w:u w:val="single"/>
          </w:rPr>
          <w:t xml:space="preserve">206</w:t>
        </w:r>
      </w:hyperlink>
      <w:r>
        <w:t xml:space="preserve"> gehemmt, wirkt dies auch gegenüber den Gesellschaftern, die der Gesellschaft zur Zeit des Erlöschens angehört haben.</w:t>
      </w:r>
    </w:p>
    <w:p>
      <w:pPr>
        <w:pStyle w:val="Heading4"/>
      </w:pPr>
      <w:bookmarkStart w:id="1194" w:name="b1179"/>
      <w:r>
        <w:t>Untertitel 3 Nicht rechtsfähige Gesellschaft</w:t>
      </w:r>
      <w:bookmarkEnd w:id="1194"/>
    </w:p>
    <w:p>
      <w:pPr>
        <w:pStyle w:val="Heading5"/>
      </w:pPr>
      <w:bookmarkStart w:id="1195" w:name="b1180"/>
      <w:r>
        <w:t>§ 740 Fehlende Vermögensfähigkeit; anwendbare Vorschriften</w:t>
      </w:r>
      <w:r>
        <w:t xml:space="preserve"> </w:t>
      </w:r>
      <w:r>
        <w:rPr>
          <w:rStyle w:val="Suchmarke"/>
        </w:rPr>
        <w:t>#740#</w:t>
      </w:r>
      <w:bookmarkEnd w:id="1195"/>
    </w:p>
    <w:p>
      <w:r>
        <w:t>(1) Eine nicht rechtsfähige Gesellschaft hat kein Vermögen.</w:t>
      </w:r>
    </w:p>
    <w:p>
      <w:r>
        <w:t xml:space="preserve">(2) Auf das Rechtsverhältnis der Gesellschafter untereinander sind die </w:t>
      </w:r>
      <w:hyperlink w:anchor="b1131" w:history="1">
        <w:r>
          <w:rPr>
            <w:color w:val="0A3A8C"/>
            <w:u w:val="single"/>
          </w:rPr>
          <w:t xml:space="preserve">§§ 708</w:t>
        </w:r>
      </w:hyperlink>
      <w:r>
        <w:t xml:space="preserve">, </w:t>
      </w:r>
      <w:hyperlink w:anchor="b1132" w:history="1">
        <w:r>
          <w:rPr>
            <w:color w:val="0A3A8C"/>
            <w:u w:val="single"/>
          </w:rPr>
          <w:t xml:space="preserve">709</w:t>
        </w:r>
      </w:hyperlink>
      <w:r>
        <w:t xml:space="preserve">, </w:t>
      </w:r>
      <w:hyperlink w:anchor="b1133" w:history="1">
        <w:r>
          <w:rPr>
            <w:color w:val="0A3A8C"/>
            <w:u w:val="single"/>
          </w:rPr>
          <w:t xml:space="preserve">710</w:t>
        </w:r>
      </w:hyperlink>
      <w:r>
        <w:t xml:space="preserve">, </w:t>
      </w:r>
      <w:hyperlink w:anchor="b1134" w:history="1">
        <w:r>
          <w:rPr>
            <w:color w:val="0A3A8C"/>
            <w:u w:val="single"/>
          </w:rPr>
          <w:t xml:space="preserve">711</w:t>
        </w:r>
      </w:hyperlink>
      <w:r>
        <w:t xml:space="preserve">, </w:t>
      </w:r>
      <w:hyperlink w:anchor="b1135" w:history="1">
        <w:r>
          <w:rPr>
            <w:color w:val="0A3A8C"/>
            <w:u w:val="single"/>
          </w:rPr>
          <w:t xml:space="preserve">711a</w:t>
        </w:r>
      </w:hyperlink>
      <w:r>
        <w:t xml:space="preserve">, </w:t>
      </w:r>
      <w:hyperlink w:anchor="b1136" w:history="1">
        <w:r>
          <w:rPr>
            <w:color w:val="0A3A8C"/>
            <w:u w:val="single"/>
          </w:rPr>
          <w:t xml:space="preserve">712</w:t>
        </w:r>
      </w:hyperlink>
      <w:r>
        <w:t xml:space="preserve">, die </w:t>
      </w:r>
      <w:hyperlink w:anchor="b1139" w:history="1">
        <w:r>
          <w:rPr>
            <w:color w:val="0A3A8C"/>
            <w:u w:val="single"/>
          </w:rPr>
          <w:t xml:space="preserve">§§ 714</w:t>
        </w:r>
      </w:hyperlink>
      <w:r>
        <w:t xml:space="preserve">, </w:t>
      </w:r>
      <w:hyperlink w:anchor="b1140" w:history="1">
        <w:r>
          <w:rPr>
            <w:color w:val="0A3A8C"/>
            <w:u w:val="single"/>
          </w:rPr>
          <w:t xml:space="preserve">715</w:t>
        </w:r>
      </w:hyperlink>
      <w:r>
        <w:t xml:space="preserve">, </w:t>
      </w:r>
      <w:hyperlink w:anchor="b1141" w:history="1">
        <w:r>
          <w:rPr>
            <w:color w:val="0A3A8C"/>
            <w:u w:val="single"/>
          </w:rPr>
          <w:t xml:space="preserve">715a</w:t>
        </w:r>
      </w:hyperlink>
      <w:r>
        <w:t xml:space="preserve">, </w:t>
      </w:r>
      <w:hyperlink w:anchor="b1143" w:history="1">
        <w:r>
          <w:rPr>
            <w:color w:val="0A3A8C"/>
            <w:u w:val="single"/>
          </w:rPr>
          <w:t xml:space="preserve">716</w:t>
        </w:r>
      </w:hyperlink>
      <w:r>
        <w:t xml:space="preserve">, </w:t>
      </w:r>
      <w:hyperlink w:anchor="b1144" w:history="1">
        <w:r>
          <w:rPr>
            <w:color w:val="0A3A8C"/>
            <w:u w:val="single"/>
          </w:rPr>
          <w:t xml:space="preserve">717</w:t>
        </w:r>
      </w:hyperlink>
      <w:r>
        <w:t xml:space="preserve"> Absatz 1 sowie </w:t>
      </w:r>
      <w:hyperlink w:anchor="b1145" w:history="1">
        <w:r>
          <w:rPr>
            <w:color w:val="0A3A8C"/>
            <w:u w:val="single"/>
          </w:rPr>
          <w:t xml:space="preserve">§ 718</w:t>
        </w:r>
      </w:hyperlink>
      <w:r>
        <w:t xml:space="preserve"> entsprechend anzuwenden.</w:t>
      </w:r>
    </w:p>
    <w:p>
      <w:pPr>
        <w:pStyle w:val="Heading5"/>
      </w:pPr>
      <w:bookmarkStart w:id="1196" w:name="b1181"/>
      <w:r>
        <w:t>§ 740a Beendigung der Gesellschaft</w:t>
      </w:r>
      <w:r>
        <w:t xml:space="preserve"> </w:t>
      </w:r>
      <w:r>
        <w:rPr>
          <w:rStyle w:val="Suchmarke"/>
        </w:rPr>
        <w:t>#740a#</w:t>
      </w:r>
      <w:bookmarkEnd w:id="1196"/>
    </w:p>
    <w:p>
      <w:r>
        <w:t>(1) Die nicht rechtsfähige Gesellschaft endet durch:</w:t>
      </w:r>
    </w:p>
    <w:p>
      <w:pPr>
        <w:tabs>
          <w:tab w:pos="567" w:val="left"/>
        </w:tabs>
        <w:ind w:left="567" w:hanging="567"/>
      </w:pPr>
      <w:r>
        <w:t>1.</w:t>
      </w:r>
      <w:r>
        <w:tab/>
      </w:r>
      <w:r>
        <w:t>Ablauf der Zeit, für welche sie eingegangen wurde;</w:t>
      </w:r>
    </w:p>
    <w:p>
      <w:pPr>
        <w:tabs>
          <w:tab w:pos="567" w:val="left"/>
        </w:tabs>
        <w:ind w:left="567" w:hanging="567"/>
      </w:pPr>
      <w:r>
        <w:t>2.</w:t>
      </w:r>
      <w:r>
        <w:tab/>
      </w:r>
      <w:r>
        <w:t>Auflösungsbeschluss;</w:t>
      </w:r>
    </w:p>
    <w:p>
      <w:pPr>
        <w:tabs>
          <w:tab w:pos="567" w:val="left"/>
        </w:tabs>
        <w:ind w:left="567" w:hanging="567"/>
      </w:pPr>
      <w:r>
        <w:t>3.</w:t>
      </w:r>
      <w:r>
        <w:tab/>
      </w:r>
      <w:r>
        <w:t>Tod eines Gesellschafters;</w:t>
      </w:r>
    </w:p>
    <w:p>
      <w:pPr>
        <w:tabs>
          <w:tab w:pos="567" w:val="left"/>
        </w:tabs>
        <w:ind w:left="567" w:hanging="567"/>
      </w:pPr>
      <w:r>
        <w:t>4.</w:t>
      </w:r>
      <w:r>
        <w:tab/>
      </w:r>
      <w:r>
        <w:t>Kündigung der Gesellschaft durch einen Gesellschafter;</w:t>
      </w:r>
    </w:p>
    <w:p>
      <w:pPr>
        <w:tabs>
          <w:tab w:pos="567" w:val="left"/>
        </w:tabs>
        <w:ind w:left="567" w:hanging="567"/>
      </w:pPr>
      <w:r>
        <w:t>5.</w:t>
      </w:r>
      <w:r>
        <w:tab/>
      </w:r>
      <w:r>
        <w:t>Eröffnung des Insolvenzverfahrens über das Vermögen eines Gesellschafters;</w:t>
      </w:r>
    </w:p>
    <w:p>
      <w:pPr>
        <w:tabs>
          <w:tab w:pos="567" w:val="left"/>
        </w:tabs>
        <w:ind w:left="567" w:hanging="567"/>
      </w:pPr>
      <w:r>
        <w:t>6.</w:t>
      </w:r>
      <w:r>
        <w:tab/>
      </w:r>
      <w:r>
        <w:t>Kündigung der Gesellschaft durch einen Privatgläubiger eines Gesellschafters.</w:t>
      </w:r>
    </w:p>
    <w:p>
      <w:r>
        <w:t>(2) Die Gesellschaft endet ferner, wenn der vereinbarte Zweck erreicht oder seine Erreichung unmöglich geworden ist.</w:t>
      </w:r>
    </w:p>
    <w:p>
      <w:r>
        <w:t xml:space="preserve">(3) Auf die Beendigung der Gesellschaft sind die </w:t>
      </w:r>
      <w:hyperlink w:anchor="b1156" w:history="1">
        <w:r>
          <w:rPr>
            <w:color w:val="0A3A8C"/>
            <w:u w:val="single"/>
          </w:rPr>
          <w:t xml:space="preserve">§§ 725</w:t>
        </w:r>
      </w:hyperlink>
      <w:r>
        <w:t xml:space="preserve">, </w:t>
      </w:r>
      <w:hyperlink w:anchor="b1157" w:history="1">
        <w:r>
          <w:rPr>
            <w:color w:val="0A3A8C"/>
            <w:u w:val="single"/>
          </w:rPr>
          <w:t xml:space="preserve">726</w:t>
        </w:r>
      </w:hyperlink>
      <w:r>
        <w:t xml:space="preserve">, </w:t>
      </w:r>
      <w:hyperlink w:anchor="b1164" w:history="1">
        <w:r>
          <w:rPr>
            <w:color w:val="0A3A8C"/>
            <w:u w:val="single"/>
          </w:rPr>
          <w:t xml:space="preserve">730</w:t>
        </w:r>
      </w:hyperlink>
      <w:r>
        <w:t xml:space="preserve">, </w:t>
      </w:r>
      <w:hyperlink w:anchor="b1166" w:history="1">
        <w:r>
          <w:rPr>
            <w:color w:val="0A3A8C"/>
            <w:u w:val="single"/>
          </w:rPr>
          <w:t xml:space="preserve">732</w:t>
        </w:r>
      </w:hyperlink>
      <w:r>
        <w:t xml:space="preserve"> und </w:t>
      </w:r>
      <w:hyperlink w:anchor="b1168" w:history="1">
        <w:r>
          <w:rPr>
            <w:color w:val="0A3A8C"/>
            <w:u w:val="single"/>
          </w:rPr>
          <w:t xml:space="preserve">734</w:t>
        </w:r>
      </w:hyperlink>
      <w:r>
        <w:t xml:space="preserve"> Absatz 1 und 2 entsprechend anzuwenden.</w:t>
      </w:r>
    </w:p>
    <w:p>
      <w:pPr>
        <w:pStyle w:val="Heading5"/>
      </w:pPr>
      <w:bookmarkStart w:id="1197" w:name="b1182"/>
      <w:r>
        <w:t>§ 740b Auseinandersetzung</w:t>
      </w:r>
      <w:r>
        <w:t xml:space="preserve"> </w:t>
      </w:r>
      <w:r>
        <w:rPr>
          <w:rStyle w:val="Suchmarke"/>
        </w:rPr>
        <w:t>#740b#</w:t>
      </w:r>
      <w:bookmarkEnd w:id="1197"/>
    </w:p>
    <w:p>
      <w:r>
        <w:t>(1) Nach der Beendigung der nicht rechtsfähigen Gesellschaft findet die Auseinandersetzung unter den Gesellschaftern statt.</w:t>
      </w:r>
    </w:p>
    <w:p>
      <w:r>
        <w:t xml:space="preserve">(2) Auf die Auseinandersetzung sind </w:t>
      </w:r>
      <w:hyperlink w:anchor="b1175" w:history="1">
        <w:r>
          <w:rPr>
            <w:color w:val="0A3A8C"/>
            <w:u w:val="single"/>
          </w:rPr>
          <w:t xml:space="preserve">§ 736d</w:t>
        </w:r>
      </w:hyperlink>
      <w:r>
        <w:t xml:space="preserve"> Absatz 2, 4, 5 und 6 und </w:t>
      </w:r>
      <w:hyperlink w:anchor="b1176" w:history="1">
        <w:r>
          <w:rPr>
            <w:color w:val="0A3A8C"/>
            <w:u w:val="single"/>
          </w:rPr>
          <w:t xml:space="preserve">§ 737</w:t>
        </w:r>
      </w:hyperlink>
      <w:r>
        <w:t xml:space="preserve"> entsprechend anzuwenden.</w:t>
      </w:r>
    </w:p>
    <w:p>
      <w:pPr>
        <w:pStyle w:val="Heading5"/>
      </w:pPr>
      <w:bookmarkStart w:id="1198" w:name="b1183"/>
      <w:r>
        <w:t>§ 740c Ausscheiden eines Gesellschafters</w:t>
      </w:r>
      <w:r>
        <w:t xml:space="preserve"> </w:t>
      </w:r>
      <w:r>
        <w:rPr>
          <w:rStyle w:val="Suchmarke"/>
        </w:rPr>
        <w:t>#740c#</w:t>
      </w:r>
      <w:bookmarkEnd w:id="1198"/>
    </w:p>
    <w:p>
      <w:r>
        <w:t xml:space="preserve">(1) Ist im Gesellschaftsvertrag vereinbart, dass abweichend von den in </w:t>
      </w:r>
      <w:hyperlink w:anchor="b1181" w:history="1">
        <w:r>
          <w:rPr>
            <w:color w:val="0A3A8C"/>
            <w:u w:val="single"/>
          </w:rPr>
          <w:t xml:space="preserve">§ 740a</w:t>
        </w:r>
      </w:hyperlink>
      <w:r>
        <w:t xml:space="preserve"> Absatz 1 Nummer 3 bis 6 genannten Beendigungsgründen die Gesellschaft fortbestehen soll, so tritt mangels abweichender Vereinbarung an die Stelle der Beendigung der Gesellschaft das Ausscheiden des Gesellschafters, in dessen Person der Ausscheidensgrund eintritt.</w:t>
      </w:r>
    </w:p>
    <w:p>
      <w:r>
        <w:t xml:space="preserve">(2) Auf das Ausscheiden eines Gesellschafters sind die </w:t>
      </w:r>
      <w:hyperlink w:anchor="b1158" w:history="1">
        <w:r>
          <w:rPr>
            <w:color w:val="0A3A8C"/>
            <w:u w:val="single"/>
          </w:rPr>
          <w:t xml:space="preserve">§§ 727</w:t>
        </w:r>
      </w:hyperlink>
      <w:r>
        <w:t xml:space="preserve">, </w:t>
      </w:r>
      <w:hyperlink w:anchor="b1159" w:history="1">
        <w:r>
          <w:rPr>
            <w:color w:val="0A3A8C"/>
            <w:u w:val="single"/>
          </w:rPr>
          <w:t xml:space="preserve">728</w:t>
        </w:r>
      </w:hyperlink>
      <w:r>
        <w:t xml:space="preserve"> und </w:t>
      </w:r>
      <w:hyperlink w:anchor="b1160" w:history="1">
        <w:r>
          <w:rPr>
            <w:color w:val="0A3A8C"/>
            <w:u w:val="single"/>
          </w:rPr>
          <w:t xml:space="preserve">728a</w:t>
        </w:r>
      </w:hyperlink>
      <w:r>
        <w:t xml:space="preserve"> entsprechend anzuwenden.</w:t>
      </w:r>
    </w:p>
    <w:p>
      <w:pPr>
        <w:pStyle w:val="Heading3"/>
      </w:pPr>
      <w:bookmarkStart w:id="1199" w:name="b1184"/>
      <w:r>
        <w:t>Titel 17 Gemeinschaft</w:t>
      </w:r>
      <w:bookmarkEnd w:id="1199"/>
    </w:p>
    <w:p>
      <w:pPr>
        <w:pStyle w:val="Heading4"/>
      </w:pPr>
      <w:bookmarkStart w:id="1200" w:name="b1185"/>
      <w:r>
        <w:t>§ 741 Gemeinschaft nach Bruchteilen</w:t>
      </w:r>
      <w:r>
        <w:t xml:space="preserve"> </w:t>
      </w:r>
      <w:r>
        <w:rPr>
          <w:rStyle w:val="Suchmarke"/>
        </w:rPr>
        <w:t>#741#</w:t>
      </w:r>
      <w:bookmarkEnd w:id="1200"/>
    </w:p>
    <w:p>
      <w:r>
        <w:t>Steht ein Recht mehreren gemeinschaftlich zu, so finden, sofern sich nicht aus dem Gesetz ein anderes ergibt, die Vorschriften der §§ 742 bis 758 Anwendung (Gemeinschaft nach Bruchteilen).</w:t>
      </w:r>
    </w:p>
    <w:p>
      <w:pPr>
        <w:pStyle w:val="Heading4"/>
      </w:pPr>
      <w:bookmarkStart w:id="1201" w:name="b1186"/>
      <w:r>
        <w:t>§ 742 Gleiche Anteile</w:t>
      </w:r>
      <w:r>
        <w:t xml:space="preserve"> </w:t>
      </w:r>
      <w:r>
        <w:rPr>
          <w:rStyle w:val="Suchmarke"/>
        </w:rPr>
        <w:t>#742#</w:t>
      </w:r>
      <w:bookmarkEnd w:id="1201"/>
    </w:p>
    <w:p>
      <w:r>
        <w:t>Im Zweifel ist anzunehmen, dass den Teilhabern gleiche Anteile zustehen.</w:t>
      </w:r>
    </w:p>
    <w:p>
      <w:pPr>
        <w:pStyle w:val="Heading4"/>
      </w:pPr>
      <w:bookmarkStart w:id="1202" w:name="b1187"/>
      <w:r>
        <w:t>§ 743 Früchteanteil; Gebrauchsbefugnis</w:t>
      </w:r>
      <w:r>
        <w:t xml:space="preserve"> </w:t>
      </w:r>
      <w:r>
        <w:rPr>
          <w:rStyle w:val="Suchmarke"/>
        </w:rPr>
        <w:t>#743#</w:t>
      </w:r>
      <w:bookmarkEnd w:id="1202"/>
    </w:p>
    <w:p>
      <w:r>
        <w:t>(1) Jedem Teilhaber gebührt ein seinem Anteil entsprechender Bruchteil der Früchte.</w:t>
      </w:r>
    </w:p>
    <w:p>
      <w:r>
        <w:t>(2) Jeder Teilhaber ist zum Gebrauch des gemeinschaftlichen Gegenstands insoweit befugt, als nicht der Mitgebrauch der übrigen Teilhaber beeinträchtigt wird.</w:t>
      </w:r>
    </w:p>
    <w:p>
      <w:pPr>
        <w:pStyle w:val="Heading4"/>
      </w:pPr>
      <w:bookmarkStart w:id="1203" w:name="b1188"/>
      <w:r>
        <w:t>§ 744 Gemeinschaftliche Verwaltung</w:t>
      </w:r>
      <w:r>
        <w:t xml:space="preserve"> </w:t>
      </w:r>
      <w:r>
        <w:rPr>
          <w:rStyle w:val="Suchmarke"/>
        </w:rPr>
        <w:t>#744#</w:t>
      </w:r>
      <w:bookmarkEnd w:id="1203"/>
    </w:p>
    <w:p>
      <w:r>
        <w:t>(1) Die Verwaltung des gemeinschaftlichen Gegenstands steht den Teilhabern gemeinschaftlich zu.</w:t>
      </w:r>
    </w:p>
    <w:p>
      <w:r>
        <w:t>(2) Jeder Teilhaber ist berechtigt, die zur Erhaltung des Gegenstands notwendigen Maßregeln ohne Zustimmung der anderen Teilhaber zu treffen; er kann verlangen, dass diese ihre Einwilligung zu einer solchen Maßregel im Voraus erteilen.</w:t>
      </w:r>
    </w:p>
    <w:p>
      <w:pPr>
        <w:pStyle w:val="Heading4"/>
      </w:pPr>
      <w:bookmarkStart w:id="1204" w:name="b1189"/>
      <w:r>
        <w:t>§ 745 Verwaltung und Benutzung durch Beschluss</w:t>
      </w:r>
      <w:r>
        <w:t xml:space="preserve"> </w:t>
      </w:r>
      <w:r>
        <w:rPr>
          <w:rStyle w:val="Suchmarke"/>
        </w:rPr>
        <w:t>#745#</w:t>
      </w:r>
      <w:bookmarkEnd w:id="1204"/>
    </w:p>
    <w:p>
      <w:r>
        <w:t xml:space="preserve">(1) </w:t>
      </w:r>
      <w:r>
        <w:rPr>
          <w:rStyle w:val="Satznummer"/>
        </w:rPr>
        <w:t>1</w:t>
      </w:r>
      <w:r>
        <w:t xml:space="preserve">Durch Stimmenmehrheit kann eine der Beschaffenheit des gemeinschaftlichen Gegenstands entsprechende ordnungsmäßige Verwaltung und Benutzung beschlossen werden. </w:t>
      </w:r>
      <w:r>
        <w:rPr>
          <w:rStyle w:val="Satznummer"/>
        </w:rPr>
        <w:t>2</w:t>
      </w:r>
      <w:r>
        <w:t>Die Stimmenmehrheit ist nach der Größe der Anteile zu berechnen.</w:t>
      </w:r>
    </w:p>
    <w:p>
      <w:r>
        <w:t>(2) Jeder Teilhaber kann, sofern nicht die Verwaltung und Benutzung durch Vereinbarung oder durch Mehrheitsbeschluss geregelt ist, eine dem Interesse aller Teilhaber nach billigem Ermessen entsprechende Verwaltung und Benutzung verlangen.</w:t>
      </w:r>
    </w:p>
    <w:p>
      <w:r>
        <w:t xml:space="preserve">(3) </w:t>
      </w:r>
      <w:r>
        <w:rPr>
          <w:rStyle w:val="Satznummer"/>
        </w:rPr>
        <w:t>1</w:t>
      </w:r>
      <w:r>
        <w:t xml:space="preserve">Eine wesentliche Veränderung des Gegenstands kann nicht beschlossen oder verlangt werden. </w:t>
      </w:r>
      <w:r>
        <w:rPr>
          <w:rStyle w:val="Satznummer"/>
        </w:rPr>
        <w:t>2</w:t>
      </w:r>
      <w:r>
        <w:t>Das Recht des einzelnen Teilhabers auf einen seinem Anteil entsprechenden Bruchteil der Nutzungen kann nicht ohne seine Zustimmung beeinträchtigt werden.</w:t>
      </w:r>
    </w:p>
    <w:p>
      <w:pPr>
        <w:pStyle w:val="Heading4"/>
      </w:pPr>
      <w:bookmarkStart w:id="1205" w:name="b1190"/>
      <w:r>
        <w:t>§ 746 Wirkung gegen Sondernachfolger</w:t>
      </w:r>
      <w:r>
        <w:t xml:space="preserve"> </w:t>
      </w:r>
      <w:r>
        <w:rPr>
          <w:rStyle w:val="Suchmarke"/>
        </w:rPr>
        <w:t>#746#</w:t>
      </w:r>
      <w:bookmarkEnd w:id="1205"/>
    </w:p>
    <w:p>
      <w:r>
        <w:t>Haben die Teilhaber die Verwaltung und Benutzung des gemeinschaftlichen Gegenstands geregelt, so wirkt die getroffene Bestimmung auch für und gegen die Sondernachfolger.</w:t>
      </w:r>
    </w:p>
    <w:p>
      <w:pPr>
        <w:pStyle w:val="Heading4"/>
      </w:pPr>
      <w:bookmarkStart w:id="1206" w:name="b1191"/>
      <w:r>
        <w:t>§ 747 Verfügung über Anteil und gemeinschaftliche Gegenstände</w:t>
      </w:r>
      <w:r>
        <w:t xml:space="preserve"> </w:t>
      </w:r>
      <w:r>
        <w:rPr>
          <w:rStyle w:val="Suchmarke"/>
        </w:rPr>
        <w:t>#747#</w:t>
      </w:r>
      <w:bookmarkEnd w:id="1206"/>
    </w:p>
    <w:p>
      <w:r>
        <w:rPr>
          <w:rStyle w:val="Satznummer"/>
        </w:rPr>
        <w:t>1</w:t>
      </w:r>
      <w:r>
        <w:t xml:space="preserve">Jeder Teilhaber kann über seinen Anteil verfügen. </w:t>
      </w:r>
      <w:r>
        <w:rPr>
          <w:rStyle w:val="Satznummer"/>
        </w:rPr>
        <w:t>2</w:t>
      </w:r>
      <w:r>
        <w:t>Über den gemeinschaftlichen Gegenstand im Ganzen können die Teilhaber nur gemeinschaftlich verfügen.</w:t>
      </w:r>
    </w:p>
    <w:p>
      <w:pPr>
        <w:pStyle w:val="Heading4"/>
      </w:pPr>
      <w:bookmarkStart w:id="1207" w:name="b1192"/>
      <w:r>
        <w:t>§ 748 Lasten- und Kostentragung</w:t>
      </w:r>
      <w:r>
        <w:t xml:space="preserve"> </w:t>
      </w:r>
      <w:r>
        <w:rPr>
          <w:rStyle w:val="Suchmarke"/>
        </w:rPr>
        <w:t>#748#</w:t>
      </w:r>
      <w:bookmarkEnd w:id="1207"/>
    </w:p>
    <w:p>
      <w:r>
        <w:t>Jeder Teilhaber ist den anderen Teilhabern gegenüber verpflichtet, die Lasten des gemeinschaftlichen Gegenstands sowie die Kosten der Erhaltung, der Verwaltung und einer gemeinschaftlichen Benutzung nach dem Verhältnis seines Anteils zu tragen.</w:t>
      </w:r>
    </w:p>
    <w:p>
      <w:pPr>
        <w:pStyle w:val="Heading4"/>
      </w:pPr>
      <w:bookmarkStart w:id="1208" w:name="b1193"/>
      <w:r>
        <w:t>§ 749 Aufhebungsanspruch</w:t>
      </w:r>
      <w:r>
        <w:t xml:space="preserve"> </w:t>
      </w:r>
      <w:r>
        <w:rPr>
          <w:rStyle w:val="Suchmarke"/>
        </w:rPr>
        <w:t>#749#</w:t>
      </w:r>
      <w:bookmarkEnd w:id="1208"/>
    </w:p>
    <w:p>
      <w:r>
        <w:t>(1) Jeder Teilhaber kann jederzeit die Aufhebung der Gemeinschaft verlangen.</w:t>
      </w:r>
    </w:p>
    <w:p>
      <w:r>
        <w:t xml:space="preserve">(2) </w:t>
      </w:r>
      <w:r>
        <w:rPr>
          <w:rStyle w:val="Satznummer"/>
        </w:rPr>
        <w:t>1</w:t>
      </w:r>
      <w:r>
        <w:t xml:space="preserve">Wird das Recht, die Aufhebung zu verlangen, durch Vereinbarung für immer oder auf Zeit ausgeschlossen, so kann die Aufhebung gleichwohl verlangt werden, wenn ein wichtiger Grund vorliegt. </w:t>
      </w:r>
      <w:r>
        <w:rPr>
          <w:rStyle w:val="Satznummer"/>
        </w:rPr>
        <w:t>2</w:t>
      </w:r>
      <w:r>
        <w:t>Unter der gleichen Voraussetzung kann, wenn eine Kündigungsfrist bestimmt wird, die Aufhebung ohne Einhaltung der Frist verlangt werden.</w:t>
      </w:r>
    </w:p>
    <w:p>
      <w:r>
        <w:t>(3) Eine Vereinbarung, durch welche das Recht, die Aufhebung zu verlangen, diesen Vorschriften zuwider ausgeschlossen oder beschränkt wird, ist nichtig.</w:t>
      </w:r>
    </w:p>
    <w:p>
      <w:pPr>
        <w:pStyle w:val="Heading4"/>
      </w:pPr>
      <w:bookmarkStart w:id="1209" w:name="b1194"/>
      <w:r>
        <w:t>§ 750 Ausschluss der Aufhebung im Todesfall</w:t>
      </w:r>
      <w:r>
        <w:t xml:space="preserve"> </w:t>
      </w:r>
      <w:r>
        <w:rPr>
          <w:rStyle w:val="Suchmarke"/>
        </w:rPr>
        <w:t>#750#</w:t>
      </w:r>
      <w:bookmarkEnd w:id="1209"/>
    </w:p>
    <w:p>
      <w:r>
        <w:t>Haben die Teilhaber das Recht, die Aufhebung der Gemeinschaft zu verlangen, auf Zeit ausgeschlossen, so tritt die Vereinbarung im Zweifel mit dem Tode eines Teilhabers außer Kraft.</w:t>
      </w:r>
    </w:p>
    <w:p>
      <w:pPr>
        <w:pStyle w:val="Heading4"/>
      </w:pPr>
      <w:bookmarkStart w:id="1210" w:name="b1195"/>
      <w:r>
        <w:t>§ 751 Ausschluss der Aufhebung und Sondernachfolger</w:t>
      </w:r>
      <w:r>
        <w:t xml:space="preserve"> </w:t>
      </w:r>
      <w:r>
        <w:rPr>
          <w:rStyle w:val="Suchmarke"/>
        </w:rPr>
        <w:t>#751#</w:t>
      </w:r>
      <w:bookmarkEnd w:id="1210"/>
    </w:p>
    <w:p>
      <w:r>
        <w:rPr>
          <w:rStyle w:val="Satznummer"/>
        </w:rPr>
        <w:t>1</w:t>
      </w:r>
      <w:r>
        <w:t xml:space="preserve">Haben die Teilhaber das Recht, die Aufhebung der Gemeinschaft zu verlangen, für immer oder auf Zeit ausgeschlossen oder eine Kündigungsfrist bestimmt, so wirkt die Vereinbarung auch für und gegen die Sondernachfolger. </w:t>
      </w:r>
      <w:r>
        <w:rPr>
          <w:rStyle w:val="Satznummer"/>
        </w:rPr>
        <w:t>2</w:t>
      </w:r>
      <w:r>
        <w:t>Hat ein Gläubiger die Pfändung des Anteils eines Teilhabers erwirkt, so kann er ohne Rücksicht auf die Vereinbarung die Aufhebung der Gemeinschaft verlangen, sofern der Schuldtitel nicht bloß vorläufig vollstreckbar ist.</w:t>
      </w:r>
    </w:p>
    <w:p>
      <w:pPr>
        <w:pStyle w:val="Heading4"/>
      </w:pPr>
      <w:bookmarkStart w:id="1211" w:name="b1196"/>
      <w:r>
        <w:t>§ 752 Teilung in Natur</w:t>
      </w:r>
      <w:r>
        <w:t xml:space="preserve"> </w:t>
      </w:r>
      <w:r>
        <w:rPr>
          <w:rStyle w:val="Suchmarke"/>
        </w:rPr>
        <w:t>#752#</w:t>
      </w:r>
      <w:bookmarkEnd w:id="1211"/>
    </w:p>
    <w:p>
      <w:r>
        <w:rPr>
          <w:rStyle w:val="Satznummer"/>
        </w:rPr>
        <w:t>1</w:t>
      </w:r>
      <w:r>
        <w:t xml:space="preserve">Die Aufhebung der Gemeinschaft erfolgt durch Teilung in Natur, wenn der gemeinschaftliche Gegenstand oder, falls mehrere Gegenstände gemeinschaftlich sind, diese sich ohne Verminderung des Wertes in gleichartige, den Anteilen der Teilhaber entsprechende Teile zerlegen lassen. </w:t>
      </w:r>
      <w:r>
        <w:rPr>
          <w:rStyle w:val="Satznummer"/>
        </w:rPr>
        <w:t>2</w:t>
      </w:r>
      <w:r>
        <w:t>Die Verteilung gleicher Teile unter die Teilhaber geschieht durch das Los.</w:t>
      </w:r>
    </w:p>
    <w:p>
      <w:pPr>
        <w:pStyle w:val="Heading4"/>
      </w:pPr>
      <w:bookmarkStart w:id="1212" w:name="b1197"/>
      <w:r>
        <w:t>§ 753 Teilung durch Verkauf</w:t>
      </w:r>
      <w:r>
        <w:t xml:space="preserve"> </w:t>
      </w:r>
      <w:r>
        <w:rPr>
          <w:rStyle w:val="Suchmarke"/>
        </w:rPr>
        <w:t>#753#</w:t>
      </w:r>
      <w:bookmarkEnd w:id="1212"/>
    </w:p>
    <w:p>
      <w:r>
        <w:t xml:space="preserve">(1) </w:t>
      </w:r>
      <w:r>
        <w:rPr>
          <w:rStyle w:val="Satznummer"/>
        </w:rPr>
        <w:t>1</w:t>
      </w:r>
      <w:r>
        <w:t xml:space="preserve">Ist die Teilung in Natur ausgeschlossen, so erfolgt die Aufhebung der Gemeinschaft durch Verkauf des gemeinschaftlichen Gegenstands nach den Vorschriften über den Pfandverkauf, bei Grundstücken durch Zwangsversteigerung und durch Teilung des Erlöses. </w:t>
      </w:r>
      <w:r>
        <w:rPr>
          <w:rStyle w:val="Satznummer"/>
        </w:rPr>
        <w:t>2</w:t>
      </w:r>
      <w:r>
        <w:t>Ist die Veräußerung an einen Dritten unstatthaft, so ist der Gegenstand unter den Teilhabern zu versteigern.</w:t>
      </w:r>
    </w:p>
    <w:p>
      <w:r>
        <w:t>(2) Hat der Versuch, den Gegenstand zu verkaufen, keinen Erfolg, so kann jeder Teilhaber die Wiederholung verlangen; er hat jedoch die Kosten zu tragen, wenn der wiederholte Versuch misslingt.</w:t>
      </w:r>
    </w:p>
    <w:p>
      <w:pPr>
        <w:pStyle w:val="Heading4"/>
      </w:pPr>
      <w:bookmarkStart w:id="1213" w:name="b1198"/>
      <w:r>
        <w:t>§ 754 Verkauf gemeinschaftlicher Forderungen</w:t>
      </w:r>
      <w:r>
        <w:t xml:space="preserve"> </w:t>
      </w:r>
      <w:r>
        <w:rPr>
          <w:rStyle w:val="Suchmarke"/>
        </w:rPr>
        <w:t>#754#</w:t>
      </w:r>
      <w:bookmarkEnd w:id="1213"/>
    </w:p>
    <w:p>
      <w:r>
        <w:rPr>
          <w:rStyle w:val="Satznummer"/>
        </w:rPr>
        <w:t>1</w:t>
      </w:r>
      <w:r>
        <w:t xml:space="preserve">Der Verkauf einer gemeinschaftlichen Forderung ist nur zulässig, wenn sie noch nicht eingezogen werden kann. </w:t>
      </w:r>
      <w:r>
        <w:rPr>
          <w:rStyle w:val="Satznummer"/>
        </w:rPr>
        <w:t>2</w:t>
      </w:r>
      <w:r>
        <w:t>Ist die Einziehung möglich, so kann jeder Teilhaber gemeinschaftliche Einziehung verlangen.</w:t>
      </w:r>
    </w:p>
    <w:p>
      <w:pPr>
        <w:pStyle w:val="Heading4"/>
      </w:pPr>
      <w:bookmarkStart w:id="1214" w:name="b1199"/>
      <w:r>
        <w:t>§ 755 Berichtigung einer Gesamtschuld</w:t>
      </w:r>
      <w:r>
        <w:t xml:space="preserve"> </w:t>
      </w:r>
      <w:r>
        <w:rPr>
          <w:rStyle w:val="Suchmarke"/>
        </w:rPr>
        <w:t>#755#</w:t>
      </w:r>
      <w:bookmarkEnd w:id="1214"/>
    </w:p>
    <w:p>
      <w:r>
        <w:t xml:space="preserve">(1) Haften die Teilhaber als Gesamtschuldner für eine Verbindlichkeit, die sie in Gemäßheit des </w:t>
      </w:r>
      <w:hyperlink w:anchor="b1192" w:history="1">
        <w:r>
          <w:rPr>
            <w:color w:val="0A3A8C"/>
            <w:u w:val="single"/>
          </w:rPr>
          <w:t xml:space="preserve">§ 748</w:t>
        </w:r>
      </w:hyperlink>
      <w:r>
        <w:t xml:space="preserve"> nach dem Verhältnis ihrer Anteile zu erfüllen haben oder die sie zum Zwecke der Erfüllung einer solchen Verbindlichkeit eingegangen sind, so kann jeder Teilhaber bei der Aufhebung der Gemeinschaft verlangen, dass die Schuld aus dem gemeinschaftlichen Gegenstand berichtigt wird.</w:t>
      </w:r>
    </w:p>
    <w:p>
      <w:r>
        <w:t>(2) Der Anspruch kann auch gegen die Sondernachfolger geltend gemacht werden.</w:t>
      </w:r>
    </w:p>
    <w:p>
      <w:r>
        <w:t xml:space="preserve">(3) Soweit zur Berichtigung der Schuld der Verkauf des gemeinschaftlichen Gegenstands erforderlich ist, hat der Verkauf nach </w:t>
      </w:r>
      <w:hyperlink w:anchor="b1197" w:history="1">
        <w:r>
          <w:rPr>
            <w:color w:val="0A3A8C"/>
            <w:u w:val="single"/>
          </w:rPr>
          <w:t xml:space="preserve">§ 753</w:t>
        </w:r>
      </w:hyperlink>
      <w:r>
        <w:t xml:space="preserve"> zu erfolgen.</w:t>
      </w:r>
    </w:p>
    <w:p>
      <w:pPr>
        <w:pStyle w:val="Heading4"/>
      </w:pPr>
      <w:bookmarkStart w:id="1215" w:name="b1200"/>
      <w:r>
        <w:t>§ 756 Berichtigung einer Teilhaberschuld</w:t>
      </w:r>
      <w:r>
        <w:t xml:space="preserve"> </w:t>
      </w:r>
      <w:r>
        <w:rPr>
          <w:rStyle w:val="Suchmarke"/>
        </w:rPr>
        <w:t>#756#</w:t>
      </w:r>
      <w:bookmarkEnd w:id="1215"/>
    </w:p>
    <w:p>
      <w:r>
        <w:rPr>
          <w:rStyle w:val="Satznummer"/>
        </w:rPr>
        <w:t>1</w:t>
      </w:r>
      <w:r>
        <w:t xml:space="preserve">Hat ein Teilhaber gegen einen anderen Teilhaber eine Forderung, die sich auf die Gemeinschaft gründet, so kann er bei der Aufhebung der Gemeinschaft die Berichtigung seiner Forderung aus dem auf den Schuldner entfallenden Teil des gemeinschaftlichen Gegenstands verlangen. </w:t>
      </w:r>
      <w:r>
        <w:rPr>
          <w:rStyle w:val="Satznummer"/>
        </w:rPr>
        <w:t>2</w:t>
      </w:r>
      <w:r>
        <w:t xml:space="preserve">Die Vorschrift des </w:t>
      </w:r>
      <w:hyperlink w:anchor="b1199" w:history="1">
        <w:r>
          <w:rPr>
            <w:color w:val="0A3A8C"/>
            <w:u w:val="single"/>
          </w:rPr>
          <w:t xml:space="preserve">§ 755</w:t>
        </w:r>
      </w:hyperlink>
      <w:r>
        <w:t xml:space="preserve"> Abs. 2, 3 findet Anwendung.</w:t>
      </w:r>
    </w:p>
    <w:p>
      <w:pPr>
        <w:pStyle w:val="Heading4"/>
      </w:pPr>
      <w:bookmarkStart w:id="1216" w:name="b1201"/>
      <w:r>
        <w:t>§ 757 Gewährleistung bei Zuteilung an einen Teilhaber</w:t>
      </w:r>
      <w:r>
        <w:t xml:space="preserve"> </w:t>
      </w:r>
      <w:r>
        <w:rPr>
          <w:rStyle w:val="Suchmarke"/>
        </w:rPr>
        <w:t>#757#</w:t>
      </w:r>
      <w:bookmarkEnd w:id="1216"/>
    </w:p>
    <w:p>
      <w:r>
        <w:t>Wird bei der Aufhebung der Gemeinschaft ein gemeinschaftlicher Gegenstand einem der Teilhaber zugeteilt, so hat wegen eines Mangels im Recht oder wegen eines Mangels der Sache jeder der übrigen Teilhaber zu seinem Anteil in gleicher Weise wie ein Verkäufer Gewähr zu leisten.</w:t>
      </w:r>
    </w:p>
    <w:p>
      <w:pPr>
        <w:pStyle w:val="Heading4"/>
      </w:pPr>
      <w:bookmarkStart w:id="1217" w:name="b1202"/>
      <w:r>
        <w:t>§ 758 Unverjährbarkeit des Aufhebungsanspruchs</w:t>
      </w:r>
      <w:r>
        <w:t xml:space="preserve"> </w:t>
      </w:r>
      <w:r>
        <w:rPr>
          <w:rStyle w:val="Suchmarke"/>
        </w:rPr>
        <w:t>#758#</w:t>
      </w:r>
      <w:bookmarkEnd w:id="1217"/>
    </w:p>
    <w:p>
      <w:r>
        <w:t>Der Anspruch auf Aufhebung der Gemeinschaft unterliegt nicht der Verjährung.</w:t>
      </w:r>
    </w:p>
    <w:p>
      <w:pPr>
        <w:pStyle w:val="Heading3"/>
      </w:pPr>
      <w:bookmarkStart w:id="1218" w:name="b1203"/>
      <w:r>
        <w:t>Titel 18 Leibrente</w:t>
      </w:r>
      <w:bookmarkEnd w:id="1218"/>
    </w:p>
    <w:p>
      <w:pPr>
        <w:pStyle w:val="Heading4"/>
      </w:pPr>
      <w:bookmarkStart w:id="1219" w:name="b1204"/>
      <w:r>
        <w:t>§ 759 Dauer und Betrag der Rente</w:t>
      </w:r>
      <w:r>
        <w:t xml:space="preserve"> </w:t>
      </w:r>
      <w:r>
        <w:rPr>
          <w:rStyle w:val="Suchmarke"/>
        </w:rPr>
        <w:t>#759#</w:t>
      </w:r>
      <w:bookmarkEnd w:id="1219"/>
    </w:p>
    <w:p>
      <w:r>
        <w:t>(1) Wer zur Gewährung einer Leibrente verpflichtet ist, hat die Rente im Zweifel für die Lebensdauer des Gläubigers zu entrichten.</w:t>
      </w:r>
    </w:p>
    <w:p>
      <w:r>
        <w:t>(2) Der für die Rente bestimmte Betrag ist im Zweifel der Jahresbetrag der Rente.</w:t>
      </w:r>
    </w:p>
    <w:p>
      <w:pPr>
        <w:pStyle w:val="Heading4"/>
      </w:pPr>
      <w:bookmarkStart w:id="1220" w:name="b1205"/>
      <w:r>
        <w:t>§ 760 Vorauszahlung</w:t>
      </w:r>
      <w:r>
        <w:t xml:space="preserve"> </w:t>
      </w:r>
      <w:r>
        <w:rPr>
          <w:rStyle w:val="Suchmarke"/>
        </w:rPr>
        <w:t>#760#</w:t>
      </w:r>
      <w:bookmarkEnd w:id="1220"/>
    </w:p>
    <w:p>
      <w:r>
        <w:t>(1) Die Leibrente ist im Voraus zu entrichten.</w:t>
      </w:r>
    </w:p>
    <w:p>
      <w:r>
        <w:t>(2) Eine Geldrente ist für drei Monate vorauszuzahlen; bei einer anderen Rente bestimmt sich der Zeitabschnitt, für den sie im Voraus zu entrichten ist, nach der Beschaffenheit und dem Zwecke der Rente.</w:t>
      </w:r>
    </w:p>
    <w:p>
      <w:r>
        <w:t>(3) Hat der Gläubiger den Beginn des Zeitabschnitts erlebt, für den die Rente im Voraus zu entrichten ist, so gebührt ihm der volle auf den Zeitabschnitt entfallende Betrag.</w:t>
      </w:r>
    </w:p>
    <w:p>
      <w:pPr>
        <w:pStyle w:val="Heading4"/>
      </w:pPr>
      <w:bookmarkStart w:id="1221" w:name="b1206"/>
      <w:r>
        <w:t>§ 761 Form des Leibrentenversprechens</w:t>
      </w:r>
      <w:r>
        <w:t xml:space="preserve"> </w:t>
      </w:r>
      <w:r>
        <w:rPr>
          <w:rStyle w:val="Suchmarke"/>
        </w:rPr>
        <w:t>#761#</w:t>
      </w:r>
      <w:bookmarkEnd w:id="1221"/>
    </w:p>
    <w:p>
      <w:r>
        <w:rPr>
          <w:rStyle w:val="Satznummer"/>
        </w:rPr>
        <w:t>1</w:t>
      </w:r>
      <w:r>
        <w:t xml:space="preserve">Zur Gültigkeit eines Vertrags, durch den eine Leibrente versprochen wird, ist, soweit nicht eine andere Form vorgeschrieben ist, schriftliche Erteilung des Versprechens erforderlich. </w:t>
      </w:r>
      <w:r>
        <w:rPr>
          <w:rStyle w:val="Satznummer"/>
        </w:rPr>
        <w:t>2</w:t>
      </w:r>
      <w:r>
        <w:t>Die Erteilung des Leibrentenversprechens in elektronischer Form ist ausgeschlossen, soweit das Versprechen der Gewährung familienrechtlichen Unterhalts dient.</w:t>
      </w:r>
    </w:p>
    <w:p>
      <w:pPr>
        <w:pStyle w:val="Heading3"/>
      </w:pPr>
      <w:bookmarkStart w:id="1222" w:name="b1207"/>
      <w:r>
        <w:t>Titel 19 Unvollkommene Verbindlichkeiten</w:t>
      </w:r>
      <w:bookmarkEnd w:id="1222"/>
    </w:p>
    <w:p>
      <w:pPr>
        <w:pStyle w:val="Heading4"/>
      </w:pPr>
      <w:bookmarkStart w:id="1223" w:name="b1208"/>
      <w:r>
        <w:t>§ 762 Spiel, Wette</w:t>
      </w:r>
      <w:r>
        <w:t xml:space="preserve"> </w:t>
      </w:r>
      <w:r>
        <w:rPr>
          <w:rStyle w:val="Suchmarke"/>
        </w:rPr>
        <w:t>#762#</w:t>
      </w:r>
      <w:bookmarkEnd w:id="1223"/>
    </w:p>
    <w:p>
      <w:r>
        <w:t xml:space="preserve">(1) </w:t>
      </w:r>
      <w:r>
        <w:rPr>
          <w:rStyle w:val="Satznummer"/>
        </w:rPr>
        <w:t>1</w:t>
      </w:r>
      <w:r>
        <w:t xml:space="preserve">Durch Spiel oder durch Wette wird eine Verbindlichkeit nicht begründet. </w:t>
      </w:r>
      <w:r>
        <w:rPr>
          <w:rStyle w:val="Satznummer"/>
        </w:rPr>
        <w:t>2</w:t>
      </w:r>
      <w:r>
        <w:t>Das auf Grund des Spieles oder der Wette Geleistete kann nicht deshalb zurückgefordert werden, weil eine Verbindlichkeit nicht bestanden hat.</w:t>
      </w:r>
    </w:p>
    <w:p>
      <w:r>
        <w:t>(2) Diese Vorschriften gelten auch für eine Vereinbarung, durch die der verlierende Teil zum Zwecke der Erfüllung einer Spiel- oder einer Wettschuld dem gewinnenden Teil gegenüber eine Verbindlichkeit eingeht, insbesondere für ein Schuldanerkenntnis.</w:t>
      </w:r>
    </w:p>
    <w:p>
      <w:pPr>
        <w:pStyle w:val="Heading4"/>
      </w:pPr>
      <w:bookmarkStart w:id="1224" w:name="b1209"/>
      <w:r>
        <w:t>§ 763 Lotterie- und Ausspielvertrag</w:t>
      </w:r>
      <w:r>
        <w:t xml:space="preserve"> </w:t>
      </w:r>
      <w:r>
        <w:rPr>
          <w:rStyle w:val="Suchmarke"/>
        </w:rPr>
        <w:t>#763#</w:t>
      </w:r>
      <w:bookmarkEnd w:id="1224"/>
    </w:p>
    <w:p>
      <w:r>
        <w:rPr>
          <w:rStyle w:val="Satznummer"/>
        </w:rPr>
        <w:t>1</w:t>
      </w:r>
      <w:r>
        <w:t xml:space="preserve">Ein Lotterievertrag oder ein Ausspielvertrag ist verbindlich, wenn die Lotterie oder die Ausspielung staatlich genehmigt ist. </w:t>
      </w:r>
      <w:r>
        <w:rPr>
          <w:rStyle w:val="Satznummer"/>
        </w:rPr>
        <w:t>2</w:t>
      </w:r>
      <w:r>
        <w:t>Anderenfalls findet die Vorschrift des § 762 Anwendung.</w:t>
      </w:r>
    </w:p>
    <w:p>
      <w:pPr>
        <w:pStyle w:val="Heading4"/>
      </w:pPr>
      <w:bookmarkStart w:id="1225" w:name="b1210"/>
      <w:r>
        <w:t>§ 764</w:t>
      </w:r>
      <w:r>
        <w:t xml:space="preserve"> </w:t>
      </w:r>
      <w:r>
        <w:rPr>
          <w:rStyle w:val="Suchmarke"/>
        </w:rPr>
        <w:t>#764#</w:t>
      </w:r>
      <w:bookmarkEnd w:id="1225"/>
    </w:p>
    <w:p>
      <w:r>
        <w:t>(weggefallen)</w:t>
      </w:r>
    </w:p>
    <w:p>
      <w:pPr>
        <w:pStyle w:val="Heading3"/>
      </w:pPr>
      <w:bookmarkStart w:id="1226" w:name="b1211"/>
      <w:r>
        <w:t>Titel 20 Bürgschaft</w:t>
      </w:r>
      <w:bookmarkEnd w:id="1226"/>
    </w:p>
    <w:p>
      <w:pPr>
        <w:pStyle w:val="Heading4"/>
      </w:pPr>
      <w:bookmarkStart w:id="1227" w:name="b1212"/>
      <w:r>
        <w:t>§ 765 Vertragstypische Pflichten bei der Bürgschaft</w:t>
      </w:r>
      <w:r>
        <w:t xml:space="preserve"> </w:t>
      </w:r>
      <w:r>
        <w:rPr>
          <w:rStyle w:val="Suchmarke"/>
        </w:rPr>
        <w:t>#765#</w:t>
      </w:r>
      <w:bookmarkEnd w:id="1227"/>
    </w:p>
    <w:p>
      <w:r>
        <w:t>(1) Durch den Bürgschaftsvertrag verpflichtet sich der Bürge gegenüber dem Gläubiger eines Dritten, für die Erfüllung der Verbindlichkeit des Dritten einzustehen.</w:t>
      </w:r>
    </w:p>
    <w:p>
      <w:r>
        <w:t>(2) Die Bürgschaft kann auch für eine künftige oder eine bedingte Verbindlichkeit übernommen werden.</w:t>
      </w:r>
    </w:p>
    <w:p>
      <w:pPr>
        <w:pStyle w:val="Heading4"/>
      </w:pPr>
      <w:bookmarkStart w:id="1228" w:name="b1213"/>
      <w:r>
        <w:t>§ 766 Schriftform der Bürgschaftserklärung</w:t>
      </w:r>
      <w:r>
        <w:t xml:space="preserve"> </w:t>
      </w:r>
      <w:r>
        <w:rPr>
          <w:rStyle w:val="Suchmarke"/>
        </w:rPr>
        <w:t>#766#</w:t>
      </w:r>
      <w:bookmarkEnd w:id="1228"/>
    </w:p>
    <w:p>
      <w:r>
        <w:rPr>
          <w:rStyle w:val="Satznummer"/>
        </w:rPr>
        <w:t>1</w:t>
      </w:r>
      <w:r>
        <w:t xml:space="preserve">Zur Gültigkeit des Bürgschaftsvertrags ist schriftliche Erteilung der Bürgschaftserklärung erforderlich. </w:t>
      </w:r>
      <w:r>
        <w:rPr>
          <w:rStyle w:val="Satznummer"/>
        </w:rPr>
        <w:t>2</w:t>
      </w:r>
      <w:r>
        <w:t xml:space="preserve">Die Erteilung der Bürgschaftserklärung in elektronischer Form ist ausgeschlossen. </w:t>
      </w:r>
      <w:r>
        <w:rPr>
          <w:rStyle w:val="Satznummer"/>
        </w:rPr>
        <w:t>3</w:t>
      </w:r>
      <w:r>
        <w:t>Soweit der Bürge die Hauptverbindlichkeit erfüllt, wird der Mangel der Form geheilt.</w:t>
      </w:r>
    </w:p>
    <w:p>
      <w:pPr>
        <w:pStyle w:val="Heading4"/>
      </w:pPr>
      <w:bookmarkStart w:id="1229" w:name="b1214"/>
      <w:r>
        <w:t>§ 767 Umfang der Bürgschaftsschuld</w:t>
      </w:r>
      <w:r>
        <w:t xml:space="preserve"> </w:t>
      </w:r>
      <w:r>
        <w:rPr>
          <w:rStyle w:val="Suchmarke"/>
        </w:rPr>
        <w:t>#767#</w:t>
      </w:r>
      <w:bookmarkEnd w:id="1229"/>
    </w:p>
    <w:p>
      <w:r>
        <w:t xml:space="preserve">(1) </w:t>
      </w:r>
      <w:r>
        <w:rPr>
          <w:rStyle w:val="Satznummer"/>
        </w:rPr>
        <w:t>1</w:t>
      </w:r>
      <w:r>
        <w:t xml:space="preserve">Für die Verpflichtung des Bürgen ist der jeweilige Bestand der Hauptverbindlichkeit maßgebend. </w:t>
      </w:r>
      <w:r>
        <w:rPr>
          <w:rStyle w:val="Satznummer"/>
        </w:rPr>
        <w:t>2</w:t>
      </w:r>
      <w:r>
        <w:t xml:space="preserve">Dies gilt insbesondere auch, wenn die Hauptverbindlichkeit durch Verschulden oder Verzug des Hauptschuldners geändert wird. </w:t>
      </w:r>
      <w:r>
        <w:rPr>
          <w:rStyle w:val="Satznummer"/>
        </w:rPr>
        <w:t>3</w:t>
      </w:r>
      <w:r>
        <w:t>Durch ein Rechtsgeschäft, das der Hauptschuldner nach der Übernahme der Bürgschaft vornimmt, wird die Verpflichtung des Bürgen nicht erweitert.</w:t>
      </w:r>
    </w:p>
    <w:p>
      <w:r>
        <w:t>(2) Der Bürge haftet für die dem Gläubiger von dem Hauptschuldner zu ersetzenden Kosten der Kündigung und der Rechtsverfolgung.</w:t>
      </w:r>
    </w:p>
    <w:p>
      <w:pPr>
        <w:pStyle w:val="Heading4"/>
      </w:pPr>
      <w:bookmarkStart w:id="1230" w:name="b1215"/>
      <w:r>
        <w:t>§ 768 Einreden des Bürgen</w:t>
      </w:r>
      <w:r>
        <w:t xml:space="preserve"> </w:t>
      </w:r>
      <w:r>
        <w:rPr>
          <w:rStyle w:val="Suchmarke"/>
        </w:rPr>
        <w:t>#768#</w:t>
      </w:r>
      <w:bookmarkEnd w:id="1230"/>
    </w:p>
    <w:p>
      <w:r>
        <w:t xml:space="preserve">(1) </w:t>
      </w:r>
      <w:r>
        <w:rPr>
          <w:rStyle w:val="Satznummer"/>
        </w:rPr>
        <w:t>1</w:t>
      </w:r>
      <w:r>
        <w:t xml:space="preserve">Der Bürge kann die dem Hauptschuldner zustehenden Einreden geltend machen. </w:t>
      </w:r>
      <w:r>
        <w:rPr>
          <w:rStyle w:val="Satznummer"/>
        </w:rPr>
        <w:t>2</w:t>
      </w:r>
      <w:r>
        <w:t>Stirbt der Hauptschuldner, so kann sich der Bürge nicht darauf berufen, dass der Erbe für die Verbindlichkeit nur beschränkt haftet.</w:t>
      </w:r>
    </w:p>
    <w:p>
      <w:r>
        <w:t>(2) Der Bürge verliert eine Einrede nicht dadurch, dass der Hauptschuldner auf sie verzichtet.</w:t>
      </w:r>
    </w:p>
    <w:p>
      <w:pPr>
        <w:pStyle w:val="Heading4"/>
      </w:pPr>
      <w:bookmarkStart w:id="1231" w:name="b1216"/>
      <w:r>
        <w:t>§ 769 Mitbürgschaft</w:t>
      </w:r>
      <w:r>
        <w:t xml:space="preserve"> </w:t>
      </w:r>
      <w:r>
        <w:rPr>
          <w:rStyle w:val="Suchmarke"/>
        </w:rPr>
        <w:t>#769#</w:t>
      </w:r>
      <w:bookmarkEnd w:id="1231"/>
    </w:p>
    <w:p>
      <w:r>
        <w:t>Verbürgen sich mehrere für dieselbe Verbindlichkeit, so haften sie als Gesamtschuldner, auch wenn sie die Bürgschaft nicht gemeinschaftlich übernehmen.</w:t>
      </w:r>
    </w:p>
    <w:p>
      <w:pPr>
        <w:pStyle w:val="Heading4"/>
      </w:pPr>
      <w:bookmarkStart w:id="1232" w:name="b1217"/>
      <w:r>
        <w:t>§ 770 Einreden der Anfechtbarkeit und der Aufrechenbarkeit</w:t>
      </w:r>
      <w:r>
        <w:t xml:space="preserve"> </w:t>
      </w:r>
      <w:r>
        <w:rPr>
          <w:rStyle w:val="Suchmarke"/>
        </w:rPr>
        <w:t>#770#</w:t>
      </w:r>
      <w:bookmarkEnd w:id="1232"/>
    </w:p>
    <w:p>
      <w:r>
        <w:t>(1) Der Bürge kann die Befriedigung des Gläubigers verweigern, solange dem Hauptschuldner das Recht zusteht, das seiner Verbindlichkeit zugrunde liegende Rechtsgeschäft anzufechten.</w:t>
      </w:r>
    </w:p>
    <w:p>
      <w:r>
        <w:t>(2) Die gleiche Befugnis hat der Bürge, solange sich der Gläubiger durch Aufrechnung gegen eine fällige Forderung des Hauptschuldners befriedigen kann.</w:t>
      </w:r>
    </w:p>
    <w:p>
      <w:pPr>
        <w:pStyle w:val="Heading4"/>
      </w:pPr>
      <w:bookmarkStart w:id="1233" w:name="b1218"/>
      <w:r>
        <w:t>§ 771 Einrede der Vorausklage</w:t>
      </w:r>
      <w:r>
        <w:t xml:space="preserve"> </w:t>
      </w:r>
      <w:r>
        <w:rPr>
          <w:rStyle w:val="Suchmarke"/>
        </w:rPr>
        <w:t>#771#</w:t>
      </w:r>
      <w:bookmarkEnd w:id="1233"/>
    </w:p>
    <w:p>
      <w:r>
        <w:rPr>
          <w:rStyle w:val="Satznummer"/>
        </w:rPr>
        <w:t>1</w:t>
      </w:r>
      <w:r>
        <w:t xml:space="preserve">Der Bürge kann die Befriedigung des Gläubigers verweigern, solange nicht der Gläubiger eine Zwangsvollstreckung gegen den Hauptschuldner ohne Erfolg versucht hat (Einrede der Vorausklage). </w:t>
      </w:r>
      <w:r>
        <w:rPr>
          <w:rStyle w:val="Satznummer"/>
        </w:rPr>
        <w:t>2</w:t>
      </w:r>
      <w:r>
        <w:t>Erhebt der Bürge die Einrede der Vorausklage, ist die Verjährung des Anspruchs des Gläubigers gegen den Bürgen gehemmt, bis der Gläubiger eine Zwangsvollstreckung gegen den Hauptschuldner ohne Erfolg versucht hat.</w:t>
      </w:r>
    </w:p>
    <w:p>
      <w:pPr>
        <w:pStyle w:val="Heading4"/>
      </w:pPr>
      <w:bookmarkStart w:id="1234" w:name="b1219"/>
      <w:r>
        <w:t>§ 772 Vollstreckungs- und Verwertungspflicht des Gläubigers</w:t>
      </w:r>
      <w:r>
        <w:t xml:space="preserve"> </w:t>
      </w:r>
      <w:r>
        <w:rPr>
          <w:rStyle w:val="Suchmarke"/>
        </w:rPr>
        <w:t>#772#</w:t>
      </w:r>
      <w:bookmarkEnd w:id="1234"/>
    </w:p>
    <w:p>
      <w:r>
        <w:t>(1) Besteht die Bürgschaft für eine Geldforderung, so muss die Zwangsvollstreckung in die beweglichen Sachen des Hauptschuldners an seinem Wohnsitz und, wenn der Hauptschuldner an einem anderen Orte eine gewerbliche Niederlassung hat, auch an diesem Orte, in Ermangelung eines Wohnsitzes und einer gewerblichen Niederlassung an seinem Aufenthaltsort versucht werden.</w:t>
      </w:r>
    </w:p>
    <w:p>
      <w:r>
        <w:t xml:space="preserve">(2) </w:t>
      </w:r>
      <w:r>
        <w:rPr>
          <w:rStyle w:val="Satznummer"/>
        </w:rPr>
        <w:t>1</w:t>
      </w:r>
      <w:r>
        <w:t xml:space="preserve">Steht dem Gläubiger ein Pfandrecht oder ein Zurückbehaltungsrecht an einer beweglichen Sache des Hauptschuldners zu, so muss er auch aus dieser Sache Befriedigung suchen. </w:t>
      </w:r>
      <w:r>
        <w:rPr>
          <w:rStyle w:val="Satznummer"/>
        </w:rPr>
        <w:t>2</w:t>
      </w:r>
      <w:r>
        <w:t>Steht dem Gläubiger ein solches Recht an der Sache auch für eine andere Forderung zu, so gilt dies nur, wenn beide Forderungen durch den Wert der Sache gedeckt werden.</w:t>
      </w:r>
    </w:p>
    <w:p>
      <w:pPr>
        <w:pStyle w:val="Heading4"/>
      </w:pPr>
      <w:bookmarkStart w:id="1235" w:name="b1220"/>
      <w:r>
        <w:t>§ 773 Ausschluss der Einrede der Vorausklage</w:t>
      </w:r>
      <w:r>
        <w:t xml:space="preserve"> </w:t>
      </w:r>
      <w:r>
        <w:rPr>
          <w:rStyle w:val="Suchmarke"/>
        </w:rPr>
        <w:t>#773#</w:t>
      </w:r>
      <w:bookmarkEnd w:id="1235"/>
    </w:p>
    <w:p>
      <w:r>
        <w:t>(1) Die Einrede der Vorausklage ist ausgeschlossen:</w:t>
      </w:r>
    </w:p>
    <w:p>
      <w:pPr>
        <w:tabs>
          <w:tab w:pos="567" w:val="left"/>
        </w:tabs>
        <w:ind w:left="567" w:hanging="567"/>
      </w:pPr>
      <w:r>
        <w:t>1.</w:t>
      </w:r>
      <w:r>
        <w:tab/>
      </w:r>
      <w:r>
        <w:t>wenn der Bürge auf die Einrede verzichtet, insbesondere wenn er sich als Selbstschuldner verbürgt hat,</w:t>
      </w:r>
    </w:p>
    <w:p>
      <w:pPr>
        <w:tabs>
          <w:tab w:pos="567" w:val="left"/>
        </w:tabs>
        <w:ind w:left="567" w:hanging="567"/>
      </w:pPr>
      <w:r>
        <w:t>2.</w:t>
      </w:r>
      <w:r>
        <w:tab/>
      </w:r>
      <w:r>
        <w:t>wenn die Rechtsverfolgung gegen den Hauptschuldner infolge einer nach der Übernahme der Bürgschaft eingetretenen Änderung des Wohnsitzes, der gewerblichen Niederlassung oder des Aufenthaltsorts des Hauptschuldners wesentlich erschwert ist,</w:t>
      </w:r>
    </w:p>
    <w:p>
      <w:pPr>
        <w:tabs>
          <w:tab w:pos="567" w:val="left"/>
        </w:tabs>
        <w:ind w:left="567" w:hanging="567"/>
      </w:pPr>
      <w:r>
        <w:t>3.</w:t>
      </w:r>
      <w:r>
        <w:tab/>
      </w:r>
      <w:r>
        <w:t>wenn über das Vermögen des Hauptschuldners das Insolvenzverfahren eröffnet ist,</w:t>
      </w:r>
    </w:p>
    <w:p>
      <w:pPr>
        <w:tabs>
          <w:tab w:pos="567" w:val="left"/>
        </w:tabs>
        <w:ind w:left="567" w:hanging="567"/>
      </w:pPr>
      <w:r>
        <w:t>4.</w:t>
      </w:r>
      <w:r>
        <w:tab/>
      </w:r>
      <w:r>
        <w:t>wenn anzunehmen ist, dass die Zwangsvollstreckung in das Vermögen des Hauptschuldners nicht zur Befriedigung des Gläubigers führen wird.</w:t>
      </w:r>
    </w:p>
    <w:p>
      <w:r>
        <w:t xml:space="preserve">(2) In den Fällen der Nummern 3, 4 ist die Einrede insoweit zulässig, als sich der Gläubiger aus einer beweglichen Sache des Hauptschuldners befriedigen kann, an der er ein Pfandrecht oder ein Zurückbehaltungsrecht hat; die Vorschrift des </w:t>
      </w:r>
      <w:hyperlink w:anchor="b1219" w:history="1">
        <w:r>
          <w:rPr>
            <w:color w:val="0A3A8C"/>
            <w:u w:val="single"/>
          </w:rPr>
          <w:t xml:space="preserve">§ 772</w:t>
        </w:r>
      </w:hyperlink>
      <w:r>
        <w:t xml:space="preserve"> Abs. 2 Satz 2 findet Anwendung.</w:t>
      </w:r>
    </w:p>
    <w:p>
      <w:pPr>
        <w:pStyle w:val="Heading4"/>
      </w:pPr>
      <w:bookmarkStart w:id="1236" w:name="b1221"/>
      <w:r>
        <w:t>§ 774 Gesetzlicher Forderungsübergang</w:t>
      </w:r>
      <w:r>
        <w:t xml:space="preserve"> </w:t>
      </w:r>
      <w:r>
        <w:rPr>
          <w:rStyle w:val="Suchmarke"/>
        </w:rPr>
        <w:t>#774#</w:t>
      </w:r>
      <w:bookmarkEnd w:id="1236"/>
    </w:p>
    <w:p>
      <w:r>
        <w:t xml:space="preserve">(1) </w:t>
      </w:r>
      <w:r>
        <w:rPr>
          <w:rStyle w:val="Satznummer"/>
        </w:rPr>
        <w:t>1</w:t>
      </w:r>
      <w:r>
        <w:t xml:space="preserve">Soweit der Bürge den Gläubiger befriedigt, geht die Forderung des Gläubigers gegen den Hauptschuldner auf ihn über. </w:t>
      </w:r>
      <w:r>
        <w:rPr>
          <w:rStyle w:val="Satznummer"/>
        </w:rPr>
        <w:t>2</w:t>
      </w:r>
      <w:r>
        <w:t xml:space="preserve">Der Übergang kann nicht zum Nachteil des Gläubigers geltend gemacht werden. </w:t>
      </w:r>
      <w:r>
        <w:rPr>
          <w:rStyle w:val="Satznummer"/>
        </w:rPr>
        <w:t>3</w:t>
      </w:r>
      <w:r>
        <w:t>Einwendungen des Hauptschuldners aus einem zwischen ihm und dem Bürgen bestehenden Rechtsverhältnis bleiben unberührt.</w:t>
      </w:r>
    </w:p>
    <w:p>
      <w:r>
        <w:t xml:space="preserve">(2) Mitbürgen haften einander nur nach </w:t>
      </w:r>
      <w:hyperlink w:anchor="b551" w:history="1">
        <w:r>
          <w:rPr>
            <w:color w:val="0A3A8C"/>
            <w:u w:val="single"/>
          </w:rPr>
          <w:t xml:space="preserve">§ 426</w:t>
        </w:r>
      </w:hyperlink>
      <w:r>
        <w:t>.</w:t>
      </w:r>
    </w:p>
    <w:p>
      <w:pPr>
        <w:pStyle w:val="Heading4"/>
      </w:pPr>
      <w:bookmarkStart w:id="1237" w:name="b1222"/>
      <w:r>
        <w:t>§ 775 Anspruch des Bürgen auf Befreiung</w:t>
      </w:r>
      <w:r>
        <w:t xml:space="preserve"> </w:t>
      </w:r>
      <w:r>
        <w:rPr>
          <w:rStyle w:val="Suchmarke"/>
        </w:rPr>
        <w:t>#775#</w:t>
      </w:r>
      <w:bookmarkEnd w:id="1237"/>
    </w:p>
    <w:p>
      <w:r>
        <w:t>(1) Hat sich der Bürge im Auftrag des Hauptschuldners verbürgt oder stehen ihm nach den Vorschriften über die Geschäftsführung ohne Auftrag wegen der Übernahme der Bürgschaft die Rechte eines Beauftragten gegen den Hauptschuldner zu, so kann er von diesem Befreiung von der Bürgschaft verlangen:</w:t>
      </w:r>
    </w:p>
    <w:p>
      <w:pPr>
        <w:tabs>
          <w:tab w:pos="567" w:val="left"/>
        </w:tabs>
        <w:ind w:left="567" w:hanging="567"/>
      </w:pPr>
      <w:r>
        <w:t>1.</w:t>
      </w:r>
      <w:r>
        <w:tab/>
      </w:r>
      <w:r>
        <w:t>wenn sich die Vermögensverhältnisse des Hauptschuldners wesentlich verschlechtert haben,</w:t>
      </w:r>
    </w:p>
    <w:p>
      <w:pPr>
        <w:tabs>
          <w:tab w:pos="567" w:val="left"/>
        </w:tabs>
        <w:ind w:left="567" w:hanging="567"/>
      </w:pPr>
      <w:r>
        <w:t>2.</w:t>
      </w:r>
      <w:r>
        <w:tab/>
      </w:r>
      <w:r>
        <w:t>wenn die Rechtsverfolgung gegen den Hauptschuldner infolge einer nach der Übernahme der Bürgschaft eingetretenen Änderung des Wohnsitzes, der gewerblichen Niederlassung oder des Aufenthaltsorts des Hauptschuldners wesentlich erschwert ist,</w:t>
      </w:r>
    </w:p>
    <w:p>
      <w:pPr>
        <w:tabs>
          <w:tab w:pos="567" w:val="left"/>
        </w:tabs>
        <w:ind w:left="567" w:hanging="567"/>
      </w:pPr>
      <w:r>
        <w:t>3.</w:t>
      </w:r>
      <w:r>
        <w:tab/>
      </w:r>
      <w:r>
        <w:t>wenn der Hauptschuldner mit der Erfüllung seiner Verbindlichkeit im Verzug ist,</w:t>
      </w:r>
    </w:p>
    <w:p>
      <w:pPr>
        <w:tabs>
          <w:tab w:pos="567" w:val="left"/>
        </w:tabs>
        <w:ind w:left="567" w:hanging="567"/>
      </w:pPr>
      <w:r>
        <w:t>4.</w:t>
      </w:r>
      <w:r>
        <w:tab/>
      </w:r>
      <w:r>
        <w:t>wenn der Gläubiger gegen den Bürgen ein vollstreckbares Urteil auf Erfüllung erwirkt hat.</w:t>
      </w:r>
    </w:p>
    <w:p>
      <w:r>
        <w:t>(2) Ist die Hauptverbindlichkeit noch nicht fällig, so kann der Hauptschuldner dem Bürgen, statt ihn zu befreien, Sicherheit leisten.</w:t>
      </w:r>
    </w:p>
    <w:p>
      <w:pPr>
        <w:pStyle w:val="Heading4"/>
      </w:pPr>
      <w:bookmarkStart w:id="1238" w:name="b1223"/>
      <w:r>
        <w:t>§ 776 Aufgabe einer Sicherheit</w:t>
      </w:r>
      <w:r>
        <w:t xml:space="preserve"> </w:t>
      </w:r>
      <w:r>
        <w:rPr>
          <w:rStyle w:val="Suchmarke"/>
        </w:rPr>
        <w:t>#776#</w:t>
      </w:r>
      <w:bookmarkEnd w:id="1238"/>
    </w:p>
    <w:p>
      <w:r>
        <w:rPr>
          <w:rStyle w:val="Satznummer"/>
        </w:rPr>
        <w:t>1</w:t>
      </w:r>
      <w:r>
        <w:t xml:space="preserve">Gibt der Gläubiger ein mit der Forderung verbundenes Vorzugsrecht, eine für sie bestehende Hypothek oder Schiffshypothek, ein für sie bestehendes Pfandrecht oder das Recht gegen einen Mitbürgen auf, so wird der Bürge insoweit frei, als er aus dem aufgegebenen Recht nach </w:t>
      </w:r>
      <w:hyperlink w:anchor="b1221" w:history="1">
        <w:r>
          <w:rPr>
            <w:color w:val="0A3A8C"/>
            <w:u w:val="single"/>
          </w:rPr>
          <w:t xml:space="preserve">§ 774</w:t>
        </w:r>
      </w:hyperlink>
      <w:r>
        <w:t xml:space="preserve"> hätte Ersatz erlangen können. </w:t>
      </w:r>
      <w:r>
        <w:rPr>
          <w:rStyle w:val="Satznummer"/>
        </w:rPr>
        <w:t>2</w:t>
      </w:r>
      <w:r>
        <w:t>Dies gilt auch dann, wenn das aufgegebene Recht erst nach der Übernahme der Bürgschaft entstanden ist.</w:t>
      </w:r>
    </w:p>
    <w:p>
      <w:pPr>
        <w:pStyle w:val="Heading4"/>
      </w:pPr>
      <w:bookmarkStart w:id="1239" w:name="b1224"/>
      <w:r>
        <w:t>§ 777 Bürgschaft auf Zeit</w:t>
      </w:r>
      <w:r>
        <w:t xml:space="preserve"> </w:t>
      </w:r>
      <w:r>
        <w:rPr>
          <w:rStyle w:val="Suchmarke"/>
        </w:rPr>
        <w:t>#777#</w:t>
      </w:r>
      <w:bookmarkEnd w:id="1239"/>
    </w:p>
    <w:p>
      <w:r>
        <w:t xml:space="preserve">(1) </w:t>
      </w:r>
      <w:r>
        <w:rPr>
          <w:rStyle w:val="Satznummer"/>
        </w:rPr>
        <w:t>1</w:t>
      </w:r>
      <w:r>
        <w:t xml:space="preserve">Hat sich der Bürge für eine bestehende Verbindlichkeit auf bestimmte Zeit verbürgt, so wird er nach dem Ablauf der bestimmten Zeit frei, wenn nicht der Gläubiger die Einziehung der Forderung unverzüglich nach Maßgabe des </w:t>
      </w:r>
      <w:hyperlink w:anchor="b1219" w:history="1">
        <w:r>
          <w:rPr>
            <w:color w:val="0A3A8C"/>
            <w:u w:val="single"/>
          </w:rPr>
          <w:t xml:space="preserve">§ 772</w:t>
        </w:r>
      </w:hyperlink>
      <w:r>
        <w:t xml:space="preserve"> betreibt, das Verfahren ohne wesentliche Verzögerung fortsetzt und unverzüglich nach der Beendigung des Verfahrens dem Bürgen anzeigt, dass er ihn in Anspruch nehme. </w:t>
      </w:r>
      <w:r>
        <w:rPr>
          <w:rStyle w:val="Satznummer"/>
        </w:rPr>
        <w:t>2</w:t>
      </w:r>
      <w:r>
        <w:t>Steht dem Bürgen die Einrede der Vorausklage nicht zu, so wird er nach dem Ablauf der bestimmten Zeit frei, wenn nicht der Gläubiger ihm unverzüglich diese Anzeige macht.</w:t>
      </w:r>
    </w:p>
    <w:p>
      <w:r>
        <w:t>(2) Erfolgt die Anzeige rechtzeitig, so beschränkt sich die Haftung des Bürgen im Falle des Absatzes 1 Satz 1 auf den Umfang, den die Hauptverbindlichkeit zur Zeit der Beendigung des Verfahrens hat, im Falle des Absatzes 1 Satz 2 auf den Umfang, den die Hauptverbindlichkeit bei dem Ablauf der bestimmten Zeit hat.</w:t>
      </w:r>
    </w:p>
    <w:p>
      <w:pPr>
        <w:pStyle w:val="Heading4"/>
      </w:pPr>
      <w:bookmarkStart w:id="1240" w:name="b1225"/>
      <w:r>
        <w:t>§ 778 Kreditauftrag</w:t>
      </w:r>
      <w:r>
        <w:t xml:space="preserve"> </w:t>
      </w:r>
      <w:r>
        <w:rPr>
          <w:rStyle w:val="Suchmarke"/>
        </w:rPr>
        <w:t>#778#</w:t>
      </w:r>
      <w:bookmarkEnd w:id="1240"/>
    </w:p>
    <w:p>
      <w:r>
        <w:t>Wer einen anderen beauftragt, im eigenen Namen und auf eigene Rechnung einem Dritten ein Darlehen oder eine Finanzierungshilfe zu gewähren, haftet dem Beauftragten für die aus dem Darlehen oder der Finanzierungshilfe entstehende Verbindlichkeit des Dritten als Bürge.</w:t>
      </w:r>
    </w:p>
    <w:p>
      <w:pPr>
        <w:pStyle w:val="Heading3"/>
      </w:pPr>
      <w:bookmarkStart w:id="1241" w:name="b1226"/>
      <w:r>
        <w:t>Titel 21 Vergleich</w:t>
      </w:r>
      <w:bookmarkEnd w:id="1241"/>
    </w:p>
    <w:p>
      <w:pPr>
        <w:pStyle w:val="Heading4"/>
      </w:pPr>
      <w:bookmarkStart w:id="1242" w:name="b1227"/>
      <w:r>
        <w:t>§ 779 Begriff des Vergleichs, Irrtum über die Vergleichsgrundlage</w:t>
      </w:r>
      <w:r>
        <w:t xml:space="preserve"> </w:t>
      </w:r>
      <w:r>
        <w:rPr>
          <w:rStyle w:val="Suchmarke"/>
        </w:rPr>
        <w:t>#779#</w:t>
      </w:r>
      <w:bookmarkEnd w:id="1242"/>
    </w:p>
    <w:p>
      <w:r>
        <w:t>(1) Ein Vertrag, durch den der Streit oder die Ungewissheit der Parteien über ein Rechtsverhältnis im Wege gegenseitigen Nachgebens beseitigt wird (Vergleich), ist unwirksam, wenn der nach dem Inhalt des Vertrags als feststehend zugrunde gelegte Sachverhalt der Wirklichkeit nicht entspricht und der Streit oder die Ungewissheit bei Kenntnis der Sachlage nicht entstanden sein würde.</w:t>
      </w:r>
    </w:p>
    <w:p>
      <w:r>
        <w:t>(2) Der Ungewissheit über ein Rechtsverhältnis steht es gleich, wenn die Verwirklichung eines Anspruchs unsicher ist.</w:t>
      </w:r>
    </w:p>
    <w:p>
      <w:pPr>
        <w:pStyle w:val="Heading3"/>
      </w:pPr>
      <w:bookmarkStart w:id="1243" w:name="b1228"/>
      <w:r>
        <w:t>Titel 22 Schuldversprechen, Schuldanerkenntnis</w:t>
      </w:r>
      <w:bookmarkEnd w:id="1243"/>
    </w:p>
    <w:p>
      <w:pPr>
        <w:pStyle w:val="Heading4"/>
      </w:pPr>
      <w:bookmarkStart w:id="1244" w:name="b1229"/>
      <w:r>
        <w:t>§ 780 Schuldversprechen</w:t>
      </w:r>
      <w:r>
        <w:t xml:space="preserve"> </w:t>
      </w:r>
      <w:r>
        <w:rPr>
          <w:rStyle w:val="Suchmarke"/>
        </w:rPr>
        <w:t>#780#</w:t>
      </w:r>
      <w:bookmarkEnd w:id="1244"/>
    </w:p>
    <w:p>
      <w:r>
        <w:rPr>
          <w:rStyle w:val="Satznummer"/>
        </w:rPr>
        <w:t>1</w:t>
      </w:r>
      <w:r>
        <w:t xml:space="preserve">Zur Gültigkeit eines Vertrags, durch den eine Leistung in der Weise versprochen wird, dass das Versprechen die Verpflichtung selbständig begründen soll (Schuldversprechen), ist, soweit nicht eine andere Form vorgeschrieben ist, schriftliche Erteilung des Versprechens erforderlich. </w:t>
      </w:r>
      <w:r>
        <w:rPr>
          <w:rStyle w:val="Satznummer"/>
        </w:rPr>
        <w:t>2</w:t>
      </w:r>
      <w:r>
        <w:t>Die Erteilung des Versprechens in elektronischer Form ist ausgeschlossen.</w:t>
      </w:r>
    </w:p>
    <w:p>
      <w:pPr>
        <w:pStyle w:val="Heading4"/>
      </w:pPr>
      <w:bookmarkStart w:id="1245" w:name="b1230"/>
      <w:r>
        <w:t>§ 781 Schuldanerkenntnis</w:t>
      </w:r>
      <w:r>
        <w:t xml:space="preserve"> </w:t>
      </w:r>
      <w:r>
        <w:rPr>
          <w:rStyle w:val="Suchmarke"/>
        </w:rPr>
        <w:t>#781#</w:t>
      </w:r>
      <w:bookmarkEnd w:id="1245"/>
    </w:p>
    <w:p>
      <w:r>
        <w:rPr>
          <w:rStyle w:val="Satznummer"/>
        </w:rPr>
        <w:t>1</w:t>
      </w:r>
      <w:r>
        <w:t xml:space="preserve">Zur Gültigkeit eines Vertrags, durch den das Bestehen eines Schuldverhältnisses anerkannt wird (Schuldanerkenntnis), ist schriftliche Erteilung der Anerkennungserklärung erforderlich. </w:t>
      </w:r>
      <w:r>
        <w:rPr>
          <w:rStyle w:val="Satznummer"/>
        </w:rPr>
        <w:t>2</w:t>
      </w:r>
      <w:r>
        <w:t xml:space="preserve">Die Erteilung der Anerkennungserklärung in elektronischer Form ist ausgeschlossen. </w:t>
      </w:r>
      <w:r>
        <w:rPr>
          <w:rStyle w:val="Satznummer"/>
        </w:rPr>
        <w:t>3</w:t>
      </w:r>
      <w:r>
        <w:t>Ist für die Begründung des Schuldverhältnisses, dessen Bestehen anerkannt wird, eine andere Form vorgeschrieben, so bedarf der Anerkennungsvertrag dieser Form.</w:t>
      </w:r>
    </w:p>
    <w:p>
      <w:pPr>
        <w:pStyle w:val="Heading4"/>
      </w:pPr>
      <w:bookmarkStart w:id="1246" w:name="b1231"/>
      <w:r>
        <w:t>§ 782 Formfreiheit bei Vergleich</w:t>
      </w:r>
      <w:r>
        <w:t xml:space="preserve"> </w:t>
      </w:r>
      <w:r>
        <w:rPr>
          <w:rStyle w:val="Suchmarke"/>
        </w:rPr>
        <w:t>#782#</w:t>
      </w:r>
      <w:bookmarkEnd w:id="1246"/>
    </w:p>
    <w:p>
      <w:r>
        <w:t xml:space="preserve">Wird ein Schuldversprechen oder ein Schuldanerkenntnis auf Grund einer Abrechnung oder im Wege des Vergleichs erteilt, so ist die Beobachtung der in den </w:t>
      </w:r>
      <w:hyperlink w:anchor="b1229" w:history="1">
        <w:r>
          <w:rPr>
            <w:color w:val="0A3A8C"/>
            <w:u w:val="single"/>
          </w:rPr>
          <w:t xml:space="preserve">§§ 780</w:t>
        </w:r>
      </w:hyperlink>
      <w:r>
        <w:t xml:space="preserve">, </w:t>
      </w:r>
      <w:hyperlink w:anchor="b1230" w:history="1">
        <w:r>
          <w:rPr>
            <w:color w:val="0A3A8C"/>
            <w:u w:val="single"/>
          </w:rPr>
          <w:t xml:space="preserve">781</w:t>
        </w:r>
      </w:hyperlink>
      <w:r>
        <w:t xml:space="preserve"> vorgeschriebenen schriftlichen Form nicht erforderlich.</w:t>
      </w:r>
    </w:p>
    <w:p>
      <w:pPr>
        <w:pStyle w:val="Heading3"/>
      </w:pPr>
      <w:bookmarkStart w:id="1247" w:name="b1232"/>
      <w:r>
        <w:t>Titel 23 Anweisung</w:t>
      </w:r>
      <w:bookmarkEnd w:id="1247"/>
    </w:p>
    <w:p>
      <w:pPr>
        <w:pStyle w:val="Heading4"/>
      </w:pPr>
      <w:bookmarkStart w:id="1248" w:name="b1233"/>
      <w:r>
        <w:t>§ 783 Rechte aus der Anweisung</w:t>
      </w:r>
      <w:r>
        <w:t xml:space="preserve"> </w:t>
      </w:r>
      <w:r>
        <w:rPr>
          <w:rStyle w:val="Suchmarke"/>
        </w:rPr>
        <w:t>#783#</w:t>
      </w:r>
      <w:bookmarkEnd w:id="1248"/>
    </w:p>
    <w:p>
      <w:r>
        <w:t>Händigt jemand eine Urkunde, in der er einen anderen anweist, Geld, Wertpapiere oder andere vertretbare Sachen an einen Dritten zu leisten, dem Dritten aus, so ist dieser ermächtigt, die Leistung bei dem Angewiesenen im eigenen Namen zu erheben; der Angewiesene ist ermächtigt, für Rechnung des Anweisenden an den Anweisungsempfänger zu leisten.</w:t>
      </w:r>
    </w:p>
    <w:p>
      <w:pPr>
        <w:pStyle w:val="Heading4"/>
      </w:pPr>
      <w:bookmarkStart w:id="1249" w:name="b1234"/>
      <w:r>
        <w:t>§ 784 Annahme der Anweisung</w:t>
      </w:r>
      <w:r>
        <w:t xml:space="preserve"> </w:t>
      </w:r>
      <w:r>
        <w:rPr>
          <w:rStyle w:val="Suchmarke"/>
        </w:rPr>
        <w:t>#784#</w:t>
      </w:r>
      <w:bookmarkEnd w:id="1249"/>
    </w:p>
    <w:p>
      <w:r>
        <w:t>(1) Nimmt der Angewiesene die Anweisung an, so ist er dem Anweisungsempfänger gegenüber zur Leistung verpflichtet; er kann ihm nur solche Einwendungen entgegensetzen, welche die Gültigkeit der Annahme betreffen oder sich aus dem Inhalt der Anweisung oder dem Inhalt der Annahme ergeben oder dem Angewiesenen unmittelbar gegen den Anweisungsempfänger zustehen.</w:t>
      </w:r>
    </w:p>
    <w:p>
      <w:r>
        <w:t xml:space="preserve">(2) </w:t>
      </w:r>
      <w:r>
        <w:rPr>
          <w:rStyle w:val="Satznummer"/>
        </w:rPr>
        <w:t>1</w:t>
      </w:r>
      <w:r>
        <w:t xml:space="preserve">Die Annahme erfolgt durch einen schriftlichen Vermerk auf der Anweisung. </w:t>
      </w:r>
      <w:r>
        <w:rPr>
          <w:rStyle w:val="Satznummer"/>
        </w:rPr>
        <w:t>2</w:t>
      </w:r>
      <w:r>
        <w:t>Ist der Vermerk auf die Anweisung vor der Aushändigung an den Anweisungsempfänger gesetzt worden, so wird die Annahme diesem gegenüber erst mit der Aushändigung wirksam.</w:t>
      </w:r>
    </w:p>
    <w:p>
      <w:pPr>
        <w:pStyle w:val="Heading4"/>
      </w:pPr>
      <w:bookmarkStart w:id="1250" w:name="b1235"/>
      <w:r>
        <w:t>§ 785 Aushändigung der Anweisung</w:t>
      </w:r>
      <w:r>
        <w:t xml:space="preserve"> </w:t>
      </w:r>
      <w:r>
        <w:rPr>
          <w:rStyle w:val="Suchmarke"/>
        </w:rPr>
        <w:t>#785#</w:t>
      </w:r>
      <w:bookmarkEnd w:id="1250"/>
    </w:p>
    <w:p>
      <w:r>
        <w:t>Der Angewiesene ist nur gegen Aushändigung der Anweisung zur Leistung verpflichtet.</w:t>
      </w:r>
    </w:p>
    <w:p>
      <w:pPr>
        <w:pStyle w:val="Heading4"/>
      </w:pPr>
      <w:bookmarkStart w:id="1251" w:name="b1236"/>
      <w:r>
        <w:t>§ 786</w:t>
      </w:r>
      <w:r>
        <w:t xml:space="preserve"> </w:t>
      </w:r>
      <w:r>
        <w:rPr>
          <w:rStyle w:val="Suchmarke"/>
        </w:rPr>
        <w:t>#786#</w:t>
      </w:r>
      <w:bookmarkEnd w:id="1251"/>
    </w:p>
    <w:p>
      <w:r>
        <w:t>(weggefallen)</w:t>
      </w:r>
    </w:p>
    <w:p>
      <w:pPr>
        <w:pStyle w:val="Heading4"/>
      </w:pPr>
      <w:bookmarkStart w:id="1252" w:name="b1237"/>
      <w:r>
        <w:t>§ 787 Anweisung auf Schuld</w:t>
      </w:r>
      <w:r>
        <w:t xml:space="preserve"> </w:t>
      </w:r>
      <w:r>
        <w:rPr>
          <w:rStyle w:val="Suchmarke"/>
        </w:rPr>
        <w:t>#787#</w:t>
      </w:r>
      <w:bookmarkEnd w:id="1252"/>
    </w:p>
    <w:p>
      <w:r>
        <w:t>(1) Im Falle einer Anweisung auf Schuld wird der Angewiesene durch die Leistung in deren Höhe von der Schuld befreit.</w:t>
      </w:r>
    </w:p>
    <w:p>
      <w:r>
        <w:t>(2) Zur Annahme der Anweisung oder zur Leistung an den Anweisungsempfänger ist der Angewiesene dem Anweisenden gegenüber nicht schon deshalb verpflichtet, weil er Schuldner des Anweisenden ist.</w:t>
      </w:r>
    </w:p>
    <w:p>
      <w:pPr>
        <w:pStyle w:val="Heading4"/>
      </w:pPr>
      <w:bookmarkStart w:id="1253" w:name="b1238"/>
      <w:r>
        <w:t>§ 788 Valutaverhältnis</w:t>
      </w:r>
      <w:r>
        <w:t xml:space="preserve"> </w:t>
      </w:r>
      <w:r>
        <w:rPr>
          <w:rStyle w:val="Suchmarke"/>
        </w:rPr>
        <w:t>#788#</w:t>
      </w:r>
      <w:bookmarkEnd w:id="1253"/>
    </w:p>
    <w:p>
      <w:r>
        <w:t>Erteilt der Anweisende die Anweisung zu dem Zwecke, um seinerseits eine Leistung an den Anweisungsempfänger zu bewirken, so wird die Leistung, auch wenn der Angewiesene die Anweisung annimmt, erst mit der Leistung des Angewiesenen an den Anweisungsempfänger bewirkt.</w:t>
      </w:r>
    </w:p>
    <w:p>
      <w:pPr>
        <w:pStyle w:val="Heading4"/>
      </w:pPr>
      <w:bookmarkStart w:id="1254" w:name="b1239"/>
      <w:r>
        <w:t>§ 789 Anzeigepflicht des Anweisungsempfängers</w:t>
      </w:r>
      <w:r>
        <w:t xml:space="preserve"> </w:t>
      </w:r>
      <w:r>
        <w:rPr>
          <w:rStyle w:val="Suchmarke"/>
        </w:rPr>
        <w:t>#789#</w:t>
      </w:r>
      <w:bookmarkEnd w:id="1254"/>
    </w:p>
    <w:p>
      <w:r>
        <w:rPr>
          <w:rStyle w:val="Satznummer"/>
        </w:rPr>
        <w:t>1</w:t>
      </w:r>
      <w:r>
        <w:t xml:space="preserve">Verweigert der Angewiesene vor dem Eintritt der Leistungszeit die Annahme der Anweisung oder verweigert er die Leistung, so hat der Anweisungsempfänger dem Anweisenden unverzüglich Anzeige zu machen. </w:t>
      </w:r>
      <w:r>
        <w:rPr>
          <w:rStyle w:val="Satznummer"/>
        </w:rPr>
        <w:t>2</w:t>
      </w:r>
      <w:r>
        <w:t>Das Gleiche gilt, wenn der Anweisungsempfänger die Anweisung nicht geltend machen kann oder will.</w:t>
      </w:r>
    </w:p>
    <w:p>
      <w:pPr>
        <w:pStyle w:val="Heading4"/>
      </w:pPr>
      <w:bookmarkStart w:id="1255" w:name="b1240"/>
      <w:r>
        <w:t>§ 790 Widerruf der Anweisung</w:t>
      </w:r>
      <w:r>
        <w:t xml:space="preserve"> </w:t>
      </w:r>
      <w:r>
        <w:rPr>
          <w:rStyle w:val="Suchmarke"/>
        </w:rPr>
        <w:t>#790#</w:t>
      </w:r>
      <w:bookmarkEnd w:id="1255"/>
    </w:p>
    <w:p>
      <w:r>
        <w:rPr>
          <w:rStyle w:val="Satznummer"/>
        </w:rPr>
        <w:t>1</w:t>
      </w:r>
      <w:r>
        <w:t xml:space="preserve">Der Anweisende kann die Anweisung dem Angewiesenen gegenüber widerrufen, solange nicht der Angewiesene sie dem Anweisungsempfänger gegenüber angenommen oder die Leistung bewirkt hat. </w:t>
      </w:r>
      <w:r>
        <w:rPr>
          <w:rStyle w:val="Satznummer"/>
        </w:rPr>
        <w:t>2</w:t>
      </w:r>
      <w:r>
        <w:t>Dies gilt auch dann, wenn der Anweisende durch den Widerruf einer ihm gegen den Anweisungsempfänger obliegenden Verpflichtung zuwiderhandelt.</w:t>
      </w:r>
    </w:p>
    <w:p>
      <w:pPr>
        <w:pStyle w:val="Heading4"/>
      </w:pPr>
      <w:bookmarkStart w:id="1256" w:name="b1241"/>
      <w:r>
        <w:t>§ 791 Tod oder Geschäftsunfähigkeit eines Beteiligten</w:t>
      </w:r>
      <w:r>
        <w:t xml:space="preserve"> </w:t>
      </w:r>
      <w:r>
        <w:rPr>
          <w:rStyle w:val="Suchmarke"/>
        </w:rPr>
        <w:t>#791#</w:t>
      </w:r>
      <w:bookmarkEnd w:id="1256"/>
    </w:p>
    <w:p>
      <w:r>
        <w:t>Die Anweisung erlischt nicht durch den Tod oder den Eintritt der Geschäftsunfähigkeit eines der Beteiligten.</w:t>
      </w:r>
    </w:p>
    <w:p>
      <w:pPr>
        <w:pStyle w:val="Heading4"/>
      </w:pPr>
      <w:bookmarkStart w:id="1257" w:name="b1242"/>
      <w:r>
        <w:t>§ 792 Übertragung der Anweisung</w:t>
      </w:r>
      <w:r>
        <w:t xml:space="preserve"> </w:t>
      </w:r>
      <w:r>
        <w:rPr>
          <w:rStyle w:val="Suchmarke"/>
        </w:rPr>
        <w:t>#792#</w:t>
      </w:r>
      <w:bookmarkEnd w:id="1257"/>
    </w:p>
    <w:p>
      <w:r>
        <w:t xml:space="preserve">(1) </w:t>
      </w:r>
      <w:r>
        <w:rPr>
          <w:rStyle w:val="Satznummer"/>
        </w:rPr>
        <w:t>1</w:t>
      </w:r>
      <w:r>
        <w:t xml:space="preserve">Der Anweisungsempfänger kann die Anweisung durch Vertrag mit einem Dritten auf diesen übertragen, auch wenn sie noch nicht angenommen worden ist. </w:t>
      </w:r>
      <w:r>
        <w:rPr>
          <w:rStyle w:val="Satznummer"/>
        </w:rPr>
        <w:t>2</w:t>
      </w:r>
      <w:r>
        <w:t xml:space="preserve">Die Übertragungserklärung bedarf der schriftlichen Form. </w:t>
      </w:r>
      <w:r>
        <w:rPr>
          <w:rStyle w:val="Satznummer"/>
        </w:rPr>
        <w:t>3</w:t>
      </w:r>
      <w:r>
        <w:t>Zur Übertragung ist die Aushändigung der Anweisung an den Dritten erforderlich.</w:t>
      </w:r>
    </w:p>
    <w:p>
      <w:r>
        <w:t xml:space="preserve">(2) </w:t>
      </w:r>
      <w:r>
        <w:rPr>
          <w:rStyle w:val="Satznummer"/>
        </w:rPr>
        <w:t>1</w:t>
      </w:r>
      <w:r>
        <w:t xml:space="preserve">Der Anweisende kann die Übertragung ausschließen. </w:t>
      </w:r>
      <w:r>
        <w:rPr>
          <w:rStyle w:val="Satznummer"/>
        </w:rPr>
        <w:t>2</w:t>
      </w:r>
      <w:r>
        <w:t>Die Ausschließung ist dem Angewiesenen gegenüber nur wirksam, wenn sie aus der Anweisung zu entnehmen ist oder wenn sie von dem Anweisenden dem Angewiesenen mitgeteilt wird, bevor dieser die Anweisung annimmt oder die Leistung bewirkt.</w:t>
      </w:r>
    </w:p>
    <w:p>
      <w:r>
        <w:t xml:space="preserve">(3) </w:t>
      </w:r>
      <w:r>
        <w:rPr>
          <w:rStyle w:val="Satznummer"/>
        </w:rPr>
        <w:t>1</w:t>
      </w:r>
      <w:r>
        <w:t xml:space="preserve">Nimmt der Angewiesene die Anweisung dem Erwerber gegenüber an, so kann er aus einem zwischen ihm und dem Anweisungsempfänger bestehenden Rechtsverhältnis Einwendungen nicht herleiten. </w:t>
      </w:r>
      <w:r>
        <w:rPr>
          <w:rStyle w:val="Satznummer"/>
        </w:rPr>
        <w:t>2</w:t>
      </w:r>
      <w:r>
        <w:t>Im Übrigen finden auf die Übertragung der Anweisung die für die Abtretung einer Forderung geltenden Vorschriften entsprechende Anwendung.</w:t>
      </w:r>
    </w:p>
    <w:p>
      <w:pPr>
        <w:pStyle w:val="Heading3"/>
      </w:pPr>
      <w:bookmarkStart w:id="1258" w:name="b1243"/>
      <w:r>
        <w:t>Titel 24 Schuldverschreibung auf den Inhaber</w:t>
      </w:r>
      <w:bookmarkEnd w:id="1258"/>
    </w:p>
    <w:p>
      <w:pPr>
        <w:pStyle w:val="Heading4"/>
      </w:pPr>
      <w:bookmarkStart w:id="1259" w:name="b1244"/>
      <w:r>
        <w:t>§ 793 Rechte aus der Schuldverschreibung auf den Inhaber</w:t>
      </w:r>
      <w:r>
        <w:t xml:space="preserve"> </w:t>
      </w:r>
      <w:r>
        <w:rPr>
          <w:rStyle w:val="Suchmarke"/>
        </w:rPr>
        <w:t>#793#</w:t>
      </w:r>
      <w:bookmarkEnd w:id="1259"/>
    </w:p>
    <w:p>
      <w:r>
        <w:t xml:space="preserve">(1) </w:t>
      </w:r>
      <w:r>
        <w:rPr>
          <w:rStyle w:val="Satznummer"/>
        </w:rPr>
        <w:t>1</w:t>
      </w:r>
      <w:r>
        <w:t xml:space="preserve">Hat jemand eine Urkunde ausgestellt, in der er dem Inhaber der Urkunde eine Leistung verspricht (Schuldverschreibung auf den Inhaber), so kann der Inhaber von ihm die Leistung nach Maßgabe des Versprechens verlangen, es sei denn, dass er zur Verfügung über die Urkunde nicht berechtigt ist. </w:t>
      </w:r>
      <w:r>
        <w:rPr>
          <w:rStyle w:val="Satznummer"/>
        </w:rPr>
        <w:t>2</w:t>
      </w:r>
      <w:r>
        <w:t>Der Aussteller wird jedoch auch durch die Leistung an einen nicht zur Verfügung berechtigten Inhaber befreit.</w:t>
      </w:r>
    </w:p>
    <w:p>
      <w:r>
        <w:t xml:space="preserve">(2) </w:t>
      </w:r>
      <w:r>
        <w:rPr>
          <w:rStyle w:val="Satznummer"/>
        </w:rPr>
        <w:t>1</w:t>
      </w:r>
      <w:r>
        <w:t xml:space="preserve">Die Gültigkeit der Unterzeichnung kann durch eine in die Urkunde aufgenommene Bestimmung von der Beobachtung einer besonderen Form abhängig gemacht werden. </w:t>
      </w:r>
      <w:r>
        <w:rPr>
          <w:rStyle w:val="Satznummer"/>
        </w:rPr>
        <w:t>2</w:t>
      </w:r>
      <w:r>
        <w:t>Zur Unterzeichnung genügt eine im Wege der mechanischen Vervielfältigung hergestellte Namensunterschrift.</w:t>
      </w:r>
    </w:p>
    <w:p>
      <w:pPr>
        <w:pStyle w:val="Heading4"/>
      </w:pPr>
      <w:bookmarkStart w:id="1260" w:name="b1245"/>
      <w:r>
        <w:t>§ 794 Haftung des Ausstellers</w:t>
      </w:r>
      <w:r>
        <w:t xml:space="preserve"> </w:t>
      </w:r>
      <w:r>
        <w:rPr>
          <w:rStyle w:val="Suchmarke"/>
        </w:rPr>
        <w:t>#794#</w:t>
      </w:r>
      <w:bookmarkEnd w:id="1260"/>
    </w:p>
    <w:p>
      <w:r>
        <w:t>(1) Der Aussteller wird aus einer Schuldverschreibung auf den Inhaber auch dann verpflichtet, wenn sie ihm gestohlen worden oder verloren gegangen oder wenn sie sonst ohne seinen Willen in den Verkehr gelangt ist.</w:t>
      </w:r>
    </w:p>
    <w:p>
      <w:r>
        <w:t>(2) Auf die Wirksamkeit einer Schuldverschreibung auf den Inhaber ist es ohne Einfluss, wenn die Urkunde ausgegeben wird, nachdem der Aussteller gestorben oder geschäftsunfähig geworden ist.</w:t>
      </w:r>
    </w:p>
    <w:p>
      <w:pPr>
        <w:pStyle w:val="Heading4"/>
      </w:pPr>
      <w:bookmarkStart w:id="1261" w:name="b1246"/>
      <w:r>
        <w:t>§ 795</w:t>
      </w:r>
      <w:r>
        <w:t xml:space="preserve"> </w:t>
      </w:r>
      <w:r>
        <w:rPr>
          <w:rStyle w:val="Suchmarke"/>
        </w:rPr>
        <w:t>#795#</w:t>
      </w:r>
      <w:bookmarkEnd w:id="1261"/>
    </w:p>
    <w:p>
      <w:r>
        <w:t>(weggefallen)</w:t>
      </w:r>
    </w:p>
    <w:p>
      <w:pPr>
        <w:pStyle w:val="Heading4"/>
      </w:pPr>
      <w:bookmarkStart w:id="1262" w:name="b1247"/>
      <w:r>
        <w:t>§ 796 Einwendungen des Ausstellers</w:t>
      </w:r>
      <w:r>
        <w:t xml:space="preserve"> </w:t>
      </w:r>
      <w:r>
        <w:rPr>
          <w:rStyle w:val="Suchmarke"/>
        </w:rPr>
        <w:t>#796#</w:t>
      </w:r>
      <w:bookmarkEnd w:id="1262"/>
    </w:p>
    <w:p>
      <w:r>
        <w:t>Der Aussteller kann dem Inhaber der Schuldverschreibung nur solche Einwendungen entgegensetzen, welche die Gültigkeit der Ausstellung betreffen oder sich aus der Urkunde ergeben oder dem Aussteller unmittelbar gegen den Inhaber zustehen.</w:t>
      </w:r>
    </w:p>
    <w:p>
      <w:pPr>
        <w:pStyle w:val="Heading4"/>
      </w:pPr>
      <w:bookmarkStart w:id="1263" w:name="b1248"/>
      <w:r>
        <w:t>§ 797 Leistungspflicht nur gegen Aushändigung</w:t>
      </w:r>
      <w:r>
        <w:t xml:space="preserve"> </w:t>
      </w:r>
      <w:r>
        <w:rPr>
          <w:rStyle w:val="Suchmarke"/>
        </w:rPr>
        <w:t>#797#</w:t>
      </w:r>
      <w:bookmarkEnd w:id="1263"/>
    </w:p>
    <w:p>
      <w:r>
        <w:rPr>
          <w:rStyle w:val="Satznummer"/>
        </w:rPr>
        <w:t>1</w:t>
      </w:r>
      <w:r>
        <w:t xml:space="preserve">Der Aussteller ist nur gegen Aushändigung der Schuldverschreibung zur Leistung verpflichtet. </w:t>
      </w:r>
      <w:r>
        <w:rPr>
          <w:rStyle w:val="Satznummer"/>
        </w:rPr>
        <w:t>2</w:t>
      </w:r>
      <w:r>
        <w:t>Mit der Aushändigung erwirbt er das Eigentum an der Urkunde, auch wenn der Inhaber zur Verfügung über sie nicht berechtigt ist.</w:t>
      </w:r>
    </w:p>
    <w:p>
      <w:pPr>
        <w:pStyle w:val="Heading4"/>
      </w:pPr>
      <w:bookmarkStart w:id="1264" w:name="b1249"/>
      <w:r>
        <w:t>§ 798 Ersatzurkunde</w:t>
      </w:r>
      <w:r>
        <w:t xml:space="preserve"> </w:t>
      </w:r>
      <w:r>
        <w:rPr>
          <w:rStyle w:val="Suchmarke"/>
        </w:rPr>
        <w:t>#798#</w:t>
      </w:r>
      <w:bookmarkEnd w:id="1264"/>
    </w:p>
    <w:p>
      <w:r>
        <w:rPr>
          <w:rStyle w:val="Satznummer"/>
        </w:rPr>
        <w:t>1</w:t>
      </w:r>
      <w:r>
        <w:t xml:space="preserve">Ist eine Schuldverschreibung auf den Inhaber infolge einer Beschädigung oder einer Verunstaltung zum Umlauf nicht mehr geeignet, so kann der Inhaber, sofern ihr wesentlicher Inhalt und ihre Unterscheidungsmerkmale noch mit Sicherheit erkennbar sind, von dem Aussteller die Erteilung einer neuen Schuldverschreibung auf den Inhaber gegen Aushändigung der beschädigten oder verunstalteten verlangen. </w:t>
      </w:r>
      <w:r>
        <w:rPr>
          <w:rStyle w:val="Satznummer"/>
        </w:rPr>
        <w:t>2</w:t>
      </w:r>
      <w:r>
        <w:t>Die Kosten hat er zu tragen und vorzuschießen.</w:t>
      </w:r>
    </w:p>
    <w:p>
      <w:pPr>
        <w:pStyle w:val="Heading4"/>
      </w:pPr>
      <w:bookmarkStart w:id="1265" w:name="b1250"/>
      <w:r>
        <w:t>§ 799 Kraftloserklärung</w:t>
      </w:r>
      <w:r>
        <w:t xml:space="preserve"> </w:t>
      </w:r>
      <w:r>
        <w:rPr>
          <w:rStyle w:val="Suchmarke"/>
        </w:rPr>
        <w:t>#799#</w:t>
      </w:r>
      <w:bookmarkEnd w:id="1265"/>
    </w:p>
    <w:p>
      <w:r>
        <w:t xml:space="preserve">(1) </w:t>
      </w:r>
      <w:r>
        <w:rPr>
          <w:rStyle w:val="Satznummer"/>
        </w:rPr>
        <w:t>1</w:t>
      </w:r>
      <w:r>
        <w:t xml:space="preserve">Eine abhanden gekommene oder vernichtete Schuldverschreibung auf den Inhaber kann, wenn nicht in der Urkunde das Gegenteil bestimmt ist, im Wege des Aufgebotsverfahrens für kraftlos erklärt werden. </w:t>
      </w:r>
      <w:r>
        <w:rPr>
          <w:rStyle w:val="Satznummer"/>
        </w:rPr>
        <w:t>2</w:t>
      </w:r>
      <w:r>
        <w:t>Ausgenommen sind Zins-, Renten- und Gewinnanteilscheine sowie die auf Sicht zahlbaren unverzinslichen Schuldverschreibungen.</w:t>
      </w:r>
    </w:p>
    <w:p>
      <w:r>
        <w:t xml:space="preserve">(2) </w:t>
      </w:r>
      <w:r>
        <w:rPr>
          <w:rStyle w:val="Satznummer"/>
        </w:rPr>
        <w:t>1</w:t>
      </w:r>
      <w:r>
        <w:t xml:space="preserve">Der Aussteller ist verpflichtet, dem bisherigen Inhaber auf Verlangen die zur Erwirkung des Aufgebots oder der Zahlungssperre erforderliche Auskunft zu erteilen und die erforderlichen Zeugnisse auszustellen. </w:t>
      </w:r>
      <w:r>
        <w:rPr>
          <w:rStyle w:val="Satznummer"/>
        </w:rPr>
        <w:t>2</w:t>
      </w:r>
      <w:r>
        <w:t>Die Kosten der Zeugnisse hat der bisherige Inhaber zu tragen und vorzuschießen.</w:t>
      </w:r>
    </w:p>
    <w:p>
      <w:pPr>
        <w:pStyle w:val="Heading4"/>
      </w:pPr>
      <w:bookmarkStart w:id="1266" w:name="b1251"/>
      <w:r>
        <w:t>§ 800 Wirkung der Kraftloserklärung</w:t>
      </w:r>
      <w:r>
        <w:t xml:space="preserve"> </w:t>
      </w:r>
      <w:r>
        <w:rPr>
          <w:rStyle w:val="Suchmarke"/>
        </w:rPr>
        <w:t>#800#</w:t>
      </w:r>
      <w:bookmarkEnd w:id="1266"/>
    </w:p>
    <w:p>
      <w:r>
        <w:rPr>
          <w:rStyle w:val="Satznummer"/>
        </w:rPr>
        <w:t>1</w:t>
      </w:r>
      <w:r>
        <w:t xml:space="preserve">Ist eine Schuldverschreibung auf den Inhaber für kraftlos erklärt, so kann derjenige, welcher den Ausschließungsbeschluss erwirkt hat, von dem Aussteller, unbeschadet der Befugnis, den Anspruch aus der Urkunde geltend zu machen, die Erteilung einer neuen Schuldverschreibung auf den Inhaber anstelle der für kraftlos erklärten verlangen. </w:t>
      </w:r>
      <w:r>
        <w:rPr>
          <w:rStyle w:val="Satznummer"/>
        </w:rPr>
        <w:t>2</w:t>
      </w:r>
      <w:r>
        <w:t>Die Kosten hat er zu tragen und vorzuschießen.</w:t>
      </w:r>
    </w:p>
    <w:p>
      <w:pPr>
        <w:pStyle w:val="Heading4"/>
      </w:pPr>
      <w:bookmarkStart w:id="1267" w:name="b1252"/>
      <w:r>
        <w:t>§ 801 Erlöschen; Verjährung</w:t>
      </w:r>
      <w:r>
        <w:t xml:space="preserve"> </w:t>
      </w:r>
      <w:r>
        <w:rPr>
          <w:rStyle w:val="Suchmarke"/>
        </w:rPr>
        <w:t>#801#</w:t>
      </w:r>
      <w:bookmarkEnd w:id="1267"/>
    </w:p>
    <w:p>
      <w:r>
        <w:t xml:space="preserve">(1) </w:t>
      </w:r>
      <w:r>
        <w:rPr>
          <w:rStyle w:val="Satznummer"/>
        </w:rPr>
        <w:t>1</w:t>
      </w:r>
      <w:r>
        <w:t xml:space="preserve">Der Anspruch aus einer Schuldverschreibung auf den Inhaber erlischt mit dem Ablauf von 30 Jahren nach dem Eintritt der für die Leistung bestimmten Zeit, wenn nicht die Urkunde vor dem Ablauf der 30 Jahre dem Aussteller zur Einlösung vorgelegt wird. </w:t>
      </w:r>
      <w:r>
        <w:rPr>
          <w:rStyle w:val="Satznummer"/>
        </w:rPr>
        <w:t>2</w:t>
      </w:r>
      <w:r>
        <w:t xml:space="preserve">Erfolgt die Vorlegung, so verjährt der Anspruch in zwei Jahren von dem Ende der Vorlegungsfrist an. </w:t>
      </w:r>
      <w:r>
        <w:rPr>
          <w:rStyle w:val="Satznummer"/>
        </w:rPr>
        <w:t>3</w:t>
      </w:r>
      <w:r>
        <w:t>Der Vorlegung steht die gerichtliche Geltendmachung des Anspruchs aus der Urkunde gleich.</w:t>
      </w:r>
    </w:p>
    <w:p>
      <w:r>
        <w:t xml:space="preserve">(2) </w:t>
      </w:r>
      <w:r>
        <w:rPr>
          <w:rStyle w:val="Satznummer"/>
        </w:rPr>
        <w:t>1</w:t>
      </w:r>
      <w:r>
        <w:t xml:space="preserve">Bei Zins-, Renten- und Gewinnanteilscheinen beträgt die Vorlegungsfrist vier Jahre. </w:t>
      </w:r>
      <w:r>
        <w:rPr>
          <w:rStyle w:val="Satznummer"/>
        </w:rPr>
        <w:t>2</w:t>
      </w:r>
      <w:r>
        <w:t>Die Frist beginnt mit dem Schluss des Jahres, in welchem die für die Leistung bestimmte Zeit eintritt.</w:t>
      </w:r>
    </w:p>
    <w:p>
      <w:r>
        <w:t>(3) Die Dauer und der Beginn der Vorlegungsfrist können von dem Aussteller in der Urkunde anders bestimmt werden.</w:t>
      </w:r>
    </w:p>
    <w:p>
      <w:pPr>
        <w:pStyle w:val="Heading4"/>
      </w:pPr>
      <w:bookmarkStart w:id="1268" w:name="b1253"/>
      <w:r>
        <w:t>§ 802 Zahlungssperre</w:t>
      </w:r>
      <w:r>
        <w:t xml:space="preserve"> </w:t>
      </w:r>
      <w:r>
        <w:rPr>
          <w:rStyle w:val="Suchmarke"/>
        </w:rPr>
        <w:t>#802#</w:t>
      </w:r>
      <w:bookmarkEnd w:id="1268"/>
    </w:p>
    <w:p>
      <w:r>
        <w:rPr>
          <w:rStyle w:val="Satznummer"/>
        </w:rPr>
        <w:t>1</w:t>
      </w:r>
      <w:r>
        <w:t xml:space="preserve">Der Beginn und der Lauf der Vorlegungsfrist sowie der Verjährung werden durch die Zahlungssperre zugunsten des Antragstellers gehemmt. </w:t>
      </w:r>
      <w:r>
        <w:rPr>
          <w:rStyle w:val="Satznummer"/>
        </w:rPr>
        <w:t>2</w:t>
      </w:r>
      <w:r>
        <w:t xml:space="preserve">Die Hemmung beginnt mit der Stellung des Antrags auf Zahlungssperre; sie endigt mit der Erledigung des Aufgebotsverfahrens und, falls die Zahlungssperre vor der Einleitung des Verfahrens verfügt worden ist, auch dann, wenn seit der Beseitigung des der Einleitung entgegenstehenden Hindernisses sechs Monate verstrichen sind und nicht vorher die Einleitung beantragt worden ist. </w:t>
      </w:r>
      <w:r>
        <w:rPr>
          <w:rStyle w:val="Satznummer"/>
        </w:rPr>
        <w:t>3</w:t>
      </w:r>
      <w:r>
        <w:t xml:space="preserve">Auf diese Frist finden die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w:t>
      </w:r>
      <w:hyperlink w:anchor="b251" w:history="1">
        <w:r>
          <w:rPr>
            <w:color w:val="0A3A8C"/>
            <w:u w:val="single"/>
          </w:rPr>
          <w:t xml:space="preserve">211</w:t>
        </w:r>
      </w:hyperlink>
      <w:r>
        <w:t xml:space="preserve"> entsprechende Anwendung.</w:t>
      </w:r>
    </w:p>
    <w:p>
      <w:pPr>
        <w:pStyle w:val="Heading4"/>
      </w:pPr>
      <w:bookmarkStart w:id="1269" w:name="b1254"/>
      <w:r>
        <w:t>§ 803 Zinsscheine</w:t>
      </w:r>
      <w:r>
        <w:t xml:space="preserve"> </w:t>
      </w:r>
      <w:r>
        <w:rPr>
          <w:rStyle w:val="Suchmarke"/>
        </w:rPr>
        <w:t>#803#</w:t>
      </w:r>
      <w:bookmarkEnd w:id="1269"/>
    </w:p>
    <w:p>
      <w:r>
        <w:t>(1) Werden für eine Schuldverschreibung auf den Inhaber Zinsscheine ausgegeben, so bleiben die Scheine, sofern sie nicht eine gegenteilige Bestimmung enthalten, in Kraft, auch wenn die Hauptforderung erlischt oder die Verpflichtung zur Verzinsung aufgehoben oder geändert wird.</w:t>
      </w:r>
    </w:p>
    <w:p>
      <w:r>
        <w:t>(2) Werden solche Zinsscheine bei der Einlösung der Hauptschuldverschreibung nicht zurückgegeben, so ist der Aussteller berechtigt, den Betrag zurückzubehalten, den er nach Absatz 1 für die Scheine zu zahlen verpflichtet ist.</w:t>
      </w:r>
    </w:p>
    <w:p>
      <w:pPr>
        <w:pStyle w:val="Heading4"/>
      </w:pPr>
      <w:bookmarkStart w:id="1270" w:name="b1255"/>
      <w:r>
        <w:t>§ 804 Verlust von Zins- oder ähnlichen Scheinen</w:t>
      </w:r>
      <w:r>
        <w:t xml:space="preserve"> </w:t>
      </w:r>
      <w:r>
        <w:rPr>
          <w:rStyle w:val="Suchmarke"/>
        </w:rPr>
        <w:t>#804#</w:t>
      </w:r>
      <w:bookmarkEnd w:id="1270"/>
    </w:p>
    <w:p>
      <w:r>
        <w:t xml:space="preserve">(1) </w:t>
      </w:r>
      <w:r>
        <w:rPr>
          <w:rStyle w:val="Satznummer"/>
        </w:rPr>
        <w:t>1</w:t>
      </w:r>
      <w:r>
        <w:t xml:space="preserve">Ist ein Zins-, Renten- oder Gewinnanteilschein abhanden gekommen oder vernichtet und hat der bisherige Inhaber den Verlust dem Aussteller vor dem Ablauf der Vorlegungsfrist angezeigt, so kann der bisherige Inhaber nach dem Ablauf der Frist die Leistung von dem Aussteller verlangen. </w:t>
      </w:r>
      <w:r>
        <w:rPr>
          <w:rStyle w:val="Satznummer"/>
        </w:rPr>
        <w:t>2</w:t>
      </w:r>
      <w:r>
        <w:t xml:space="preserve">Der Anspruch ist ausgeschlossen, wenn der abhanden gekommene Schein dem Aussteller zur Einlösung vorgelegt oder der Anspruch aus dem Schein gerichtlich geltend gemacht worden ist, es sei denn, dass die Vorlegung oder die gerichtliche Geltendmachung nach dem Ablauf der Frist erfolgt ist. </w:t>
      </w:r>
      <w:r>
        <w:rPr>
          <w:rStyle w:val="Satznummer"/>
        </w:rPr>
        <w:t>3</w:t>
      </w:r>
      <w:r>
        <w:t>Der Anspruch verjährt in vier Jahren.</w:t>
      </w:r>
    </w:p>
    <w:p>
      <w:r>
        <w:t>(2) In dem Zins-, Renten- oder Gewinnanteilschein kann der im Absatz 1 bestimmte Anspruch ausgeschlossen werden.</w:t>
      </w:r>
    </w:p>
    <w:p>
      <w:pPr>
        <w:pStyle w:val="Heading4"/>
      </w:pPr>
      <w:bookmarkStart w:id="1271" w:name="b1256"/>
      <w:r>
        <w:t>§ 805 Neue Zins- und Rentenscheine</w:t>
      </w:r>
      <w:r>
        <w:t xml:space="preserve"> </w:t>
      </w:r>
      <w:r>
        <w:rPr>
          <w:rStyle w:val="Suchmarke"/>
        </w:rPr>
        <w:t>#805#</w:t>
      </w:r>
      <w:bookmarkEnd w:id="1271"/>
    </w:p>
    <w:p>
      <w:r>
        <w:rPr>
          <w:rStyle w:val="Satznummer"/>
        </w:rPr>
        <w:t>1</w:t>
      </w:r>
      <w:r>
        <w:t xml:space="preserve">Neue Zins- oder Rentenscheine für eine Schuldverschreibung auf den Inhaber dürfen an den Inhaber der zum Empfang der Scheine ermächtigenden Urkunde (Erneuerungsschein) nicht ausgegeben werden, wenn der Inhaber der Schuldverschreibung der Ausgabe widersprochen hat. </w:t>
      </w:r>
      <w:r>
        <w:rPr>
          <w:rStyle w:val="Satznummer"/>
        </w:rPr>
        <w:t>2</w:t>
      </w:r>
      <w:r>
        <w:t>Die Scheine sind in diesem Falle dem Inhaber der Schuldverschreibung auszuhändigen, wenn er die Schuldverschreibung vorlegt.</w:t>
      </w:r>
    </w:p>
    <w:p>
      <w:pPr>
        <w:pStyle w:val="Heading4"/>
      </w:pPr>
      <w:bookmarkStart w:id="1272" w:name="b1257"/>
      <w:r>
        <w:t>§ 806 Umschreibung auf den Namen</w:t>
      </w:r>
      <w:r>
        <w:t xml:space="preserve"> </w:t>
      </w:r>
      <w:r>
        <w:rPr>
          <w:rStyle w:val="Suchmarke"/>
        </w:rPr>
        <w:t>#806#</w:t>
      </w:r>
      <w:bookmarkEnd w:id="1272"/>
    </w:p>
    <w:p>
      <w:r>
        <w:rPr>
          <w:rStyle w:val="Satznummer"/>
        </w:rPr>
        <w:t>1</w:t>
      </w:r>
      <w:r>
        <w:t xml:space="preserve">Die Umschreibung einer auf den Inhaber lautenden Schuldverschreibung auf den Namen eines bestimmten Berechtigten kann nur durch den Aussteller erfolgen. </w:t>
      </w:r>
      <w:r>
        <w:rPr>
          <w:rStyle w:val="Satznummer"/>
        </w:rPr>
        <w:t>2</w:t>
      </w:r>
      <w:r>
        <w:t>Der Aussteller ist zur Umschreibung nicht verpflichtet.</w:t>
      </w:r>
    </w:p>
    <w:p>
      <w:pPr>
        <w:pStyle w:val="Heading4"/>
      </w:pPr>
      <w:bookmarkStart w:id="1273" w:name="b1258"/>
      <w:r>
        <w:t>§ 807 Inhaberkarten und -marken</w:t>
      </w:r>
      <w:r>
        <w:t xml:space="preserve"> </w:t>
      </w:r>
      <w:r>
        <w:rPr>
          <w:rStyle w:val="Suchmarke"/>
        </w:rPr>
        <w:t>#807#</w:t>
      </w:r>
      <w:bookmarkEnd w:id="1273"/>
    </w:p>
    <w:p>
      <w:r>
        <w:t xml:space="preserve">Werden Karten, Marken oder ähnliche Urkunden, in denen ein Gläubiger nicht bezeichnet ist, von dem Aussteller unter Umständen ausgegeben, aus welchen sich ergibt, dass er dem Inhaber zu einer Leistung verpflichtet sein will, so finden die Vorschriften des </w:t>
      </w:r>
      <w:hyperlink w:anchor="b1244" w:history="1">
        <w:r>
          <w:rPr>
            <w:color w:val="0A3A8C"/>
            <w:u w:val="single"/>
          </w:rPr>
          <w:t xml:space="preserve">§ 793</w:t>
        </w:r>
      </w:hyperlink>
      <w:r>
        <w:t xml:space="preserve"> Abs. 1 und der </w:t>
      </w:r>
      <w:hyperlink w:anchor="b1245" w:history="1">
        <w:r>
          <w:rPr>
            <w:color w:val="0A3A8C"/>
            <w:u w:val="single"/>
          </w:rPr>
          <w:t xml:space="preserve">§§ 794</w:t>
        </w:r>
      </w:hyperlink>
      <w:r>
        <w:t xml:space="preserve">, </w:t>
      </w:r>
      <w:hyperlink w:anchor="b1247" w:history="1">
        <w:r>
          <w:rPr>
            <w:color w:val="0A3A8C"/>
            <w:u w:val="single"/>
          </w:rPr>
          <w:t xml:space="preserve">796</w:t>
        </w:r>
      </w:hyperlink>
      <w:r>
        <w:t xml:space="preserve">, </w:t>
      </w:r>
      <w:hyperlink w:anchor="b1248" w:history="1">
        <w:r>
          <w:rPr>
            <w:color w:val="0A3A8C"/>
            <w:u w:val="single"/>
          </w:rPr>
          <w:t xml:space="preserve">797</w:t>
        </w:r>
      </w:hyperlink>
      <w:r>
        <w:t xml:space="preserve"> entsprechende Anwendung.</w:t>
      </w:r>
    </w:p>
    <w:p>
      <w:pPr>
        <w:pStyle w:val="Heading4"/>
      </w:pPr>
      <w:bookmarkStart w:id="1274" w:name="b1259"/>
      <w:r>
        <w:t>§ 808 Namenspapiere mit Inhaberklausel</w:t>
      </w:r>
      <w:r>
        <w:t xml:space="preserve"> </w:t>
      </w:r>
      <w:r>
        <w:rPr>
          <w:rStyle w:val="Suchmarke"/>
        </w:rPr>
        <w:t>#808#</w:t>
      </w:r>
      <w:bookmarkEnd w:id="1274"/>
    </w:p>
    <w:p>
      <w:r>
        <w:t xml:space="preserve">(1) </w:t>
      </w:r>
      <w:r>
        <w:rPr>
          <w:rStyle w:val="Satznummer"/>
        </w:rPr>
        <w:t>1</w:t>
      </w:r>
      <w:r>
        <w:t xml:space="preserve">Wird eine Urkunde, in welcher der Gläubiger benannt ist, mit der Bestimmung ausgegeben, dass die in der Urkunde versprochene Leistung an jeden Inhaber bewirkt werden kann, so wird der Schuldner durch die Leistung an den Inhaber der Urkunde befreit. </w:t>
      </w:r>
      <w:r>
        <w:rPr>
          <w:rStyle w:val="Satznummer"/>
        </w:rPr>
        <w:t>2</w:t>
      </w:r>
      <w:r>
        <w:t>Der Inhaber ist nicht berechtigt, die Leistung zu verlangen.</w:t>
      </w:r>
    </w:p>
    <w:p>
      <w:r>
        <w:t xml:space="preserve">(2) </w:t>
      </w:r>
      <w:r>
        <w:rPr>
          <w:rStyle w:val="Satznummer"/>
        </w:rPr>
        <w:t>1</w:t>
      </w:r>
      <w:r>
        <w:t xml:space="preserve">Der Schuldner ist nur gegen Aushändigung der Urkunde zur Leistung verpflichtet. </w:t>
      </w:r>
      <w:r>
        <w:rPr>
          <w:rStyle w:val="Satznummer"/>
        </w:rPr>
        <w:t>2</w:t>
      </w:r>
      <w:r>
        <w:t xml:space="preserve">Ist die Urkunde abhanden gekommen oder vernichtet, so kann sie, wenn nicht ein anderes bestimmt ist, im Wege des Aufgebotsverfahrens für kraftlos erklärt werden. </w:t>
      </w:r>
      <w:r>
        <w:rPr>
          <w:rStyle w:val="Satznummer"/>
        </w:rPr>
        <w:t>3</w:t>
      </w:r>
      <w:r>
        <w:t xml:space="preserve">Die in </w:t>
      </w:r>
      <w:hyperlink w:anchor="b1253" w:history="1">
        <w:r>
          <w:rPr>
            <w:color w:val="0A3A8C"/>
            <w:u w:val="single"/>
          </w:rPr>
          <w:t xml:space="preserve">§ 802</w:t>
        </w:r>
      </w:hyperlink>
      <w:r>
        <w:t xml:space="preserve"> für die Verjährung gegebenen Vorschriften finden Anwendung.</w:t>
      </w:r>
    </w:p>
    <w:p>
      <w:pPr>
        <w:pStyle w:val="Heading3"/>
      </w:pPr>
      <w:bookmarkStart w:id="1275" w:name="b1260"/>
      <w:r>
        <w:t>Titel 25 Vorlegung von Sachen</w:t>
      </w:r>
      <w:bookmarkEnd w:id="1275"/>
    </w:p>
    <w:p>
      <w:pPr>
        <w:pStyle w:val="Heading4"/>
      </w:pPr>
      <w:bookmarkStart w:id="1276" w:name="b1261"/>
      <w:r>
        <w:t>§ 809 Besichtigung einer Sache</w:t>
      </w:r>
      <w:r>
        <w:t xml:space="preserve"> </w:t>
      </w:r>
      <w:r>
        <w:rPr>
          <w:rStyle w:val="Suchmarke"/>
        </w:rPr>
        <w:t>#809#</w:t>
      </w:r>
      <w:bookmarkEnd w:id="1276"/>
    </w:p>
    <w:p>
      <w:r>
        <w:t>Wer gegen den Besitzer einer Sache einen Anspruch in Ansehung der Sache hat oder sich Gewissheit verschaffen will, ob ihm ein solcher Anspruch zusteht, kann, wenn die Besichtigung der Sache aus diesem Grunde für ihn von Interesse ist, verlangen, dass der Besitzer ihm die Sache zur Besichtigung vorlegt oder die Besichtigung gestattet.</w:t>
      </w:r>
    </w:p>
    <w:p>
      <w:pPr>
        <w:pStyle w:val="Heading4"/>
      </w:pPr>
      <w:bookmarkStart w:id="1277" w:name="b1262"/>
      <w:r>
        <w:t>§ 810 Einsicht in Urkunden</w:t>
      </w:r>
      <w:r>
        <w:t xml:space="preserve"> </w:t>
      </w:r>
      <w:r>
        <w:rPr>
          <w:rStyle w:val="Suchmarke"/>
        </w:rPr>
        <w:t>#810#</w:t>
      </w:r>
      <w:bookmarkEnd w:id="1277"/>
    </w:p>
    <w:p>
      <w:r>
        <w:t>Wer ein rechtliches Interesse daran hat, eine in fremdem Besitz befindliche Urkunde einzusehen, kann von dem Besitzer die Gestattung der Einsicht verlangen, wenn die Urkunde in seinem Interesse errichtet oder in der Urkunde ein zwischen ihm und einem anderen bestehendes Rechtsverhältnis beurkundet ist oder wenn die Urkunde Verhandlungen über ein Rechtsgeschäft enthält, die zwischen ihm und einem anderen oder zwischen einem von beiden und einem gemeinschaftlichen Vermittler gepflogen worden sind.</w:t>
      </w:r>
    </w:p>
    <w:p>
      <w:pPr>
        <w:pStyle w:val="Heading4"/>
      </w:pPr>
      <w:bookmarkStart w:id="1278" w:name="b1263"/>
      <w:r>
        <w:t>§ 811 Vorlegungsort, Gefahr und Kosten</w:t>
      </w:r>
      <w:r>
        <w:t xml:space="preserve"> </w:t>
      </w:r>
      <w:r>
        <w:rPr>
          <w:rStyle w:val="Suchmarke"/>
        </w:rPr>
        <w:t>#811#</w:t>
      </w:r>
      <w:bookmarkEnd w:id="1278"/>
    </w:p>
    <w:p>
      <w:r>
        <w:t xml:space="preserve">(1) </w:t>
      </w:r>
      <w:r>
        <w:rPr>
          <w:rStyle w:val="Satznummer"/>
        </w:rPr>
        <w:t>1</w:t>
      </w:r>
      <w:r>
        <w:t xml:space="preserve">Die Vorlegung hat in den Fällen der </w:t>
      </w:r>
      <w:hyperlink w:anchor="b1261" w:history="1">
        <w:r>
          <w:rPr>
            <w:color w:val="0A3A8C"/>
            <w:u w:val="single"/>
          </w:rPr>
          <w:t xml:space="preserve">§§ 809</w:t>
        </w:r>
      </w:hyperlink>
      <w:r>
        <w:t xml:space="preserve">, </w:t>
      </w:r>
      <w:hyperlink w:anchor="b1262" w:history="1">
        <w:r>
          <w:rPr>
            <w:color w:val="0A3A8C"/>
            <w:u w:val="single"/>
          </w:rPr>
          <w:t xml:space="preserve">810</w:t>
        </w:r>
      </w:hyperlink>
      <w:r>
        <w:t xml:space="preserve"> an dem Orte zu erfolgen, an welchem sich die vorzulegende Sache befindet. </w:t>
      </w:r>
      <w:r>
        <w:rPr>
          <w:rStyle w:val="Satznummer"/>
        </w:rPr>
        <w:t>2</w:t>
      </w:r>
      <w:r>
        <w:t>Jeder Teil kann die Vorlegung an einem anderen Orte verlangen, wenn ein wichtiger Grund vorliegt.</w:t>
      </w:r>
    </w:p>
    <w:p>
      <w:r>
        <w:t xml:space="preserve">(2) </w:t>
      </w:r>
      <w:r>
        <w:rPr>
          <w:rStyle w:val="Satznummer"/>
        </w:rPr>
        <w:t>1</w:t>
      </w:r>
      <w:r>
        <w:t xml:space="preserve">Die Gefahr und die Kosten hat derjenige zu tragen, welcher die Vorlegung verlangt. </w:t>
      </w:r>
      <w:r>
        <w:rPr>
          <w:rStyle w:val="Satznummer"/>
        </w:rPr>
        <w:t>2</w:t>
      </w:r>
      <w:r>
        <w:t>Der Besitzer kann die Vorlegung verweigern, bis ihm der andere Teil die Kosten vorschießt und wegen der Gefahr Sicherheit leistet.</w:t>
      </w:r>
    </w:p>
    <w:p>
      <w:pPr>
        <w:pStyle w:val="Heading3"/>
      </w:pPr>
      <w:bookmarkStart w:id="1279" w:name="b1264"/>
      <w:r>
        <w:t>Titel 26 Ungerechtfertigte Bereicherung</w:t>
      </w:r>
      <w:bookmarkEnd w:id="1279"/>
    </w:p>
    <w:p>
      <w:pPr>
        <w:pStyle w:val="Heading4"/>
      </w:pPr>
      <w:bookmarkStart w:id="1280" w:name="b1265"/>
      <w:r>
        <w:t>§ 812 Herausgabeanspruch</w:t>
      </w:r>
      <w:r>
        <w:t xml:space="preserve"> </w:t>
      </w:r>
      <w:r>
        <w:rPr>
          <w:rStyle w:val="Suchmarke"/>
        </w:rPr>
        <w:t>#812#</w:t>
      </w:r>
      <w:bookmarkEnd w:id="1280"/>
    </w:p>
    <w:p>
      <w:r>
        <w:t xml:space="preserve">(1) </w:t>
      </w:r>
      <w:r>
        <w:rPr>
          <w:rStyle w:val="Satznummer"/>
        </w:rPr>
        <w:t>1</w:t>
      </w:r>
      <w:r>
        <w:t xml:space="preserve">Wer durch die Leistung eines anderen oder in sonstiger Weise auf dessen Kosten etwas ohne rechtlichen Grund erlangt, ist ihm zur Herausgabe verpflichtet. </w:t>
      </w:r>
      <w:r>
        <w:rPr>
          <w:rStyle w:val="Satznummer"/>
        </w:rPr>
        <w:t>2</w:t>
      </w:r>
      <w:r>
        <w:t>Diese Verpflichtung besteht auch dann, wenn der rechtliche Grund später wegfällt oder der mit einer Leistung nach dem Inhalt des Rechtsgeschäfts bezweckte Erfolg nicht eintritt.</w:t>
      </w:r>
    </w:p>
    <w:p>
      <w:r>
        <w:t>(2) Als Leistung gilt auch die durch Vertrag erfolgte Anerkennung des Bestehens oder des Nichtbestehens eines Schuldverhältnisses.</w:t>
      </w:r>
    </w:p>
    <w:p>
      <w:pPr>
        <w:pStyle w:val="Heading4"/>
      </w:pPr>
      <w:bookmarkStart w:id="1281" w:name="b1266"/>
      <w:r>
        <w:t>§ 813 Erfüllung trotz Einrede</w:t>
      </w:r>
      <w:r>
        <w:t xml:space="preserve"> </w:t>
      </w:r>
      <w:r>
        <w:rPr>
          <w:rStyle w:val="Suchmarke"/>
        </w:rPr>
        <w:t>#813#</w:t>
      </w:r>
      <w:bookmarkEnd w:id="1281"/>
    </w:p>
    <w:p>
      <w:r>
        <w:t xml:space="preserve">(1) </w:t>
      </w:r>
      <w:r>
        <w:rPr>
          <w:rStyle w:val="Satznummer"/>
        </w:rPr>
        <w:t>1</w:t>
      </w:r>
      <w:r>
        <w:t xml:space="preserve">Das zum Zwecke der Erfüllung einer Verbindlichkeit Geleistete kann auch dann zurückgefordert werden, wenn dem Anspruch eine Einrede entgegenstand, durch welche die Geltendmachung des Anspruchs dauernd ausgeschlossen wurde. </w:t>
      </w:r>
      <w:r>
        <w:rPr>
          <w:rStyle w:val="Satznummer"/>
        </w:rPr>
        <w:t>2</w:t>
      </w:r>
      <w:r>
        <w:t xml:space="preserve">Die Vorschrift des </w:t>
      </w:r>
      <w:hyperlink w:anchor="b255" w:history="1">
        <w:r>
          <w:rPr>
            <w:color w:val="0A3A8C"/>
            <w:u w:val="single"/>
          </w:rPr>
          <w:t xml:space="preserve">§ 214</w:t>
        </w:r>
      </w:hyperlink>
      <w:r>
        <w:t xml:space="preserve"> Abs. 2 bleibt unberührt.</w:t>
      </w:r>
    </w:p>
    <w:p>
      <w:r>
        <w:t>(2) Wird eine betagte Verbindlichkeit vorzeitig erfüllt, so ist die Rückforderung ausgeschlossen; die Erstattung von Zwischenzinsen kann nicht verlangt werden.</w:t>
      </w:r>
    </w:p>
    <w:p>
      <w:pPr>
        <w:pStyle w:val="Heading4"/>
      </w:pPr>
      <w:bookmarkStart w:id="1282" w:name="b1267"/>
      <w:r>
        <w:t>§ 814 Kenntnis der Nichtschuld</w:t>
      </w:r>
      <w:r>
        <w:t xml:space="preserve"> </w:t>
      </w:r>
      <w:r>
        <w:rPr>
          <w:rStyle w:val="Suchmarke"/>
        </w:rPr>
        <w:t>#814#</w:t>
      </w:r>
      <w:bookmarkEnd w:id="1282"/>
    </w:p>
    <w:p>
      <w:r>
        <w:t>Das zum Zwecke der Erfüllung einer Verbindlichkeit Geleistete kann nicht zurückgefordert werden, wenn der Leistende gewusst hat, dass er zur Leistung nicht verpflichtet war, oder wenn die Leistung einer sittlichen Pflicht oder einer auf den Anstand zu nehmenden Rücksicht entsprach.</w:t>
      </w:r>
    </w:p>
    <w:p>
      <w:pPr>
        <w:pStyle w:val="Heading4"/>
      </w:pPr>
      <w:bookmarkStart w:id="1283" w:name="b1268"/>
      <w:r>
        <w:t>§ 815 Nichteintritt des Erfolgs</w:t>
      </w:r>
      <w:r>
        <w:t xml:space="preserve"> </w:t>
      </w:r>
      <w:r>
        <w:rPr>
          <w:rStyle w:val="Suchmarke"/>
        </w:rPr>
        <w:t>#815#</w:t>
      </w:r>
      <w:bookmarkEnd w:id="1283"/>
    </w:p>
    <w:p>
      <w:r>
        <w:t>Die Rückforderung wegen Nichteintritts des mit einer Leistung bezweckten Erfolgs ist ausgeschlossen, wenn der Eintritt des Erfolgs von Anfang an unmöglich war und der Leistende dies gewusst hat oder wenn der Leistende den Eintritt des Erfolgs wider Treu und Glauben verhindert hat.</w:t>
      </w:r>
    </w:p>
    <w:p>
      <w:pPr>
        <w:pStyle w:val="Heading4"/>
      </w:pPr>
      <w:bookmarkStart w:id="1284" w:name="b1269"/>
      <w:r>
        <w:t>§ 816 Verfügung eines Nichtberechtigten</w:t>
      </w:r>
      <w:r>
        <w:t xml:space="preserve"> </w:t>
      </w:r>
      <w:r>
        <w:rPr>
          <w:rStyle w:val="Suchmarke"/>
        </w:rPr>
        <w:t>#816#</w:t>
      </w:r>
      <w:bookmarkEnd w:id="1284"/>
    </w:p>
    <w:p>
      <w:r>
        <w:t xml:space="preserve">(1) </w:t>
      </w:r>
      <w:r>
        <w:rPr>
          <w:rStyle w:val="Satznummer"/>
        </w:rPr>
        <w:t>1</w:t>
      </w:r>
      <w:r>
        <w:t xml:space="preserve">Trifft ein Nichtberechtigter über einen Gegenstand eine Verfügung, die dem Berechtigten gegenüber wirksam ist, so ist er dem Berechtigten zur Herausgabe des durch die Verfügung Erlangten verpflichtet. </w:t>
      </w:r>
      <w:r>
        <w:rPr>
          <w:rStyle w:val="Satznummer"/>
        </w:rPr>
        <w:t>2</w:t>
      </w:r>
      <w:r>
        <w:t>Erfolgt die Verfügung unentgeltlich, so trifft die gleiche Verpflichtung denjenigen, welcher auf Grund der Verfügung unmittelbar einen rechtlichen Vorteil erlangt.</w:t>
      </w:r>
    </w:p>
    <w:p>
      <w:r>
        <w:t>(2) Wird an einen Nichtberechtigten eine Leistung bewirkt, die dem Berechtigten gegenüber wirksam ist, so ist der Nichtberechtigte dem Berechtigten zur Herausgabe des Geleisteten verpflichtet.</w:t>
      </w:r>
    </w:p>
    <w:p>
      <w:pPr>
        <w:pStyle w:val="Heading4"/>
      </w:pPr>
      <w:bookmarkStart w:id="1285" w:name="b1270"/>
      <w:r>
        <w:t>§ 817 Verstoß gegen Gesetz oder gute Sitten</w:t>
      </w:r>
      <w:r>
        <w:t xml:space="preserve"> </w:t>
      </w:r>
      <w:r>
        <w:rPr>
          <w:rStyle w:val="Suchmarke"/>
        </w:rPr>
        <w:t>#817#</w:t>
      </w:r>
      <w:bookmarkEnd w:id="1285"/>
    </w:p>
    <w:p>
      <w:r>
        <w:rPr>
          <w:rStyle w:val="Satznummer"/>
        </w:rPr>
        <w:t>1</w:t>
      </w:r>
      <w:r>
        <w:t xml:space="preserve">War der Zweck einer Leistung in der Art bestimmt, dass der Empfänger durch die Annahme gegen ein gesetzliches Verbot oder gegen die guten Sitten verstoßen hat, so ist der Empfänger zur Herausgabe verpflichtet. </w:t>
      </w:r>
      <w:r>
        <w:rPr>
          <w:rStyle w:val="Satznummer"/>
        </w:rPr>
        <w:t>2</w:t>
      </w:r>
      <w:r>
        <w:t>Die Rückforderung ist ausgeschlossen, wenn dem Leistenden gleichfalls ein solcher Verstoß zur Last fällt, es sei denn, dass die Leistung in der Eingehung einer Verbindlichkeit bestand; das zur Erfüllung einer solchen Verbindlichkeit Geleistete kann nicht zurückgefordert werden.</w:t>
      </w:r>
    </w:p>
    <w:p>
      <w:pPr>
        <w:pStyle w:val="Heading4"/>
      </w:pPr>
      <w:bookmarkStart w:id="1286" w:name="b1271"/>
      <w:r>
        <w:t>§ 818 Umfang des Bereicherungsanspruchs</w:t>
      </w:r>
      <w:r>
        <w:t xml:space="preserve"> </w:t>
      </w:r>
      <w:r>
        <w:rPr>
          <w:rStyle w:val="Suchmarke"/>
        </w:rPr>
        <w:t>#818#</w:t>
      </w:r>
      <w:bookmarkEnd w:id="1286"/>
    </w:p>
    <w:p>
      <w:r>
        <w:t>(1) Die Verpflichtung zur Herausgabe erstreckt sich auf die gezogenen Nutzungen sowie auf dasjenige, was der Empfänger auf Grund eines erlangten Rechts oder als Ersatz für die Zerstörung, Beschädigung oder Entziehung des erlangten Gegenstands erwirbt.</w:t>
      </w:r>
    </w:p>
    <w:p>
      <w:r>
        <w:t>(2) Ist die Herausgabe wegen der Beschaffenheit des Erlangten nicht möglich oder ist der Empfänger aus einem anderen Grunde zur Herausgabe außerstande, so hat er den Wert zu ersetzen.</w:t>
      </w:r>
    </w:p>
    <w:p>
      <w:r>
        <w:t>(3) Die Verpflichtung zur Herausgabe oder zum Ersatz des Wertes ist ausgeschlossen, soweit der Empfänger nicht mehr bereichert ist.</w:t>
      </w:r>
    </w:p>
    <w:p>
      <w:r>
        <w:t>(4) Von dem Eintritt der Rechtshängigkeit an haftet der Empfänger nach den allgemeinen Vorschriften.</w:t>
      </w:r>
    </w:p>
    <w:p>
      <w:pPr>
        <w:pStyle w:val="Heading4"/>
      </w:pPr>
      <w:bookmarkStart w:id="1287" w:name="b1272"/>
      <w:r>
        <w:t>§ 819 Verschärfte Haftung bei Kenntnis und bei Gesetzes- oder Sittenverstoß</w:t>
      </w:r>
      <w:r>
        <w:t xml:space="preserve"> </w:t>
      </w:r>
      <w:r>
        <w:rPr>
          <w:rStyle w:val="Suchmarke"/>
        </w:rPr>
        <w:t>#819#</w:t>
      </w:r>
      <w:bookmarkEnd w:id="1287"/>
    </w:p>
    <w:p>
      <w:r>
        <w:t>(1) Kennt der Empfänger den Mangel des rechtlichen Grundes bei dem Empfang oder erfährt er ihn später, so ist er von dem Empfang oder der Erlangung der Kenntnis an zur Herausgabe verpflichtet, wie wenn der Anspruch auf Herausgabe zu dieser Zeit rechtshängig geworden wäre.</w:t>
      </w:r>
    </w:p>
    <w:p>
      <w:r>
        <w:t>(2) Verstößt der Empfänger durch die Annahme der Leistung gegen ein gesetzliches Verbot oder gegen die guten Sitten, so ist er von dem Empfang der Leistung an in der gleichen Weise verpflichtet.</w:t>
      </w:r>
    </w:p>
    <w:p>
      <w:pPr>
        <w:pStyle w:val="Heading4"/>
      </w:pPr>
      <w:bookmarkStart w:id="1288" w:name="b1273"/>
      <w:r>
        <w:t>§ 820 Verschärfte Haftung bei ungewissem Erfolgseintritt</w:t>
      </w:r>
      <w:r>
        <w:t xml:space="preserve"> </w:t>
      </w:r>
      <w:r>
        <w:rPr>
          <w:rStyle w:val="Suchmarke"/>
        </w:rPr>
        <w:t>#820#</w:t>
      </w:r>
      <w:bookmarkEnd w:id="1288"/>
    </w:p>
    <w:p>
      <w:r>
        <w:t xml:space="preserve">(1) </w:t>
      </w:r>
      <w:r>
        <w:rPr>
          <w:rStyle w:val="Satznummer"/>
        </w:rPr>
        <w:t>1</w:t>
      </w:r>
      <w:r>
        <w:t xml:space="preserve">War mit der Leistung ein Erfolg bezweckt, dessen Eintritt nach dem Inhalt des Rechtsgeschäfts als ungewiss angesehen wurde, so ist der Empfänger, falls der Erfolg nicht eintritt, zur Herausgabe so verpflichtet, wie wenn der Anspruch auf Herausgabe zur Zeit des Empfangs rechtshängig geworden wäre. </w:t>
      </w:r>
      <w:r>
        <w:rPr>
          <w:rStyle w:val="Satznummer"/>
        </w:rPr>
        <w:t>2</w:t>
      </w:r>
      <w:r>
        <w:t>Das Gleiche gilt, wenn die Leistung aus einem Rechtsgrund, dessen Wegfall nach dem Inhalt des Rechtsgeschäfts als möglich angesehen wurde, erfolgt ist und der Rechtsgrund wegfällt.</w:t>
      </w:r>
    </w:p>
    <w:p>
      <w:r>
        <w:t>(2) Zinsen hat der Empfänger erst von dem Zeitpunkt an zu entrichten, in welchem er erfährt, dass der Erfolg nicht eingetreten oder dass der Rechtsgrund weggefallen ist; zur Herausgabe von Nutzungen ist er insoweit nicht verpflichtet, als er zu dieser Zeit nicht mehr bereichert ist.</w:t>
      </w:r>
    </w:p>
    <w:p>
      <w:pPr>
        <w:pStyle w:val="Heading4"/>
      </w:pPr>
      <w:bookmarkStart w:id="1289" w:name="b1274"/>
      <w:r>
        <w:t>§ 821 Einrede der Bereicherung</w:t>
      </w:r>
      <w:r>
        <w:t xml:space="preserve"> </w:t>
      </w:r>
      <w:r>
        <w:rPr>
          <w:rStyle w:val="Suchmarke"/>
        </w:rPr>
        <w:t>#821#</w:t>
      </w:r>
      <w:bookmarkEnd w:id="1289"/>
    </w:p>
    <w:p>
      <w:r>
        <w:t>Wer ohne rechtlichen Grund eine Verbindlichkeit eingeht, kann die Erfüllung auch dann verweigern, wenn der Anspruch auf Befreiung von der Verbindlichkeit verjährt ist.</w:t>
      </w:r>
    </w:p>
    <w:p>
      <w:pPr>
        <w:pStyle w:val="Heading4"/>
      </w:pPr>
      <w:bookmarkStart w:id="1290" w:name="b1275"/>
      <w:r>
        <w:t>§ 822 Herausgabepflicht Dritter</w:t>
      </w:r>
      <w:r>
        <w:t xml:space="preserve"> </w:t>
      </w:r>
      <w:r>
        <w:rPr>
          <w:rStyle w:val="Suchmarke"/>
        </w:rPr>
        <w:t>#822#</w:t>
      </w:r>
      <w:bookmarkEnd w:id="1290"/>
    </w:p>
    <w:p>
      <w:r>
        <w:t>Wendet der Empfänger das Erlangte unentgeltlich einem Dritten zu, so ist, soweit infolgedessen die Verpflichtung des Empfängers zur Herausgabe der Bereicherung ausgeschlossen ist, der Dritte zur Herausgabe verpflichtet, wie wenn er die Zuwendung von dem Gläubiger ohne rechtlichen Grund erhalten hätte.</w:t>
      </w:r>
    </w:p>
    <w:p>
      <w:pPr>
        <w:pStyle w:val="Heading3"/>
      </w:pPr>
      <w:bookmarkStart w:id="1291" w:name="b1276"/>
      <w:r>
        <w:t>Titel 27 Unerlaubte Handlungen</w:t>
      </w:r>
      <w:bookmarkEnd w:id="1291"/>
    </w:p>
    <w:p>
      <w:pPr>
        <w:pStyle w:val="Heading4"/>
      </w:pPr>
      <w:bookmarkStart w:id="1292" w:name="b1277"/>
      <w:r>
        <w:t>§ 823 Schadensersatzpflicht</w:t>
      </w:r>
      <w:r>
        <w:t xml:space="preserve"> </w:t>
      </w:r>
      <w:r>
        <w:rPr>
          <w:rStyle w:val="Suchmarke"/>
        </w:rPr>
        <w:t>#823#</w:t>
      </w:r>
      <w:bookmarkEnd w:id="1292"/>
    </w:p>
    <w:p>
      <w:r>
        <w:t>(1) Wer vorsätzlich oder fahrlässig das Leben, den Körper, die Gesundheit, die Freiheit, das Eigentum oder ein sonstiges Recht eines anderen widerrechtlich verletzt, ist dem anderen zum Ersatz des daraus entstehenden Schadens verpflichtet.</w:t>
      </w:r>
    </w:p>
    <w:p>
      <w:r>
        <w:t xml:space="preserve">(2) </w:t>
      </w:r>
      <w:r>
        <w:rPr>
          <w:rStyle w:val="Satznummer"/>
        </w:rPr>
        <w:t>1</w:t>
      </w:r>
      <w:r>
        <w:t xml:space="preserve">Die gleiche Verpflichtung trifft denjenigen, welcher gegen ein den Schutz eines anderen bezweckendes Gesetz verstößt. </w:t>
      </w:r>
      <w:r>
        <w:rPr>
          <w:rStyle w:val="Satznummer"/>
        </w:rPr>
        <w:t>2</w:t>
      </w:r>
      <w:r>
        <w:t>Ist nach dem Inhalt des Gesetzes ein Verstoß gegen dieses auch ohne Verschulden möglich, so tritt die Ersatzpflicht nur im Falle des Verschuldens ein.</w:t>
      </w:r>
    </w:p>
    <w:p>
      <w:pPr>
        <w:pStyle w:val="Heading4"/>
      </w:pPr>
      <w:bookmarkStart w:id="1293" w:name="b1278"/>
      <w:r>
        <w:t>§ 824 Kreditgefährdung</w:t>
      </w:r>
      <w:r>
        <w:t xml:space="preserve"> </w:t>
      </w:r>
      <w:r>
        <w:rPr>
          <w:rStyle w:val="Suchmarke"/>
        </w:rPr>
        <w:t>#824#</w:t>
      </w:r>
      <w:bookmarkEnd w:id="1293"/>
    </w:p>
    <w:p>
      <w:r>
        <w:t>(1) Wer der Wahrheit zuwider eine Tatsache behauptet oder verbreitet, die geeignet ist, den Kredit eines anderen zu gefährden oder sonstige Nachteile für dessen Erwerb oder Fortkommen herbeizuführen, hat dem anderen den daraus entstehenden Schaden auch dann zu ersetzen, wenn er die Unwahrheit zwar nicht kennt, aber kennen muss.</w:t>
      </w:r>
    </w:p>
    <w:p>
      <w:r>
        <w:t>(2) Durch eine Mitteilung, deren Unwahrheit dem Mitteilenden unbekannt ist, wird dieser nicht zum Schadensersatz verpflichtet, wenn er oder der Empfänger der Mitteilung an ihr ein berechtigtes Interesse hat.</w:t>
      </w:r>
    </w:p>
    <w:p>
      <w:pPr>
        <w:pStyle w:val="Heading4"/>
      </w:pPr>
      <w:bookmarkStart w:id="1294" w:name="b1279"/>
      <w:r>
        <w:t>§ 825 Bestimmung zu sexuellen Handlungen</w:t>
      </w:r>
      <w:r>
        <w:t xml:space="preserve"> </w:t>
      </w:r>
      <w:r>
        <w:rPr>
          <w:rStyle w:val="Suchmarke"/>
        </w:rPr>
        <w:t>#825#</w:t>
      </w:r>
      <w:bookmarkEnd w:id="1294"/>
    </w:p>
    <w:p>
      <w:r>
        <w:t>Wer einen anderen durch Hinterlist, Drohung oder Missbrauch eines Abhängigkeitsverhältnisses zur Vornahme oder Duldung sexueller Handlungen bestimmt, ist ihm zum Ersatz des daraus entstehenden Schadens verpflichtet.</w:t>
      </w:r>
    </w:p>
    <w:p>
      <w:pPr>
        <w:pStyle w:val="Heading4"/>
      </w:pPr>
      <w:bookmarkStart w:id="1295" w:name="b1280"/>
      <w:r>
        <w:t>§ 826 Sittenwidrige vorsätzliche Schädigung</w:t>
      </w:r>
      <w:r>
        <w:t xml:space="preserve"> </w:t>
      </w:r>
      <w:r>
        <w:rPr>
          <w:rStyle w:val="Suchmarke"/>
        </w:rPr>
        <w:t>#826#</w:t>
      </w:r>
      <w:bookmarkEnd w:id="1295"/>
    </w:p>
    <w:p>
      <w:r>
        <w:t>Wer in einer gegen die guten Sitten verstoßenden Weise einem anderen vorsätzlich Schaden zufügt, ist dem anderen zum Ersatz des Schadens verpflichtet.</w:t>
      </w:r>
    </w:p>
    <w:p>
      <w:pPr>
        <w:pStyle w:val="Heading4"/>
      </w:pPr>
      <w:bookmarkStart w:id="1296" w:name="b1281"/>
      <w:r>
        <w:t>§ 827 Ausschluss und Minderung der Verantwortlichkeit</w:t>
      </w:r>
      <w:r>
        <w:t xml:space="preserve"> </w:t>
      </w:r>
      <w:r>
        <w:rPr>
          <w:rStyle w:val="Suchmarke"/>
        </w:rPr>
        <w:t>#827#</w:t>
      </w:r>
      <w:bookmarkEnd w:id="1296"/>
    </w:p>
    <w:p>
      <w:r>
        <w:rPr>
          <w:rStyle w:val="Satznummer"/>
        </w:rPr>
        <w:t>1</w:t>
      </w:r>
      <w:r>
        <w:t xml:space="preserve">Wer im Zustand der Bewusstlosigkeit oder in einem die freie Willensbestimmung ausschließenden Zustand krankhafter Störung der Geistestätigkeit einem anderen Schaden zufügt, ist für den Schaden nicht verantwortlich. </w:t>
      </w:r>
      <w:r>
        <w:rPr>
          <w:rStyle w:val="Satznummer"/>
        </w:rPr>
        <w:t>2</w:t>
      </w:r>
      <w:r>
        <w:t>Hat er sich durch geistige Getränke oder ähnliche Mittel in einen vorübergehenden Zustand dieser Art versetzt, so ist er für einen Schaden, den er in diesem Zustand widerrechtlich verursacht, in gleicher Weise verantwortlich, wie wenn ihm Fahrlässigkeit zur Last fiele; die Verantwortlichkeit tritt nicht ein, wenn er ohne Verschulden in den Zustand geraten ist.</w:t>
      </w:r>
    </w:p>
    <w:p>
      <w:pPr>
        <w:pStyle w:val="Heading4"/>
      </w:pPr>
      <w:bookmarkStart w:id="1297" w:name="b1282"/>
      <w:r>
        <w:t>§ 828 Minderjährige</w:t>
      </w:r>
      <w:r>
        <w:t xml:space="preserve"> </w:t>
      </w:r>
      <w:r>
        <w:rPr>
          <w:rStyle w:val="Suchmarke"/>
        </w:rPr>
        <w:t>#828#</w:t>
      </w:r>
      <w:bookmarkEnd w:id="1297"/>
    </w:p>
    <w:p>
      <w:r>
        <w:t>(1) Wer nicht das siebente Lebensjahr vollendet hat, ist für einen Schaden, den er einem anderen zufügt, nicht verantwortlich.</w:t>
      </w:r>
    </w:p>
    <w:p>
      <w:r>
        <w:t xml:space="preserve">(2) </w:t>
      </w:r>
      <w:r>
        <w:rPr>
          <w:rStyle w:val="Satznummer"/>
        </w:rPr>
        <w:t>1</w:t>
      </w:r>
      <w:r>
        <w:t xml:space="preserve">Wer das siebente, aber nicht das zehnte Lebensjahr vollendet hat, ist für den Schaden, den er bei einem Unfall mit einem Kraftfahrzeug, einer Schienenbahn oder einer Schwebebahn einem anderen zufügt, nicht verantwortlich. </w:t>
      </w:r>
      <w:r>
        <w:rPr>
          <w:rStyle w:val="Satznummer"/>
        </w:rPr>
        <w:t>2</w:t>
      </w:r>
      <w:r>
        <w:t>Dies gilt nicht, wenn er die Verletzung vorsätzlich herbeigeführt hat.</w:t>
      </w:r>
    </w:p>
    <w:p>
      <w:r>
        <w:t>(3) Wer das 18. Lebensjahr noch nicht vollendet hat, ist, sofern seine Verantwortlichkeit nicht nach Absatz 1 oder 2 ausgeschlossen ist, für den Schaden, den er einem anderen zufügt, nicht verantwortlich, wenn er bei der Begehung der schädigenden Handlung nicht die zur Erkenntnis der Verantwortlichkeit erforderliche Einsicht hat.</w:t>
      </w:r>
    </w:p>
    <w:p>
      <w:pPr>
        <w:pStyle w:val="Heading4"/>
      </w:pPr>
      <w:bookmarkStart w:id="1298" w:name="b1283"/>
      <w:r>
        <w:t>§ 829 Ersatzpflicht aus Billigkeitsgründen</w:t>
      </w:r>
      <w:r>
        <w:t xml:space="preserve"> </w:t>
      </w:r>
      <w:r>
        <w:rPr>
          <w:rStyle w:val="Suchmarke"/>
        </w:rPr>
        <w:t>#829#</w:t>
      </w:r>
      <w:bookmarkEnd w:id="1298"/>
    </w:p>
    <w:p>
      <w:r>
        <w:t xml:space="preserve">Wer in einem der in den </w:t>
      </w:r>
      <w:hyperlink w:anchor="b1277" w:history="1">
        <w:r>
          <w:rPr>
            <w:color w:val="0A3A8C"/>
            <w:u w:val="single"/>
          </w:rPr>
          <w:t xml:space="preserve">§§ 823</w:t>
        </w:r>
      </w:hyperlink>
      <w:r>
        <w:t xml:space="preserve"> bis </w:t>
      </w:r>
      <w:hyperlink w:anchor="b1280" w:history="1">
        <w:r>
          <w:rPr>
            <w:color w:val="0A3A8C"/>
            <w:u w:val="single"/>
          </w:rPr>
          <w:t xml:space="preserve">826</w:t>
        </w:r>
      </w:hyperlink>
      <w:r>
        <w:t xml:space="preserve"> bezeichneten Fälle für einen von ihm verursachten Schaden auf Grund der </w:t>
      </w:r>
      <w:hyperlink w:anchor="b1281" w:history="1">
        <w:r>
          <w:rPr>
            <w:color w:val="0A3A8C"/>
            <w:u w:val="single"/>
          </w:rPr>
          <w:t xml:space="preserve">§§ 827</w:t>
        </w:r>
      </w:hyperlink>
      <w:r>
        <w:t xml:space="preserve">, </w:t>
      </w:r>
      <w:hyperlink w:anchor="b1282" w:history="1">
        <w:r>
          <w:rPr>
            <w:color w:val="0A3A8C"/>
            <w:u w:val="single"/>
          </w:rPr>
          <w:t xml:space="preserve">828</w:t>
        </w:r>
      </w:hyperlink>
      <w:r>
        <w:t xml:space="preserve"> nicht verantwortlich ist, hat gleichwohl, sofern der Ersatz des Schadens nicht von einem aufsichtspflichtigen Dritten erlangt werden kann, den Schaden insoweit zu ersetzen, als die Billigkeit nach den Umständen, insbesondere nach den Verhältnissen der Beteiligten, eine Schadloshaltung erfordert und ihm nicht die Mittel entzogen werden, deren er zum angemessenen Unterhalt sowie zur Erfüllung seiner gesetzlichen Unterhaltspflichten bedarf.</w:t>
      </w:r>
    </w:p>
    <w:p>
      <w:pPr>
        <w:pStyle w:val="Heading4"/>
      </w:pPr>
      <w:bookmarkStart w:id="1299" w:name="b1284"/>
      <w:r>
        <w:t>§ 830 Mittäter und Beteiligte</w:t>
      </w:r>
      <w:r>
        <w:t xml:space="preserve"> </w:t>
      </w:r>
      <w:r>
        <w:rPr>
          <w:rStyle w:val="Suchmarke"/>
        </w:rPr>
        <w:t>#830#</w:t>
      </w:r>
      <w:bookmarkEnd w:id="1299"/>
    </w:p>
    <w:p>
      <w:r>
        <w:t xml:space="preserve">(1) </w:t>
      </w:r>
      <w:r>
        <w:rPr>
          <w:rStyle w:val="Satznummer"/>
        </w:rPr>
        <w:t>1</w:t>
      </w:r>
      <w:r>
        <w:t xml:space="preserve">Haben mehrere durch eine gemeinschaftlich begangene unerlaubte Handlung einen Schaden verursacht, so ist jeder für den Schaden verantwortlich. </w:t>
      </w:r>
      <w:r>
        <w:rPr>
          <w:rStyle w:val="Satznummer"/>
        </w:rPr>
        <w:t>2</w:t>
      </w:r>
      <w:r>
        <w:t>Das Gleiche gilt, wenn sich nicht ermitteln lässt, wer von mehreren Beteiligten den Schaden durch seine Handlung verursacht hat.</w:t>
      </w:r>
    </w:p>
    <w:p>
      <w:r>
        <w:t>(2) Anstifter und Gehilfen stehen Mittätern gleich.</w:t>
      </w:r>
    </w:p>
    <w:p>
      <w:pPr>
        <w:pStyle w:val="Heading4"/>
      </w:pPr>
      <w:bookmarkStart w:id="1300" w:name="b1285"/>
      <w:r>
        <w:t>§ 831 Haftung für den Verrichtungsgehilfen</w:t>
      </w:r>
      <w:r>
        <w:t xml:space="preserve"> </w:t>
      </w:r>
      <w:r>
        <w:rPr>
          <w:rStyle w:val="Suchmarke"/>
        </w:rPr>
        <w:t>#831#</w:t>
      </w:r>
      <w:bookmarkEnd w:id="1300"/>
    </w:p>
    <w:p>
      <w:r>
        <w:t xml:space="preserve">(1) </w:t>
      </w:r>
      <w:r>
        <w:rPr>
          <w:rStyle w:val="Satznummer"/>
        </w:rPr>
        <w:t>1</w:t>
      </w:r>
      <w:r>
        <w:t xml:space="preserve">Wer einen anderen zu einer Verrichtung bestellt, ist zum Ersatz des Schadens verpflichtet, den der andere in Ausführung der Verrichtung einem Dritten widerrechtlich zufügt. </w:t>
      </w:r>
      <w:r>
        <w:rPr>
          <w:rStyle w:val="Satznummer"/>
        </w:rPr>
        <w:t>2</w:t>
      </w:r>
      <w:r>
        <w:t>Die Ersatzpflicht tritt nicht ein, wenn der Geschäftsherr bei der Auswahl der bestellten Person und, sofern er Vorrichtungen oder Gerätschaften zu beschaffen oder die Ausführung der Verrichtung zu leiten hat, bei der Beschaffung oder der Leitung die im Verkehr erforderliche Sorgfalt beobachtet oder wenn der Schaden auch bei Anwendung dieser Sorgfalt entstanden sein würde.</w:t>
      </w:r>
    </w:p>
    <w:p>
      <w:r>
        <w:t>(2) Die gleiche Verantwortlichkeit trifft denjenigen, welcher für den Geschäftsherrn die Besorgung eines der im Absatz 1 Satz 2 bezeichneten Geschäfte durch Vertrag übernimmt.</w:t>
      </w:r>
    </w:p>
    <w:p>
      <w:pPr>
        <w:pStyle w:val="Heading4"/>
      </w:pPr>
      <w:bookmarkStart w:id="1301" w:name="b1286"/>
      <w:r>
        <w:t>§ 832 Haftung des Aufsichtspflichtigen</w:t>
      </w:r>
      <w:r>
        <w:t xml:space="preserve"> </w:t>
      </w:r>
      <w:r>
        <w:rPr>
          <w:rStyle w:val="Suchmarke"/>
        </w:rPr>
        <w:t>#832#</w:t>
      </w:r>
      <w:bookmarkEnd w:id="1301"/>
    </w:p>
    <w:p>
      <w:r>
        <w:t xml:space="preserve">(1) </w:t>
      </w:r>
      <w:r>
        <w:rPr>
          <w:rStyle w:val="Satznummer"/>
        </w:rPr>
        <w:t>1</w:t>
      </w:r>
      <w:r>
        <w:t xml:space="preserve">Wer kraft Gesetzes zur Führung der Aufsicht über eine Person verpflichtet ist, die wegen Minderjährigkeit oder wegen ihres geistigen oder körperlichen Zustands der Beaufsichtigung bedarf, ist zum Ersatz des Schadens verpflichtet, den diese Person einem Dritten widerrechtlich zufügt. </w:t>
      </w:r>
      <w:r>
        <w:rPr>
          <w:rStyle w:val="Satznummer"/>
        </w:rPr>
        <w:t>2</w:t>
      </w:r>
      <w:r>
        <w:t>Die Ersatzpflicht tritt nicht ein, wenn er seiner Aufsichtspflicht genügt oder wenn der Schaden auch bei gehöriger Aufsichtsführung entstanden sein würde.</w:t>
      </w:r>
    </w:p>
    <w:p>
      <w:r>
        <w:t>(2) Die gleiche Verantwortlichkeit trifft denjenigen, welcher die Führung der Aufsicht durch Vertrag übernimmt.</w:t>
      </w:r>
    </w:p>
    <w:p>
      <w:pPr>
        <w:pStyle w:val="Heading4"/>
      </w:pPr>
      <w:bookmarkStart w:id="1302" w:name="b1287"/>
      <w:r>
        <w:t>§ 833 Haftung des Tierhalters</w:t>
      </w:r>
      <w:r>
        <w:t xml:space="preserve"> </w:t>
      </w:r>
      <w:r>
        <w:rPr>
          <w:rStyle w:val="Suchmarke"/>
        </w:rPr>
        <w:t>#833#</w:t>
      </w:r>
      <w:bookmarkEnd w:id="1302"/>
    </w:p>
    <w:p>
      <w:r>
        <w:rPr>
          <w:rStyle w:val="Satznummer"/>
        </w:rPr>
        <w:t>1</w:t>
      </w:r>
      <w:r>
        <w:t xml:space="preserve">Wird durch ein Tier ein Mensch getötet oder der Körper oder die Gesundheit eines Menschen verletzt oder eine Sache beschädigt, so ist derjenige, welcher das Tier hält, verpflichtet, dem Verletzten den daraus entstehenden Schaden zu ersetzen. </w:t>
      </w:r>
      <w:r>
        <w:rPr>
          <w:rStyle w:val="Satznummer"/>
        </w:rPr>
        <w:t>2</w:t>
      </w:r>
      <w:r>
        <w:t>Die Ersatzpflicht tritt nicht ein, wenn der Schaden durch ein Haustier verursacht wird, das dem Beruf, der Erwerbstätigkeit oder dem Unterhalt des Tierhalters zu dienen bestimmt ist, und entweder der Tierhalter bei der Beaufsichtigung des Tieres die im Verkehr erforderliche Sorgfalt beobachtet oder der Schaden auch bei Anwendung dieser Sorgfalt entstanden sein würde.</w:t>
      </w:r>
    </w:p>
    <w:p>
      <w:pPr>
        <w:pStyle w:val="Heading4"/>
      </w:pPr>
      <w:bookmarkStart w:id="1303" w:name="b1288"/>
      <w:r>
        <w:t>§ 834 Haftung des Tieraufsehers</w:t>
      </w:r>
      <w:r>
        <w:t xml:space="preserve"> </w:t>
      </w:r>
      <w:r>
        <w:rPr>
          <w:rStyle w:val="Suchmarke"/>
        </w:rPr>
        <w:t>#834#</w:t>
      </w:r>
      <w:bookmarkEnd w:id="1303"/>
    </w:p>
    <w:p>
      <w:r>
        <w:rPr>
          <w:rStyle w:val="Satznummer"/>
        </w:rPr>
        <w:t>1</w:t>
      </w:r>
      <w:r>
        <w:t xml:space="preserve">Wer für denjenigen, welcher ein Tier hält, die Führung der Aufsicht über das Tier durch Vertrag übernimmt, ist für den Schaden verantwortlich, den das Tier einem Dritten in der im </w:t>
      </w:r>
      <w:hyperlink w:anchor="b1287" w:history="1">
        <w:r>
          <w:rPr>
            <w:color w:val="0A3A8C"/>
            <w:u w:val="single"/>
          </w:rPr>
          <w:t xml:space="preserve">§ 833</w:t>
        </w:r>
      </w:hyperlink>
      <w:r>
        <w:t xml:space="preserve"> bezeichneten Weise zufügt. </w:t>
      </w:r>
      <w:r>
        <w:rPr>
          <w:rStyle w:val="Satznummer"/>
        </w:rPr>
        <w:t>2</w:t>
      </w:r>
      <w:r>
        <w:t>Die Verantwortlichkeit tritt nicht ein, wenn er bei der Führung der Aufsicht die im Verkehr erforderliche Sorgfalt beobachtet oder wenn der Schaden auch bei Anwendung dieser Sorgfalt entstanden sein würde.</w:t>
      </w:r>
    </w:p>
    <w:p>
      <w:pPr>
        <w:pStyle w:val="Heading4"/>
      </w:pPr>
      <w:bookmarkStart w:id="1304" w:name="b1289"/>
      <w:r>
        <w:t>§ 835</w:t>
      </w:r>
      <w:r>
        <w:t xml:space="preserve"> </w:t>
      </w:r>
      <w:r>
        <w:rPr>
          <w:rStyle w:val="Suchmarke"/>
        </w:rPr>
        <w:t>#835#</w:t>
      </w:r>
      <w:bookmarkEnd w:id="1304"/>
    </w:p>
    <w:p>
      <w:r>
        <w:t>(weggefallen)</w:t>
      </w:r>
    </w:p>
    <w:p>
      <w:pPr>
        <w:pStyle w:val="Heading4"/>
      </w:pPr>
      <w:bookmarkStart w:id="1305" w:name="b1290"/>
      <w:r>
        <w:t>§ 836 Haftung des Grundstücksbesitzers</w:t>
      </w:r>
      <w:r>
        <w:t xml:space="preserve"> </w:t>
      </w:r>
      <w:r>
        <w:rPr>
          <w:rStyle w:val="Suchmarke"/>
        </w:rPr>
        <w:t>#836#</w:t>
      </w:r>
      <w:bookmarkEnd w:id="1305"/>
    </w:p>
    <w:p>
      <w:r>
        <w:t xml:space="preserve">(1) </w:t>
      </w:r>
      <w:r>
        <w:rPr>
          <w:rStyle w:val="Satznummer"/>
        </w:rPr>
        <w:t>1</w:t>
      </w:r>
      <w:r>
        <w:t xml:space="preserve">Wird durch den Einsturz eines Gebäudes oder eines anderen mit einem Grundstück verbundenen Werkes oder durch die Ablösung von Teilen des Gebäudes oder des Werkes ein Mensch getötet, der Körper oder die Gesundheit eines Menschen verletzt oder eine Sache beschädigt, so ist der Besitzer des Grundstücks, sofern der Einsturz oder die Ablösung die Folge fehlerhafter Errichtung oder mangelhafter Unterhaltung ist, verpflichtet, dem Verletzten den daraus entstehenden Schaden zu ersetzen. </w:t>
      </w:r>
      <w:r>
        <w:rPr>
          <w:rStyle w:val="Satznummer"/>
        </w:rPr>
        <w:t>2</w:t>
      </w:r>
      <w:r>
        <w:t>Die Ersatzpflicht tritt nicht ein, wenn der Besitzer zum Zwecke der Abwendung der Gefahr die im Verkehr erforderliche Sorgfalt beobachtet hat.</w:t>
      </w:r>
    </w:p>
    <w:p>
      <w:r>
        <w:t>(2) Ein früherer Besitzer des Grundstücks ist für den Schaden verantwortlich, wenn der Einsturz oder die Ablösung innerhalb eines Jahres nach der Beendigung seines Besitzes eintritt, es sei denn, dass er während seines Besitzes die im Verkehr erforderliche Sorgfalt beobachtet hat oder ein späterer Besitzer durch Beobachtung dieser Sorgfalt die Gefahr hätte abwenden können.</w:t>
      </w:r>
    </w:p>
    <w:p>
      <w:r>
        <w:t>(3) Besitzer im Sinne dieser Vorschriften ist der Eigenbesitzer.</w:t>
      </w:r>
    </w:p>
    <w:p>
      <w:pPr>
        <w:pStyle w:val="Heading4"/>
      </w:pPr>
      <w:bookmarkStart w:id="1306" w:name="b1291"/>
      <w:r>
        <w:t>§ 837 Haftung des Gebäudebesitzers</w:t>
      </w:r>
      <w:r>
        <w:t xml:space="preserve"> </w:t>
      </w:r>
      <w:r>
        <w:rPr>
          <w:rStyle w:val="Suchmarke"/>
        </w:rPr>
        <w:t>#837#</w:t>
      </w:r>
      <w:bookmarkEnd w:id="1306"/>
    </w:p>
    <w:p>
      <w:r>
        <w:t xml:space="preserve">Besitzt jemand auf einem fremden Grundstück in Ausübung eines Rechts ein Gebäude oder ein anderes Werk, so trifft ihn anstelle des Besitzers des Grundstücks die im </w:t>
      </w:r>
      <w:hyperlink w:anchor="b1290" w:history="1">
        <w:r>
          <w:rPr>
            <w:color w:val="0A3A8C"/>
            <w:u w:val="single"/>
          </w:rPr>
          <w:t xml:space="preserve">§ 836</w:t>
        </w:r>
      </w:hyperlink>
      <w:r>
        <w:t xml:space="preserve"> bestimmte Verantwortlichkeit.</w:t>
      </w:r>
    </w:p>
    <w:p>
      <w:pPr>
        <w:pStyle w:val="Heading4"/>
      </w:pPr>
      <w:bookmarkStart w:id="1307" w:name="b1292"/>
      <w:r>
        <w:t>§ 838 Haftung des Gebäudeunterhaltungspflichtigen</w:t>
      </w:r>
      <w:r>
        <w:t xml:space="preserve"> </w:t>
      </w:r>
      <w:r>
        <w:rPr>
          <w:rStyle w:val="Suchmarke"/>
        </w:rPr>
        <w:t>#838#</w:t>
      </w:r>
      <w:bookmarkEnd w:id="1307"/>
    </w:p>
    <w:p>
      <w:r>
        <w:t>Wer die Unterhaltung eines Gebäudes oder eines mit einem Grundstück verbundenen Werkes für den Besitzer übernimmt oder das Gebäude oder das Werk vermöge eines ihm zustehenden Nutzungsrechts zu unterhalten hat, ist für den durch den Einsturz oder die Ablösung von Teilen verursachten Schaden in gleicher Weise verantwortlich wie der Besitzer.</w:t>
      </w:r>
    </w:p>
    <w:p>
      <w:pPr>
        <w:pStyle w:val="Heading4"/>
      </w:pPr>
      <w:bookmarkStart w:id="1308" w:name="b1293"/>
      <w:r>
        <w:t>§ 839 Haftung bei Amtspflichtverletzung</w:t>
      </w:r>
      <w:r>
        <w:t xml:space="preserve"> </w:t>
      </w:r>
      <w:r>
        <w:rPr>
          <w:rStyle w:val="Suchmarke"/>
        </w:rPr>
        <w:t>#839#</w:t>
      </w:r>
      <w:bookmarkEnd w:id="1308"/>
    </w:p>
    <w:p>
      <w:r>
        <w:t xml:space="preserve">(1) </w:t>
      </w:r>
      <w:r>
        <w:rPr>
          <w:rStyle w:val="Satznummer"/>
        </w:rPr>
        <w:t>1</w:t>
      </w:r>
      <w:r>
        <w:t xml:space="preserve">Verletzt ein Beamter vorsätzlich oder fahrlässig die ihm einem Dritten gegenüber obliegende Amtspflicht, so hat er dem Dritten den daraus entstehenden Schaden zu ersetzen. </w:t>
      </w:r>
      <w:r>
        <w:rPr>
          <w:rStyle w:val="Satznummer"/>
        </w:rPr>
        <w:t>2</w:t>
      </w:r>
      <w:r>
        <w:t>Fällt dem Beamten nur Fahrlässigkeit zur Last, so kann er nur dann in Anspruch genommen werden, wenn der Verletzte nicht auf andere Weise Ersatz zu erlangen vermag.</w:t>
      </w:r>
    </w:p>
    <w:p>
      <w:r>
        <w:t xml:space="preserve">(2) </w:t>
      </w:r>
      <w:r>
        <w:rPr>
          <w:rStyle w:val="Satznummer"/>
        </w:rPr>
        <w:t>1</w:t>
      </w:r>
      <w:r>
        <w:t xml:space="preserve">Verletzt ein Beamter bei dem Urteil in einer Rechtssache seine Amtspflicht, so ist er für den daraus entstehenden Schaden nur dann verantwortlich, wenn die Pflichtverletzung in einer Straftat besteht. </w:t>
      </w:r>
      <w:r>
        <w:rPr>
          <w:rStyle w:val="Satznummer"/>
        </w:rPr>
        <w:t>2</w:t>
      </w:r>
      <w:r>
        <w:t>Auf eine pflichtwidrige Verweigerung oder Verzögerung der Ausübung des Amts findet diese Vorschrift keine Anwendung.</w:t>
      </w:r>
    </w:p>
    <w:p>
      <w:r>
        <w:t>(3) Die Ersatzpflicht tritt nicht ein, wenn der Verletzte vorsätzlich oder fahrlässig unterlassen hat, den Schaden durch Gebrauch eines Rechtsmittels abzuwenden.</w:t>
      </w:r>
    </w:p>
    <w:p>
      <w:pPr>
        <w:pStyle w:val="Heading4"/>
      </w:pPr>
      <w:bookmarkStart w:id="1309" w:name="b1294"/>
      <w:r>
        <w:t>§ 839a Haftung des gerichtlichen Sachverständigen</w:t>
      </w:r>
      <w:r>
        <w:t xml:space="preserve"> </w:t>
      </w:r>
      <w:r>
        <w:rPr>
          <w:rStyle w:val="Suchmarke"/>
        </w:rPr>
        <w:t>#839a#</w:t>
      </w:r>
      <w:bookmarkEnd w:id="1309"/>
    </w:p>
    <w:p>
      <w:r>
        <w:t>(1) Erstattet ein vom Gericht ernannter Sachverständiger vorsätzlich oder grob fahrlässig ein unrichtiges Gutachten, so ist er zum Ersatz des Schadens verpflichtet, der einem Verfahrensbeteiligten durch eine gerichtliche Entscheidung entsteht, die auf diesem Gutachten beruht.</w:t>
      </w:r>
    </w:p>
    <w:p>
      <w:r>
        <w:t xml:space="preserve">(2) </w:t>
      </w:r>
      <w:hyperlink w:anchor="b1293" w:history="1">
        <w:r>
          <w:rPr>
            <w:color w:val="0A3A8C"/>
            <w:u w:val="single"/>
          </w:rPr>
          <w:t xml:space="preserve">§ 839</w:t>
        </w:r>
      </w:hyperlink>
      <w:r>
        <w:t xml:space="preserve"> Abs. 3 ist entsprechend anzuwenden.</w:t>
      </w:r>
    </w:p>
    <w:p>
      <w:pPr>
        <w:pStyle w:val="Heading4"/>
      </w:pPr>
      <w:bookmarkStart w:id="1310" w:name="b1295"/>
      <w:r>
        <w:t>§ 840 Haftung mehrerer</w:t>
      </w:r>
      <w:r>
        <w:t xml:space="preserve"> </w:t>
      </w:r>
      <w:r>
        <w:rPr>
          <w:rStyle w:val="Suchmarke"/>
        </w:rPr>
        <w:t>#840#</w:t>
      </w:r>
      <w:bookmarkEnd w:id="1310"/>
    </w:p>
    <w:p>
      <w:r>
        <w:t>(1) Sind für den aus einer unerlaubten Handlung entstehenden Schaden mehrere nebeneinander verantwortlich, so haften sie als Gesamtschuldner.</w:t>
      </w:r>
    </w:p>
    <w:p>
      <w:r>
        <w:t>(2) Ist neben demjenigen, welcher nach den §§ 831, 832 zum Ersatz des von einem anderen verursachten Schadens verpflichtet ist, auch der andere für den Schaden verantwortlich, so ist in ihrem Verhältnis zueinander der andere allein, im Falle des § 829 der Aufsichtspflichtige allein verpflichtet.</w:t>
      </w:r>
    </w:p>
    <w:p>
      <w:r>
        <w:t>(3) Ist neben demjenigen, welcher nach den §§ 833 bis 838 zum Ersatz des Schadens verpflichtet ist, ein Dritter für den Schaden verantwortlich, so ist in ihrem Verhältnis zueinander der Dritte allein verpflichtet.</w:t>
      </w:r>
    </w:p>
    <w:p>
      <w:pPr>
        <w:pStyle w:val="Heading4"/>
      </w:pPr>
      <w:bookmarkStart w:id="1311" w:name="b1296"/>
      <w:r>
        <w:t>§ 841 Ausgleichung bei Beamtenhaftung</w:t>
      </w:r>
      <w:r>
        <w:t xml:space="preserve"> </w:t>
      </w:r>
      <w:r>
        <w:rPr>
          <w:rStyle w:val="Suchmarke"/>
        </w:rPr>
        <w:t>#841#</w:t>
      </w:r>
      <w:bookmarkEnd w:id="1311"/>
    </w:p>
    <w:p>
      <w:r>
        <w:t>Ist ein Beamter, der vermöge seiner Amtspflicht einen anderen zur Geschäftsführung für einen Dritten zu bestellen oder eine solche Geschäftsführung zu beaufsichtigen oder durch Genehmigung von Rechtsgeschäften bei ihr mitzuwirken hat, wegen Verletzung dieser Pflichten neben dem anderen für den von diesem verursachten Schaden verantwortlich, so ist in ihrem Verhältnis zueinander der andere allein verpflichtet.</w:t>
      </w:r>
    </w:p>
    <w:p>
      <w:pPr>
        <w:pStyle w:val="Heading4"/>
      </w:pPr>
      <w:bookmarkStart w:id="1312" w:name="b1297"/>
      <w:r>
        <w:t>§ 842 Umfang der Ersatzpflicht bei Verletzung einer Person</w:t>
      </w:r>
      <w:r>
        <w:t xml:space="preserve"> </w:t>
      </w:r>
      <w:r>
        <w:rPr>
          <w:rStyle w:val="Suchmarke"/>
        </w:rPr>
        <w:t>#842#</w:t>
      </w:r>
      <w:bookmarkEnd w:id="1312"/>
    </w:p>
    <w:p>
      <w:r>
        <w:t>Die Verpflichtung zum Schadensersatz wegen einer gegen die Person gerichteten unerlaubten Handlung erstreckt sich auf die Nachteile, welche die Handlung für den Erwerb oder das Fortkommen des Verletzten herbeiführt.</w:t>
      </w:r>
    </w:p>
    <w:p>
      <w:pPr>
        <w:pStyle w:val="Heading4"/>
      </w:pPr>
      <w:bookmarkStart w:id="1313" w:name="b1298"/>
      <w:r>
        <w:t>§ 843 Geldrente oder Kapitalabfindung</w:t>
      </w:r>
      <w:r>
        <w:t xml:space="preserve"> </w:t>
      </w:r>
      <w:r>
        <w:rPr>
          <w:rStyle w:val="Suchmarke"/>
        </w:rPr>
        <w:t>#843#</w:t>
      </w:r>
      <w:bookmarkEnd w:id="1313"/>
    </w:p>
    <w:p>
      <w:r>
        <w:t>(1) Wird infolge einer Verletzung des Körpers oder der Gesundheit die Erwerbsfähigkeit des Verletzten aufgehoben oder gemindert oder tritt eine Vermehrung seiner Bedürfnisse ein, so ist dem Verletzten durch Entrichtung einer Geldrente Schadensersatz zu leisten.</w:t>
      </w:r>
    </w:p>
    <w:p>
      <w:r>
        <w:t xml:space="preserve">(2) </w:t>
      </w:r>
      <w:r>
        <w:rPr>
          <w:rStyle w:val="Satznummer"/>
        </w:rPr>
        <w:t>1</w:t>
      </w:r>
      <w:r>
        <w:t xml:space="preserve">Auf die Rente findet die Vorschrift des § 760 Anwendung. </w:t>
      </w:r>
      <w:r>
        <w:rPr>
          <w:rStyle w:val="Satznummer"/>
        </w:rPr>
        <w:t>2</w:t>
      </w:r>
      <w:r>
        <w:t>Ob, in welcher Art und für welchen Betrag der Ersatzpflichtige Sicherheit zu leisten hat, bestimmt sich nach den Umständen.</w:t>
      </w:r>
    </w:p>
    <w:p>
      <w:r>
        <w:t>(3) Statt der Rente kann der Verletzte eine Abfindung in Kapital verlangen, wenn ein wichtiger Grund vorliegt.</w:t>
      </w:r>
    </w:p>
    <w:p>
      <w:r>
        <w:t>(4) Der Anspruch wird nicht dadurch ausgeschlossen, dass ein anderer dem Verletzten Unterhalt zu gewähren hat.</w:t>
      </w:r>
    </w:p>
    <w:p>
      <w:pPr>
        <w:pStyle w:val="Heading4"/>
      </w:pPr>
      <w:bookmarkStart w:id="1314" w:name="b1299"/>
      <w:r>
        <w:t>§ 844 Ersatzansprüche Dritter bei Tötung</w:t>
      </w:r>
      <w:r>
        <w:t xml:space="preserve"> </w:t>
      </w:r>
      <w:r>
        <w:rPr>
          <w:rStyle w:val="Suchmarke"/>
        </w:rPr>
        <w:t>#844#</w:t>
      </w:r>
      <w:bookmarkEnd w:id="1314"/>
    </w:p>
    <w:p>
      <w:r>
        <w:t>(1) Im Falle der Tötung hat der Ersatzpflichtige die Kosten der Beerdigung demjenigen zu ersetzen, welchem die Verpflichtung obliegt, diese Kosten zu tragen.</w:t>
      </w:r>
    </w:p>
    <w:p>
      <w:r>
        <w:t xml:space="preserve">(2) </w:t>
      </w:r>
      <w:r>
        <w:rPr>
          <w:rStyle w:val="Satznummer"/>
        </w:rPr>
        <w:t>1</w:t>
      </w:r>
      <w:r>
        <w:t xml:space="preserve">Stand der Getötete zur Zeit der Verletzung zu einem Dritten in einem Verhältnis, vermöge dessen er diesem gegenüber kraft Gesetzes unterhaltspflichtig war oder unterhaltspflichtig werden konnte, und ist dem Dritten infolge der Tötung das Recht auf den Unterhalt entzogen, so hat der Ersatzpflichtige dem Dritten durch Entrichtung einer Geldrente insoweit Schadensersatz zu leisten, als der Getötete während der mutmaßlichen Dauer seines Lebens zur Gewährung des Unterhalts verpflichtet gewesen sein würde; die Vorschrift des </w:t>
      </w:r>
      <w:hyperlink w:anchor="b1298" w:history="1">
        <w:r>
          <w:rPr>
            <w:color w:val="0A3A8C"/>
            <w:u w:val="single"/>
          </w:rPr>
          <w:t xml:space="preserve">§ 843</w:t>
        </w:r>
      </w:hyperlink>
      <w:r>
        <w:t xml:space="preserve"> Abs. 2 bis 4 findet entsprechende Anwendung. </w:t>
      </w:r>
      <w:r>
        <w:rPr>
          <w:rStyle w:val="Satznummer"/>
        </w:rPr>
        <w:t>2</w:t>
      </w:r>
      <w:r>
        <w:t>Die Ersatzpflicht tritt auch dann ein, wenn der Dritte zur Zeit der Verletzung gezeugt, aber noch nicht geboren war.</w:t>
      </w:r>
    </w:p>
    <w:p>
      <w:r>
        <w:t xml:space="preserve">(3) </w:t>
      </w:r>
      <w:r>
        <w:rPr>
          <w:rStyle w:val="Satznummer"/>
        </w:rPr>
        <w:t>1</w:t>
      </w:r>
      <w:r>
        <w:t xml:space="preserve">Der Ersatzpflichtige hat dem Hinterbliebenen, der zur Zeit der Verletzung zu dem Getöteten in einem besonderen persönlichen Näheverhältnis stand, für das dem Hinterbliebenen zugefügte seelische Leid eine angemessene Entschädigung in Geld zu leisten. </w:t>
      </w:r>
      <w:r>
        <w:rPr>
          <w:rStyle w:val="Satznummer"/>
        </w:rPr>
        <w:t>2</w:t>
      </w:r>
      <w:r>
        <w:t>Ein besonderes persönliches Näheverhältnis wird vermutet, wenn der Hinterbliebene der Ehegatte, der Lebenspartner, ein Elternteil oder ein Kind des Getöteten war.</w:t>
      </w:r>
    </w:p>
    <w:p>
      <w:pPr>
        <w:pStyle w:val="Heading4"/>
      </w:pPr>
      <w:bookmarkStart w:id="1315" w:name="b1300"/>
      <w:r>
        <w:t>§ 845 Ersatzansprüche wegen entgangener Dienste</w:t>
      </w:r>
      <w:r>
        <w:t xml:space="preserve"> </w:t>
      </w:r>
      <w:r>
        <w:rPr>
          <w:rStyle w:val="Suchmarke"/>
        </w:rPr>
        <w:t>#845#</w:t>
      </w:r>
      <w:bookmarkEnd w:id="1315"/>
    </w:p>
    <w:p>
      <w:r>
        <w:rPr>
          <w:rStyle w:val="Satznummer"/>
        </w:rPr>
        <w:t>1</w:t>
      </w:r>
      <w:r>
        <w:t xml:space="preserve">Im Falle der Tötung, der Verletzung des Körpers oder der Gesundheit sowie im Falle der Freiheitsentziehung hat der Ersatzpflichtige, wenn der Verletzte kraft Gesetzes einem Dritten zur Leistung von Diensten in dessen Hauswesen oder Gewerbe verpflichtet war, dem Dritten für die entgehenden Dienste durch Entrichtung einer Geldrente Ersatz zu leisten. </w:t>
      </w:r>
      <w:r>
        <w:rPr>
          <w:rStyle w:val="Satznummer"/>
        </w:rPr>
        <w:t>2</w:t>
      </w:r>
      <w:r>
        <w:t xml:space="preserve">Die Vorschrift des </w:t>
      </w:r>
      <w:hyperlink w:anchor="b1298" w:history="1">
        <w:r>
          <w:rPr>
            <w:color w:val="0A3A8C"/>
            <w:u w:val="single"/>
          </w:rPr>
          <w:t xml:space="preserve">§ 843</w:t>
        </w:r>
      </w:hyperlink>
      <w:r>
        <w:t xml:space="preserve"> Abs. 2 bis 4 findet entsprechende Anwendung.</w:t>
      </w:r>
    </w:p>
    <w:p>
      <w:pPr>
        <w:pStyle w:val="Heading4"/>
      </w:pPr>
      <w:bookmarkStart w:id="1316" w:name="b1301"/>
      <w:r>
        <w:t>§ 846 Mitverschulden des Verletzten</w:t>
      </w:r>
      <w:r>
        <w:t xml:space="preserve"> </w:t>
      </w:r>
      <w:r>
        <w:rPr>
          <w:rStyle w:val="Suchmarke"/>
        </w:rPr>
        <w:t>#846#</w:t>
      </w:r>
      <w:bookmarkEnd w:id="1316"/>
    </w:p>
    <w:p>
      <w:r>
        <w:t xml:space="preserve">Hat in den Fällen der </w:t>
      </w:r>
      <w:hyperlink w:anchor="b1299" w:history="1">
        <w:r>
          <w:rPr>
            <w:color w:val="0A3A8C"/>
            <w:u w:val="single"/>
          </w:rPr>
          <w:t xml:space="preserve">§§ 844</w:t>
        </w:r>
      </w:hyperlink>
      <w:r>
        <w:t xml:space="preserve">, </w:t>
      </w:r>
      <w:hyperlink w:anchor="b1300" w:history="1">
        <w:r>
          <w:rPr>
            <w:color w:val="0A3A8C"/>
            <w:u w:val="single"/>
          </w:rPr>
          <w:t xml:space="preserve">845</w:t>
        </w:r>
      </w:hyperlink>
      <w:r>
        <w:t xml:space="preserve"> bei der Entstehung des Schadens, den der Dritte erleidet, ein Verschulden des Verletzten mitgewirkt, so findet auf den Anspruch des Dritten die Vorschrift des § 254 Anwendung.</w:t>
      </w:r>
    </w:p>
    <w:p>
      <w:pPr>
        <w:pStyle w:val="Heading4"/>
      </w:pPr>
      <w:bookmarkStart w:id="1317" w:name="b1302"/>
      <w:r>
        <w:t>§ 847</w:t>
      </w:r>
      <w:r>
        <w:t xml:space="preserve"> </w:t>
      </w:r>
      <w:r>
        <w:rPr>
          <w:rStyle w:val="Suchmarke"/>
        </w:rPr>
        <w:t>#847#</w:t>
      </w:r>
      <w:bookmarkEnd w:id="1317"/>
    </w:p>
    <w:p>
      <w:r>
        <w:t>(weggefallen)</w:t>
      </w:r>
    </w:p>
    <w:p>
      <w:pPr>
        <w:pStyle w:val="Heading4"/>
      </w:pPr>
      <w:bookmarkStart w:id="1318" w:name="b1303"/>
      <w:r>
        <w:t>§ 848 Haftung für Zufall bei Entziehung einer Sache</w:t>
      </w:r>
      <w:r>
        <w:t xml:space="preserve"> </w:t>
      </w:r>
      <w:r>
        <w:rPr>
          <w:rStyle w:val="Suchmarke"/>
        </w:rPr>
        <w:t>#848#</w:t>
      </w:r>
      <w:bookmarkEnd w:id="1318"/>
    </w:p>
    <w:p>
      <w:r>
        <w:t>Wer zur Rückgabe einer Sache verpflichtet ist, die er einem anderen durch eine unerlaubte Handlung entzogen hat, ist auch für den zufälligen Untergang, eine aus einem anderen Grunde eintretende zufällige Unmöglichkeit der Herausgabe oder eine zufällige Verschlechterung der Sache verantwortlich, es sei denn, dass der Untergang, die anderweitige Unmöglichkeit der Herausgabe oder die Verschlechterung auch ohne die Entziehung eingetreten sein würde.</w:t>
      </w:r>
    </w:p>
    <w:p>
      <w:pPr>
        <w:pStyle w:val="Heading4"/>
      </w:pPr>
      <w:bookmarkStart w:id="1319" w:name="b1304"/>
      <w:r>
        <w:t>§ 849 Verzinsung der Ersatzsumme</w:t>
      </w:r>
      <w:r>
        <w:t xml:space="preserve"> </w:t>
      </w:r>
      <w:r>
        <w:rPr>
          <w:rStyle w:val="Suchmarke"/>
        </w:rPr>
        <w:t>#849#</w:t>
      </w:r>
      <w:bookmarkEnd w:id="1319"/>
    </w:p>
    <w:p>
      <w:r>
        <w:t>Ist wegen der Entziehung einer Sache der Wert oder wegen der Beschädigung einer Sache die Wertminderung zu ersetzen, so kann der Verletzte Zinsen des zu ersetzenden Betrags von dem Zeitpunkt an verlangen, welcher der Bestimmung des Wertes zugrunde gelegt wird.</w:t>
      </w:r>
    </w:p>
    <w:p>
      <w:pPr>
        <w:pStyle w:val="Heading4"/>
      </w:pPr>
      <w:bookmarkStart w:id="1320" w:name="b1305"/>
      <w:r>
        <w:t>§ 850 Ersatz von Verwendungen</w:t>
      </w:r>
      <w:r>
        <w:t xml:space="preserve"> </w:t>
      </w:r>
      <w:r>
        <w:rPr>
          <w:rStyle w:val="Suchmarke"/>
        </w:rPr>
        <w:t>#850#</w:t>
      </w:r>
      <w:bookmarkEnd w:id="1320"/>
    </w:p>
    <w:p>
      <w:r>
        <w:t>Macht der zur Herausgabe einer entzogenen Sache Verpflichtete Verwendungen auf die Sache, so stehen ihm dem Verletzten gegenüber die Rechte zu, die der Besitzer dem Eigentümer gegenüber wegen Verwendungen hat.</w:t>
      </w:r>
    </w:p>
    <w:p>
      <w:pPr>
        <w:pStyle w:val="Heading4"/>
      </w:pPr>
      <w:bookmarkStart w:id="1321" w:name="b1306"/>
      <w:r>
        <w:t>§ 851 Ersatzleistung an Nichtberechtigten</w:t>
      </w:r>
      <w:r>
        <w:t xml:space="preserve"> </w:t>
      </w:r>
      <w:r>
        <w:rPr>
          <w:rStyle w:val="Suchmarke"/>
        </w:rPr>
        <w:t>#851#</w:t>
      </w:r>
      <w:bookmarkEnd w:id="1321"/>
    </w:p>
    <w:p>
      <w:r>
        <w:t>Leistet der wegen der Entziehung oder Beschädigung einer beweglichen Sache zum Schadensersatz Verpflichtete den Ersatz an denjenigen, in dessen Besitz sich die Sache zur Zeit der Entziehung oder der Beschädigung befunden hat, so wird er durch die Leistung auch dann befreit, wenn ein Dritter Eigentümer der Sache war oder ein sonstiges Recht an der Sache hatte, es sei denn, dass ihm das Recht des Dritten bekannt oder infolge grober Fahrlässigkeit unbekannt ist.</w:t>
      </w:r>
    </w:p>
    <w:p>
      <w:pPr>
        <w:pStyle w:val="Heading4"/>
      </w:pPr>
      <w:bookmarkStart w:id="1322" w:name="b1307"/>
      <w:r>
        <w:t>§ 852 Herausgabeanspruch nach Eintritt der Verjährung</w:t>
      </w:r>
      <w:r>
        <w:t xml:space="preserve"> </w:t>
      </w:r>
      <w:r>
        <w:rPr>
          <w:rStyle w:val="Suchmarke"/>
        </w:rPr>
        <w:t>#852#</w:t>
      </w:r>
      <w:bookmarkEnd w:id="1322"/>
    </w:p>
    <w:p>
      <w:r>
        <w:rPr>
          <w:rStyle w:val="Satznummer"/>
        </w:rPr>
        <w:t>1</w:t>
      </w:r>
      <w:r>
        <w:t xml:space="preserve">Hat der Ersatzpflichtige durch eine unerlaubte Handlung auf Kosten des Verletzten etwas erlangt, so ist er auch nach Eintritt der Verjährung des Anspruchs auf Ersatz des aus einer unerlaubten Handlung entstandenen Schadens zur Herausgabe nach den Vorschriften über die Herausgabe einer ungerechtfertigten Bereicherung verpflichtet. </w:t>
      </w:r>
      <w:r>
        <w:rPr>
          <w:rStyle w:val="Satznummer"/>
        </w:rPr>
        <w:t>2</w:t>
      </w:r>
      <w:r>
        <w:t>Dieser Anspruch verjährt in zehn Jahren von seiner Entstehung an, ohne Rücksicht auf die Entstehung in 30 Jahren von der Begehung der Verletzungshandlung oder dem sonstigen, den Schaden auslösenden Ereignis an.</w:t>
      </w:r>
    </w:p>
    <w:p>
      <w:pPr>
        <w:pStyle w:val="Heading4"/>
      </w:pPr>
      <w:bookmarkStart w:id="1323" w:name="b1308"/>
      <w:r>
        <w:t>§ 853 Arglisteinrede</w:t>
      </w:r>
      <w:r>
        <w:t xml:space="preserve"> </w:t>
      </w:r>
      <w:r>
        <w:rPr>
          <w:rStyle w:val="Suchmarke"/>
        </w:rPr>
        <w:t>#853#</w:t>
      </w:r>
      <w:bookmarkEnd w:id="1323"/>
    </w:p>
    <w:p>
      <w:r>
        <w:t>Erlangt jemand durch eine von ihm begangene unerlaubte Handlung eine Forderung gegen den Verletzten, so kann der Verletzte die Erfüllung auch dann verweigern, wenn der Anspruch auf Aufhebung der Forderung verjährt ist.</w:t>
      </w:r>
    </w:p>
    <w:p>
      <w:pPr>
        <w:pStyle w:val="Heading1"/>
      </w:pPr>
      <w:bookmarkStart w:id="1324" w:name="b1309"/>
      <w:r>
        <w:t>Buch 3 Sachenrecht</w:t>
      </w:r>
      <w:bookmarkEnd w:id="1324"/>
    </w:p>
    <w:p>
      <w:pPr>
        <w:pStyle w:val="Heading2"/>
      </w:pPr>
      <w:bookmarkStart w:id="1325" w:name="b1310"/>
      <w:r>
        <w:t>Abschnitt 1 Besitz</w:t>
      </w:r>
      <w:bookmarkEnd w:id="1325"/>
    </w:p>
    <w:p>
      <w:pPr>
        <w:pStyle w:val="Heading3"/>
      </w:pPr>
      <w:bookmarkStart w:id="1326" w:name="b1311"/>
      <w:r>
        <w:t>§ 854 Erwerb des Besitzes</w:t>
      </w:r>
      <w:r>
        <w:t xml:space="preserve"> </w:t>
      </w:r>
      <w:r>
        <w:rPr>
          <w:rStyle w:val="Suchmarke"/>
        </w:rPr>
        <w:t>#854#</w:t>
      </w:r>
      <w:bookmarkEnd w:id="1326"/>
    </w:p>
    <w:p>
      <w:r>
        <w:t>(1) Der Besitz einer Sache wird durch die Erlangung der tatsächlichen Gewalt über die Sache erworben.</w:t>
      </w:r>
    </w:p>
    <w:p>
      <w:r>
        <w:t>(2) Die Einigung des bisherigen Besitzers und des Erwerbers genügt zum Erwerb, wenn der Erwerber in der Lage ist, die Gewalt über die Sache auszuüben.</w:t>
      </w:r>
    </w:p>
    <w:p>
      <w:pPr>
        <w:pStyle w:val="Heading3"/>
      </w:pPr>
      <w:bookmarkStart w:id="1327" w:name="b1312"/>
      <w:r>
        <w:t>§ 855 Besitzdiener</w:t>
      </w:r>
      <w:r>
        <w:t xml:space="preserve"> </w:t>
      </w:r>
      <w:r>
        <w:rPr>
          <w:rStyle w:val="Suchmarke"/>
        </w:rPr>
        <w:t>#855#</w:t>
      </w:r>
      <w:bookmarkEnd w:id="1327"/>
    </w:p>
    <w:p>
      <w:r>
        <w:t>Übt jemand die tatsächliche Gewalt über eine Sache für einen anderen in dessen Haushalt oder Erwerbsgeschäft oder in einem ähnlichen Verhältnis aus, vermöge dessen er den sich auf die Sache beziehenden Weisungen des anderen Folge zu leisten hat, so ist nur der andere Besitzer.</w:t>
      </w:r>
    </w:p>
    <w:p>
      <w:pPr>
        <w:pStyle w:val="Heading3"/>
      </w:pPr>
      <w:bookmarkStart w:id="1328" w:name="b1313"/>
      <w:r>
        <w:t>§ 856 Beendigung des Besitzes</w:t>
      </w:r>
      <w:r>
        <w:t xml:space="preserve"> </w:t>
      </w:r>
      <w:r>
        <w:rPr>
          <w:rStyle w:val="Suchmarke"/>
        </w:rPr>
        <w:t>#856#</w:t>
      </w:r>
      <w:bookmarkEnd w:id="1328"/>
    </w:p>
    <w:p>
      <w:r>
        <w:t>(1) Der Besitz wird dadurch beendigt, dass der Besitzer die tatsächliche Gewalt über die Sache aufgibt oder in anderer Weise verliert.</w:t>
      </w:r>
    </w:p>
    <w:p>
      <w:r>
        <w:t>(2) Durch eine ihrer Natur nach vorübergehende Verhinderung in der Ausübung der Gewalt wird der Besitz nicht beendigt.</w:t>
      </w:r>
    </w:p>
    <w:p>
      <w:pPr>
        <w:pStyle w:val="Heading3"/>
      </w:pPr>
      <w:bookmarkStart w:id="1329" w:name="b1314"/>
      <w:r>
        <w:t>§ 857 Vererblichkeit</w:t>
      </w:r>
      <w:r>
        <w:t xml:space="preserve"> </w:t>
      </w:r>
      <w:r>
        <w:rPr>
          <w:rStyle w:val="Suchmarke"/>
        </w:rPr>
        <w:t>#857#</w:t>
      </w:r>
      <w:bookmarkEnd w:id="1329"/>
    </w:p>
    <w:p>
      <w:r>
        <w:t>Der Besitz geht auf den Erben über.</w:t>
      </w:r>
    </w:p>
    <w:p>
      <w:pPr>
        <w:pStyle w:val="Heading3"/>
      </w:pPr>
      <w:bookmarkStart w:id="1330" w:name="b1315"/>
      <w:r>
        <w:t>§ 858 Verbotene Eigenmacht</w:t>
      </w:r>
      <w:r>
        <w:t xml:space="preserve"> </w:t>
      </w:r>
      <w:r>
        <w:rPr>
          <w:rStyle w:val="Suchmarke"/>
        </w:rPr>
        <w:t>#858#</w:t>
      </w:r>
      <w:bookmarkEnd w:id="1330"/>
    </w:p>
    <w:p>
      <w:r>
        <w:t>(1) Wer dem Besitzer ohne dessen Willen den Besitz entzieht oder ihn im Besitz stört, handelt, sofern nicht das Gesetz die Entziehung oder die Störung gestattet, widerrechtlich (verbotene Eigenmacht).</w:t>
      </w:r>
    </w:p>
    <w:p>
      <w:r>
        <w:t xml:space="preserve">(2) </w:t>
      </w:r>
      <w:r>
        <w:rPr>
          <w:rStyle w:val="Satznummer"/>
        </w:rPr>
        <w:t>1</w:t>
      </w:r>
      <w:r>
        <w:t xml:space="preserve">Der durch verbotene Eigenmacht erlangte Besitz ist fehlerhaft. </w:t>
      </w:r>
      <w:r>
        <w:rPr>
          <w:rStyle w:val="Satznummer"/>
        </w:rPr>
        <w:t>2</w:t>
      </w:r>
      <w:r>
        <w:t>Die Fehlerhaftigkeit muss der Nachfolger im Besitz gegen sich gelten lassen, wenn er Erbe des Besitzers ist oder die Fehlerhaftigkeit des Besitzes seines Vorgängers bei dem Erwerb kennt.</w:t>
      </w:r>
    </w:p>
    <w:p>
      <w:pPr>
        <w:pStyle w:val="Heading3"/>
      </w:pPr>
      <w:bookmarkStart w:id="1331" w:name="b1316"/>
      <w:r>
        <w:t>§ 859 Selbsthilfe des Besitzers</w:t>
      </w:r>
      <w:r>
        <w:t xml:space="preserve"> </w:t>
      </w:r>
      <w:r>
        <w:rPr>
          <w:rStyle w:val="Suchmarke"/>
        </w:rPr>
        <w:t>#859#</w:t>
      </w:r>
      <w:bookmarkEnd w:id="1331"/>
    </w:p>
    <w:p>
      <w:r>
        <w:t>(1) Der Besitzer darf sich verbotener Eigenmacht mit Gewalt erwehren.</w:t>
      </w:r>
    </w:p>
    <w:p>
      <w:r>
        <w:t>(2) Wird eine bewegliche Sache dem Besitzer mittels verbotener Eigenmacht weggenommen, so darf er sie dem auf frischer Tat betroffenen oder verfolgten Täter mit Gewalt wieder abnehmen.</w:t>
      </w:r>
    </w:p>
    <w:p>
      <w:r>
        <w:t>(3) Wird dem Besitzer eines Grundstücks der Besitz durch verbotene Eigenmacht entzogen, so darf er sofort nach der Entziehung sich des Besitzes durch Entsetzung des Täters wieder bemächtigen.</w:t>
      </w:r>
    </w:p>
    <w:p>
      <w:r>
        <w:t xml:space="preserve">(4) Die gleichen Rechte stehen dem Besitzer gegen denjenigen zu, welcher nach </w:t>
      </w:r>
      <w:hyperlink w:anchor="b1315" w:history="1">
        <w:r>
          <w:rPr>
            <w:color w:val="0A3A8C"/>
            <w:u w:val="single"/>
          </w:rPr>
          <w:t xml:space="preserve">§ 858</w:t>
        </w:r>
      </w:hyperlink>
      <w:r>
        <w:t xml:space="preserve"> Abs. 2 die Fehlerhaftigkeit des Besitzes gegen sich gelten lassen muss.</w:t>
      </w:r>
    </w:p>
    <w:p>
      <w:pPr>
        <w:pStyle w:val="Heading3"/>
      </w:pPr>
      <w:bookmarkStart w:id="1332" w:name="b1317"/>
      <w:r>
        <w:t>§ 860 Selbsthilfe des Besitzdieners</w:t>
      </w:r>
      <w:r>
        <w:t xml:space="preserve"> </w:t>
      </w:r>
      <w:r>
        <w:rPr>
          <w:rStyle w:val="Suchmarke"/>
        </w:rPr>
        <w:t>#860#</w:t>
      </w:r>
      <w:bookmarkEnd w:id="1332"/>
    </w:p>
    <w:p>
      <w:r>
        <w:t xml:space="preserve">Zur Ausübung der dem Besitzer nach </w:t>
      </w:r>
      <w:hyperlink w:anchor="b1316" w:history="1">
        <w:r>
          <w:rPr>
            <w:color w:val="0A3A8C"/>
            <w:u w:val="single"/>
          </w:rPr>
          <w:t xml:space="preserve">§ 859</w:t>
        </w:r>
      </w:hyperlink>
      <w:r>
        <w:t xml:space="preserve"> zustehenden Rechte ist auch derjenige befugt, welcher die tatsächliche Gewalt nach </w:t>
      </w:r>
      <w:hyperlink w:anchor="b1312" w:history="1">
        <w:r>
          <w:rPr>
            <w:color w:val="0A3A8C"/>
            <w:u w:val="single"/>
          </w:rPr>
          <w:t xml:space="preserve">§ 855</w:t>
        </w:r>
      </w:hyperlink>
      <w:r>
        <w:t xml:space="preserve"> für den Besitzer ausübt.</w:t>
      </w:r>
    </w:p>
    <w:p>
      <w:pPr>
        <w:pStyle w:val="Heading3"/>
      </w:pPr>
      <w:bookmarkStart w:id="1333" w:name="b1318"/>
      <w:r>
        <w:t>§ 861 Anspruch wegen Besitzentziehung</w:t>
      </w:r>
      <w:r>
        <w:t xml:space="preserve"> </w:t>
      </w:r>
      <w:r>
        <w:rPr>
          <w:rStyle w:val="Suchmarke"/>
        </w:rPr>
        <w:t>#861#</w:t>
      </w:r>
      <w:bookmarkEnd w:id="1333"/>
    </w:p>
    <w:p>
      <w:r>
        <w:t>(1) Wird der Besitz durch verbotene Eigenmacht dem Besitzer entzogen, so kann dieser die Wiedereinräumung des Besitzes von demjenigen verlangen, welcher ihm gegenüber fehlerhaft besitzt.</w:t>
      </w:r>
    </w:p>
    <w:p>
      <w:r>
        <w:t>(2) Der Anspruch ist ausgeschlossen, wenn der entzogene Besitz dem gegenwärtigen Besitzer oder dessen Rechtsvorgänger gegenüber fehlerhaft war und in dem letzten Jahre vor der Entziehung erlangt worden ist.</w:t>
      </w:r>
    </w:p>
    <w:p>
      <w:pPr>
        <w:pStyle w:val="Heading3"/>
      </w:pPr>
      <w:bookmarkStart w:id="1334" w:name="b1319"/>
      <w:r>
        <w:t>§ 862 Anspruch wegen Besitzstörung</w:t>
      </w:r>
      <w:r>
        <w:t xml:space="preserve"> </w:t>
      </w:r>
      <w:r>
        <w:rPr>
          <w:rStyle w:val="Suchmarke"/>
        </w:rPr>
        <w:t>#862#</w:t>
      </w:r>
      <w:bookmarkEnd w:id="1334"/>
    </w:p>
    <w:p>
      <w:r>
        <w:t xml:space="preserve">(1) </w:t>
      </w:r>
      <w:r>
        <w:rPr>
          <w:rStyle w:val="Satznummer"/>
        </w:rPr>
        <w:t>1</w:t>
      </w:r>
      <w:r>
        <w:t xml:space="preserve">Wird der Besitzer durch verbotene Eigenmacht im Besitz gestört, so kann er von dem Störer die Beseitigung der Störung verlangen. </w:t>
      </w:r>
      <w:r>
        <w:rPr>
          <w:rStyle w:val="Satznummer"/>
        </w:rPr>
        <w:t>2</w:t>
      </w:r>
      <w:r>
        <w:t>Sind weitere Störungen zu besorgen, so kann der Besitzer auf Unterlassung klagen.</w:t>
      </w:r>
    </w:p>
    <w:p>
      <w:r>
        <w:t>(2) Der Anspruch ist ausgeschlossen, wenn der Besitzer dem Störer oder dessen Rechtsvorgänger gegenüber fehlerhaft besitzt und der Besitz in dem letzten Jahre vor der Störung erlangt worden ist.</w:t>
      </w:r>
    </w:p>
    <w:p>
      <w:pPr>
        <w:pStyle w:val="Heading3"/>
      </w:pPr>
      <w:bookmarkStart w:id="1335" w:name="b1320"/>
      <w:r>
        <w:t>§ 863 Einwendungen des Entziehers oder Störers</w:t>
      </w:r>
      <w:r>
        <w:t xml:space="preserve"> </w:t>
      </w:r>
      <w:r>
        <w:rPr>
          <w:rStyle w:val="Suchmarke"/>
        </w:rPr>
        <w:t>#863#</w:t>
      </w:r>
      <w:bookmarkEnd w:id="1335"/>
    </w:p>
    <w:p>
      <w:r>
        <w:t xml:space="preserve">Gegenüber den in den </w:t>
      </w:r>
      <w:hyperlink w:anchor="b1318" w:history="1">
        <w:r>
          <w:rPr>
            <w:color w:val="0A3A8C"/>
            <w:u w:val="single"/>
          </w:rPr>
          <w:t xml:space="preserve">§§ 861</w:t>
        </w:r>
      </w:hyperlink>
      <w:r>
        <w:t xml:space="preserve">, </w:t>
      </w:r>
      <w:hyperlink w:anchor="b1319" w:history="1">
        <w:r>
          <w:rPr>
            <w:color w:val="0A3A8C"/>
            <w:u w:val="single"/>
          </w:rPr>
          <w:t xml:space="preserve">862</w:t>
        </w:r>
      </w:hyperlink>
      <w:r>
        <w:t xml:space="preserve"> bestimmten Ansprüchen kann ein Recht zum Besitz oder zur Vornahme der störenden Handlung nur zur Begründung der Behauptung geltend gemacht werden, dass die Entziehung oder die Störung des Besitzes nicht verbotene Eigenmacht sei.</w:t>
      </w:r>
    </w:p>
    <w:p>
      <w:pPr>
        <w:pStyle w:val="Heading3"/>
      </w:pPr>
      <w:bookmarkStart w:id="1336" w:name="b1321"/>
      <w:r>
        <w:t>§ 864 Erlöschen der Besitzansprüche</w:t>
      </w:r>
      <w:r>
        <w:t xml:space="preserve"> </w:t>
      </w:r>
      <w:r>
        <w:rPr>
          <w:rStyle w:val="Suchmarke"/>
        </w:rPr>
        <w:t>#864#</w:t>
      </w:r>
      <w:bookmarkEnd w:id="1336"/>
    </w:p>
    <w:p>
      <w:r>
        <w:t xml:space="preserve">(1) Ein nach den </w:t>
      </w:r>
      <w:hyperlink w:anchor="b1318" w:history="1">
        <w:r>
          <w:rPr>
            <w:color w:val="0A3A8C"/>
            <w:u w:val="single"/>
          </w:rPr>
          <w:t xml:space="preserve">§§ 861</w:t>
        </w:r>
      </w:hyperlink>
      <w:r>
        <w:t xml:space="preserve">, </w:t>
      </w:r>
      <w:hyperlink w:anchor="b1319" w:history="1">
        <w:r>
          <w:rPr>
            <w:color w:val="0A3A8C"/>
            <w:u w:val="single"/>
          </w:rPr>
          <w:t xml:space="preserve">862</w:t>
        </w:r>
      </w:hyperlink>
      <w:r>
        <w:t xml:space="preserve"> begründeter Anspruch erlischt mit dem Ablauf eines Jahres nach der Verübung der verbotenen Eigenmacht, wenn nicht vorher der Anspruch im Wege der Klage geltend gemacht wird.</w:t>
      </w:r>
    </w:p>
    <w:p>
      <w:r>
        <w:t>(2) Das Erlöschen tritt auch dann ein, wenn nach der Verübung der verbotenen Eigenmacht durch rechtskräftiges Urteil festgestellt wird, dass dem Täter ein Recht an der Sache zusteht, vermöge dessen er die Herstellung eines seiner Handlungsweise entsprechenden Besitzstands verlangen kann.</w:t>
      </w:r>
    </w:p>
    <w:p>
      <w:pPr>
        <w:pStyle w:val="Heading3"/>
      </w:pPr>
      <w:bookmarkStart w:id="1337" w:name="b1322"/>
      <w:r>
        <w:t>§ 865 Teilbesitz</w:t>
      </w:r>
      <w:r>
        <w:t xml:space="preserve"> </w:t>
      </w:r>
      <w:r>
        <w:rPr>
          <w:rStyle w:val="Suchmarke"/>
        </w:rPr>
        <w:t>#865#</w:t>
      </w:r>
      <w:bookmarkEnd w:id="1337"/>
    </w:p>
    <w:p>
      <w:r>
        <w:t xml:space="preserve">Die Vorschriften der </w:t>
      </w:r>
      <w:hyperlink w:anchor="b1315" w:history="1">
        <w:r>
          <w:rPr>
            <w:color w:val="0A3A8C"/>
            <w:u w:val="single"/>
          </w:rPr>
          <w:t xml:space="preserve">§§ 858</w:t>
        </w:r>
      </w:hyperlink>
      <w:r>
        <w:t xml:space="preserve"> bis </w:t>
      </w:r>
      <w:hyperlink w:anchor="b1321" w:history="1">
        <w:r>
          <w:rPr>
            <w:color w:val="0A3A8C"/>
            <w:u w:val="single"/>
          </w:rPr>
          <w:t xml:space="preserve">864</w:t>
        </w:r>
      </w:hyperlink>
      <w:r>
        <w:t xml:space="preserve"> gelten auch zugunsten desjenigen, welcher nur einen Teil einer Sache, insbesondere abgesonderte Wohnräume oder andere Räume, besitzt.</w:t>
      </w:r>
    </w:p>
    <w:p>
      <w:pPr>
        <w:pStyle w:val="Heading3"/>
      </w:pPr>
      <w:bookmarkStart w:id="1338" w:name="b1323"/>
      <w:r>
        <w:t>§ 866 Mitbesitz</w:t>
      </w:r>
      <w:r>
        <w:t xml:space="preserve"> </w:t>
      </w:r>
      <w:r>
        <w:rPr>
          <w:rStyle w:val="Suchmarke"/>
        </w:rPr>
        <w:t>#866#</w:t>
      </w:r>
      <w:bookmarkEnd w:id="1338"/>
    </w:p>
    <w:p>
      <w:r>
        <w:t>Besitzen mehrere eine Sache gemeinschaftlich, so findet in ihrem Verhältnis zueinander ein Besitzschutz insoweit nicht statt, als es sich um die Grenzen des den einzelnen zustehenden Gebrauchs handelt.</w:t>
      </w:r>
    </w:p>
    <w:p>
      <w:pPr>
        <w:pStyle w:val="Heading3"/>
      </w:pPr>
      <w:bookmarkStart w:id="1339" w:name="b1324"/>
      <w:r>
        <w:t>§ 867 Verfolgungsrecht des Besitzers</w:t>
      </w:r>
      <w:r>
        <w:t xml:space="preserve"> </w:t>
      </w:r>
      <w:r>
        <w:rPr>
          <w:rStyle w:val="Suchmarke"/>
        </w:rPr>
        <w:t>#867#</w:t>
      </w:r>
      <w:bookmarkEnd w:id="1339"/>
    </w:p>
    <w:p>
      <w:r>
        <w:rPr>
          <w:rStyle w:val="Satznummer"/>
        </w:rPr>
        <w:t>1</w:t>
      </w:r>
      <w:r>
        <w:t xml:space="preserve">Ist eine Sache aus der Gewalt des Besitzers auf ein im Besitz eines anderen befindliches Grundstück gelangt, so hat ihm der Besitzer des Grundstücks die Aufsuchung und die Wegschaffung zu gestatten, sofern nicht die Sache inzwischen in Besitz genommen worden ist. </w:t>
      </w:r>
      <w:r>
        <w:rPr>
          <w:rStyle w:val="Satznummer"/>
        </w:rPr>
        <w:t>2</w:t>
      </w:r>
      <w:r>
        <w:t xml:space="preserve">Der Besitzer des Grundstücks kann Ersatz des durch die Aufsuchung und die Wegschaffung entstehenden Schadens verlangen. </w:t>
      </w:r>
      <w:r>
        <w:rPr>
          <w:rStyle w:val="Satznummer"/>
        </w:rPr>
        <w:t>3</w:t>
      </w:r>
      <w:r>
        <w:t>Er kann, wenn die Entstehung eines Schadens zu besorgen ist, die Gestattung verweigern, bis ihm Sicherheit geleistet wird; die Verweigerung ist unzulässig, wenn mit dem Aufschub Gefahr verbunden ist.</w:t>
      </w:r>
    </w:p>
    <w:p>
      <w:pPr>
        <w:pStyle w:val="Heading3"/>
      </w:pPr>
      <w:bookmarkStart w:id="1340" w:name="b1325"/>
      <w:r>
        <w:t>§ 868 Mittelbarer Besitz</w:t>
      </w:r>
      <w:r>
        <w:t xml:space="preserve"> </w:t>
      </w:r>
      <w:r>
        <w:rPr>
          <w:rStyle w:val="Suchmarke"/>
        </w:rPr>
        <w:t>#868#</w:t>
      </w:r>
      <w:bookmarkEnd w:id="1340"/>
    </w:p>
    <w:p>
      <w:r>
        <w:t>Besitzt jemand eine Sache als Nießbraucher, Pfandgläubiger, Pächter, Mieter, Verwahrer oder in einem ähnlichen Verhältnis, vermöge dessen er einem anderen gegenüber auf Zeit zum Besitz berechtigt oder verpflichtet ist, so ist auch der andere Besitzer (mittelbarer Besitz).</w:t>
      </w:r>
    </w:p>
    <w:p>
      <w:pPr>
        <w:pStyle w:val="Heading3"/>
      </w:pPr>
      <w:bookmarkStart w:id="1341" w:name="b1326"/>
      <w:r>
        <w:t>§ 869 Ansprüche des mittelbaren Besitzers</w:t>
      </w:r>
      <w:r>
        <w:t xml:space="preserve"> </w:t>
      </w:r>
      <w:r>
        <w:rPr>
          <w:rStyle w:val="Suchmarke"/>
        </w:rPr>
        <w:t>#869#</w:t>
      </w:r>
      <w:bookmarkEnd w:id="1341"/>
    </w:p>
    <w:p>
      <w:r>
        <w:rPr>
          <w:rStyle w:val="Satznummer"/>
        </w:rPr>
        <w:t>1</w:t>
      </w:r>
      <w:r>
        <w:t xml:space="preserve">Wird gegen den Besitzer verbotene Eigenmacht verübt, so stehen die in den </w:t>
      </w:r>
      <w:hyperlink w:anchor="b1318" w:history="1">
        <w:r>
          <w:rPr>
            <w:color w:val="0A3A8C"/>
            <w:u w:val="single"/>
          </w:rPr>
          <w:t xml:space="preserve">§§ 861</w:t>
        </w:r>
      </w:hyperlink>
      <w:r>
        <w:t xml:space="preserve">, </w:t>
      </w:r>
      <w:hyperlink w:anchor="b1319" w:history="1">
        <w:r>
          <w:rPr>
            <w:color w:val="0A3A8C"/>
            <w:u w:val="single"/>
          </w:rPr>
          <w:t xml:space="preserve">862</w:t>
        </w:r>
      </w:hyperlink>
      <w:r>
        <w:t xml:space="preserve"> bestimmten Ansprüche auch dem mittelbaren Besitzer zu. </w:t>
      </w:r>
      <w:r>
        <w:rPr>
          <w:rStyle w:val="Satznummer"/>
        </w:rPr>
        <w:t>2</w:t>
      </w:r>
      <w:r>
        <w:t xml:space="preserve">Im Falle der Entziehung des Besitzes ist der mittelbare Besitzer berechtigt, die Wiedereinräumung des Besitzes an den bisherigen Besitzer zu verlangen; kann oder will dieser den Besitz nicht wieder übernehmen, so kann der mittelbare Besitzer verlangen, dass ihm selbst der Besitz eingeräumt wird. </w:t>
      </w:r>
      <w:r>
        <w:rPr>
          <w:rStyle w:val="Satznummer"/>
        </w:rPr>
        <w:t>3</w:t>
      </w:r>
      <w:r>
        <w:t xml:space="preserve">Unter der gleichen Voraussetzung kann er im Falle des </w:t>
      </w:r>
      <w:hyperlink w:anchor="b1324" w:history="1">
        <w:r>
          <w:rPr>
            <w:color w:val="0A3A8C"/>
            <w:u w:val="single"/>
          </w:rPr>
          <w:t xml:space="preserve">§ 867</w:t>
        </w:r>
      </w:hyperlink>
      <w:r>
        <w:t xml:space="preserve"> verlangen, dass ihm die Aufsuchung und Wegschaffung der Sache gestattet wird.</w:t>
      </w:r>
    </w:p>
    <w:p>
      <w:pPr>
        <w:pStyle w:val="Heading3"/>
      </w:pPr>
      <w:bookmarkStart w:id="1342" w:name="b1327"/>
      <w:r>
        <w:t>§ 870 Übertragung des mittelbaren Besitzes</w:t>
      </w:r>
      <w:r>
        <w:t xml:space="preserve"> </w:t>
      </w:r>
      <w:r>
        <w:rPr>
          <w:rStyle w:val="Suchmarke"/>
        </w:rPr>
        <w:t>#870#</w:t>
      </w:r>
      <w:bookmarkEnd w:id="1342"/>
    </w:p>
    <w:p>
      <w:r>
        <w:t>Der mittelbare Besitz kann dadurch auf einen anderen übertragen werden, dass diesem der Anspruch auf Herausgabe der Sache abgetreten wird.</w:t>
      </w:r>
    </w:p>
    <w:p>
      <w:pPr>
        <w:pStyle w:val="Heading3"/>
      </w:pPr>
      <w:bookmarkStart w:id="1343" w:name="b1328"/>
      <w:r>
        <w:t>§ 871 Mehrstufiger mittelbarer Besitz</w:t>
      </w:r>
      <w:r>
        <w:t xml:space="preserve"> </w:t>
      </w:r>
      <w:r>
        <w:rPr>
          <w:rStyle w:val="Suchmarke"/>
        </w:rPr>
        <w:t>#871#</w:t>
      </w:r>
      <w:bookmarkEnd w:id="1343"/>
    </w:p>
    <w:p>
      <w:r>
        <w:t xml:space="preserve">Steht der mittelbare Besitzer zu einem Dritten in einem Verhältnis der in </w:t>
      </w:r>
      <w:hyperlink w:anchor="b1325" w:history="1">
        <w:r>
          <w:rPr>
            <w:color w:val="0A3A8C"/>
            <w:u w:val="single"/>
          </w:rPr>
          <w:t xml:space="preserve">§ 868</w:t>
        </w:r>
      </w:hyperlink>
      <w:r>
        <w:t xml:space="preserve"> bezeichneten Art, so ist auch der Dritte mittelbarer Besitzer.</w:t>
      </w:r>
    </w:p>
    <w:p>
      <w:pPr>
        <w:pStyle w:val="Heading3"/>
      </w:pPr>
      <w:bookmarkStart w:id="1344" w:name="b1329"/>
      <w:r>
        <w:t>§ 872 Eigenbesitz</w:t>
      </w:r>
      <w:r>
        <w:t xml:space="preserve"> </w:t>
      </w:r>
      <w:r>
        <w:rPr>
          <w:rStyle w:val="Suchmarke"/>
        </w:rPr>
        <w:t>#872#</w:t>
      </w:r>
      <w:bookmarkEnd w:id="1344"/>
    </w:p>
    <w:p>
      <w:r>
        <w:t>Wer eine Sache als ihm gehörend besitzt, ist Eigenbesitzer.</w:t>
      </w:r>
    </w:p>
    <w:p>
      <w:pPr>
        <w:pStyle w:val="Heading2"/>
      </w:pPr>
      <w:bookmarkStart w:id="1345" w:name="b1330"/>
      <w:r>
        <w:t>Abschnitt 2 Allgemeine Vorschriften über Rechte an Grundstücken</w:t>
      </w:r>
      <w:bookmarkEnd w:id="1345"/>
    </w:p>
    <w:p>
      <w:pPr>
        <w:pStyle w:val="Heading3"/>
      </w:pPr>
      <w:bookmarkStart w:id="1346" w:name="b1331"/>
      <w:r>
        <w:t>§ 873 Erwerb durch Einigung und Eintragung</w:t>
      </w:r>
      <w:r>
        <w:t xml:space="preserve"> </w:t>
      </w:r>
      <w:r>
        <w:rPr>
          <w:rStyle w:val="Suchmarke"/>
        </w:rPr>
        <w:t>#873#</w:t>
      </w:r>
      <w:bookmarkEnd w:id="1346"/>
    </w:p>
    <w:p>
      <w:r>
        <w:t>(1) Zur Übertragung des Eigentums an einem Grundstück, zur Belastung eines Grundstücks mit einem Recht sowie zur Übertragung oder Belastung eines solchen Rechts ist die Einigung des Berechtigten und des anderen Teils über den Eintritt der Rechtsänderung und die Eintragung der Rechtsänderung in das Grundbuch erforderlich, soweit nicht das Gesetz ein anderes vorschreibt.</w:t>
      </w:r>
    </w:p>
    <w:p>
      <w:r>
        <w:t>(2) Vor der Eintragung sind die Beteiligten an die Einigung nur gebunden, wenn die Erklärungen notariell beurkundet oder vor dem Grundbuchamt abgegeben oder bei diesem eingereicht sind oder wenn der Berechtigte dem anderen Teil eine den Vorschriften der Grundbuchordnung entsprechende Eintragungsbewilligung überlassen hat.</w:t>
      </w:r>
    </w:p>
    <w:p>
      <w:pPr>
        <w:pStyle w:val="Heading3"/>
      </w:pPr>
      <w:bookmarkStart w:id="1347" w:name="b1332"/>
      <w:r>
        <w:t>§ 874 Bezugnahme auf die Eintragungsbewilligung</w:t>
      </w:r>
      <w:r>
        <w:t xml:space="preserve"> </w:t>
      </w:r>
      <w:r>
        <w:rPr>
          <w:rStyle w:val="Suchmarke"/>
        </w:rPr>
        <w:t>#874#</w:t>
      </w:r>
      <w:bookmarkEnd w:id="1347"/>
    </w:p>
    <w:p>
      <w:r>
        <w:rPr>
          <w:rStyle w:val="Satznummer"/>
        </w:rPr>
        <w:t>1</w:t>
      </w:r>
      <w:r>
        <w:t xml:space="preserve">Bei der Eintragung eines Rechts, mit dem ein Grundstück belastet wird, kann zur näheren Bezeichnung des Inhalts des Rechts auf die Eintragungsbewilligung Bezug genommen werden, soweit nicht das Gesetz ein anderes vorschreibt. </w:t>
      </w:r>
      <w:r>
        <w:rPr>
          <w:rStyle w:val="Satznummer"/>
        </w:rPr>
        <w:t>2</w:t>
      </w:r>
      <w:r>
        <w:t>Einer Bezugnahme auf die Eintragungsbewilligung steht die Bezugnahme auf die bisherige Eintragung nach § 44 Absatz 3 Satz 2 der Grundbuchordnung gleich.</w:t>
      </w:r>
    </w:p>
    <w:p>
      <w:pPr>
        <w:pStyle w:val="Heading3"/>
      </w:pPr>
      <w:bookmarkStart w:id="1348" w:name="b1333"/>
      <w:r>
        <w:t>§ 875 Aufhebung eines Rechts</w:t>
      </w:r>
      <w:r>
        <w:t xml:space="preserve"> </w:t>
      </w:r>
      <w:r>
        <w:rPr>
          <w:rStyle w:val="Suchmarke"/>
        </w:rPr>
        <w:t>#875#</w:t>
      </w:r>
      <w:bookmarkEnd w:id="1348"/>
    </w:p>
    <w:p>
      <w:r>
        <w:t xml:space="preserve">(1) </w:t>
      </w:r>
      <w:r>
        <w:rPr>
          <w:rStyle w:val="Satznummer"/>
        </w:rPr>
        <w:t>1</w:t>
      </w:r>
      <w:r>
        <w:t xml:space="preserve">Zur Aufhebung eines Rechts an einem Grundstück ist, soweit nicht das Gesetz ein anderes vorschreibt, die Erklärung des Berechtigten, dass er das Recht aufgebe, und die Löschung des Rechts im Grundbuch erforderlich. </w:t>
      </w:r>
      <w:r>
        <w:rPr>
          <w:rStyle w:val="Satznummer"/>
        </w:rPr>
        <w:t>2</w:t>
      </w:r>
      <w:r>
        <w:t>Die Erklärung ist dem Grundbuchamt oder demjenigen gegenüber abzugeben, zu dessen Gunsten sie erfolgt.</w:t>
      </w:r>
    </w:p>
    <w:p>
      <w:r>
        <w:t>(2) Vor der Löschung ist der Berechtigte an seine Erklärung nur gebunden, wenn er sie dem Grundbuchamt gegenüber abgegeben oder demjenigen, zu dessen Gunsten sie erfolgt, eine den Vorschriften der Grundbuchordnung entsprechende Löschungsbewilligung überlassen hat.</w:t>
      </w:r>
    </w:p>
    <w:p>
      <w:pPr>
        <w:pStyle w:val="Heading3"/>
      </w:pPr>
      <w:bookmarkStart w:id="1349" w:name="b1334"/>
      <w:r>
        <w:t>§ 876 Aufhebung eines belasteten Rechts</w:t>
      </w:r>
      <w:r>
        <w:t xml:space="preserve"> </w:t>
      </w:r>
      <w:r>
        <w:rPr>
          <w:rStyle w:val="Suchmarke"/>
        </w:rPr>
        <w:t>#876#</w:t>
      </w:r>
      <w:bookmarkEnd w:id="1349"/>
    </w:p>
    <w:p>
      <w:r>
        <w:rPr>
          <w:rStyle w:val="Satznummer"/>
        </w:rPr>
        <w:t>1</w:t>
      </w:r>
      <w:r>
        <w:t xml:space="preserve">Ist ein Recht an einem Grundstück mit dem Recht eines Dritten belastet, so ist zur Aufhebung des belasteten Rechts die Zustimmung des Dritten erforderlich. </w:t>
      </w:r>
      <w:r>
        <w:rPr>
          <w:rStyle w:val="Satznummer"/>
        </w:rPr>
        <w:t>2</w:t>
      </w:r>
      <w:r>
        <w:t xml:space="preserve">Steht das aufzuhebende Recht dem jeweiligen Eigentümer eines anderen Grundstücks zu, so ist, wenn dieses Grundstück mit dem Recht eines Dritten belastet ist, die Zustimmung des Dritten erforderlich, es sei denn, dass dessen Recht durch die Aufhebung nicht berührt wird. </w:t>
      </w:r>
      <w:r>
        <w:rPr>
          <w:rStyle w:val="Satznummer"/>
        </w:rPr>
        <w:t>3</w:t>
      </w:r>
      <w:r>
        <w:t>Die Zustimmung ist dem Grundbuchamt oder demjenigen gegenüber zu erklären, zu dessen Gunsten sie erfolgt; sie ist unwiderruflich.</w:t>
      </w:r>
    </w:p>
    <w:p>
      <w:pPr>
        <w:pStyle w:val="Heading3"/>
      </w:pPr>
      <w:bookmarkStart w:id="1350" w:name="b1335"/>
      <w:r>
        <w:t>§ 877 Rechtsänderungen</w:t>
      </w:r>
      <w:r>
        <w:t xml:space="preserve"> </w:t>
      </w:r>
      <w:r>
        <w:rPr>
          <w:rStyle w:val="Suchmarke"/>
        </w:rPr>
        <w:t>#877#</w:t>
      </w:r>
      <w:bookmarkEnd w:id="1350"/>
    </w:p>
    <w:p>
      <w:r>
        <w:t xml:space="preserve">Die Vorschriften der </w:t>
      </w:r>
      <w:hyperlink w:anchor="b1331" w:history="1">
        <w:r>
          <w:rPr>
            <w:color w:val="0A3A8C"/>
            <w:u w:val="single"/>
          </w:rPr>
          <w:t xml:space="preserve">§§ 873</w:t>
        </w:r>
      </w:hyperlink>
      <w:r>
        <w:t xml:space="preserve">, </w:t>
      </w:r>
      <w:hyperlink w:anchor="b1332" w:history="1">
        <w:r>
          <w:rPr>
            <w:color w:val="0A3A8C"/>
            <w:u w:val="single"/>
          </w:rPr>
          <w:t xml:space="preserve">874</w:t>
        </w:r>
      </w:hyperlink>
      <w:r>
        <w:t xml:space="preserve">, </w:t>
      </w:r>
      <w:hyperlink w:anchor="b1334" w:history="1">
        <w:r>
          <w:rPr>
            <w:color w:val="0A3A8C"/>
            <w:u w:val="single"/>
          </w:rPr>
          <w:t xml:space="preserve">876</w:t>
        </w:r>
      </w:hyperlink>
      <w:r>
        <w:t xml:space="preserve"> finden auch auf Änderungen des Inhalts eines Rechts an einem Grundstück Anwendung.</w:t>
      </w:r>
    </w:p>
    <w:p>
      <w:pPr>
        <w:pStyle w:val="Heading3"/>
      </w:pPr>
      <w:bookmarkStart w:id="1351" w:name="b1336"/>
      <w:r>
        <w:t>§ 878 Nachträgliche Verfügungsbeschränkungen</w:t>
      </w:r>
      <w:r>
        <w:t xml:space="preserve"> </w:t>
      </w:r>
      <w:r>
        <w:rPr>
          <w:rStyle w:val="Suchmarke"/>
        </w:rPr>
        <w:t>#878#</w:t>
      </w:r>
      <w:bookmarkEnd w:id="1351"/>
    </w:p>
    <w:p>
      <w:r>
        <w:t xml:space="preserve">Eine von dem Berechtigten in Gemäßheit der </w:t>
      </w:r>
      <w:hyperlink w:anchor="b1331" w:history="1">
        <w:r>
          <w:rPr>
            <w:color w:val="0A3A8C"/>
            <w:u w:val="single"/>
          </w:rPr>
          <w:t xml:space="preserve">§§ 873</w:t>
        </w:r>
      </w:hyperlink>
      <w:r>
        <w:t xml:space="preserve">, </w:t>
      </w:r>
      <w:hyperlink w:anchor="b1333" w:history="1">
        <w:r>
          <w:rPr>
            <w:color w:val="0A3A8C"/>
            <w:u w:val="single"/>
          </w:rPr>
          <w:t xml:space="preserve">875</w:t>
        </w:r>
      </w:hyperlink>
      <w:r>
        <w:t xml:space="preserve">, </w:t>
      </w:r>
      <w:hyperlink w:anchor="b1335" w:history="1">
        <w:r>
          <w:rPr>
            <w:color w:val="0A3A8C"/>
            <w:u w:val="single"/>
          </w:rPr>
          <w:t xml:space="preserve">877</w:t>
        </w:r>
      </w:hyperlink>
      <w:r>
        <w:t xml:space="preserve"> abgegebene Erklärung wird nicht dadurch unwirksam, dass der Berechtigte in der Verfügung beschränkt wird, nachdem die Erklärung für ihn bindend geworden und der Antrag auf Eintragung bei dem Grundbuchamt gestellt worden ist.</w:t>
      </w:r>
    </w:p>
    <w:p>
      <w:pPr>
        <w:pStyle w:val="Heading3"/>
      </w:pPr>
      <w:bookmarkStart w:id="1352" w:name="b1337"/>
      <w:r>
        <w:t>§ 879 Rangverhältnis mehrerer Rechte</w:t>
      </w:r>
      <w:r>
        <w:t xml:space="preserve"> </w:t>
      </w:r>
      <w:r>
        <w:rPr>
          <w:rStyle w:val="Suchmarke"/>
        </w:rPr>
        <w:t>#879#</w:t>
      </w:r>
      <w:bookmarkEnd w:id="1352"/>
    </w:p>
    <w:p>
      <w:r>
        <w:t xml:space="preserve">(1) </w:t>
      </w:r>
      <w:r>
        <w:rPr>
          <w:rStyle w:val="Satznummer"/>
        </w:rPr>
        <w:t>1</w:t>
      </w:r>
      <w:r>
        <w:t xml:space="preserve">Das Rangverhältnis unter mehreren Rechten, mit denen ein Grundstück belastet ist, bestimmt sich, wenn die Rechte in derselben Abteilung des Grundbuchs eingetragen sind, nach der Reihenfolge der Eintragungen. </w:t>
      </w:r>
      <w:r>
        <w:rPr>
          <w:rStyle w:val="Satznummer"/>
        </w:rPr>
        <w:t>2</w:t>
      </w:r>
      <w:r>
        <w:t>Sind die Rechte in verschiedenen Abteilungen eingetragen, so hat das unter Angabe eines früheren Tages eingetragene Recht den Vorrang; Rechte, die unter Angabe desselben Tages eingetragen sind, haben gleichen Rang.</w:t>
      </w:r>
    </w:p>
    <w:p>
      <w:r>
        <w:t>(2) Die Eintragung ist für das Rangverhältnis auch dann maßgebend, wenn die nach § 873 zum Erwerb des Rechts erforderliche Einigung erst nach der Eintragung zustande gekommen ist.</w:t>
      </w:r>
    </w:p>
    <w:p>
      <w:r>
        <w:t>(3) Eine abweichende Bestimmung des Rangverhältnisses bedarf der Eintragung in das Grundbuch.</w:t>
      </w:r>
    </w:p>
    <w:p>
      <w:pPr>
        <w:pStyle w:val="Heading3"/>
      </w:pPr>
      <w:bookmarkStart w:id="1353" w:name="b1338"/>
      <w:r>
        <w:t>§ 880 Rangänderung</w:t>
      </w:r>
      <w:r>
        <w:t xml:space="preserve"> </w:t>
      </w:r>
      <w:r>
        <w:rPr>
          <w:rStyle w:val="Suchmarke"/>
        </w:rPr>
        <w:t>#880#</w:t>
      </w:r>
      <w:bookmarkEnd w:id="1353"/>
    </w:p>
    <w:p>
      <w:r>
        <w:t>(1) Das Rangverhältnis kann nachträglich geändert werden.</w:t>
      </w:r>
    </w:p>
    <w:p>
      <w:r>
        <w:t xml:space="preserve">(2) </w:t>
      </w:r>
      <w:r>
        <w:rPr>
          <w:rStyle w:val="Satznummer"/>
        </w:rPr>
        <w:t>1</w:t>
      </w:r>
      <w:r>
        <w:t xml:space="preserve">Zu der Rangänderung ist die Einigung des zurücktretenden und des vortretenden Berechtigten und die Eintragung der Änderung in das Grundbuch erforderlich; die Vorschriften des </w:t>
      </w:r>
      <w:hyperlink w:anchor="b1331" w:history="1">
        <w:r>
          <w:rPr>
            <w:color w:val="0A3A8C"/>
            <w:u w:val="single"/>
          </w:rPr>
          <w:t xml:space="preserve">§ 873</w:t>
        </w:r>
      </w:hyperlink>
      <w:r>
        <w:t xml:space="preserve"> Abs. 2 und des </w:t>
      </w:r>
      <w:hyperlink w:anchor="b1336" w:history="1">
        <w:r>
          <w:rPr>
            <w:color w:val="0A3A8C"/>
            <w:u w:val="single"/>
          </w:rPr>
          <w:t xml:space="preserve">§ 878</w:t>
        </w:r>
      </w:hyperlink>
      <w:r>
        <w:t xml:space="preserve"> finden Anwendung. </w:t>
      </w:r>
      <w:r>
        <w:rPr>
          <w:rStyle w:val="Satznummer"/>
        </w:rPr>
        <w:t>2</w:t>
      </w:r>
      <w:r>
        <w:t xml:space="preserve">Soll eine Hypothek, eine Grundschuld oder eine Rentenschuld zurücktreten, so ist außerdem die Zustimmung des Eigentümers erforderlich. </w:t>
      </w:r>
      <w:r>
        <w:rPr>
          <w:rStyle w:val="Satznummer"/>
        </w:rPr>
        <w:t>3</w:t>
      </w:r>
      <w:r>
        <w:t>Die Zustimmung ist dem Grundbuchamt oder einem der Beteiligten gegenüber zu erklären; sie ist unwiderruflich.</w:t>
      </w:r>
    </w:p>
    <w:p>
      <w:r>
        <w:t xml:space="preserve">(3) Ist das zurücktretende Recht mit dem Recht eines Dritten belastet, so findet die Vorschrift des </w:t>
      </w:r>
      <w:hyperlink w:anchor="b1334" w:history="1">
        <w:r>
          <w:rPr>
            <w:color w:val="0A3A8C"/>
            <w:u w:val="single"/>
          </w:rPr>
          <w:t xml:space="preserve">§ 876</w:t>
        </w:r>
      </w:hyperlink>
      <w:r>
        <w:t xml:space="preserve"> entsprechende Anwendung.</w:t>
      </w:r>
    </w:p>
    <w:p>
      <w:r>
        <w:t>(4) Der dem vortretenden Recht eingeräumte Rang geht nicht dadurch verloren, dass das zurücktretende Recht durch Rechtsgeschäft aufgehoben wird.</w:t>
      </w:r>
    </w:p>
    <w:p>
      <w:r>
        <w:t>(5) Rechte, die den Rang zwischen dem zurücktretenden und dem vortretenden Recht haben, werden durch die Rangänderung nicht berührt.</w:t>
      </w:r>
    </w:p>
    <w:p>
      <w:pPr>
        <w:pStyle w:val="Heading3"/>
      </w:pPr>
      <w:bookmarkStart w:id="1354" w:name="b1339"/>
      <w:r>
        <w:t>§ 881 Rangvorbehalt</w:t>
      </w:r>
      <w:r>
        <w:t xml:space="preserve"> </w:t>
      </w:r>
      <w:r>
        <w:rPr>
          <w:rStyle w:val="Suchmarke"/>
        </w:rPr>
        <w:t>#881#</w:t>
      </w:r>
      <w:bookmarkEnd w:id="1354"/>
    </w:p>
    <w:p>
      <w:r>
        <w:t>(1) Der Eigentümer kann sich bei der Belastung des Grundstücks mit einem Recht die Befugnis vorbehalten, ein anderes, dem Umfang nach bestimmtes Recht mit dem Rang vor jenem Recht eintragen zu lassen.</w:t>
      </w:r>
    </w:p>
    <w:p>
      <w:r>
        <w:t>(2) Der Vorbehalt bedarf der Eintragung in das Grundbuch; die Eintragung muss bei dem Recht erfolgen, das zurücktreten soll.</w:t>
      </w:r>
    </w:p>
    <w:p>
      <w:r>
        <w:t>(3) Wird das Grundstück veräußert, so geht die vorbehaltene Befugnis auf den Erwerber über.</w:t>
      </w:r>
    </w:p>
    <w:p>
      <w:r>
        <w:t>(4) Ist das Grundstück vor der Eintragung des Rechts, dem der Vorrang beigelegt ist, mit einem Recht ohne einen entsprechenden Vorbehalt belastet worden, so hat der Vorrang insoweit keine Wirkung, als das mit dem Vorbehalt eingetragene Recht infolge der inzwischen eingetretenen Belastung eine über den Vorbehalt hinausgehende Beeinträchtigung erleiden würde.</w:t>
      </w:r>
    </w:p>
    <w:p>
      <w:pPr>
        <w:pStyle w:val="Heading3"/>
      </w:pPr>
      <w:bookmarkStart w:id="1355" w:name="b1340"/>
      <w:r>
        <w:t>§ 882 Höchstbetrag des Wertersatzes</w:t>
      </w:r>
      <w:r>
        <w:t xml:space="preserve"> </w:t>
      </w:r>
      <w:r>
        <w:rPr>
          <w:rStyle w:val="Suchmarke"/>
        </w:rPr>
        <w:t>#882#</w:t>
      </w:r>
      <w:bookmarkEnd w:id="1355"/>
    </w:p>
    <w:p>
      <w:r>
        <w:rPr>
          <w:rStyle w:val="Satznummer"/>
        </w:rPr>
        <w:t>1</w:t>
      </w:r>
      <w:r>
        <w:t xml:space="preserve">Wird ein Grundstück mit einem Recht belastet, für welches nach den für die Zwangsversteigerung geltenden Vorschriften dem Berechtigten im Falle des Erlöschens durch den Zuschlag der Wert aus dem Erlös zu ersetzen ist, so kann der Höchstbetrag des Ersatzes bestimmt werden. </w:t>
      </w:r>
      <w:r>
        <w:rPr>
          <w:rStyle w:val="Satznummer"/>
        </w:rPr>
        <w:t>2</w:t>
      </w:r>
      <w:r>
        <w:t>Die Bestimmung bedarf der Eintragung in das Grundbuch.</w:t>
      </w:r>
    </w:p>
    <w:p>
      <w:pPr>
        <w:pStyle w:val="Heading3"/>
      </w:pPr>
      <w:bookmarkStart w:id="1356" w:name="b1341"/>
      <w:r>
        <w:t>§ 883 Voraussetzungen und Wirkung der Vormerkung</w:t>
      </w:r>
      <w:r>
        <w:t xml:space="preserve"> </w:t>
      </w:r>
      <w:r>
        <w:rPr>
          <w:rStyle w:val="Suchmarke"/>
        </w:rPr>
        <w:t>#883#</w:t>
      </w:r>
      <w:bookmarkEnd w:id="1356"/>
    </w:p>
    <w:p>
      <w:r>
        <w:t xml:space="preserve">(1) </w:t>
      </w:r>
      <w:r>
        <w:rPr>
          <w:rStyle w:val="Satznummer"/>
        </w:rPr>
        <w:t>1</w:t>
      </w:r>
      <w:r>
        <w:t xml:space="preserve">Zur Sicherung des Anspruchs auf Einräumung oder Aufhebung eines Rechts an einem Grundstück oder an einem das Grundstück belastenden Recht oder auf Änderung des Inhalts oder des Ranges eines solchen Rechts kann eine Vormerkung in das Grundbuch eingetragen werden. </w:t>
      </w:r>
      <w:r>
        <w:rPr>
          <w:rStyle w:val="Satznummer"/>
        </w:rPr>
        <w:t>2</w:t>
      </w:r>
      <w:r>
        <w:t>Die Eintragung einer Vormerkung ist auch zur Sicherung eines künftigen oder eines bedingten Anspruchs zulässig.</w:t>
      </w:r>
    </w:p>
    <w:p>
      <w:r>
        <w:t xml:space="preserve">(2) </w:t>
      </w:r>
      <w:r>
        <w:rPr>
          <w:rStyle w:val="Satznummer"/>
        </w:rPr>
        <w:t>1</w:t>
      </w:r>
      <w:r>
        <w:t xml:space="preserve">Eine Verfügung, die nach der Eintragung der Vormerkung über das Grundstück oder das Recht getroffen wird, ist insoweit unwirksam, als sie den Anspruch vereiteln oder beeinträchtigen würde. </w:t>
      </w:r>
      <w:r>
        <w:rPr>
          <w:rStyle w:val="Satznummer"/>
        </w:rPr>
        <w:t>2</w:t>
      </w:r>
      <w:r>
        <w:t>Dies gilt auch, wenn die Verfügung im Wege der Zwangsvollstreckung oder der Arrestvollziehung oder durch den Insolvenzverwalter erfolgt.</w:t>
      </w:r>
    </w:p>
    <w:p>
      <w:r>
        <w:t>(3) Der Rang des Rechts, auf dessen Einräumung der Anspruch gerichtet ist, bestimmt sich nach der Eintragung der Vormerkung.</w:t>
      </w:r>
    </w:p>
    <w:p>
      <w:pPr>
        <w:pStyle w:val="Heading3"/>
      </w:pPr>
      <w:bookmarkStart w:id="1357" w:name="b1342"/>
      <w:r>
        <w:t>§ 884 Wirkung gegenüber Erben</w:t>
      </w:r>
      <w:r>
        <w:t xml:space="preserve"> </w:t>
      </w:r>
      <w:r>
        <w:rPr>
          <w:rStyle w:val="Suchmarke"/>
        </w:rPr>
        <w:t>#884#</w:t>
      </w:r>
      <w:bookmarkEnd w:id="1357"/>
    </w:p>
    <w:p>
      <w:r>
        <w:t>Soweit der Anspruch durch die Vormerkung gesichert ist, kann sich der Erbe des Verpflichteten nicht auf die Beschränkung seiner Haftung berufen.</w:t>
      </w:r>
    </w:p>
    <w:p>
      <w:pPr>
        <w:pStyle w:val="Heading3"/>
      </w:pPr>
      <w:bookmarkStart w:id="1358" w:name="b1343"/>
      <w:r>
        <w:t>§ 885 Voraussetzung für die Eintragung der Vormerkung</w:t>
      </w:r>
      <w:r>
        <w:t xml:space="preserve"> </w:t>
      </w:r>
      <w:r>
        <w:rPr>
          <w:rStyle w:val="Suchmarke"/>
        </w:rPr>
        <w:t>#885#</w:t>
      </w:r>
      <w:bookmarkEnd w:id="1358"/>
    </w:p>
    <w:p>
      <w:r>
        <w:t xml:space="preserve">(1) </w:t>
      </w:r>
      <w:r>
        <w:rPr>
          <w:rStyle w:val="Satznummer"/>
        </w:rPr>
        <w:t>1</w:t>
      </w:r>
      <w:r>
        <w:t xml:space="preserve">Die Eintragung einer Vormerkung erfolgt auf Grund einer einstweiligen Verfügung oder auf Grund der Bewilligung desjenigen, dessen Grundstück oder dessen Recht von der Vormerkung betroffen wird. </w:t>
      </w:r>
      <w:r>
        <w:rPr>
          <w:rStyle w:val="Satznummer"/>
        </w:rPr>
        <w:t>2</w:t>
      </w:r>
      <w:r>
        <w:t>Zur Erlassung der einstweiligen Verfügung ist nicht erforderlich, dass eine Gefährdung des zu sichernden Anspruchs glaubhaft gemacht wird.</w:t>
      </w:r>
    </w:p>
    <w:p>
      <w:r>
        <w:t>(2) Bei der Eintragung kann zur näheren Bezeichnung des zu sichernden Anspruchs auf die einstweilige Verfügung oder die Eintragungsbewilligung Bezug genommen werden.</w:t>
      </w:r>
    </w:p>
    <w:p>
      <w:pPr>
        <w:pStyle w:val="Heading3"/>
      </w:pPr>
      <w:bookmarkStart w:id="1359" w:name="b1344"/>
      <w:r>
        <w:t>§ 886 Beseitigungsanspruch</w:t>
      </w:r>
      <w:r>
        <w:t xml:space="preserve"> </w:t>
      </w:r>
      <w:r>
        <w:rPr>
          <w:rStyle w:val="Suchmarke"/>
        </w:rPr>
        <w:t>#886#</w:t>
      </w:r>
      <w:bookmarkEnd w:id="1359"/>
    </w:p>
    <w:p>
      <w:r>
        <w:t>Steht demjenigen, dessen Grundstück oder dessen Recht von der Vormerkung betroffen wird, eine Einrede zu, durch welche die Geltendmachung des durch die Vormerkung gesicherten Anspruchs dauernd ausgeschlossen wird, so kann er von dem Gläubiger die Beseitigung der Vormerkung verlangen.</w:t>
      </w:r>
    </w:p>
    <w:p>
      <w:pPr>
        <w:pStyle w:val="Heading3"/>
      </w:pPr>
      <w:bookmarkStart w:id="1360" w:name="b1345"/>
      <w:r>
        <w:t>§ 887 Aufgebot des Vormerkungsgläubigers</w:t>
      </w:r>
      <w:r>
        <w:t xml:space="preserve"> </w:t>
      </w:r>
      <w:r>
        <w:rPr>
          <w:rStyle w:val="Suchmarke"/>
        </w:rPr>
        <w:t>#887#</w:t>
      </w:r>
      <w:bookmarkEnd w:id="1360"/>
    </w:p>
    <w:p>
      <w:r>
        <w:rPr>
          <w:rStyle w:val="Satznummer"/>
        </w:rPr>
        <w:t>1</w:t>
      </w:r>
      <w:r>
        <w:t xml:space="preserve">Ist der Gläubiger, dessen Anspruch durch die Vormerkung gesichert ist, unbekannt, so kann er im Wege des Aufgebotsverfahrens mit seinem Recht ausgeschlossen werden, wenn die im </w:t>
      </w:r>
      <w:hyperlink w:anchor="b1654" w:history="1">
        <w:r>
          <w:rPr>
            <w:color w:val="0A3A8C"/>
            <w:u w:val="single"/>
          </w:rPr>
          <w:t xml:space="preserve">§ 1170</w:t>
        </w:r>
      </w:hyperlink>
      <w:r>
        <w:t xml:space="preserve"> für die Ausschließung eines Hypothekengläubigers bestimmten Voraussetzungen vorliegen. </w:t>
      </w:r>
      <w:r>
        <w:rPr>
          <w:rStyle w:val="Satznummer"/>
        </w:rPr>
        <w:t>2</w:t>
      </w:r>
      <w:r>
        <w:t>Mit der Rechtskraft des Ausschließungsbeschlusses erlischt die Wirkung der Vormerkung.</w:t>
      </w:r>
    </w:p>
    <w:p>
      <w:pPr>
        <w:pStyle w:val="Heading3"/>
      </w:pPr>
      <w:bookmarkStart w:id="1361" w:name="b1346"/>
      <w:r>
        <w:t>§ 888 Anspruch des Vormerkungsberechtigten auf Zustimmung</w:t>
      </w:r>
      <w:r>
        <w:t xml:space="preserve"> </w:t>
      </w:r>
      <w:r>
        <w:rPr>
          <w:rStyle w:val="Suchmarke"/>
        </w:rPr>
        <w:t>#888#</w:t>
      </w:r>
      <w:bookmarkEnd w:id="1361"/>
    </w:p>
    <w:p>
      <w:r>
        <w:t>(1) Soweit der Erwerb eines eingetragenen Rechts oder eines Rechts an einem solchen Recht gegenüber demjenigen, zu dessen Gunsten die Vormerkung besteht, unwirksam ist, kann dieser von dem Erwerber die Zustimmung zu der Eintragung oder der Löschung verlangen, die zur Verwirklichung des durch die Vormerkung gesicherten Anspruchs erforderlich ist.</w:t>
      </w:r>
    </w:p>
    <w:p>
      <w:r>
        <w:t>(2) Das Gleiche gilt, wenn der Anspruch durch ein Veräußerungsverbot gesichert ist.</w:t>
      </w:r>
    </w:p>
    <w:p>
      <w:pPr>
        <w:pStyle w:val="Heading3"/>
      </w:pPr>
      <w:bookmarkStart w:id="1362" w:name="b1347"/>
      <w:r>
        <w:t>§ 889 Ausschluss der Konsolidation bei dinglichen Rechten</w:t>
      </w:r>
      <w:r>
        <w:t xml:space="preserve"> </w:t>
      </w:r>
      <w:r>
        <w:rPr>
          <w:rStyle w:val="Suchmarke"/>
        </w:rPr>
        <w:t>#889#</w:t>
      </w:r>
      <w:bookmarkEnd w:id="1362"/>
    </w:p>
    <w:p>
      <w:r>
        <w:t>Ein Recht an einem fremden Grundstück erlischt nicht dadurch, dass der Eigentümer des Grundstücks das Recht oder der Berechtigte das Eigentum an dem Grundstück erwirbt.</w:t>
      </w:r>
    </w:p>
    <w:p>
      <w:pPr>
        <w:pStyle w:val="Heading3"/>
      </w:pPr>
      <w:bookmarkStart w:id="1363" w:name="b1348"/>
      <w:r>
        <w:t>§ 890 Vereinigung von Grundstücken; Zuschreibung</w:t>
      </w:r>
      <w:r>
        <w:t xml:space="preserve"> </w:t>
      </w:r>
      <w:r>
        <w:rPr>
          <w:rStyle w:val="Suchmarke"/>
        </w:rPr>
        <w:t>#890#</w:t>
      </w:r>
      <w:bookmarkEnd w:id="1363"/>
    </w:p>
    <w:p>
      <w:r>
        <w:t>(1) Mehrere Grundstücke können dadurch zu einem Grundstück vereinigt werden, dass der Eigentümer sie als ein Grundstück in das Grundbuch eintragen lässt.</w:t>
      </w:r>
    </w:p>
    <w:p>
      <w:r>
        <w:t>(2) Ein Grundstück kann dadurch zum Bestandteil eines anderen Grundstücks gemacht werden, dass der Eigentümer es diesem im Grundbuch zuschreiben lässt.</w:t>
      </w:r>
    </w:p>
    <w:p>
      <w:pPr>
        <w:pStyle w:val="Heading3"/>
      </w:pPr>
      <w:bookmarkStart w:id="1364" w:name="b1349"/>
      <w:r>
        <w:t>§ 891 Gesetzliche Vermutung</w:t>
      </w:r>
      <w:r>
        <w:t xml:space="preserve"> </w:t>
      </w:r>
      <w:r>
        <w:rPr>
          <w:rStyle w:val="Suchmarke"/>
        </w:rPr>
        <w:t>#891#</w:t>
      </w:r>
      <w:bookmarkEnd w:id="1364"/>
    </w:p>
    <w:p>
      <w:r>
        <w:t>(1) Ist im Grundbuch für jemand ein Recht eingetragen, so wird vermutet, dass ihm das Recht zustehe.</w:t>
      </w:r>
    </w:p>
    <w:p>
      <w:r>
        <w:t>(2) Ist im Grundbuch ein eingetragenes Recht gelöscht, so wird vermutet, dass das Recht nicht bestehe.</w:t>
      </w:r>
    </w:p>
    <w:p>
      <w:pPr>
        <w:pStyle w:val="Heading3"/>
      </w:pPr>
      <w:bookmarkStart w:id="1365" w:name="b1350"/>
      <w:r>
        <w:t>§ 892 Öffentlicher Glaube des Grundbuchs</w:t>
      </w:r>
      <w:r>
        <w:t xml:space="preserve"> </w:t>
      </w:r>
      <w:r>
        <w:rPr>
          <w:rStyle w:val="Suchmarke"/>
        </w:rPr>
        <w:t>#892#</w:t>
      </w:r>
      <w:bookmarkEnd w:id="1365"/>
    </w:p>
    <w:p>
      <w:r>
        <w:t xml:space="preserve">(1) </w:t>
      </w:r>
      <w:r>
        <w:rPr>
          <w:rStyle w:val="Satznummer"/>
        </w:rPr>
        <w:t>1</w:t>
      </w:r>
      <w:r>
        <w:t xml:space="preserve">Zugunsten desjenigen, welcher ein Recht an einem Grundstück oder ein Recht an einem solchen Recht durch Rechtsgeschäft erwirbt, gilt der Inhalt des Grundbuchs als richtig, es sei denn, dass ein Widerspruch gegen die Richtigkeit eingetragen oder die Unrichtigkeit dem Erwerber bekannt ist. </w:t>
      </w:r>
      <w:r>
        <w:rPr>
          <w:rStyle w:val="Satznummer"/>
        </w:rPr>
        <w:t>2</w:t>
      </w:r>
      <w:r>
        <w:t>Ist der Berechtigte in der Verfügung über ein im Grundbuch eingetragenes Recht zugunsten einer bestimmten Person beschränkt, so ist die Beschränkung dem Erwerber gegenüber nur wirksam, wenn sie aus dem Grundbuch ersichtlich oder dem Erwerber bekannt ist.</w:t>
      </w:r>
    </w:p>
    <w:p>
      <w:r>
        <w:t xml:space="preserve">(2) Ist zu dem Erwerb des Rechts die Eintragung erforderlich, so ist für die Kenntnis des Erwerbers die Zeit der Stellung des Antrags auf Eintragung oder, wenn die nach </w:t>
      </w:r>
      <w:hyperlink w:anchor="b1331" w:history="1">
        <w:r>
          <w:rPr>
            <w:color w:val="0A3A8C"/>
            <w:u w:val="single"/>
          </w:rPr>
          <w:t xml:space="preserve">§ 873</w:t>
        </w:r>
      </w:hyperlink>
      <w:r>
        <w:t xml:space="preserve"> erforderliche Einigung erst später zustande kommt, die Zeit der Einigung maßgebend.</w:t>
      </w:r>
    </w:p>
    <w:p>
      <w:pPr>
        <w:pStyle w:val="Heading3"/>
      </w:pPr>
      <w:bookmarkStart w:id="1366" w:name="b1351"/>
      <w:r>
        <w:t>§ 893 Rechtsgeschäft mit dem Eingetragenen</w:t>
      </w:r>
      <w:r>
        <w:t xml:space="preserve"> </w:t>
      </w:r>
      <w:r>
        <w:rPr>
          <w:rStyle w:val="Suchmarke"/>
        </w:rPr>
        <w:t>#893#</w:t>
      </w:r>
      <w:bookmarkEnd w:id="1366"/>
    </w:p>
    <w:p>
      <w:r>
        <w:t xml:space="preserve">Die Vorschrift des </w:t>
      </w:r>
      <w:hyperlink w:anchor="b1350" w:history="1">
        <w:r>
          <w:rPr>
            <w:color w:val="0A3A8C"/>
            <w:u w:val="single"/>
          </w:rPr>
          <w:t xml:space="preserve">§ 892</w:t>
        </w:r>
      </w:hyperlink>
      <w:r>
        <w:t xml:space="preserve"> findet entsprechende Anwendung, wenn an denjenigen, für welchen ein Recht im Grundbuch eingetragen ist, auf Grund dieses Rechts eine Leistung bewirkt oder wenn zwischen ihm und einem anderen in Ansehung dieses Rechts ein nicht unter die Vorschrift des </w:t>
      </w:r>
      <w:hyperlink w:anchor="b1350" w:history="1">
        <w:r>
          <w:rPr>
            <w:color w:val="0A3A8C"/>
            <w:u w:val="single"/>
          </w:rPr>
          <w:t xml:space="preserve">§ 892</w:t>
        </w:r>
      </w:hyperlink>
      <w:r>
        <w:t xml:space="preserve"> fallendes Rechtsgeschäft vorgenommen wird, das eine Verfügung über das Recht enthält.</w:t>
      </w:r>
    </w:p>
    <w:p>
      <w:pPr>
        <w:pStyle w:val="Heading3"/>
      </w:pPr>
      <w:bookmarkStart w:id="1367" w:name="b1352"/>
      <w:r>
        <w:t>§ 894 Berichtigung des Grundbuchs</w:t>
      </w:r>
      <w:r>
        <w:t xml:space="preserve"> </w:t>
      </w:r>
      <w:r>
        <w:rPr>
          <w:rStyle w:val="Suchmarke"/>
        </w:rPr>
        <w:t>#894#</w:t>
      </w:r>
      <w:bookmarkEnd w:id="1367"/>
    </w:p>
    <w:p>
      <w:r>
        <w:t xml:space="preserve">Steht der Inhalt des Grundbuchs in Ansehung eines Rechts an dem Grundstück, eines Rechts an einem solchen Recht oder einer Verfügungsbeschränkung der in </w:t>
      </w:r>
      <w:hyperlink w:anchor="b1350" w:history="1">
        <w:r>
          <w:rPr>
            <w:color w:val="0A3A8C"/>
            <w:u w:val="single"/>
          </w:rPr>
          <w:t xml:space="preserve">§ 892</w:t>
        </w:r>
      </w:hyperlink>
      <w:r>
        <w:t xml:space="preserve"> Abs. 1 bezeichneten Art mit der wirklichen Rechtslage nicht im Einklang, so kann derjenige, dessen Recht nicht oder nicht richtig eingetragen oder durch die Eintragung einer nicht bestehenden Belastung oder Beschränkung beeinträchtigt ist, die Zustimmung zu der Berichtigung des Grundbuchs von demjenigen verlangen, dessen Recht durch die Berichtigung betroffen wird.</w:t>
      </w:r>
    </w:p>
    <w:p>
      <w:pPr>
        <w:pStyle w:val="Heading3"/>
      </w:pPr>
      <w:bookmarkStart w:id="1368" w:name="b1353"/>
      <w:r>
        <w:t>§ 895 Voreintragung des Verpflichteten</w:t>
      </w:r>
      <w:r>
        <w:t xml:space="preserve"> </w:t>
      </w:r>
      <w:r>
        <w:rPr>
          <w:rStyle w:val="Suchmarke"/>
        </w:rPr>
        <w:t>#895#</w:t>
      </w:r>
      <w:bookmarkEnd w:id="1368"/>
    </w:p>
    <w:p>
      <w:r>
        <w:t>Kann die Berichtigung des Grundbuchs erst erfolgen, nachdem das Recht des nach § 894 Verpflichteten eingetragen worden ist, so hat dieser auf Verlangen sein Recht eintragen zu lassen.</w:t>
      </w:r>
    </w:p>
    <w:p>
      <w:pPr>
        <w:pStyle w:val="Heading3"/>
      </w:pPr>
      <w:bookmarkStart w:id="1369" w:name="b1354"/>
      <w:r>
        <w:t>§ 896 Vorlegung des Briefes</w:t>
      </w:r>
      <w:r>
        <w:t xml:space="preserve"> </w:t>
      </w:r>
      <w:r>
        <w:rPr>
          <w:rStyle w:val="Suchmarke"/>
        </w:rPr>
        <w:t>#896#</w:t>
      </w:r>
      <w:bookmarkEnd w:id="1369"/>
    </w:p>
    <w:p>
      <w:r>
        <w:t>Ist zur Berichtigung des Grundbuchs die Vorlegung eines Hypotheken-, Grundschuld- oder Rentenschuldbriefs erforderlich, so kann derjenige, zu dessen Gunsten die Berichtigung erfolgen soll, von dem Besitzer des Briefes verlangen, dass der Brief dem Grundbuchamt vorgelegt wird.</w:t>
      </w:r>
    </w:p>
    <w:p>
      <w:pPr>
        <w:pStyle w:val="Heading3"/>
      </w:pPr>
      <w:bookmarkStart w:id="1370" w:name="b1355"/>
      <w:r>
        <w:t>§ 897 Kosten der Berichtigung</w:t>
      </w:r>
      <w:r>
        <w:t xml:space="preserve"> </w:t>
      </w:r>
      <w:r>
        <w:rPr>
          <w:rStyle w:val="Suchmarke"/>
        </w:rPr>
        <w:t>#897#</w:t>
      </w:r>
      <w:bookmarkEnd w:id="1370"/>
    </w:p>
    <w:p>
      <w:r>
        <w:t>Die Kosten der Berichtigung des Grundbuchs und der dazu erforderlichen Erklärungen hat derjenige zu tragen, welcher die Berichtigung verlangt, sofern nicht aus einem zwischen ihm und dem Verpflichteten bestehenden Rechtsverhältnis sich ein anderes ergibt.</w:t>
      </w:r>
    </w:p>
    <w:p>
      <w:pPr>
        <w:pStyle w:val="Heading3"/>
      </w:pPr>
      <w:bookmarkStart w:id="1371" w:name="b1356"/>
      <w:r>
        <w:t>§ 898 Unverjährbarkeit der Berichtigungsansprüche</w:t>
      </w:r>
      <w:r>
        <w:t xml:space="preserve"> </w:t>
      </w:r>
      <w:r>
        <w:rPr>
          <w:rStyle w:val="Suchmarke"/>
        </w:rPr>
        <w:t>#898#</w:t>
      </w:r>
      <w:bookmarkEnd w:id="1371"/>
    </w:p>
    <w:p>
      <w:r>
        <w:t xml:space="preserve">Die in den </w:t>
      </w:r>
      <w:hyperlink w:anchor="b1352" w:history="1">
        <w:r>
          <w:rPr>
            <w:color w:val="0A3A8C"/>
            <w:u w:val="single"/>
          </w:rPr>
          <w:t xml:space="preserve">§§ 894</w:t>
        </w:r>
      </w:hyperlink>
      <w:r>
        <w:t xml:space="preserve"> bis </w:t>
      </w:r>
      <w:hyperlink w:anchor="b1354" w:history="1">
        <w:r>
          <w:rPr>
            <w:color w:val="0A3A8C"/>
            <w:u w:val="single"/>
          </w:rPr>
          <w:t xml:space="preserve">896</w:t>
        </w:r>
      </w:hyperlink>
      <w:r>
        <w:t xml:space="preserve"> bestimmten Ansprüche unterliegen nicht der Verjährung.</w:t>
      </w:r>
    </w:p>
    <w:p>
      <w:pPr>
        <w:pStyle w:val="Heading3"/>
      </w:pPr>
      <w:bookmarkStart w:id="1372" w:name="b1357"/>
      <w:r>
        <w:t>§ 899 Eintragung eines Widerspruchs</w:t>
      </w:r>
      <w:r>
        <w:t xml:space="preserve"> </w:t>
      </w:r>
      <w:r>
        <w:rPr>
          <w:rStyle w:val="Suchmarke"/>
        </w:rPr>
        <w:t>#899#</w:t>
      </w:r>
      <w:bookmarkEnd w:id="1372"/>
    </w:p>
    <w:p>
      <w:r>
        <w:t xml:space="preserve">(1) In den Fällen des </w:t>
      </w:r>
      <w:hyperlink w:anchor="b1352" w:history="1">
        <w:r>
          <w:rPr>
            <w:color w:val="0A3A8C"/>
            <w:u w:val="single"/>
          </w:rPr>
          <w:t xml:space="preserve">§ 894</w:t>
        </w:r>
      </w:hyperlink>
      <w:r>
        <w:t xml:space="preserve"> kann ein Widerspruch gegen die Richtigkeit des Grundbuchs eingetragen werden.</w:t>
      </w:r>
    </w:p>
    <w:p>
      <w:r>
        <w:t xml:space="preserve">(2) </w:t>
      </w:r>
      <w:r>
        <w:rPr>
          <w:rStyle w:val="Satznummer"/>
        </w:rPr>
        <w:t>1</w:t>
      </w:r>
      <w:r>
        <w:t xml:space="preserve">Die Eintragung erfolgt auf Grund einer einstweiligen Verfügung oder auf Grund einer Bewilligung desjenigen, dessen Recht durch die Berichtigung des Grundbuchs betroffen wird. </w:t>
      </w:r>
      <w:r>
        <w:rPr>
          <w:rStyle w:val="Satznummer"/>
        </w:rPr>
        <w:t>2</w:t>
      </w:r>
      <w:r>
        <w:t>Zur Erlassung der einstweiligen Verfügung ist nicht erforderlich, dass eine Gefährdung des Rechts des Widersprechenden glaubhaft gemacht wird.</w:t>
      </w:r>
    </w:p>
    <w:p>
      <w:pPr>
        <w:pStyle w:val="Heading3"/>
      </w:pPr>
      <w:bookmarkStart w:id="1373" w:name="b1358"/>
      <w:r>
        <w:t>§ 900 Buchersitzung</w:t>
      </w:r>
      <w:r>
        <w:t xml:space="preserve"> </w:t>
      </w:r>
      <w:r>
        <w:rPr>
          <w:rStyle w:val="Suchmarke"/>
        </w:rPr>
        <w:t>#900#</w:t>
      </w:r>
      <w:bookmarkEnd w:id="1373"/>
    </w:p>
    <w:p>
      <w:r>
        <w:t xml:space="preserve">(1) </w:t>
      </w:r>
      <w:r>
        <w:rPr>
          <w:rStyle w:val="Satznummer"/>
        </w:rPr>
        <w:t>1</w:t>
      </w:r>
      <w:r>
        <w:t xml:space="preserve">Wer als Eigentümer eines Grundstücks im Grundbuch eingetragen ist, ohne dass er das Eigentum erlangt hat, erwirbt das Eigentum, wenn die Eintragung 30 Jahre bestanden und er während dieser Zeit das Grundstück im Eigenbesitz gehabt hat. </w:t>
      </w:r>
      <w:r>
        <w:rPr>
          <w:rStyle w:val="Satznummer"/>
        </w:rPr>
        <w:t>2</w:t>
      </w:r>
      <w:r>
        <w:t xml:space="preserve">Die dreißigjährige Frist wird in derselben Weise berechnet wie die Frist für die Ersitzung einer beweglichen Sache. </w:t>
      </w:r>
      <w:r>
        <w:rPr>
          <w:rStyle w:val="Satznummer"/>
        </w:rPr>
        <w:t>3</w:t>
      </w:r>
      <w:r>
        <w:t>Der Lauf der Frist ist gehemmt, solange ein Widerspruch gegen die Richtigkeit der Eintragung im Grundbuch eingetragen ist.</w:t>
      </w:r>
    </w:p>
    <w:p>
      <w:r>
        <w:t xml:space="preserve">(2) </w:t>
      </w:r>
      <w:r>
        <w:rPr>
          <w:rStyle w:val="Satznummer"/>
        </w:rPr>
        <w:t>1</w:t>
      </w:r>
      <w:r>
        <w:t xml:space="preserve">Diese Vorschriften finden entsprechende Anwendung, wenn für jemand ein ihm nicht zustehendes anderes Recht im Grundbuch eingetragen ist, das zum Besitz des Grundstücks berechtigt oder dessen Ausübung nach den für den Besitz geltenden Vorschriften geschützt ist. </w:t>
      </w:r>
      <w:r>
        <w:rPr>
          <w:rStyle w:val="Satznummer"/>
        </w:rPr>
        <w:t>2</w:t>
      </w:r>
      <w:r>
        <w:t>Für den Rang des Rechts ist die Eintragung maßgebend.</w:t>
      </w:r>
    </w:p>
    <w:p>
      <w:pPr>
        <w:pStyle w:val="Heading3"/>
      </w:pPr>
      <w:bookmarkStart w:id="1374" w:name="b1359"/>
      <w:r>
        <w:t>§ 901 Erlöschen nicht eingetragener Rechte</w:t>
      </w:r>
      <w:r>
        <w:t xml:space="preserve"> </w:t>
      </w:r>
      <w:r>
        <w:rPr>
          <w:rStyle w:val="Suchmarke"/>
        </w:rPr>
        <w:t>#901#</w:t>
      </w:r>
      <w:bookmarkEnd w:id="1374"/>
    </w:p>
    <w:p>
      <w:r>
        <w:rPr>
          <w:rStyle w:val="Satznummer"/>
        </w:rPr>
        <w:t>1</w:t>
      </w:r>
      <w:r>
        <w:t xml:space="preserve">Ist ein Recht an einem fremden Grundstück im Grundbuch mit Unrecht gelöscht, so erlischt es, wenn der Anspruch des Berechtigten gegen den Eigentümer verjährt ist. </w:t>
      </w:r>
      <w:r>
        <w:rPr>
          <w:rStyle w:val="Satznummer"/>
        </w:rPr>
        <w:t>2</w:t>
      </w:r>
      <w:r>
        <w:t>Das Gleiche gilt, wenn ein kraft Gesetzes entstandenes Recht an einem fremden Grundstück nicht in das Grundbuch eingetragen worden ist.</w:t>
      </w:r>
    </w:p>
    <w:p>
      <w:pPr>
        <w:pStyle w:val="Heading3"/>
      </w:pPr>
      <w:bookmarkStart w:id="1375" w:name="b1360"/>
      <w:r>
        <w:t>§ 902 Unverjährbarkeit eingetragener Rechte</w:t>
      </w:r>
      <w:r>
        <w:t xml:space="preserve"> </w:t>
      </w:r>
      <w:r>
        <w:rPr>
          <w:rStyle w:val="Suchmarke"/>
        </w:rPr>
        <w:t>#902#</w:t>
      </w:r>
      <w:bookmarkEnd w:id="1375"/>
    </w:p>
    <w:p>
      <w:r>
        <w:t xml:space="preserve">(1) </w:t>
      </w:r>
      <w:r>
        <w:rPr>
          <w:rStyle w:val="Satznummer"/>
        </w:rPr>
        <w:t>1</w:t>
      </w:r>
      <w:r>
        <w:t xml:space="preserve">Die Ansprüche aus eingetragenen Rechten unterliegen nicht der Verjährung. </w:t>
      </w:r>
      <w:r>
        <w:rPr>
          <w:rStyle w:val="Satznummer"/>
        </w:rPr>
        <w:t>2</w:t>
      </w:r>
      <w:r>
        <w:t>Dies gilt nicht für Ansprüche, die auf Rückstände wiederkehrender Leistungen oder auf Schadensersatz gerichtet sind.</w:t>
      </w:r>
    </w:p>
    <w:p>
      <w:r>
        <w:t>(2) Ein Recht, wegen dessen ein Widerspruch gegen die Richtigkeit des Grundbuchs eingetragen ist, steht einem eingetragenen Recht gleich.</w:t>
      </w:r>
    </w:p>
    <w:p>
      <w:pPr>
        <w:pStyle w:val="Heading2"/>
      </w:pPr>
      <w:bookmarkStart w:id="1376" w:name="b1361"/>
      <w:r>
        <w:t>Abschnitt 3 Eigentum</w:t>
      </w:r>
      <w:bookmarkEnd w:id="1376"/>
    </w:p>
    <w:p>
      <w:pPr>
        <w:pStyle w:val="Heading3"/>
      </w:pPr>
      <w:bookmarkStart w:id="1377" w:name="b1362"/>
      <w:r>
        <w:t>Titel 1 Inhalt des Eigentums</w:t>
      </w:r>
      <w:bookmarkEnd w:id="1377"/>
    </w:p>
    <w:p>
      <w:pPr>
        <w:pStyle w:val="Heading4"/>
      </w:pPr>
      <w:bookmarkStart w:id="1378" w:name="b1363"/>
      <w:r>
        <w:t>§ 903 Befugnisse des Eigentümers</w:t>
      </w:r>
      <w:r>
        <w:t xml:space="preserve"> </w:t>
      </w:r>
      <w:r>
        <w:rPr>
          <w:rStyle w:val="Suchmarke"/>
        </w:rPr>
        <w:t>#903#</w:t>
      </w:r>
      <w:bookmarkEnd w:id="1378"/>
    </w:p>
    <w:p>
      <w:r>
        <w:rPr>
          <w:rStyle w:val="Satznummer"/>
        </w:rPr>
        <w:t>1</w:t>
      </w:r>
      <w:r>
        <w:t xml:space="preserve">Der Eigentümer einer Sache kann, soweit nicht das Gesetz oder Rechte Dritter entgegenstehen, mit der Sache nach Belieben verfahren und andere von jeder Einwirkung ausschließen. </w:t>
      </w:r>
      <w:r>
        <w:rPr>
          <w:rStyle w:val="Satznummer"/>
        </w:rPr>
        <w:t>2</w:t>
      </w:r>
      <w:r>
        <w:t>Der Eigentümer eines Tieres hat bei der Ausübung seiner Befugnisse die besonderen Vorschriften zum Schutz der Tiere zu beachten.</w:t>
      </w:r>
    </w:p>
    <w:p>
      <w:pPr>
        <w:pStyle w:val="Heading4"/>
      </w:pPr>
      <w:bookmarkStart w:id="1379" w:name="b1364"/>
      <w:r>
        <w:t>§ 904 Notstand</w:t>
      </w:r>
      <w:r>
        <w:t xml:space="preserve"> </w:t>
      </w:r>
      <w:r>
        <w:rPr>
          <w:rStyle w:val="Suchmarke"/>
        </w:rPr>
        <w:t>#904#</w:t>
      </w:r>
      <w:bookmarkEnd w:id="1379"/>
    </w:p>
    <w:p>
      <w:r>
        <w:rPr>
          <w:rStyle w:val="Satznummer"/>
        </w:rPr>
        <w:t>1</w:t>
      </w:r>
      <w:r>
        <w:t xml:space="preserve">Der Eigentümer einer Sache ist nicht berechtigt, die Einwirkung eines anderen auf die Sache zu verbieten, wenn die Einwirkung zur Abwendung einer gegenwärtigen Gefahr notwendig und der drohende Schaden gegenüber dem aus der Einwirkung dem Eigentümer entstehenden Schaden unverhältnismäßig groß ist. </w:t>
      </w:r>
      <w:r>
        <w:rPr>
          <w:rStyle w:val="Satznummer"/>
        </w:rPr>
        <w:t>2</w:t>
      </w:r>
      <w:r>
        <w:t>Der Eigentümer kann Ersatz des ihm entstehenden Schadens verlangen.</w:t>
      </w:r>
    </w:p>
    <w:p>
      <w:pPr>
        <w:pStyle w:val="Heading4"/>
      </w:pPr>
      <w:bookmarkStart w:id="1380" w:name="b1365"/>
      <w:r>
        <w:t>§ 905 Begrenzung des Eigentums</w:t>
      </w:r>
      <w:r>
        <w:t xml:space="preserve"> </w:t>
      </w:r>
      <w:r>
        <w:rPr>
          <w:rStyle w:val="Suchmarke"/>
        </w:rPr>
        <w:t>#905#</w:t>
      </w:r>
      <w:bookmarkEnd w:id="1380"/>
    </w:p>
    <w:p>
      <w:r>
        <w:rPr>
          <w:rStyle w:val="Satznummer"/>
        </w:rPr>
        <w:t>1</w:t>
      </w:r>
      <w:r>
        <w:t xml:space="preserve">Das Recht des Eigentümers eines Grundstücks erstreckt sich auf den Raum über der Oberfläche und auf den Erdkörper unter der Oberfläche. </w:t>
      </w:r>
      <w:r>
        <w:rPr>
          <w:rStyle w:val="Satznummer"/>
        </w:rPr>
        <w:t>2</w:t>
      </w:r>
      <w:r>
        <w:t>Der Eigentümer kann jedoch Einwirkungen nicht verbieten, die in solcher Höhe oder Tiefe vorgenommen werden, dass er an der Ausschließung kein Interesse hat.</w:t>
      </w:r>
    </w:p>
    <w:p>
      <w:pPr>
        <w:pStyle w:val="Heading4"/>
      </w:pPr>
      <w:bookmarkStart w:id="1381" w:name="b1366"/>
      <w:r>
        <w:t>§ 906 Zuführung unwägbarer Stoffe</w:t>
      </w:r>
      <w:r>
        <w:t xml:space="preserve"> </w:t>
      </w:r>
      <w:r>
        <w:rPr>
          <w:rStyle w:val="Suchmarke"/>
        </w:rPr>
        <w:t>#906#</w:t>
      </w:r>
      <w:bookmarkEnd w:id="1381"/>
    </w:p>
    <w:p>
      <w:r>
        <w:t xml:space="preserve">(1) </w:t>
      </w:r>
      <w:r>
        <w:rPr>
          <w:rStyle w:val="Satznummer"/>
        </w:rPr>
        <w:t>1</w:t>
      </w:r>
      <w:r>
        <w:t xml:space="preserve">Der Eigentümer eines Grundstücks kann die Zuführung von Gasen, Dämpfen, Gerüchen, Rauch, Ruß, Wärme, Geräusch, Erschütterungen und ähnliche von einem anderen Grundstück ausgehende Einwirkungen insoweit nicht verbieten, als die Einwirkung die Benutzung seines Grundstücks nicht oder nur unwesentlich beeinträchtigt. </w:t>
      </w:r>
      <w:r>
        <w:rPr>
          <w:rStyle w:val="Satznummer"/>
        </w:rPr>
        <w:t>2</w:t>
      </w:r>
      <w:r>
        <w:t xml:space="preserve">Eine unwesentliche Beeinträchtigung liegt in der Regel vor, wenn die in Gesetzen oder Rechtsverordnungen festgelegten Grenz- oder Richtwerte von den nach diesen Vorschriften ermittelten und bewerteten Einwirkungen nicht überschritten werden. </w:t>
      </w:r>
      <w:r>
        <w:rPr>
          <w:rStyle w:val="Satznummer"/>
        </w:rPr>
        <w:t>3</w:t>
      </w:r>
      <w:r>
        <w:t>Gleiches gilt für Werte in allgemeinen Verwaltungsvorschriften, die nach § 48 des Bundes-Immissionsschutzgesetzes erlassen worden sind und den Stand der Technik wiedergeben.</w:t>
      </w:r>
    </w:p>
    <w:p>
      <w:r>
        <w:t xml:space="preserve">(2) </w:t>
      </w:r>
      <w:r>
        <w:rPr>
          <w:rStyle w:val="Satznummer"/>
        </w:rPr>
        <w:t>1</w:t>
      </w:r>
      <w:r>
        <w:t xml:space="preserve">Das Gleiche gilt insoweit, als eine wesentliche Beeinträchtigung durch eine ortsübliche Benutzung des anderen Grundstücks herbeigeführt wird und nicht durch Maßnahmen verhindert werden kann, die Benutzern dieser Art wirtschaftlich zumutbar sind. </w:t>
      </w:r>
      <w:r>
        <w:rPr>
          <w:rStyle w:val="Satznummer"/>
        </w:rPr>
        <w:t>2</w:t>
      </w:r>
      <w:r>
        <w:t>Hat der Eigentümer hiernach eine Einwirkung zu dulden, so kann er von dem Benutzer des anderen Grundstücks einen angemessenen Ausgleich in Geld verlangen, wenn die Einwirkung eine ortsübliche Benutzung seines Grundstücks oder dessen Ertrag über das zumutbare Maß hinaus beeinträchtigt.</w:t>
      </w:r>
    </w:p>
    <w:p>
      <w:r>
        <w:t>(3) Die Zuführung durch eine besondere Leitung ist unzulässig.</w:t>
      </w:r>
    </w:p>
    <w:p>
      <w:pPr>
        <w:pStyle w:val="Heading4"/>
      </w:pPr>
      <w:bookmarkStart w:id="1382" w:name="b1367"/>
      <w:r>
        <w:t>§ 907 Gefahr drohende Anlagen</w:t>
      </w:r>
      <w:r>
        <w:t xml:space="preserve"> </w:t>
      </w:r>
      <w:r>
        <w:rPr>
          <w:rStyle w:val="Suchmarke"/>
        </w:rPr>
        <w:t>#907#</w:t>
      </w:r>
      <w:bookmarkEnd w:id="1382"/>
    </w:p>
    <w:p>
      <w:r>
        <w:t xml:space="preserve">(1) </w:t>
      </w:r>
      <w:r>
        <w:rPr>
          <w:rStyle w:val="Satznummer"/>
        </w:rPr>
        <w:t>1</w:t>
      </w:r>
      <w:r>
        <w:t xml:space="preserve">Der Eigentümer eines Grundstücks kann verlangen, dass auf den Nachbargrundstücken nicht Anlagen hergestellt oder gehalten werden, von denen mit Sicherheit vorauszusehen ist, dass ihr Bestand oder ihre Benutzung eine unzulässige Einwirkung auf sein Grundstück zur Folge hat. </w:t>
      </w:r>
      <w:r>
        <w:rPr>
          <w:rStyle w:val="Satznummer"/>
        </w:rPr>
        <w:t>2</w:t>
      </w:r>
      <w:r>
        <w:t>Genügt eine Anlage den landesgesetzlichen Vorschriften, die einen bestimmten Abstand von der Grenze oder sonstige Schutzmaßregeln vorschreiben, so kann die Beseitigung der Anlage erst verlangt werden, wenn die unzulässige Einwirkung tatsächlich hervortritt.</w:t>
      </w:r>
    </w:p>
    <w:p>
      <w:r>
        <w:t>(2) Bäume und Sträucher gehören nicht zu den Anlagen im Sinne dieser Vorschriften.</w:t>
      </w:r>
    </w:p>
    <w:p>
      <w:pPr>
        <w:pStyle w:val="Heading4"/>
      </w:pPr>
      <w:bookmarkStart w:id="1383" w:name="b1368"/>
      <w:r>
        <w:t>§ 908 Drohender Gebäudeeinsturz</w:t>
      </w:r>
      <w:r>
        <w:t xml:space="preserve"> </w:t>
      </w:r>
      <w:r>
        <w:rPr>
          <w:rStyle w:val="Suchmarke"/>
        </w:rPr>
        <w:t>#908#</w:t>
      </w:r>
      <w:bookmarkEnd w:id="1383"/>
    </w:p>
    <w:p>
      <w:r>
        <w:t xml:space="preserve">Droht einem Grundstück die Gefahr, dass es durch den Einsturz eines Gebäudes oder eines anderen Werkes, das mit einem Nachbargrundstück verbunden ist, oder durch die Ablösung von Teilen des Gebäudes oder des Werkes beschädigt wird, so kann der Eigentümer von demjenigen, welcher nach dem </w:t>
      </w:r>
      <w:hyperlink w:anchor="b1290" w:history="1">
        <w:r>
          <w:rPr>
            <w:color w:val="0A3A8C"/>
            <w:u w:val="single"/>
          </w:rPr>
          <w:t xml:space="preserve">§ 836</w:t>
        </w:r>
      </w:hyperlink>
      <w:r>
        <w:t xml:space="preserve"> Abs. 1 oder den </w:t>
      </w:r>
      <w:hyperlink w:anchor="b1291" w:history="1">
        <w:r>
          <w:rPr>
            <w:color w:val="0A3A8C"/>
            <w:u w:val="single"/>
          </w:rPr>
          <w:t xml:space="preserve">§§ 837</w:t>
        </w:r>
      </w:hyperlink>
      <w:r>
        <w:t xml:space="preserve">, </w:t>
      </w:r>
      <w:hyperlink w:anchor="b1292" w:history="1">
        <w:r>
          <w:rPr>
            <w:color w:val="0A3A8C"/>
            <w:u w:val="single"/>
          </w:rPr>
          <w:t xml:space="preserve">838</w:t>
        </w:r>
      </w:hyperlink>
      <w:r>
        <w:t xml:space="preserve"> für den eintretenden Schaden verantwortlich sein würde, verlangen, dass er die zur Abwendung der Gefahr erforderliche Vorkehrung trifft.</w:t>
      </w:r>
    </w:p>
    <w:p>
      <w:pPr>
        <w:pStyle w:val="Heading4"/>
      </w:pPr>
      <w:bookmarkStart w:id="1384" w:name="b1369"/>
      <w:r>
        <w:t>§ 909 Vertiefung</w:t>
      </w:r>
      <w:r>
        <w:t xml:space="preserve"> </w:t>
      </w:r>
      <w:r>
        <w:rPr>
          <w:rStyle w:val="Suchmarke"/>
        </w:rPr>
        <w:t>#909#</w:t>
      </w:r>
      <w:bookmarkEnd w:id="1384"/>
    </w:p>
    <w:p>
      <w:r>
        <w:t>Ein Grundstück darf nicht in der Weise vertieft werden, dass der Boden des Nachbargrundstücks die erforderliche Stütze verliert, es sei denn, dass für eine genügende anderweitige Befestigung gesorgt ist.</w:t>
      </w:r>
    </w:p>
    <w:p>
      <w:pPr>
        <w:pStyle w:val="Heading4"/>
      </w:pPr>
      <w:bookmarkStart w:id="1385" w:name="b1370"/>
      <w:r>
        <w:t>§ 910 Überhang</w:t>
      </w:r>
      <w:r>
        <w:t xml:space="preserve"> </w:t>
      </w:r>
      <w:r>
        <w:rPr>
          <w:rStyle w:val="Suchmarke"/>
        </w:rPr>
        <w:t>#910#</w:t>
      </w:r>
      <w:bookmarkEnd w:id="1385"/>
    </w:p>
    <w:p>
      <w:r>
        <w:t xml:space="preserve">(1) </w:t>
      </w:r>
      <w:r>
        <w:rPr>
          <w:rStyle w:val="Satznummer"/>
        </w:rPr>
        <w:t>1</w:t>
      </w:r>
      <w:r>
        <w:t xml:space="preserve">Der Eigentümer eines Grundstücks kann Wurzeln eines Baumes oder eines Strauches, die von einem Nachbargrundstück eingedrungen sind, abschneiden und behalten. </w:t>
      </w:r>
      <w:r>
        <w:rPr>
          <w:rStyle w:val="Satznummer"/>
        </w:rPr>
        <w:t>2</w:t>
      </w:r>
      <w:r>
        <w:t>Das Gleiche gilt von herüberragenden Zweigen, wenn der Eigentümer dem Besitzer des Nachbargrundstücks eine angemessene Frist zur Beseitigung bestimmt hat und die Beseitigung nicht innerhalb der Frist erfolgt.</w:t>
      </w:r>
    </w:p>
    <w:p>
      <w:r>
        <w:t>(2) Dem Eigentümer steht dieses Recht nicht zu, wenn die Wurzeln oder die Zweige die Benutzung des Grundstücks nicht beeinträchtigen.</w:t>
      </w:r>
    </w:p>
    <w:p>
      <w:pPr>
        <w:pStyle w:val="Heading4"/>
      </w:pPr>
      <w:bookmarkStart w:id="1386" w:name="b1371"/>
      <w:r>
        <w:t>§ 911 Überfall</w:t>
      </w:r>
      <w:r>
        <w:t xml:space="preserve"> </w:t>
      </w:r>
      <w:r>
        <w:rPr>
          <w:rStyle w:val="Suchmarke"/>
        </w:rPr>
        <w:t>#911#</w:t>
      </w:r>
      <w:bookmarkEnd w:id="1386"/>
    </w:p>
    <w:p>
      <w:r>
        <w:rPr>
          <w:rStyle w:val="Satznummer"/>
        </w:rPr>
        <w:t>1</w:t>
      </w:r>
      <w:r>
        <w:t xml:space="preserve">Früchte, die von einem Baume oder einem Strauche auf ein Nachbargrundstück hinüberfallen, gelten als Früchte dieses Grundstücks. </w:t>
      </w:r>
      <w:r>
        <w:rPr>
          <w:rStyle w:val="Satznummer"/>
        </w:rPr>
        <w:t>2</w:t>
      </w:r>
      <w:r>
        <w:t>Diese Vorschrift findet keine Anwendung, wenn das Nachbargrundstück dem öffentlichen Gebrauch dient.</w:t>
      </w:r>
    </w:p>
    <w:p>
      <w:pPr>
        <w:pStyle w:val="Heading4"/>
      </w:pPr>
      <w:bookmarkStart w:id="1387" w:name="b1372"/>
      <w:r>
        <w:t>§ 912 Überbau; Duldungspflicht</w:t>
      </w:r>
      <w:r>
        <w:t xml:space="preserve"> </w:t>
      </w:r>
      <w:r>
        <w:rPr>
          <w:rStyle w:val="Suchmarke"/>
        </w:rPr>
        <w:t>#912#</w:t>
      </w:r>
      <w:bookmarkEnd w:id="1387"/>
    </w:p>
    <w:p>
      <w:r>
        <w:t>(1) Hat der Eigentümer eines Grundstücks bei der Errichtung eines Gebäudes über die Grenze gebaut, ohne dass ihm Vorsatz oder grobe Fahrlässigkeit zur Last fällt, so hat der Nachbar den Überbau zu dulden, es sei denn, dass er vor oder sofort nach der Grenzüberschreitung Widerspruch erhoben hat.</w:t>
      </w:r>
    </w:p>
    <w:p>
      <w:r>
        <w:t xml:space="preserve">(2) </w:t>
      </w:r>
      <w:r>
        <w:rPr>
          <w:rStyle w:val="Satznummer"/>
        </w:rPr>
        <w:t>1</w:t>
      </w:r>
      <w:r>
        <w:t xml:space="preserve">Der Nachbar ist durch eine Geldrente zu entschädigen. </w:t>
      </w:r>
      <w:r>
        <w:rPr>
          <w:rStyle w:val="Satznummer"/>
        </w:rPr>
        <w:t>2</w:t>
      </w:r>
      <w:r>
        <w:t>Für die Höhe der Rente ist die Zeit der Grenzüberschreitung maßgebend.</w:t>
      </w:r>
    </w:p>
    <w:p>
      <w:pPr>
        <w:pStyle w:val="Heading4"/>
      </w:pPr>
      <w:bookmarkStart w:id="1388" w:name="b1373"/>
      <w:r>
        <w:t>§ 913 Zahlung der Überbaurente</w:t>
      </w:r>
      <w:r>
        <w:t xml:space="preserve"> </w:t>
      </w:r>
      <w:r>
        <w:rPr>
          <w:rStyle w:val="Suchmarke"/>
        </w:rPr>
        <w:t>#913#</w:t>
      </w:r>
      <w:bookmarkEnd w:id="1388"/>
    </w:p>
    <w:p>
      <w:r>
        <w:t>(1) Die Rente für den Überbau ist dem jeweiligen Eigentümer des Nachbargrundstücks von dem jeweiligen Eigentümer des anderen Grundstücks zu entrichten.</w:t>
      </w:r>
    </w:p>
    <w:p>
      <w:r>
        <w:t>(2) Die Rente ist jährlich im Voraus zu entrichten.</w:t>
      </w:r>
    </w:p>
    <w:p>
      <w:pPr>
        <w:pStyle w:val="Heading4"/>
      </w:pPr>
      <w:bookmarkStart w:id="1389" w:name="b1374"/>
      <w:r>
        <w:t>§ 914 Rang, Eintragung und Erlöschen der Rente</w:t>
      </w:r>
      <w:r>
        <w:t xml:space="preserve"> </w:t>
      </w:r>
      <w:r>
        <w:rPr>
          <w:rStyle w:val="Suchmarke"/>
        </w:rPr>
        <w:t>#914#</w:t>
      </w:r>
      <w:bookmarkEnd w:id="1389"/>
    </w:p>
    <w:p>
      <w:r>
        <w:t xml:space="preserve">(1) </w:t>
      </w:r>
      <w:r>
        <w:rPr>
          <w:rStyle w:val="Satznummer"/>
        </w:rPr>
        <w:t>1</w:t>
      </w:r>
      <w:r>
        <w:t xml:space="preserve">Das Recht auf die Rente geht allen Rechten an dem belasteten Grundstück, auch den älteren, vor. </w:t>
      </w:r>
      <w:r>
        <w:rPr>
          <w:rStyle w:val="Satznummer"/>
        </w:rPr>
        <w:t>2</w:t>
      </w:r>
      <w:r>
        <w:t>Es erlischt mit der Beseitigung des Überbaus.</w:t>
      </w:r>
    </w:p>
    <w:p>
      <w:r>
        <w:t xml:space="preserve">(2) </w:t>
      </w:r>
      <w:r>
        <w:rPr>
          <w:rStyle w:val="Satznummer"/>
        </w:rPr>
        <w:t>1</w:t>
      </w:r>
      <w:r>
        <w:t xml:space="preserve">Das Recht wird nicht in das Grundbuch eingetragen. </w:t>
      </w:r>
      <w:r>
        <w:rPr>
          <w:rStyle w:val="Satznummer"/>
        </w:rPr>
        <w:t>2</w:t>
      </w:r>
      <w:r>
        <w:t>Zum Verzicht auf das Recht sowie zur Feststellung der Höhe der Rente durch Vertrag ist die Eintragung erforderlich.</w:t>
      </w:r>
    </w:p>
    <w:p>
      <w:r>
        <w:t>(3) Im Übrigen finden die Vorschriften Anwendung, die für eine zugunsten des jeweiligen Eigentümers eines Grundstücks bestehende Reallast gelten.</w:t>
      </w:r>
    </w:p>
    <w:p>
      <w:pPr>
        <w:pStyle w:val="Heading4"/>
      </w:pPr>
      <w:bookmarkStart w:id="1390" w:name="b1375"/>
      <w:r>
        <w:t>§ 915 Abkauf</w:t>
      </w:r>
      <w:r>
        <w:t xml:space="preserve"> </w:t>
      </w:r>
      <w:r>
        <w:rPr>
          <w:rStyle w:val="Suchmarke"/>
        </w:rPr>
        <w:t>#915#</w:t>
      </w:r>
      <w:bookmarkEnd w:id="1390"/>
    </w:p>
    <w:p>
      <w:r>
        <w:t xml:space="preserve">(1) </w:t>
      </w:r>
      <w:r>
        <w:rPr>
          <w:rStyle w:val="Satznummer"/>
        </w:rPr>
        <w:t>1</w:t>
      </w:r>
      <w:r>
        <w:t xml:space="preserve">Der Rentenberechtigte kann jederzeit verlangen, dass der Rentenpflichtige ihm gegen Übertragung des Eigentums an dem überbauten Teil des Grundstücks den Wert ersetzt, den dieser Teil zur Zeit der Grenzüberschreitung gehabt hat. </w:t>
      </w:r>
      <w:r>
        <w:rPr>
          <w:rStyle w:val="Satznummer"/>
        </w:rPr>
        <w:t>2</w:t>
      </w:r>
      <w:r>
        <w:t>Macht er von dieser Befugnis Gebrauch, so bestimmen sich die Rechte und Verpflichtungen beider Teile nach den Vorschriften über den Kauf.</w:t>
      </w:r>
    </w:p>
    <w:p>
      <w:r>
        <w:t>(2) Für die Zeit bis zur Übertragung des Eigentums ist die Rente fortzuentrichten.</w:t>
      </w:r>
    </w:p>
    <w:p>
      <w:pPr>
        <w:pStyle w:val="Heading4"/>
      </w:pPr>
      <w:bookmarkStart w:id="1391" w:name="b1376"/>
      <w:r>
        <w:t>§ 916 Beeinträchtigung von Erbbaurecht oder Dienstbarkeit</w:t>
      </w:r>
      <w:r>
        <w:t xml:space="preserve"> </w:t>
      </w:r>
      <w:r>
        <w:rPr>
          <w:rStyle w:val="Suchmarke"/>
        </w:rPr>
        <w:t>#916#</w:t>
      </w:r>
      <w:bookmarkEnd w:id="1391"/>
    </w:p>
    <w:p>
      <w:r>
        <w:t xml:space="preserve">Wird durch den Überbau ein Erbbaurecht oder eine Dienstbarkeit an dem Nachbargrundstück beeinträchtigt, so finden zugunsten des Berechtigten die Vorschriften der </w:t>
      </w:r>
      <w:hyperlink w:anchor="b1372" w:history="1">
        <w:r>
          <w:rPr>
            <w:color w:val="0A3A8C"/>
            <w:u w:val="single"/>
          </w:rPr>
          <w:t xml:space="preserve">§§ 912</w:t>
        </w:r>
      </w:hyperlink>
      <w:r>
        <w:t xml:space="preserve"> bis </w:t>
      </w:r>
      <w:hyperlink w:anchor="b1374" w:history="1">
        <w:r>
          <w:rPr>
            <w:color w:val="0A3A8C"/>
            <w:u w:val="single"/>
          </w:rPr>
          <w:t xml:space="preserve">914</w:t>
        </w:r>
      </w:hyperlink>
      <w:r>
        <w:t xml:space="preserve"> entsprechende Anwendung.</w:t>
      </w:r>
    </w:p>
    <w:p>
      <w:pPr>
        <w:pStyle w:val="Heading4"/>
      </w:pPr>
      <w:bookmarkStart w:id="1392" w:name="b1377"/>
      <w:r>
        <w:t>§ 917 Notweg</w:t>
      </w:r>
      <w:r>
        <w:t xml:space="preserve"> </w:t>
      </w:r>
      <w:r>
        <w:rPr>
          <w:rStyle w:val="Suchmarke"/>
        </w:rPr>
        <w:t>#917#</w:t>
      </w:r>
      <w:bookmarkEnd w:id="1392"/>
    </w:p>
    <w:p>
      <w:r>
        <w:t xml:space="preserve">(1) </w:t>
      </w:r>
      <w:r>
        <w:rPr>
          <w:rStyle w:val="Satznummer"/>
        </w:rPr>
        <w:t>1</w:t>
      </w:r>
      <w:r>
        <w:t xml:space="preserve">Fehlt einem Grundstück die zur ordnungsmäßigen Benutzung notwendige Verbindung mit einem öffentlichen Wege, so kann der Eigentümer von den Nachbarn verlangen, dass sie bis zur Hebung des Mangels die Benutzung ihrer Grundstücke zur Herstellung der erforderlichen Verbindung dulden. </w:t>
      </w:r>
      <w:r>
        <w:rPr>
          <w:rStyle w:val="Satznummer"/>
        </w:rPr>
        <w:t>2</w:t>
      </w:r>
      <w:r>
        <w:t>Die Richtung des Notwegs und der Umfang des Benutzungsrechts werden erforderlichenfalls durch Urteil bestimmt.</w:t>
      </w:r>
    </w:p>
    <w:p>
      <w:r>
        <w:t xml:space="preserve">(2) </w:t>
      </w:r>
      <w:r>
        <w:rPr>
          <w:rStyle w:val="Satznummer"/>
        </w:rPr>
        <w:t>1</w:t>
      </w:r>
      <w:r>
        <w:t xml:space="preserve">Die Nachbarn, über deren Grundstücke der Notweg führt, sind durch eine Geldrente zu entschädigen. </w:t>
      </w:r>
      <w:r>
        <w:rPr>
          <w:rStyle w:val="Satznummer"/>
        </w:rPr>
        <w:t>2</w:t>
      </w:r>
      <w:r>
        <w:t xml:space="preserve">Die Vorschriften des </w:t>
      </w:r>
      <w:hyperlink w:anchor="b1372" w:history="1">
        <w:r>
          <w:rPr>
            <w:color w:val="0A3A8C"/>
            <w:u w:val="single"/>
          </w:rPr>
          <w:t xml:space="preserve">§ 912</w:t>
        </w:r>
      </w:hyperlink>
      <w:r>
        <w:t xml:space="preserve"> Abs. 2 Satz 2 und der </w:t>
      </w:r>
      <w:hyperlink w:anchor="b1373" w:history="1">
        <w:r>
          <w:rPr>
            <w:color w:val="0A3A8C"/>
            <w:u w:val="single"/>
          </w:rPr>
          <w:t xml:space="preserve">§§ 913</w:t>
        </w:r>
      </w:hyperlink>
      <w:r>
        <w:t xml:space="preserve">, </w:t>
      </w:r>
      <w:hyperlink w:anchor="b1374" w:history="1">
        <w:r>
          <w:rPr>
            <w:color w:val="0A3A8C"/>
            <w:u w:val="single"/>
          </w:rPr>
          <w:t xml:space="preserve">914</w:t>
        </w:r>
      </w:hyperlink>
      <w:r>
        <w:t xml:space="preserve">, </w:t>
      </w:r>
      <w:hyperlink w:anchor="b1376" w:history="1">
        <w:r>
          <w:rPr>
            <w:color w:val="0A3A8C"/>
            <w:u w:val="single"/>
          </w:rPr>
          <w:t xml:space="preserve">916</w:t>
        </w:r>
      </w:hyperlink>
      <w:r>
        <w:t xml:space="preserve"> finden entsprechende Anwendung.</w:t>
      </w:r>
    </w:p>
    <w:p>
      <w:pPr>
        <w:pStyle w:val="Heading4"/>
      </w:pPr>
      <w:bookmarkStart w:id="1393" w:name="b1378"/>
      <w:r>
        <w:t>§ 918 Ausschluss des Notwegrechts</w:t>
      </w:r>
      <w:r>
        <w:t xml:space="preserve"> </w:t>
      </w:r>
      <w:r>
        <w:rPr>
          <w:rStyle w:val="Suchmarke"/>
        </w:rPr>
        <w:t>#918#</w:t>
      </w:r>
      <w:bookmarkEnd w:id="1393"/>
    </w:p>
    <w:p>
      <w:r>
        <w:t>(1) Die Verpflichtung zur Duldung des Notwegs tritt nicht ein, wenn die bisherige Verbindung des Grundstücks mit dem öffentlichen Wege durch eine willkürliche Handlung des Eigentümers aufgehoben wird.</w:t>
      </w:r>
    </w:p>
    <w:p>
      <w:r>
        <w:t xml:space="preserve">(2) </w:t>
      </w:r>
      <w:r>
        <w:rPr>
          <w:rStyle w:val="Satznummer"/>
        </w:rPr>
        <w:t>1</w:t>
      </w:r>
      <w:r>
        <w:t xml:space="preserve">Wird infolge der Veräußerung eines Teils des Grundstücks der veräußerte oder der zurückbehaltene Teil von der Verbindung mit dem öffentlichen Wege abgeschnitten, so hat der Eigentümer desjenigen Teils, über welchen die Verbindung bisher stattgefunden hat, den Notweg zu dulden. </w:t>
      </w:r>
      <w:r>
        <w:rPr>
          <w:rStyle w:val="Satznummer"/>
        </w:rPr>
        <w:t>2</w:t>
      </w:r>
      <w:r>
        <w:t>Der Veräußerung eines Teils steht die Veräußerung eines von mehreren demselben Eigentümer gehörenden Grundstücken gleich.</w:t>
      </w:r>
    </w:p>
    <w:p>
      <w:pPr>
        <w:pStyle w:val="Heading4"/>
      </w:pPr>
      <w:bookmarkStart w:id="1394" w:name="b1379"/>
      <w:r>
        <w:t>§ 919 Grenzabmarkung</w:t>
      </w:r>
      <w:r>
        <w:t xml:space="preserve"> </w:t>
      </w:r>
      <w:r>
        <w:rPr>
          <w:rStyle w:val="Suchmarke"/>
        </w:rPr>
        <w:t>#919#</w:t>
      </w:r>
      <w:bookmarkEnd w:id="1394"/>
    </w:p>
    <w:p>
      <w:r>
        <w:t>(1) Der Eigentümer eines Grundstücks kann von dem Eigentümer eines Nachbargrundstücks verlangen, dass dieser zur Errichtung fester Grenzzeichen und, wenn ein Grenzzeichen verrückt oder unkenntlich geworden ist, zur Wiederherstellung mitwirkt.</w:t>
      </w:r>
    </w:p>
    <w:p>
      <w:r>
        <w:t>(2) Die Art der Abmarkung und das Verfahren bestimmen sich nach den Landesgesetzen; enthalten diese keine Vorschriften, so entscheidet die Ortsüblichkeit.</w:t>
      </w:r>
    </w:p>
    <w:p>
      <w:r>
        <w:t>(3) Die Kosten der Abmarkung sind von den Beteiligten zu gleichen Teilen zu tragen, sofern nicht aus einem zwischen ihnen bestehenden Rechtsverhältnis sich ein anderes ergibt.</w:t>
      </w:r>
    </w:p>
    <w:p>
      <w:pPr>
        <w:pStyle w:val="Heading4"/>
      </w:pPr>
      <w:bookmarkStart w:id="1395" w:name="b1380"/>
      <w:r>
        <w:t>§ 920 Grenzverwirrung</w:t>
      </w:r>
      <w:r>
        <w:t xml:space="preserve"> </w:t>
      </w:r>
      <w:r>
        <w:rPr>
          <w:rStyle w:val="Suchmarke"/>
        </w:rPr>
        <w:t>#920#</w:t>
      </w:r>
      <w:bookmarkEnd w:id="1395"/>
    </w:p>
    <w:p>
      <w:r>
        <w:t xml:space="preserve">(1) </w:t>
      </w:r>
      <w:r>
        <w:rPr>
          <w:rStyle w:val="Satznummer"/>
        </w:rPr>
        <w:t>1</w:t>
      </w:r>
      <w:r>
        <w:t xml:space="preserve">Lässt sich im Falle einer Grenzverwirrung die richtige Grenze nicht ermitteln, so ist für die Abgrenzung der Besitzstand maßgebend. </w:t>
      </w:r>
      <w:r>
        <w:rPr>
          <w:rStyle w:val="Satznummer"/>
        </w:rPr>
        <w:t>2</w:t>
      </w:r>
      <w:r>
        <w:t>Kann der Besitzstand nicht festgestellt werden, so ist jedem der Grundstücke ein gleich großes Stück der streitigen Fläche zuzuteilen.</w:t>
      </w:r>
    </w:p>
    <w:p>
      <w:r>
        <w:t>(2) Soweit eine diesen Vorschriften entsprechende Bestimmung der Grenze zu einem Ergebnis führt, das mit den ermittelten Umständen, insbesondere mit der feststehenden Größe der Grundstücke, nicht übereinstimmt, ist die Grenze so zu ziehen, wie es unter Berücksichtigung dieser Umstände der Billigkeit entspricht.</w:t>
      </w:r>
    </w:p>
    <w:p>
      <w:pPr>
        <w:pStyle w:val="Heading4"/>
      </w:pPr>
      <w:bookmarkStart w:id="1396" w:name="b1381"/>
      <w:r>
        <w:t>§ 921 Gemeinschaftliche Benutzung von Grenzanlagen</w:t>
      </w:r>
      <w:r>
        <w:t xml:space="preserve"> </w:t>
      </w:r>
      <w:r>
        <w:rPr>
          <w:rStyle w:val="Suchmarke"/>
        </w:rPr>
        <w:t>#921#</w:t>
      </w:r>
      <w:bookmarkEnd w:id="1396"/>
    </w:p>
    <w:p>
      <w:r>
        <w:t>Werden zwei Grundstücke durch einen Zwischenraum, Rain, Winkel, einen Graben, eine Mauer, Hecke, Planke oder eine andere Einrichtung, die zum Vorteil beider Grundstücke dient, voneinander geschieden, so wird vermutet, dass die Eigentümer der Grundstücke zur Benutzung der Einrichtung gemeinschaftlich berechtigt seien, sofern nicht äußere Merkmale darauf hinweisen, dass die Einrichtung einem der Nachbarn allein gehört.</w:t>
      </w:r>
    </w:p>
    <w:p>
      <w:pPr>
        <w:pStyle w:val="Heading4"/>
      </w:pPr>
      <w:bookmarkStart w:id="1397" w:name="b1382"/>
      <w:r>
        <w:t>§ 922 Art der Benutzung und Unterhaltung</w:t>
      </w:r>
      <w:r>
        <w:t xml:space="preserve"> </w:t>
      </w:r>
      <w:r>
        <w:rPr>
          <w:rStyle w:val="Suchmarke"/>
        </w:rPr>
        <w:t>#922#</w:t>
      </w:r>
      <w:bookmarkEnd w:id="1397"/>
    </w:p>
    <w:p>
      <w:r>
        <w:rPr>
          <w:rStyle w:val="Satznummer"/>
        </w:rPr>
        <w:t>1</w:t>
      </w:r>
      <w:r>
        <w:t xml:space="preserve">Sind die Nachbarn zur Benutzung einer der in </w:t>
      </w:r>
      <w:hyperlink w:anchor="b1381" w:history="1">
        <w:r>
          <w:rPr>
            <w:color w:val="0A3A8C"/>
            <w:u w:val="single"/>
          </w:rPr>
          <w:t xml:space="preserve">§ 921</w:t>
        </w:r>
      </w:hyperlink>
      <w:r>
        <w:t xml:space="preserve"> bezeichneten Einrichtungen gemeinschaftlich berechtigt, so kann jeder sie zu dem Zwecke, der sich aus ihrer Beschaffenheit ergibt, insoweit benutzen, als nicht die Mitbenutzung des anderen beeinträchtigt wird. </w:t>
      </w:r>
      <w:r>
        <w:rPr>
          <w:rStyle w:val="Satznummer"/>
        </w:rPr>
        <w:t>2</w:t>
      </w:r>
      <w:r>
        <w:t xml:space="preserve">Die Unterhaltungskosten sind von den Nachbarn zu gleichen Teilen zu tragen. </w:t>
      </w:r>
      <w:r>
        <w:rPr>
          <w:rStyle w:val="Satznummer"/>
        </w:rPr>
        <w:t>3</w:t>
      </w:r>
      <w:r>
        <w:t xml:space="preserve">Solange einer der Nachbarn an dem Fortbestand der Einrichtung ein Interesse hat, darf sie nicht ohne seine Zustimmung beseitigt oder geändert werden. </w:t>
      </w:r>
      <w:r>
        <w:rPr>
          <w:rStyle w:val="Satznummer"/>
        </w:rPr>
        <w:t>4</w:t>
      </w:r>
      <w:r>
        <w:t>Im Übrigen bestimmt sich das Rechtsverhältnis zwischen den Nachbarn nach den Vorschriften über die Gemeinschaft.</w:t>
      </w:r>
    </w:p>
    <w:p>
      <w:pPr>
        <w:pStyle w:val="Heading4"/>
      </w:pPr>
      <w:bookmarkStart w:id="1398" w:name="b1383"/>
      <w:r>
        <w:t>§ 923 Grenzbaum</w:t>
      </w:r>
      <w:r>
        <w:t xml:space="preserve"> </w:t>
      </w:r>
      <w:r>
        <w:rPr>
          <w:rStyle w:val="Suchmarke"/>
        </w:rPr>
        <w:t>#923#</w:t>
      </w:r>
      <w:bookmarkEnd w:id="1398"/>
    </w:p>
    <w:p>
      <w:r>
        <w:t>(1) Steht auf der Grenze ein Baum, so gebühren die Früchte und, wenn der Baum gefällt wird, auch der Baum den Nachbarn zu gleichen Teilen.</w:t>
      </w:r>
    </w:p>
    <w:p>
      <w:r>
        <w:t xml:space="preserve">(2) </w:t>
      </w:r>
      <w:r>
        <w:rPr>
          <w:rStyle w:val="Satznummer"/>
        </w:rPr>
        <w:t>1</w:t>
      </w:r>
      <w:r>
        <w:t xml:space="preserve">Jeder der Nachbarn kann die Beseitigung des Baumes verlangen. </w:t>
      </w:r>
      <w:r>
        <w:rPr>
          <w:rStyle w:val="Satznummer"/>
        </w:rPr>
        <w:t>2</w:t>
      </w:r>
      <w:r>
        <w:t xml:space="preserve">Die Kosten der Beseitigung fallen den Nachbarn zu gleichen Teilen zur Last. </w:t>
      </w:r>
      <w:r>
        <w:rPr>
          <w:rStyle w:val="Satznummer"/>
        </w:rPr>
        <w:t>3</w:t>
      </w:r>
      <w:r>
        <w:t xml:space="preserve">Der Nachbar, der die Beseitigung verlangt, hat jedoch die Kosten allein zu tragen, wenn der andere auf sein Recht an dem Baume verzichtet; er erwirbt in diesem Falle mit der Trennung das Alleineigentum. </w:t>
      </w:r>
      <w:r>
        <w:rPr>
          <w:rStyle w:val="Satznummer"/>
        </w:rPr>
        <w:t>4</w:t>
      </w:r>
      <w:r>
        <w:t>Der Anspruch auf die Beseitigung ist ausgeschlossen, wenn der Baum als Grenzzeichen dient und den Umständen nach nicht durch ein anderes zweckmäßiges Grenzzeichen ersetzt werden kann.</w:t>
      </w:r>
    </w:p>
    <w:p>
      <w:r>
        <w:t>(3) Diese Vorschriften gelten auch für einen auf der Grenze stehenden Strauch.</w:t>
      </w:r>
    </w:p>
    <w:p>
      <w:pPr>
        <w:pStyle w:val="Heading4"/>
      </w:pPr>
      <w:bookmarkStart w:id="1399" w:name="b1384"/>
      <w:r>
        <w:t>§ 924 Unverjährbarkeit nachbarrechtlicher Ansprüche</w:t>
      </w:r>
      <w:r>
        <w:t xml:space="preserve"> </w:t>
      </w:r>
      <w:r>
        <w:rPr>
          <w:rStyle w:val="Suchmarke"/>
        </w:rPr>
        <w:t>#924#</w:t>
      </w:r>
      <w:bookmarkEnd w:id="1399"/>
    </w:p>
    <w:p>
      <w:r>
        <w:t xml:space="preserve">Die Ansprüche, die sich aus den </w:t>
      </w:r>
      <w:hyperlink w:anchor="b1367" w:history="1">
        <w:r>
          <w:rPr>
            <w:color w:val="0A3A8C"/>
            <w:u w:val="single"/>
          </w:rPr>
          <w:t xml:space="preserve">§§ 907</w:t>
        </w:r>
      </w:hyperlink>
      <w:r>
        <w:t xml:space="preserve"> bis </w:t>
      </w:r>
      <w:hyperlink w:anchor="b1369" w:history="1">
        <w:r>
          <w:rPr>
            <w:color w:val="0A3A8C"/>
            <w:u w:val="single"/>
          </w:rPr>
          <w:t xml:space="preserve">909</w:t>
        </w:r>
      </w:hyperlink>
      <w:r>
        <w:t xml:space="preserve">, </w:t>
      </w:r>
      <w:hyperlink w:anchor="b1375" w:history="1">
        <w:r>
          <w:rPr>
            <w:color w:val="0A3A8C"/>
            <w:u w:val="single"/>
          </w:rPr>
          <w:t xml:space="preserve">915</w:t>
        </w:r>
      </w:hyperlink>
      <w:r>
        <w:t xml:space="preserve">, dem </w:t>
      </w:r>
      <w:hyperlink w:anchor="b1377" w:history="1">
        <w:r>
          <w:rPr>
            <w:color w:val="0A3A8C"/>
            <w:u w:val="single"/>
          </w:rPr>
          <w:t xml:space="preserve">§ 917</w:t>
        </w:r>
      </w:hyperlink>
      <w:r>
        <w:t xml:space="preserve"> Abs. 1, dem </w:t>
      </w:r>
      <w:hyperlink w:anchor="b1378" w:history="1">
        <w:r>
          <w:rPr>
            <w:color w:val="0A3A8C"/>
            <w:u w:val="single"/>
          </w:rPr>
          <w:t xml:space="preserve">§ 918</w:t>
        </w:r>
      </w:hyperlink>
      <w:r>
        <w:t xml:space="preserve"> Abs. 2, den </w:t>
      </w:r>
      <w:hyperlink w:anchor="b1379" w:history="1">
        <w:r>
          <w:rPr>
            <w:color w:val="0A3A8C"/>
            <w:u w:val="single"/>
          </w:rPr>
          <w:t xml:space="preserve">§§ 919</w:t>
        </w:r>
      </w:hyperlink>
      <w:r>
        <w:t xml:space="preserve">, </w:t>
      </w:r>
      <w:hyperlink w:anchor="b1380" w:history="1">
        <w:r>
          <w:rPr>
            <w:color w:val="0A3A8C"/>
            <w:u w:val="single"/>
          </w:rPr>
          <w:t xml:space="preserve">920</w:t>
        </w:r>
      </w:hyperlink>
      <w:r>
        <w:t xml:space="preserve"> und dem </w:t>
      </w:r>
      <w:hyperlink w:anchor="b1383" w:history="1">
        <w:r>
          <w:rPr>
            <w:color w:val="0A3A8C"/>
            <w:u w:val="single"/>
          </w:rPr>
          <w:t xml:space="preserve">§ 923</w:t>
        </w:r>
      </w:hyperlink>
      <w:r>
        <w:t xml:space="preserve"> Abs. 2 ergeben, unterliegen nicht der Verjährung.</w:t>
      </w:r>
    </w:p>
    <w:p>
      <w:pPr>
        <w:pStyle w:val="Heading3"/>
      </w:pPr>
      <w:bookmarkStart w:id="1400" w:name="b1385"/>
      <w:r>
        <w:t>Titel 2 Erwerb und Verlust des Eigentums an Grundstücken</w:t>
      </w:r>
      <w:bookmarkEnd w:id="1400"/>
    </w:p>
    <w:p>
      <w:pPr>
        <w:pStyle w:val="Heading4"/>
      </w:pPr>
      <w:bookmarkStart w:id="1401" w:name="b1386"/>
      <w:r>
        <w:t>§ 925 Auflassung</w:t>
      </w:r>
      <w:r>
        <w:t xml:space="preserve"> </w:t>
      </w:r>
      <w:r>
        <w:rPr>
          <w:rStyle w:val="Suchmarke"/>
        </w:rPr>
        <w:t>#925#</w:t>
      </w:r>
      <w:bookmarkEnd w:id="1401"/>
    </w:p>
    <w:p>
      <w:r>
        <w:t xml:space="preserve">(1) </w:t>
      </w:r>
      <w:r>
        <w:rPr>
          <w:rStyle w:val="Satznummer"/>
        </w:rPr>
        <w:t>1</w:t>
      </w:r>
      <w:r>
        <w:t xml:space="preserve">Die zur Übertragung des Eigentums an einem Grundstück nach </w:t>
      </w:r>
      <w:hyperlink w:anchor="b1331" w:history="1">
        <w:r>
          <w:rPr>
            <w:color w:val="0A3A8C"/>
            <w:u w:val="single"/>
          </w:rPr>
          <w:t xml:space="preserve">§ 873</w:t>
        </w:r>
      </w:hyperlink>
      <w:r>
        <w:t xml:space="preserve"> erforderliche Einigung des Veräußerers und des Erwerbers (Auflassung) muss bei gleichzeitiger Anwesenheit beider Teile vor einer zuständigen Stelle erklärt werden. </w:t>
      </w:r>
      <w:r>
        <w:rPr>
          <w:rStyle w:val="Satznummer"/>
        </w:rPr>
        <w:t>2</w:t>
      </w:r>
      <w:r>
        <w:t xml:space="preserve">Zur Entgegennahme der Auflassung ist, unbeschadet der Zuständigkeit weiterer Stellen, jeder Notar zuständig. </w:t>
      </w:r>
      <w:r>
        <w:rPr>
          <w:rStyle w:val="Satznummer"/>
        </w:rPr>
        <w:t>3</w:t>
      </w:r>
      <w:r>
        <w:t>Eine Auflassung kann auch in einem gerichtlichen Vergleich oder in einem rechtskräftig bestätigten Insolvenzplan oder Restrukturierungsplan erklärt werden.</w:t>
      </w:r>
    </w:p>
    <w:p>
      <w:r>
        <w:t>(2) Eine Auflassung, die unter einer Bedingung oder einer Zeitbestimmung erfolgt, ist unwirksam.</w:t>
      </w:r>
    </w:p>
    <w:p>
      <w:pPr>
        <w:pStyle w:val="Heading4"/>
      </w:pPr>
      <w:bookmarkStart w:id="1402" w:name="b1387"/>
      <w:r>
        <w:t>§ 925a Urkunde über Grundgeschäft</w:t>
      </w:r>
      <w:r>
        <w:t xml:space="preserve"> </w:t>
      </w:r>
      <w:r>
        <w:rPr>
          <w:rStyle w:val="Suchmarke"/>
        </w:rPr>
        <w:t>#925a#</w:t>
      </w:r>
      <w:bookmarkEnd w:id="1402"/>
    </w:p>
    <w:p>
      <w:r>
        <w:t xml:space="preserve">Die Erklärung einer Auflassung soll nur entgegengenommen werden, wenn die nach </w:t>
      </w:r>
      <w:hyperlink w:anchor="b366" w:history="1">
        <w:r>
          <w:rPr>
            <w:color w:val="0A3A8C"/>
            <w:u w:val="single"/>
          </w:rPr>
          <w:t xml:space="preserve">§ 311b</w:t>
        </w:r>
      </w:hyperlink>
      <w:r>
        <w:t xml:space="preserve"> Abs. 1 Satz 1 erforderliche Urkunde über den Vertrag vorgelegt oder gleichzeitig errichtet wird.</w:t>
      </w:r>
    </w:p>
    <w:p>
      <w:pPr>
        <w:pStyle w:val="Heading4"/>
      </w:pPr>
      <w:bookmarkStart w:id="1403" w:name="b1388"/>
      <w:r>
        <w:t>§ 926 Zubehör des Grundstücks</w:t>
      </w:r>
      <w:r>
        <w:t xml:space="preserve"> </w:t>
      </w:r>
      <w:r>
        <w:rPr>
          <w:rStyle w:val="Suchmarke"/>
        </w:rPr>
        <w:t>#926#</w:t>
      </w:r>
      <w:bookmarkEnd w:id="1403"/>
    </w:p>
    <w:p>
      <w:r>
        <w:t xml:space="preserve">(1) </w:t>
      </w:r>
      <w:r>
        <w:rPr>
          <w:rStyle w:val="Satznummer"/>
        </w:rPr>
        <w:t>1</w:t>
      </w:r>
      <w:r>
        <w:t xml:space="preserve">Sind der Veräußerer und der Erwerber darüber einig, dass sich die Veräußerung auf das Zubehör des Grundstücks erstrecken soll, so erlangt der Erwerber mit dem Eigentum an dem Grundstück auch das Eigentum an den zur Zeit des Erwerbs vorhandenen Zubehörstücken, soweit sie dem Veräußerer gehören. </w:t>
      </w:r>
      <w:r>
        <w:rPr>
          <w:rStyle w:val="Satznummer"/>
        </w:rPr>
        <w:t>2</w:t>
      </w:r>
      <w:r>
        <w:t>Im Zweifel ist anzunehmen, dass sich die Veräußerung auf das Zubehör erstrecken soll.</w:t>
      </w:r>
    </w:p>
    <w:p>
      <w:r>
        <w:t>(2) Erlangt der Erwerber auf Grund der Veräußerung den Besitz von Zubehörstücken, die dem Veräußerer nicht gehören oder mit Rechten Dritter belastet sind, so finden die Vorschriften der §§ 932 bis 936 Anwendung; für den guten Glauben des Erwerbers ist die Zeit der Erlangung des Besitzes maßgebend.</w:t>
      </w:r>
    </w:p>
    <w:p>
      <w:pPr>
        <w:pStyle w:val="Heading4"/>
      </w:pPr>
      <w:bookmarkStart w:id="1404" w:name="b1389"/>
      <w:r>
        <w:t>§ 927 Aufgebotsverfahren</w:t>
      </w:r>
      <w:r>
        <w:t xml:space="preserve"> </w:t>
      </w:r>
      <w:r>
        <w:rPr>
          <w:rStyle w:val="Suchmarke"/>
        </w:rPr>
        <w:t>#927#</w:t>
      </w:r>
      <w:bookmarkEnd w:id="1404"/>
    </w:p>
    <w:p>
      <w:r>
        <w:t xml:space="preserve">(1) </w:t>
      </w:r>
      <w:r>
        <w:rPr>
          <w:rStyle w:val="Satznummer"/>
        </w:rPr>
        <w:t>1</w:t>
      </w:r>
      <w:r>
        <w:t xml:space="preserve">Der Eigentümer eines Grundstücks kann, wenn das Grundstück seit 30 Jahren im Eigenbesitz eines anderen ist, im Wege des Aufgebotsverfahrens mit seinem Recht ausgeschlossen werden. </w:t>
      </w:r>
      <w:r>
        <w:rPr>
          <w:rStyle w:val="Satznummer"/>
        </w:rPr>
        <w:t>2</w:t>
      </w:r>
      <w:r>
        <w:t xml:space="preserve">Die Besitzzeit wird in gleicher Weise berechnet wie die Frist für die Ersitzung einer beweglichen Sache. </w:t>
      </w:r>
      <w:r>
        <w:rPr>
          <w:rStyle w:val="Satznummer"/>
        </w:rPr>
        <w:t>3</w:t>
      </w:r>
      <w:r>
        <w:t>Ist der Eigentümer im Grundbuch eingetragen, so ist das Aufgebotsverfahren nur zulässig, wenn er gestorben oder verschollen ist und eine Eintragung in das Grundbuch, die der Zustimmung des Eigentümers bedurfte, seit 30 Jahren nicht erfolgt ist.</w:t>
      </w:r>
    </w:p>
    <w:p>
      <w:r>
        <w:t>(2) Derjenige, welcher den Ausschließungsbeschluss erwirkt hat, erlangt das Eigentum dadurch, dass er sich als Eigentümer in das Grundbuch eintragen lässt.</w:t>
      </w:r>
    </w:p>
    <w:p>
      <w:r>
        <w:t>(3) Ist vor dem Erlass des Ausschließungsbeschlusses ein Dritter als Eigentümer oder wegen des Eigentums eines Dritten ein Widerspruch gegen die Richtigkeit des Grundbuchs eingetragen worden, so wirkt der Ausschließungsbeschluss nicht gegen den Dritten.</w:t>
      </w:r>
    </w:p>
    <w:p>
      <w:pPr>
        <w:pStyle w:val="Heading4"/>
      </w:pPr>
      <w:bookmarkStart w:id="1405" w:name="b1390"/>
      <w:r>
        <w:t>§ 928 Aufgabe des Eigentums, Aneignung des Fiskus</w:t>
      </w:r>
      <w:r>
        <w:t xml:space="preserve"> </w:t>
      </w:r>
      <w:r>
        <w:rPr>
          <w:rStyle w:val="Suchmarke"/>
        </w:rPr>
        <w:t>#928#</w:t>
      </w:r>
      <w:bookmarkEnd w:id="1405"/>
    </w:p>
    <w:p>
      <w:r>
        <w:t>(1) Das Eigentum an einem Grundstück kann dadurch aufgegeben werden, dass der Eigentümer den Verzicht dem Grundbuchamt gegenüber erklärt und der Verzicht in das Grundbuch eingetragen wird.</w:t>
      </w:r>
    </w:p>
    <w:p>
      <w:r>
        <w:t xml:space="preserve">(2) </w:t>
      </w:r>
      <w:r>
        <w:rPr>
          <w:rStyle w:val="Satznummer"/>
        </w:rPr>
        <w:t>1</w:t>
      </w:r>
      <w:r>
        <w:t xml:space="preserve">Das Recht zur Aneignung des aufgegebenen Grundstücks steht dem Fiskus des Landes zu, in dem das Grundstück liegt. </w:t>
      </w:r>
      <w:r>
        <w:rPr>
          <w:rStyle w:val="Satznummer"/>
        </w:rPr>
        <w:t>2</w:t>
      </w:r>
      <w:r>
        <w:t>Der Fiskus erwirbt das Eigentum dadurch, dass er sich als Eigentümer in das Grundbuch eintragen lässt.</w:t>
      </w:r>
    </w:p>
    <w:p>
      <w:pPr>
        <w:pStyle w:val="Heading3"/>
      </w:pPr>
      <w:bookmarkStart w:id="1406" w:name="b1391"/>
      <w:r>
        <w:t>Titel 3 Erwerb und Verlust des Eigentums an beweglichen Sachen</w:t>
      </w:r>
      <w:bookmarkEnd w:id="1406"/>
    </w:p>
    <w:p>
      <w:pPr>
        <w:pStyle w:val="Heading4"/>
      </w:pPr>
      <w:bookmarkStart w:id="1407" w:name="b1392"/>
      <w:r>
        <w:t>Untertitel 1 Übertragung</w:t>
      </w:r>
      <w:bookmarkEnd w:id="1407"/>
    </w:p>
    <w:p>
      <w:pPr>
        <w:pStyle w:val="Heading5"/>
      </w:pPr>
      <w:bookmarkStart w:id="1408" w:name="b1393"/>
      <w:r>
        <w:t>§ 929 Einigung und Übergabe</w:t>
      </w:r>
      <w:r>
        <w:t xml:space="preserve"> </w:t>
      </w:r>
      <w:r>
        <w:rPr>
          <w:rStyle w:val="Suchmarke"/>
        </w:rPr>
        <w:t>#929#</w:t>
      </w:r>
      <w:bookmarkEnd w:id="1408"/>
    </w:p>
    <w:p>
      <w:r>
        <w:rPr>
          <w:rStyle w:val="Satznummer"/>
        </w:rPr>
        <w:t>1</w:t>
      </w:r>
      <w:r>
        <w:t xml:space="preserve">Zur Übertragung des Eigentums an einer beweglichen Sache ist erforderlich, dass der Eigentümer die Sache dem Erwerber übergibt und beide darüber einig sind, dass das Eigentum übergehen soll. </w:t>
      </w:r>
      <w:r>
        <w:rPr>
          <w:rStyle w:val="Satznummer"/>
        </w:rPr>
        <w:t>2</w:t>
      </w:r>
      <w:r>
        <w:t>Ist der Erwerber im Besitz der Sache, so genügt die Einigung über den Übergang des Eigentums.</w:t>
      </w:r>
    </w:p>
    <w:p>
      <w:pPr>
        <w:pStyle w:val="Heading5"/>
      </w:pPr>
      <w:bookmarkStart w:id="1409" w:name="b1394"/>
      <w:r>
        <w:t>§ 929a Einigung bei nicht eingetragenem Seeschiff</w:t>
      </w:r>
      <w:r>
        <w:t xml:space="preserve"> </w:t>
      </w:r>
      <w:r>
        <w:rPr>
          <w:rStyle w:val="Suchmarke"/>
        </w:rPr>
        <w:t>#929a#</w:t>
      </w:r>
      <w:bookmarkEnd w:id="1409"/>
    </w:p>
    <w:p>
      <w:r>
        <w:t>(1) Zur Übertragung des Eigentums an einem Seeschiff, das nicht im Schiffsregister eingetragen ist, oder an einem Anteil an einem solchen Schiff ist die Übergabe nicht erforderlich, wenn der Eigentümer und der Erwerber darüber einig sind, dass das Eigentum sofort übergehen soll.</w:t>
      </w:r>
    </w:p>
    <w:p>
      <w:r>
        <w:t>(2) Jeder Teil kann verlangen, dass ihm auf seine Kosten eine öffentlich beglaubigte Urkunde über die Veräußerung erteilt wird.</w:t>
      </w:r>
    </w:p>
    <w:p>
      <w:pPr>
        <w:pStyle w:val="Heading5"/>
      </w:pPr>
      <w:bookmarkStart w:id="1410" w:name="b1395"/>
      <w:r>
        <w:t>§ 930 Besitzkonstitut</w:t>
      </w:r>
      <w:r>
        <w:t xml:space="preserve"> </w:t>
      </w:r>
      <w:r>
        <w:rPr>
          <w:rStyle w:val="Suchmarke"/>
        </w:rPr>
        <w:t>#930#</w:t>
      </w:r>
      <w:bookmarkEnd w:id="1410"/>
    </w:p>
    <w:p>
      <w:r>
        <w:t>Ist der Eigentümer im Besitz der Sache, so kann die Übergabe dadurch ersetzt werden, dass zwischen ihm und dem Erwerber ein Rechtsverhältnis vereinbart wird, vermöge dessen der Erwerber den mittelbaren Besitz erlangt.</w:t>
      </w:r>
    </w:p>
    <w:p>
      <w:pPr>
        <w:pStyle w:val="Heading5"/>
      </w:pPr>
      <w:bookmarkStart w:id="1411" w:name="b1396"/>
      <w:r>
        <w:t>§ 931 Abtretung des Herausgabeanspruchs</w:t>
      </w:r>
      <w:r>
        <w:t xml:space="preserve"> </w:t>
      </w:r>
      <w:r>
        <w:rPr>
          <w:rStyle w:val="Suchmarke"/>
        </w:rPr>
        <w:t>#931#</w:t>
      </w:r>
      <w:bookmarkEnd w:id="1411"/>
    </w:p>
    <w:p>
      <w:r>
        <w:t>Ist ein Dritter im Besitz der Sache, so kann die Übergabe dadurch ersetzt werden, dass der Eigentümer dem Erwerber den Anspruch auf Herausgabe der Sache abtritt.</w:t>
      </w:r>
    </w:p>
    <w:p>
      <w:pPr>
        <w:pStyle w:val="Heading5"/>
      </w:pPr>
      <w:bookmarkStart w:id="1412" w:name="b1397"/>
      <w:r>
        <w:t>§ 932 Gutgläubiger Erwerb vom Nichtberechtigten</w:t>
      </w:r>
      <w:r>
        <w:t xml:space="preserve"> </w:t>
      </w:r>
      <w:r>
        <w:rPr>
          <w:rStyle w:val="Suchmarke"/>
        </w:rPr>
        <w:t>#932#</w:t>
      </w:r>
      <w:bookmarkEnd w:id="1412"/>
    </w:p>
    <w:p>
      <w:r>
        <w:t xml:space="preserve">(1) </w:t>
      </w:r>
      <w:r>
        <w:rPr>
          <w:rStyle w:val="Satznummer"/>
        </w:rPr>
        <w:t>1</w:t>
      </w:r>
      <w:r>
        <w:t xml:space="preserve">Durch eine nach </w:t>
      </w:r>
      <w:hyperlink w:anchor="b1393" w:history="1">
        <w:r>
          <w:rPr>
            <w:color w:val="0A3A8C"/>
            <w:u w:val="single"/>
          </w:rPr>
          <w:t xml:space="preserve">§ 929</w:t>
        </w:r>
      </w:hyperlink>
      <w:r>
        <w:t xml:space="preserve"> erfolgte Veräußerung wird der Erwerber auch dann Eigentümer, wenn die Sache nicht dem Veräußerer gehört, es sei denn, dass er zu der Zeit, zu der er nach diesen Vorschriften das Eigentum erwerben würde, nicht in gutem Glauben ist. </w:t>
      </w:r>
      <w:r>
        <w:rPr>
          <w:rStyle w:val="Satznummer"/>
        </w:rPr>
        <w:t>2</w:t>
      </w:r>
      <w:r>
        <w:t xml:space="preserve">In dem Falle des </w:t>
      </w:r>
      <w:hyperlink w:anchor="b1393" w:history="1">
        <w:r>
          <w:rPr>
            <w:color w:val="0A3A8C"/>
            <w:u w:val="single"/>
          </w:rPr>
          <w:t xml:space="preserve">§ 929</w:t>
        </w:r>
      </w:hyperlink>
      <w:r>
        <w:t xml:space="preserve"> Satz 2 gilt dies jedoch nur dann, wenn der Erwerber den Besitz von dem Veräußerer erlangt hatte.</w:t>
      </w:r>
    </w:p>
    <w:p>
      <w:r>
        <w:t>(2) Der Erwerber ist nicht in gutem Glauben, wenn ihm bekannt oder infolge grober Fahrlässigkeit unbekannt ist, dass die Sache nicht dem Veräußerer gehört.</w:t>
      </w:r>
    </w:p>
    <w:p>
      <w:pPr>
        <w:pStyle w:val="Heading5"/>
      </w:pPr>
      <w:bookmarkStart w:id="1413" w:name="b1398"/>
      <w:r>
        <w:t>§ 932a Gutgläubiger Erwerb nicht eingetragener Seeschiffe</w:t>
      </w:r>
      <w:r>
        <w:t xml:space="preserve"> </w:t>
      </w:r>
      <w:r>
        <w:rPr>
          <w:rStyle w:val="Suchmarke"/>
        </w:rPr>
        <w:t>#932a#</w:t>
      </w:r>
      <w:bookmarkEnd w:id="1413"/>
    </w:p>
    <w:p>
      <w:r>
        <w:t xml:space="preserve">Gehört ein nach </w:t>
      </w:r>
      <w:hyperlink w:anchor="b1394" w:history="1">
        <w:r>
          <w:rPr>
            <w:color w:val="0A3A8C"/>
            <w:u w:val="single"/>
          </w:rPr>
          <w:t xml:space="preserve">§ 929a</w:t>
        </w:r>
      </w:hyperlink>
      <w:r>
        <w:t xml:space="preserve"> veräußertes Schiff nicht dem Veräußerer, so wird der Erwerber Eigentümer, wenn ihm das Schiff vom Veräußerer übergeben wird, es sei denn, dass er zu dieser Zeit nicht in gutem Glauben ist; ist ein Anteil an einem Schiff Gegenstand der Veräußerung, so tritt an die Stelle der Übergabe die Einräumung des Mitbesitzes an dem Schiff.</w:t>
      </w:r>
    </w:p>
    <w:p>
      <w:pPr>
        <w:pStyle w:val="Heading5"/>
      </w:pPr>
      <w:bookmarkStart w:id="1414" w:name="b1399"/>
      <w:r>
        <w:t>§ 933 Gutgläubiger Erwerb bei Besitzkonstitut</w:t>
      </w:r>
      <w:r>
        <w:t xml:space="preserve"> </w:t>
      </w:r>
      <w:r>
        <w:rPr>
          <w:rStyle w:val="Suchmarke"/>
        </w:rPr>
        <w:t>#933#</w:t>
      </w:r>
      <w:bookmarkEnd w:id="1414"/>
    </w:p>
    <w:p>
      <w:r>
        <w:t xml:space="preserve">Gehört eine nach </w:t>
      </w:r>
      <w:hyperlink w:anchor="b1395" w:history="1">
        <w:r>
          <w:rPr>
            <w:color w:val="0A3A8C"/>
            <w:u w:val="single"/>
          </w:rPr>
          <w:t xml:space="preserve">§ 930</w:t>
        </w:r>
      </w:hyperlink>
      <w:r>
        <w:t xml:space="preserve"> veräußerte Sache nicht dem Veräußerer, so wird der Erwerber Eigentümer, wenn ihm die Sache von dem Veräußerer übergeben wird, es sei denn, dass er zu dieser Zeit nicht in gutem Glauben ist.</w:t>
      </w:r>
    </w:p>
    <w:p>
      <w:pPr>
        <w:pStyle w:val="Heading5"/>
      </w:pPr>
      <w:bookmarkStart w:id="1415" w:name="b1400"/>
      <w:r>
        <w:t>§ 934 Gutgläubiger Erwerb bei Abtretung des Herausgabeanspruchs</w:t>
      </w:r>
      <w:r>
        <w:t xml:space="preserve"> </w:t>
      </w:r>
      <w:r>
        <w:rPr>
          <w:rStyle w:val="Suchmarke"/>
        </w:rPr>
        <w:t>#934#</w:t>
      </w:r>
      <w:bookmarkEnd w:id="1415"/>
    </w:p>
    <w:p>
      <w:r>
        <w:t xml:space="preserve">Gehört eine nach </w:t>
      </w:r>
      <w:hyperlink w:anchor="b1396" w:history="1">
        <w:r>
          <w:rPr>
            <w:color w:val="0A3A8C"/>
            <w:u w:val="single"/>
          </w:rPr>
          <w:t xml:space="preserve">§ 931</w:t>
        </w:r>
      </w:hyperlink>
      <w:r>
        <w:t xml:space="preserve"> veräußerte Sache nicht dem Veräußerer, so wird der Erwerber, wenn der Veräußerer mittelbarer Besitzer der Sache ist, mit der Abtretung des Anspruchs, anderenfalls dann Eigentümer, wenn er den Besitz der Sache von dem Dritten erlangt, es sei denn, dass er zur Zeit der Abtretung oder des Besitzerwerbs nicht in gutem Glauben ist.</w:t>
      </w:r>
    </w:p>
    <w:p>
      <w:pPr>
        <w:pStyle w:val="Heading5"/>
      </w:pPr>
      <w:bookmarkStart w:id="1416" w:name="b1401"/>
      <w:r>
        <w:t>§ 935 Kein gutgläubiger Erwerb von abhanden gekommenen Sachen</w:t>
      </w:r>
      <w:r>
        <w:t xml:space="preserve"> </w:t>
      </w:r>
      <w:r>
        <w:rPr>
          <w:rStyle w:val="Suchmarke"/>
        </w:rPr>
        <w:t>#935#</w:t>
      </w:r>
      <w:bookmarkEnd w:id="1416"/>
    </w:p>
    <w:p>
      <w:r>
        <w:t xml:space="preserve">(1) </w:t>
      </w:r>
      <w:r>
        <w:rPr>
          <w:rStyle w:val="Satznummer"/>
        </w:rPr>
        <w:t>1</w:t>
      </w:r>
      <w:r>
        <w:t xml:space="preserve">Der Erwerb des Eigentums auf Grund der </w:t>
      </w:r>
      <w:hyperlink w:anchor="b1397" w:history="1">
        <w:r>
          <w:rPr>
            <w:color w:val="0A3A8C"/>
            <w:u w:val="single"/>
          </w:rPr>
          <w:t xml:space="preserve">§§ 932</w:t>
        </w:r>
      </w:hyperlink>
      <w:r>
        <w:t xml:space="preserve"> bis </w:t>
      </w:r>
      <w:hyperlink w:anchor="b1400" w:history="1">
        <w:r>
          <w:rPr>
            <w:color w:val="0A3A8C"/>
            <w:u w:val="single"/>
          </w:rPr>
          <w:t xml:space="preserve">934</w:t>
        </w:r>
      </w:hyperlink>
      <w:r>
        <w:t xml:space="preserve"> tritt nicht ein, wenn die Sache dem Eigentümer gestohlen worden, verloren gegangen oder sonst abhanden gekommen war. </w:t>
      </w:r>
      <w:r>
        <w:rPr>
          <w:rStyle w:val="Satznummer"/>
        </w:rPr>
        <w:t>2</w:t>
      </w:r>
      <w:r>
        <w:t>Das Gleiche gilt, falls der Eigentümer nur mittelbarer Besitzer war, dann, wenn die Sache dem Besitzer abhanden gekommen war.</w:t>
      </w:r>
    </w:p>
    <w:p>
      <w:r>
        <w:t xml:space="preserve">(2) Diese Vorschriften finden keine Anwendung auf Geld oder Inhaberpapiere sowie auf Sachen, die im Wege öffentlicher Versteigerung oder in einer Versteigerung nach </w:t>
      </w:r>
      <w:hyperlink w:anchor="b1450" w:history="1">
        <w:r>
          <w:rPr>
            <w:color w:val="0A3A8C"/>
            <w:u w:val="single"/>
          </w:rPr>
          <w:t xml:space="preserve">§ 979</w:t>
        </w:r>
      </w:hyperlink>
      <w:r>
        <w:t xml:space="preserve"> Absatz 1a veräußert werden.</w:t>
      </w:r>
    </w:p>
    <w:p>
      <w:pPr>
        <w:pStyle w:val="Heading5"/>
      </w:pPr>
      <w:bookmarkStart w:id="1417" w:name="b1402"/>
      <w:r>
        <w:t>§ 936 Erlöschen von Rechten Dritter</w:t>
      </w:r>
      <w:r>
        <w:t xml:space="preserve"> </w:t>
      </w:r>
      <w:r>
        <w:rPr>
          <w:rStyle w:val="Suchmarke"/>
        </w:rPr>
        <w:t>#936#</w:t>
      </w:r>
      <w:bookmarkEnd w:id="1417"/>
    </w:p>
    <w:p>
      <w:r>
        <w:t xml:space="preserve">(1) </w:t>
      </w:r>
      <w:r>
        <w:rPr>
          <w:rStyle w:val="Satznummer"/>
        </w:rPr>
        <w:t>1</w:t>
      </w:r>
      <w:r>
        <w:t xml:space="preserve">Ist eine veräußerte Sache mit dem Recht eines Dritten belastet, so erlischt das Recht mit dem Erwerb des Eigentums. </w:t>
      </w:r>
      <w:r>
        <w:rPr>
          <w:rStyle w:val="Satznummer"/>
        </w:rPr>
        <w:t>2</w:t>
      </w:r>
      <w:r>
        <w:t xml:space="preserve">In dem Falle des </w:t>
      </w:r>
      <w:hyperlink w:anchor="b1393" w:history="1">
        <w:r>
          <w:rPr>
            <w:color w:val="0A3A8C"/>
            <w:u w:val="single"/>
          </w:rPr>
          <w:t xml:space="preserve">§ 929</w:t>
        </w:r>
      </w:hyperlink>
      <w:r>
        <w:t xml:space="preserve"> Satz 2 gilt dies jedoch nur dann, wenn der Erwerber den Besitz von dem Veräußerer erlangt hatte. </w:t>
      </w:r>
      <w:r>
        <w:rPr>
          <w:rStyle w:val="Satznummer"/>
        </w:rPr>
        <w:t>3</w:t>
      </w:r>
      <w:r>
        <w:t xml:space="preserve">Erfolgt die Veräußerung nach </w:t>
      </w:r>
      <w:hyperlink w:anchor="b1394" w:history="1">
        <w:r>
          <w:rPr>
            <w:color w:val="0A3A8C"/>
            <w:u w:val="single"/>
          </w:rPr>
          <w:t xml:space="preserve">§ 929a</w:t>
        </w:r>
      </w:hyperlink>
      <w:r>
        <w:t xml:space="preserve"> oder </w:t>
      </w:r>
      <w:hyperlink w:anchor="b1395" w:history="1">
        <w:r>
          <w:rPr>
            <w:color w:val="0A3A8C"/>
            <w:u w:val="single"/>
          </w:rPr>
          <w:t xml:space="preserve">§ 930</w:t>
        </w:r>
      </w:hyperlink>
      <w:r>
        <w:t xml:space="preserve"> oder war die nach </w:t>
      </w:r>
      <w:hyperlink w:anchor="b1396" w:history="1">
        <w:r>
          <w:rPr>
            <w:color w:val="0A3A8C"/>
            <w:u w:val="single"/>
          </w:rPr>
          <w:t xml:space="preserve">§ 931</w:t>
        </w:r>
      </w:hyperlink>
      <w:r>
        <w:t xml:space="preserve"> veräußerte Sache nicht im mittelbaren Besitz des Veräußerers, so erlischt das Recht des Dritten erst dann, wenn der Erwerber auf Grund der Veräußerung den Besitz der Sache erlangt.</w:t>
      </w:r>
    </w:p>
    <w:p>
      <w:r>
        <w:t>(2) Das Recht des Dritten erlischt nicht, wenn der Erwerber zu der nach Absatz 1 maßgebenden Zeit in Ansehung des Rechts nicht in gutem Glauben ist.</w:t>
      </w:r>
    </w:p>
    <w:p>
      <w:r>
        <w:t xml:space="preserve">(3) Steht im Falle des </w:t>
      </w:r>
      <w:hyperlink w:anchor="b1396" w:history="1">
        <w:r>
          <w:rPr>
            <w:color w:val="0A3A8C"/>
            <w:u w:val="single"/>
          </w:rPr>
          <w:t xml:space="preserve">§ 931</w:t>
        </w:r>
      </w:hyperlink>
      <w:r>
        <w:t xml:space="preserve"> das Recht dem dritten Besitzer zu, so erlischt es auch dem gutgläubigen Erwerber gegenüber nicht.</w:t>
      </w:r>
    </w:p>
    <w:p>
      <w:pPr>
        <w:pStyle w:val="Heading4"/>
      </w:pPr>
      <w:bookmarkStart w:id="1418" w:name="b1403"/>
      <w:r>
        <w:t>Untertitel 2 Ersitzung</w:t>
      </w:r>
      <w:bookmarkEnd w:id="1418"/>
    </w:p>
    <w:p>
      <w:pPr>
        <w:pStyle w:val="Heading5"/>
      </w:pPr>
      <w:bookmarkStart w:id="1419" w:name="b1404"/>
      <w:r>
        <w:t>§ 937 Voraussetzungen, Ausschluss bei Kenntnis</w:t>
      </w:r>
      <w:r>
        <w:t xml:space="preserve"> </w:t>
      </w:r>
      <w:r>
        <w:rPr>
          <w:rStyle w:val="Suchmarke"/>
        </w:rPr>
        <w:t>#937#</w:t>
      </w:r>
      <w:bookmarkEnd w:id="1419"/>
    </w:p>
    <w:p>
      <w:r>
        <w:t>(1) Wer eine bewegliche Sache zehn Jahre im Eigenbesitz hat, erwirbt das Eigentum (Ersitzung).</w:t>
      </w:r>
    </w:p>
    <w:p>
      <w:r>
        <w:t>(2) Die Ersitzung ist ausgeschlossen, wenn der Erwerber bei dem Erwerb des Eigenbesitzes nicht in gutem Glauben ist oder wenn er später erfährt, dass ihm das Eigentum nicht zusteht.</w:t>
      </w:r>
    </w:p>
    <w:p>
      <w:pPr>
        <w:pStyle w:val="Heading5"/>
      </w:pPr>
      <w:bookmarkStart w:id="1420" w:name="b1405"/>
      <w:r>
        <w:t>§ 938 Vermutung des Eigenbesitzes</w:t>
      </w:r>
      <w:r>
        <w:t xml:space="preserve"> </w:t>
      </w:r>
      <w:r>
        <w:rPr>
          <w:rStyle w:val="Suchmarke"/>
        </w:rPr>
        <w:t>#938#</w:t>
      </w:r>
      <w:bookmarkEnd w:id="1420"/>
    </w:p>
    <w:p>
      <w:r>
        <w:t>Hat jemand eine Sache am Anfang und am Ende eines Zeitraums im Eigenbesitz gehabt, so wird vermutet, dass sein Eigenbesitz auch in der Zwischenzeit bestanden habe.</w:t>
      </w:r>
    </w:p>
    <w:p>
      <w:pPr>
        <w:pStyle w:val="Heading5"/>
      </w:pPr>
      <w:bookmarkStart w:id="1421" w:name="b1406"/>
      <w:r>
        <w:t>§ 939 Hemmung der Ersitzung</w:t>
      </w:r>
      <w:r>
        <w:t xml:space="preserve"> </w:t>
      </w:r>
      <w:r>
        <w:rPr>
          <w:rStyle w:val="Suchmarke"/>
        </w:rPr>
        <w:t>#939#</w:t>
      </w:r>
      <w:bookmarkEnd w:id="1421"/>
    </w:p>
    <w:p>
      <w:r>
        <w:t xml:space="preserve">(1) </w:t>
      </w:r>
      <w:r>
        <w:rPr>
          <w:rStyle w:val="Satznummer"/>
        </w:rPr>
        <w:t>1</w:t>
      </w:r>
      <w:r>
        <w:t xml:space="preserve">Die Ersitzung ist gehemmt, wenn der Herausgabeanspruch gegen den Eigenbesitzer oder im Falle eines mittelbaren Eigenbesitzes gegen den Besitzer, der sein Recht zum Besitz von dem Eigenbesitzer ableitet, in einer nach den §§ 203 und 204 zur Hemmung der Verjährung geeigneten Weise geltend gemacht wird. </w:t>
      </w:r>
      <w:r>
        <w:rPr>
          <w:rStyle w:val="Satznummer"/>
        </w:rPr>
        <w:t>2</w:t>
      </w:r>
      <w:r>
        <w:t>Die Hemmung tritt jedoch nur zugunsten desjenigen ein, welcher sie herbeiführt.</w:t>
      </w:r>
    </w:p>
    <w:p>
      <w:r>
        <w:t xml:space="preserve">(2) Die Ersitzung ist ferner gehemmt, solange die Verjährung des Herausgabeanspruchs nach den </w:t>
      </w:r>
      <w:hyperlink w:anchor="b245" w:history="1">
        <w:r>
          <w:rPr>
            <w:color w:val="0A3A8C"/>
            <w:u w:val="single"/>
          </w:rPr>
          <w:t xml:space="preserve">§§ 205</w:t>
        </w:r>
      </w:hyperlink>
      <w:r>
        <w:t xml:space="preserve"> bis </w:t>
      </w:r>
      <w:hyperlink w:anchor="b247" w:history="1">
        <w:r>
          <w:rPr>
            <w:color w:val="0A3A8C"/>
            <w:u w:val="single"/>
          </w:rPr>
          <w:t xml:space="preserve">207</w:t>
        </w:r>
      </w:hyperlink>
      <w:r>
        <w:t xml:space="preserve"> oder ihr Ablauf nach den </w:t>
      </w:r>
      <w:hyperlink w:anchor="b250" w:history="1">
        <w:r>
          <w:rPr>
            <w:color w:val="0A3A8C"/>
            <w:u w:val="single"/>
          </w:rPr>
          <w:t xml:space="preserve">§§ 210</w:t>
        </w:r>
      </w:hyperlink>
      <w:r>
        <w:t xml:space="preserve"> und </w:t>
      </w:r>
      <w:hyperlink w:anchor="b251" w:history="1">
        <w:r>
          <w:rPr>
            <w:color w:val="0A3A8C"/>
            <w:u w:val="single"/>
          </w:rPr>
          <w:t xml:space="preserve">211</w:t>
        </w:r>
      </w:hyperlink>
      <w:r>
        <w:t xml:space="preserve"> gehemmt ist.</w:t>
      </w:r>
    </w:p>
    <w:p>
      <w:pPr>
        <w:pStyle w:val="Heading5"/>
      </w:pPr>
      <w:bookmarkStart w:id="1422" w:name="b1407"/>
      <w:r>
        <w:t>§ 940 Unterbrechung durch Besitzverlust</w:t>
      </w:r>
      <w:r>
        <w:t xml:space="preserve"> </w:t>
      </w:r>
      <w:r>
        <w:rPr>
          <w:rStyle w:val="Suchmarke"/>
        </w:rPr>
        <w:t>#940#</w:t>
      </w:r>
      <w:bookmarkEnd w:id="1422"/>
    </w:p>
    <w:p>
      <w:r>
        <w:t>(1) Die Ersitzung wird durch den Verlust des Eigenbesitzes unterbrochen.</w:t>
      </w:r>
    </w:p>
    <w:p>
      <w:r>
        <w:t>(2) Die Unterbrechung gilt als nicht erfolgt, wenn der Eigenbesitzer den Eigenbesitz ohne seinen Willen verloren und ihn binnen Jahresfrist oder mittels einer innerhalb dieser Frist erhobenen Klage wiedererlangt hat.</w:t>
      </w:r>
    </w:p>
    <w:p>
      <w:pPr>
        <w:pStyle w:val="Heading5"/>
      </w:pPr>
      <w:bookmarkStart w:id="1423" w:name="b1408"/>
      <w:r>
        <w:t>§ 941 Unterbrechung durch Vollstreckungshandlung</w:t>
      </w:r>
      <w:r>
        <w:t xml:space="preserve"> </w:t>
      </w:r>
      <w:r>
        <w:rPr>
          <w:rStyle w:val="Suchmarke"/>
        </w:rPr>
        <w:t>#941#</w:t>
      </w:r>
      <w:bookmarkEnd w:id="1423"/>
    </w:p>
    <w:p>
      <w:r>
        <w:rPr>
          <w:rStyle w:val="Satznummer"/>
        </w:rPr>
        <w:t>1</w:t>
      </w:r>
      <w:r>
        <w:t xml:space="preserve">Die Ersitzung wird durch Vornahme oder Beantragung einer gerichtlichen oder behördlichen Vollstreckungshandlung unterbrochen. </w:t>
      </w:r>
      <w:r>
        <w:rPr>
          <w:rStyle w:val="Satznummer"/>
        </w:rPr>
        <w:t>2</w:t>
      </w:r>
      <w:hyperlink w:anchor="b252" w:history="1">
        <w:r>
          <w:rPr>
            <w:color w:val="0A3A8C"/>
            <w:u w:val="single"/>
          </w:rPr>
          <w:t xml:space="preserve">§ 212</w:t>
        </w:r>
      </w:hyperlink>
      <w:r>
        <w:t xml:space="preserve"> Abs. 2 und 3 gilt entsprechend.</w:t>
      </w:r>
    </w:p>
    <w:p>
      <w:pPr>
        <w:pStyle w:val="Heading5"/>
      </w:pPr>
      <w:bookmarkStart w:id="1424" w:name="b1409"/>
      <w:r>
        <w:t>§ 942 Wirkung der Unterbrechung</w:t>
      </w:r>
      <w:r>
        <w:t xml:space="preserve"> </w:t>
      </w:r>
      <w:r>
        <w:rPr>
          <w:rStyle w:val="Suchmarke"/>
        </w:rPr>
        <w:t>#942#</w:t>
      </w:r>
      <w:bookmarkEnd w:id="1424"/>
    </w:p>
    <w:p>
      <w:r>
        <w:t>Wird die Ersitzung unterbrochen, so kommt die bis zur Unterbrechung verstrichene Zeit nicht in Betracht; eine neue Ersitzung kann erst nach der Beendigung der Unterbrechung beginnen.</w:t>
      </w:r>
    </w:p>
    <w:p>
      <w:pPr>
        <w:pStyle w:val="Heading5"/>
      </w:pPr>
      <w:bookmarkStart w:id="1425" w:name="b1410"/>
      <w:r>
        <w:t>§ 943 Ersitzung bei Rechtsnachfolge</w:t>
      </w:r>
      <w:r>
        <w:t xml:space="preserve"> </w:t>
      </w:r>
      <w:r>
        <w:rPr>
          <w:rStyle w:val="Suchmarke"/>
        </w:rPr>
        <w:t>#943#</w:t>
      </w:r>
      <w:bookmarkEnd w:id="1425"/>
    </w:p>
    <w:p>
      <w:r>
        <w:t>Gelangt die Sache durch Rechtsnachfolge in den Eigenbesitz eines Dritten, so kommt die während des Besitzes des Rechtsvorgängers verstrichene Ersitzungszeit dem Dritten zugute.</w:t>
      </w:r>
    </w:p>
    <w:p>
      <w:pPr>
        <w:pStyle w:val="Heading5"/>
      </w:pPr>
      <w:bookmarkStart w:id="1426" w:name="b1411"/>
      <w:r>
        <w:t>§ 944 Erbschaftsbesitzer</w:t>
      </w:r>
      <w:r>
        <w:t xml:space="preserve"> </w:t>
      </w:r>
      <w:r>
        <w:rPr>
          <w:rStyle w:val="Suchmarke"/>
        </w:rPr>
        <w:t>#944#</w:t>
      </w:r>
      <w:bookmarkEnd w:id="1426"/>
    </w:p>
    <w:p>
      <w:r>
        <w:t>Die Ersitzungszeit, die zugunsten eines Erbschaftsbesitzers verstrichen ist, kommt dem Erben zustatten.</w:t>
      </w:r>
    </w:p>
    <w:p>
      <w:pPr>
        <w:pStyle w:val="Heading5"/>
      </w:pPr>
      <w:bookmarkStart w:id="1427" w:name="b1412"/>
      <w:r>
        <w:t>§ 945 Erlöschen von Rechten Dritter</w:t>
      </w:r>
      <w:r>
        <w:t xml:space="preserve"> </w:t>
      </w:r>
      <w:r>
        <w:rPr>
          <w:rStyle w:val="Suchmarke"/>
        </w:rPr>
        <w:t>#945#</w:t>
      </w:r>
      <w:bookmarkEnd w:id="1427"/>
    </w:p>
    <w:p>
      <w:r>
        <w:rPr>
          <w:rStyle w:val="Satznummer"/>
        </w:rPr>
        <w:t>1</w:t>
      </w:r>
      <w:r>
        <w:t xml:space="preserve">Mit dem Erwerb des Eigentums durch Ersitzung erlöschen die an der Sache vor dem Erwerb des Eigenbesitzes begründeten Rechte Dritter, es sei denn, dass der Eigenbesitzer bei dem Erwerb des Eigenbesitzes in Ansehung dieser Rechte nicht in gutem Glauben ist oder ihr Bestehen später erfährt. </w:t>
      </w:r>
      <w:r>
        <w:rPr>
          <w:rStyle w:val="Satznummer"/>
        </w:rPr>
        <w:t>2</w:t>
      </w:r>
      <w:r>
        <w:t xml:space="preserve">Die Ersitzungsfrist muss auch in Ansehung des Rechts des Dritten verstrichen sein; die Vorschriften der </w:t>
      </w:r>
      <w:hyperlink w:anchor="b1406" w:history="1">
        <w:r>
          <w:rPr>
            <w:color w:val="0A3A8C"/>
            <w:u w:val="single"/>
          </w:rPr>
          <w:t xml:space="preserve">§§ 939</w:t>
        </w:r>
      </w:hyperlink>
      <w:r>
        <w:t xml:space="preserve"> bis </w:t>
      </w:r>
      <w:hyperlink w:anchor="b1411" w:history="1">
        <w:r>
          <w:rPr>
            <w:color w:val="0A3A8C"/>
            <w:u w:val="single"/>
          </w:rPr>
          <w:t xml:space="preserve">944</w:t>
        </w:r>
      </w:hyperlink>
      <w:r>
        <w:t xml:space="preserve"> finden entsprechende Anwendung.</w:t>
      </w:r>
    </w:p>
    <w:p>
      <w:pPr>
        <w:pStyle w:val="Heading4"/>
      </w:pPr>
      <w:bookmarkStart w:id="1428" w:name="b1413"/>
      <w:r>
        <w:t>Untertitel 3 Verbindung, Vermischung, Verarbeitung</w:t>
      </w:r>
      <w:bookmarkEnd w:id="1428"/>
    </w:p>
    <w:p>
      <w:pPr>
        <w:pStyle w:val="Heading5"/>
      </w:pPr>
      <w:bookmarkStart w:id="1429" w:name="b1414"/>
      <w:r>
        <w:t>§ 946 Verbindung mit einem Grundstück</w:t>
      </w:r>
      <w:r>
        <w:t xml:space="preserve"> </w:t>
      </w:r>
      <w:r>
        <w:rPr>
          <w:rStyle w:val="Suchmarke"/>
        </w:rPr>
        <w:t>#946#</w:t>
      </w:r>
      <w:bookmarkEnd w:id="1429"/>
    </w:p>
    <w:p>
      <w:r>
        <w:t>Wird eine bewegliche Sache mit einem Grundstück dergestalt verbunden, dass sie wesentlicher Bestandteil des Grundstücks wird, so erstreckt sich das Eigentum an dem Grundstück auf diese Sache.</w:t>
      </w:r>
    </w:p>
    <w:p>
      <w:pPr>
        <w:pStyle w:val="Heading5"/>
      </w:pPr>
      <w:bookmarkStart w:id="1430" w:name="b1415"/>
      <w:r>
        <w:t>§ 947 Verbindung mit beweglichen Sachen</w:t>
      </w:r>
      <w:r>
        <w:t xml:space="preserve"> </w:t>
      </w:r>
      <w:r>
        <w:rPr>
          <w:rStyle w:val="Suchmarke"/>
        </w:rPr>
        <w:t>#947#</w:t>
      </w:r>
      <w:bookmarkEnd w:id="1430"/>
    </w:p>
    <w:p>
      <w:r>
        <w:t>(1) Werden bewegliche Sachen miteinander dergestalt verbunden, dass sie wesentliche Bestandteile einer einheitlichen Sache werden, so werden die bisherigen Eigentümer Miteigentümer dieser Sache; die Anteile bestimmen sich nach dem Verhältnis des Wertes, den die Sachen zur Zeit der Verbindung haben.</w:t>
      </w:r>
    </w:p>
    <w:p>
      <w:r>
        <w:t>(2) Ist eine der Sachen als die Hauptsache anzusehen, so erwirbt ihr Eigentümer das Alleineigentum.</w:t>
      </w:r>
    </w:p>
    <w:p>
      <w:pPr>
        <w:pStyle w:val="Heading5"/>
      </w:pPr>
      <w:bookmarkStart w:id="1431" w:name="b1416"/>
      <w:r>
        <w:t>§ 948 Vermischung</w:t>
      </w:r>
      <w:r>
        <w:t xml:space="preserve"> </w:t>
      </w:r>
      <w:r>
        <w:rPr>
          <w:rStyle w:val="Suchmarke"/>
        </w:rPr>
        <w:t>#948#</w:t>
      </w:r>
      <w:bookmarkEnd w:id="1431"/>
    </w:p>
    <w:p>
      <w:r>
        <w:t xml:space="preserve">(1) Werden bewegliche Sachen miteinander untrennbar vermischt oder vermengt, so finden die Vorschriften des </w:t>
      </w:r>
      <w:hyperlink w:anchor="b1415" w:history="1">
        <w:r>
          <w:rPr>
            <w:color w:val="0A3A8C"/>
            <w:u w:val="single"/>
          </w:rPr>
          <w:t xml:space="preserve">§ 947</w:t>
        </w:r>
      </w:hyperlink>
      <w:r>
        <w:t xml:space="preserve"> entsprechende Anwendung.</w:t>
      </w:r>
    </w:p>
    <w:p>
      <w:r>
        <w:t>(2) Der Untrennbarkeit steht es gleich, wenn die Trennung der vermischten oder vermengten Sachen mit unverhältnismäßigen Kosten verbunden sein würde.</w:t>
      </w:r>
    </w:p>
    <w:p>
      <w:pPr>
        <w:pStyle w:val="Heading5"/>
      </w:pPr>
      <w:bookmarkStart w:id="1432" w:name="b1417"/>
      <w:r>
        <w:t>§ 949 Erlöschen von Rechten Dritter</w:t>
      </w:r>
      <w:r>
        <w:t xml:space="preserve"> </w:t>
      </w:r>
      <w:r>
        <w:rPr>
          <w:rStyle w:val="Suchmarke"/>
        </w:rPr>
        <w:t>#949#</w:t>
      </w:r>
      <w:bookmarkEnd w:id="1432"/>
    </w:p>
    <w:p>
      <w:r>
        <w:rPr>
          <w:rStyle w:val="Satznummer"/>
        </w:rPr>
        <w:t>1</w:t>
      </w:r>
      <w:r>
        <w:t xml:space="preserve">Erlischt nach den </w:t>
      </w:r>
      <w:hyperlink w:anchor="b1414" w:history="1">
        <w:r>
          <w:rPr>
            <w:color w:val="0A3A8C"/>
            <w:u w:val="single"/>
          </w:rPr>
          <w:t xml:space="preserve">§§ 946</w:t>
        </w:r>
      </w:hyperlink>
      <w:r>
        <w:t xml:space="preserve"> bis </w:t>
      </w:r>
      <w:hyperlink w:anchor="b1416" w:history="1">
        <w:r>
          <w:rPr>
            <w:color w:val="0A3A8C"/>
            <w:u w:val="single"/>
          </w:rPr>
          <w:t xml:space="preserve">948</w:t>
        </w:r>
      </w:hyperlink>
      <w:r>
        <w:t xml:space="preserve"> das Eigentum an einer Sache, so erlöschen auch die sonstigen an der Sache bestehenden Rechte. </w:t>
      </w:r>
      <w:r>
        <w:rPr>
          <w:rStyle w:val="Satznummer"/>
        </w:rPr>
        <w:t>2</w:t>
      </w:r>
      <w:r>
        <w:t xml:space="preserve">Erwirbt der Eigentümer der belasteten Sache Miteigentum, so bestehen die Rechte an dem Anteil fort, der an die Stelle der Sache tritt. </w:t>
      </w:r>
      <w:r>
        <w:rPr>
          <w:rStyle w:val="Satznummer"/>
        </w:rPr>
        <w:t>3</w:t>
      </w:r>
      <w:r>
        <w:t>Wird der Eigentümer der belasteten Sache Alleineigentümer, so erstrecken sich die Rechte auf die hinzutretende Sache.</w:t>
      </w:r>
    </w:p>
    <w:p>
      <w:pPr>
        <w:pStyle w:val="Heading5"/>
      </w:pPr>
      <w:bookmarkStart w:id="1433" w:name="b1418"/>
      <w:r>
        <w:t>§ 950 Verarbeitung</w:t>
      </w:r>
      <w:r>
        <w:t xml:space="preserve"> </w:t>
      </w:r>
      <w:r>
        <w:rPr>
          <w:rStyle w:val="Suchmarke"/>
        </w:rPr>
        <w:t>#950#</w:t>
      </w:r>
      <w:bookmarkEnd w:id="1433"/>
    </w:p>
    <w:p>
      <w:r>
        <w:t xml:space="preserve">(1) </w:t>
      </w:r>
      <w:r>
        <w:rPr>
          <w:rStyle w:val="Satznummer"/>
        </w:rPr>
        <w:t>1</w:t>
      </w:r>
      <w:r>
        <w:t xml:space="preserve">Wer durch Verarbeitung oder Umbildung eines oder mehrerer Stoffe eine neue bewegliche Sache herstellt, erwirbt das Eigentum an der neuen Sache, sofern nicht der Wert der Verarbeitung oder der Umbildung erheblich geringer ist als der Wert des Stoffes. </w:t>
      </w:r>
      <w:r>
        <w:rPr>
          <w:rStyle w:val="Satznummer"/>
        </w:rPr>
        <w:t>2</w:t>
      </w:r>
      <w:r>
        <w:t>Als Verarbeitung gilt auch das Schreiben, Zeichnen, Malen, Drucken, Gravieren oder eine ähnliche Bearbeitung der Oberfläche.</w:t>
      </w:r>
    </w:p>
    <w:p>
      <w:r>
        <w:t>(2) Mit dem Erwerb des Eigentums an der neuen Sache erlöschen die an dem Stoffe bestehenden Rechte.</w:t>
      </w:r>
    </w:p>
    <w:p>
      <w:pPr>
        <w:pStyle w:val="Heading5"/>
      </w:pPr>
      <w:bookmarkStart w:id="1434" w:name="b1419"/>
      <w:r>
        <w:t>§ 951 Entschädigung für Rechtsverlust</w:t>
      </w:r>
      <w:r>
        <w:t xml:space="preserve"> </w:t>
      </w:r>
      <w:r>
        <w:rPr>
          <w:rStyle w:val="Suchmarke"/>
        </w:rPr>
        <w:t>#951#</w:t>
      </w:r>
      <w:bookmarkEnd w:id="1434"/>
    </w:p>
    <w:p>
      <w:r>
        <w:t xml:space="preserve">(1) </w:t>
      </w:r>
      <w:r>
        <w:rPr>
          <w:rStyle w:val="Satznummer"/>
        </w:rPr>
        <w:t>1</w:t>
      </w:r>
      <w:r>
        <w:t xml:space="preserve">Wer infolge der Vorschriften der </w:t>
      </w:r>
      <w:hyperlink w:anchor="b1414" w:history="1">
        <w:r>
          <w:rPr>
            <w:color w:val="0A3A8C"/>
            <w:u w:val="single"/>
          </w:rPr>
          <w:t xml:space="preserve">§§ 946</w:t>
        </w:r>
      </w:hyperlink>
      <w:r>
        <w:t xml:space="preserve"> bis </w:t>
      </w:r>
      <w:hyperlink w:anchor="b1418" w:history="1">
        <w:r>
          <w:rPr>
            <w:color w:val="0A3A8C"/>
            <w:u w:val="single"/>
          </w:rPr>
          <w:t xml:space="preserve">950</w:t>
        </w:r>
      </w:hyperlink>
      <w:r>
        <w:t xml:space="preserve"> einen Rechtsverlust erleidet, kann von demjenigen, zu dessen Gunsten die Rechtsänderung eintritt, Vergütung in Geld nach den Vorschriften über die Herausgabe einer ungerechtfertigten Bereicherung fordern. </w:t>
      </w:r>
      <w:r>
        <w:rPr>
          <w:rStyle w:val="Satznummer"/>
        </w:rPr>
        <w:t>2</w:t>
      </w:r>
      <w:r>
        <w:t>Die Wiederherstellung des früheren Zustands kann nicht verlangt werden.</w:t>
      </w:r>
    </w:p>
    <w:p>
      <w:r>
        <w:t xml:space="preserve">(2) </w:t>
      </w:r>
      <w:r>
        <w:rPr>
          <w:rStyle w:val="Satznummer"/>
        </w:rPr>
        <w:t>1</w:t>
      </w:r>
      <w:r>
        <w:t xml:space="preserve">Die Vorschriften über die Verpflichtung zum Schadensersatz wegen unerlaubter Handlungen sowie die Vorschriften über den Ersatz von Verwendungen und über das Recht zur Wegnahme einer Einrichtung bleiben unberührt. </w:t>
      </w:r>
      <w:r>
        <w:rPr>
          <w:rStyle w:val="Satznummer"/>
        </w:rPr>
        <w:t>2</w:t>
      </w:r>
      <w:r>
        <w:t xml:space="preserve">In den Fällen der </w:t>
      </w:r>
      <w:hyperlink w:anchor="b1414" w:history="1">
        <w:r>
          <w:rPr>
            <w:color w:val="0A3A8C"/>
            <w:u w:val="single"/>
          </w:rPr>
          <w:t xml:space="preserve">§§ 946</w:t>
        </w:r>
      </w:hyperlink>
      <w:r>
        <w:t xml:space="preserve">, </w:t>
      </w:r>
      <w:hyperlink w:anchor="b1415" w:history="1">
        <w:r>
          <w:rPr>
            <w:color w:val="0A3A8C"/>
            <w:u w:val="single"/>
          </w:rPr>
          <w:t xml:space="preserve">947</w:t>
        </w:r>
      </w:hyperlink>
      <w:r>
        <w:t xml:space="preserve"> ist die Wegnahme nach den für das Wegnahmerecht des Besitzers gegenüber dem Eigentümer geltenden Vorschriften auch dann zulässig, wenn die Verbindung nicht von dem Besitzer der Hauptsache bewirkt worden ist.</w:t>
      </w:r>
    </w:p>
    <w:p>
      <w:pPr>
        <w:pStyle w:val="Heading5"/>
      </w:pPr>
      <w:bookmarkStart w:id="1435" w:name="b1420"/>
      <w:r>
        <w:t>§ 952 Eigentum an Schuldurkunden</w:t>
      </w:r>
      <w:r>
        <w:t xml:space="preserve"> </w:t>
      </w:r>
      <w:r>
        <w:rPr>
          <w:rStyle w:val="Suchmarke"/>
        </w:rPr>
        <w:t>#952#</w:t>
      </w:r>
      <w:bookmarkEnd w:id="1435"/>
    </w:p>
    <w:p>
      <w:r>
        <w:t xml:space="preserve">(1) </w:t>
      </w:r>
      <w:r>
        <w:rPr>
          <w:rStyle w:val="Satznummer"/>
        </w:rPr>
        <w:t>1</w:t>
      </w:r>
      <w:r>
        <w:t xml:space="preserve">Das Eigentum an dem über eine Forderung ausgestellten Schuldschein steht dem Gläubiger zu. </w:t>
      </w:r>
      <w:r>
        <w:rPr>
          <w:rStyle w:val="Satznummer"/>
        </w:rPr>
        <w:t>2</w:t>
      </w:r>
      <w:r>
        <w:t>Das Recht eines Dritten an der Forderung erstreckt sich auf den Schuldschein.</w:t>
      </w:r>
    </w:p>
    <w:p>
      <w:r>
        <w:t>(2) Das Gleiche gilt für Urkunden über andere Rechte, kraft deren eine Leistung gefordert werden kann, insbesondere für Hypotheken-, Grundschuld- und Rentenschuldbriefe.</w:t>
      </w:r>
    </w:p>
    <w:p>
      <w:pPr>
        <w:pStyle w:val="Heading4"/>
      </w:pPr>
      <w:bookmarkStart w:id="1436" w:name="b1421"/>
      <w:r>
        <w:t>Untertitel 4 Erwerb von Erzeugnissen und sonstigen Bestandteilen einer Sache</w:t>
      </w:r>
      <w:bookmarkEnd w:id="1436"/>
    </w:p>
    <w:p>
      <w:pPr>
        <w:pStyle w:val="Heading5"/>
      </w:pPr>
      <w:bookmarkStart w:id="1437" w:name="b1422"/>
      <w:r>
        <w:t>§ 953 Eigentum an getrennten Erzeugnissen und Bestandteilen</w:t>
      </w:r>
      <w:r>
        <w:t xml:space="preserve"> </w:t>
      </w:r>
      <w:r>
        <w:rPr>
          <w:rStyle w:val="Suchmarke"/>
        </w:rPr>
        <w:t>#953#</w:t>
      </w:r>
      <w:bookmarkEnd w:id="1437"/>
    </w:p>
    <w:p>
      <w:r>
        <w:t xml:space="preserve">Erzeugnisse und sonstige Bestandteile einer Sache gehören auch nach der Trennung dem Eigentümer der Sache, soweit sich nicht aus den </w:t>
      </w:r>
      <w:hyperlink w:anchor="b1423" w:history="1">
        <w:r>
          <w:rPr>
            <w:color w:val="0A3A8C"/>
            <w:u w:val="single"/>
          </w:rPr>
          <w:t xml:space="preserve">§§ 954</w:t>
        </w:r>
      </w:hyperlink>
      <w:r>
        <w:t xml:space="preserve"> bis </w:t>
      </w:r>
      <w:hyperlink w:anchor="b1426" w:history="1">
        <w:r>
          <w:rPr>
            <w:color w:val="0A3A8C"/>
            <w:u w:val="single"/>
          </w:rPr>
          <w:t xml:space="preserve">957</w:t>
        </w:r>
      </w:hyperlink>
      <w:r>
        <w:t xml:space="preserve"> ein anderes ergibt.</w:t>
      </w:r>
    </w:p>
    <w:p>
      <w:pPr>
        <w:pStyle w:val="Heading5"/>
      </w:pPr>
      <w:bookmarkStart w:id="1438" w:name="b1423"/>
      <w:r>
        <w:t>§ 954 Erwerb durch dinglich Berechtigten</w:t>
      </w:r>
      <w:r>
        <w:t xml:space="preserve"> </w:t>
      </w:r>
      <w:r>
        <w:rPr>
          <w:rStyle w:val="Suchmarke"/>
        </w:rPr>
        <w:t>#954#</w:t>
      </w:r>
      <w:bookmarkEnd w:id="1438"/>
    </w:p>
    <w:p>
      <w:r>
        <w:t xml:space="preserve">Wer vermöge eines Rechts an einer fremden Sache befugt ist, sich Erzeugnisse oder sonstige Bestandteile der Sache anzueignen, erwirbt das Eigentum an ihnen, unbeschadet der Vorschriften der </w:t>
      </w:r>
      <w:hyperlink w:anchor="b1424" w:history="1">
        <w:r>
          <w:rPr>
            <w:color w:val="0A3A8C"/>
            <w:u w:val="single"/>
          </w:rPr>
          <w:t xml:space="preserve">§§ 955</w:t>
        </w:r>
      </w:hyperlink>
      <w:r>
        <w:t xml:space="preserve"> bis </w:t>
      </w:r>
      <w:hyperlink w:anchor="b1426" w:history="1">
        <w:r>
          <w:rPr>
            <w:color w:val="0A3A8C"/>
            <w:u w:val="single"/>
          </w:rPr>
          <w:t xml:space="preserve">957</w:t>
        </w:r>
      </w:hyperlink>
      <w:r>
        <w:t>, mit der Trennung.</w:t>
      </w:r>
    </w:p>
    <w:p>
      <w:pPr>
        <w:pStyle w:val="Heading5"/>
      </w:pPr>
      <w:bookmarkStart w:id="1439" w:name="b1424"/>
      <w:r>
        <w:t>§ 955 Erwerb durch gutgläubigen Eigenbesitzer</w:t>
      </w:r>
      <w:r>
        <w:t xml:space="preserve"> </w:t>
      </w:r>
      <w:r>
        <w:rPr>
          <w:rStyle w:val="Suchmarke"/>
        </w:rPr>
        <w:t>#955#</w:t>
      </w:r>
      <w:bookmarkEnd w:id="1439"/>
    </w:p>
    <w:p>
      <w:r>
        <w:t xml:space="preserve">(1) </w:t>
      </w:r>
      <w:r>
        <w:rPr>
          <w:rStyle w:val="Satznummer"/>
        </w:rPr>
        <w:t>1</w:t>
      </w:r>
      <w:r>
        <w:t xml:space="preserve">Wer eine Sache im Eigenbesitz hat, erwirbt das Eigentum an den Erzeugnissen und sonstigen zu den Früchten der Sache gehörenden Bestandteilen, unbeschadet der Vorschriften der </w:t>
      </w:r>
      <w:hyperlink w:anchor="b1425" w:history="1">
        <w:r>
          <w:rPr>
            <w:color w:val="0A3A8C"/>
            <w:u w:val="single"/>
          </w:rPr>
          <w:t xml:space="preserve">§§ 956</w:t>
        </w:r>
      </w:hyperlink>
      <w:r>
        <w:t xml:space="preserve">, </w:t>
      </w:r>
      <w:hyperlink w:anchor="b1426" w:history="1">
        <w:r>
          <w:rPr>
            <w:color w:val="0A3A8C"/>
            <w:u w:val="single"/>
          </w:rPr>
          <w:t xml:space="preserve">957</w:t>
        </w:r>
      </w:hyperlink>
      <w:r>
        <w:t xml:space="preserve">, mit der Trennung. </w:t>
      </w:r>
      <w:r>
        <w:rPr>
          <w:rStyle w:val="Satznummer"/>
        </w:rPr>
        <w:t>2</w:t>
      </w:r>
      <w:r>
        <w:t>Der Erwerb ist ausgeschlossen, wenn der Eigenbesitzer nicht zum Eigenbesitz oder ein anderer vermöge eines Rechts an der Sache zum Fruchtbezug berechtigt ist und der Eigenbesitzer bei dem Erwerb des Eigenbesitzes nicht in gutem Glauben ist oder vor der Trennung den Rechtsmangel erfährt.</w:t>
      </w:r>
    </w:p>
    <w:p>
      <w:r>
        <w:t>(2) Dem Eigenbesitzer steht derjenige gleich, welcher die Sache zum Zwecke der Ausübung eines Nutzungsrechts an ihr besitzt.</w:t>
      </w:r>
    </w:p>
    <w:p>
      <w:r>
        <w:t xml:space="preserve">(3) Auf den Eigenbesitz und den ihm gleichgestellten Besitz findet die Vorschrift des </w:t>
      </w:r>
      <w:hyperlink w:anchor="b1407" w:history="1">
        <w:r>
          <w:rPr>
            <w:color w:val="0A3A8C"/>
            <w:u w:val="single"/>
          </w:rPr>
          <w:t xml:space="preserve">§ 940</w:t>
        </w:r>
      </w:hyperlink>
      <w:r>
        <w:t xml:space="preserve"> Abs. 2 entsprechende Anwendung.</w:t>
      </w:r>
    </w:p>
    <w:p>
      <w:pPr>
        <w:pStyle w:val="Heading5"/>
      </w:pPr>
      <w:bookmarkStart w:id="1440" w:name="b1425"/>
      <w:r>
        <w:t>§ 956 Erwerb durch persönlich Berechtigten</w:t>
      </w:r>
      <w:r>
        <w:t xml:space="preserve"> </w:t>
      </w:r>
      <w:r>
        <w:rPr>
          <w:rStyle w:val="Suchmarke"/>
        </w:rPr>
        <w:t>#956#</w:t>
      </w:r>
      <w:bookmarkEnd w:id="1440"/>
    </w:p>
    <w:p>
      <w:r>
        <w:t xml:space="preserve">(1) </w:t>
      </w:r>
      <w:r>
        <w:rPr>
          <w:rStyle w:val="Satznummer"/>
        </w:rPr>
        <w:t>1</w:t>
      </w:r>
      <w:r>
        <w:t xml:space="preserve">Gestattet der Eigentümer einem anderen, sich Erzeugnisse oder sonstige Bestandteile der Sache anzueignen, so erwirbt dieser das Eigentum an ihnen, wenn der Besitz der Sache ihm überlassen ist, mit der Trennung, anderenfalls mit der Besitzergreifung. </w:t>
      </w:r>
      <w:r>
        <w:rPr>
          <w:rStyle w:val="Satznummer"/>
        </w:rPr>
        <w:t>2</w:t>
      </w:r>
      <w:r>
        <w:t>Ist der Eigentümer zu der Gestattung verpflichtet, so kann er sie nicht widerrufen, solange sich der andere in dem ihm überlassenen Besitz der Sache befindet.</w:t>
      </w:r>
    </w:p>
    <w:p>
      <w:r>
        <w:t>(2) Das Gleiche gilt, wenn die Gestattung nicht von dem Eigentümer, sondern von einem anderen ausgeht, dem Erzeugnisse oder sonstige Bestandteile einer Sache nach der Trennung gehören.</w:t>
      </w:r>
    </w:p>
    <w:p>
      <w:pPr>
        <w:pStyle w:val="Heading5"/>
      </w:pPr>
      <w:bookmarkStart w:id="1441" w:name="b1426"/>
      <w:r>
        <w:t>§ 957 Gestattung durch den Nichtberechtigten</w:t>
      </w:r>
      <w:r>
        <w:t xml:space="preserve"> </w:t>
      </w:r>
      <w:r>
        <w:rPr>
          <w:rStyle w:val="Suchmarke"/>
        </w:rPr>
        <w:t>#957#</w:t>
      </w:r>
      <w:bookmarkEnd w:id="1441"/>
    </w:p>
    <w:p>
      <w:r>
        <w:t xml:space="preserve">Die Vorschrift des </w:t>
      </w:r>
      <w:hyperlink w:anchor="b1425" w:history="1">
        <w:r>
          <w:rPr>
            <w:color w:val="0A3A8C"/>
            <w:u w:val="single"/>
          </w:rPr>
          <w:t xml:space="preserve">§ 956</w:t>
        </w:r>
      </w:hyperlink>
      <w:r>
        <w:t xml:space="preserve"> findet auch dann Anwendung, wenn derjenige, welcher die Aneignung einem anderen gestattet, hierzu nicht berechtigt ist, es sei denn, dass der andere, falls ihm der Besitz der Sache überlassen wird, bei der Überlassung, anderenfalls bei der Ergreifung des Besitzes der Erzeugnisse oder der sonstigen Bestandteile nicht in gutem Glauben ist oder vor der Trennung den Rechtsmangel erfährt.</w:t>
      </w:r>
    </w:p>
    <w:p>
      <w:pPr>
        <w:pStyle w:val="Heading4"/>
      </w:pPr>
      <w:bookmarkStart w:id="1442" w:name="b1427"/>
      <w:r>
        <w:t>Untertitel 5 Aneignung</w:t>
      </w:r>
      <w:bookmarkEnd w:id="1442"/>
    </w:p>
    <w:p>
      <w:pPr>
        <w:pStyle w:val="Heading5"/>
      </w:pPr>
      <w:bookmarkStart w:id="1443" w:name="b1428"/>
      <w:r>
        <w:t>§ 958 Eigentumserwerb an beweglichen herrenlosen Sachen</w:t>
      </w:r>
      <w:r>
        <w:t xml:space="preserve"> </w:t>
      </w:r>
      <w:r>
        <w:rPr>
          <w:rStyle w:val="Suchmarke"/>
        </w:rPr>
        <w:t>#958#</w:t>
      </w:r>
      <w:bookmarkEnd w:id="1443"/>
    </w:p>
    <w:p>
      <w:r>
        <w:t>(1) Wer eine herrenlose bewegliche Sache in Eigenbesitz nimmt, erwirbt das Eigentum an der Sache.</w:t>
      </w:r>
    </w:p>
    <w:p>
      <w:r>
        <w:t>(2) Das Eigentum wird nicht erworben, wenn die Aneignung gesetzlich verboten ist oder wenn durch die Besitzergreifung das Aneignungsrecht eines anderen verletzt wird.</w:t>
      </w:r>
    </w:p>
    <w:p>
      <w:pPr>
        <w:pStyle w:val="Heading5"/>
      </w:pPr>
      <w:bookmarkStart w:id="1444" w:name="b1429"/>
      <w:r>
        <w:t>§ 959 Aufgabe des Eigentums</w:t>
      </w:r>
      <w:r>
        <w:t xml:space="preserve"> </w:t>
      </w:r>
      <w:r>
        <w:rPr>
          <w:rStyle w:val="Suchmarke"/>
        </w:rPr>
        <w:t>#959#</w:t>
      </w:r>
      <w:bookmarkEnd w:id="1444"/>
    </w:p>
    <w:p>
      <w:r>
        <w:t>Eine bewegliche Sache wird herrenlos, wenn der Eigentümer in der Absicht, auf das Eigentum zu verzichten, den Besitz der Sache aufgibt.</w:t>
      </w:r>
    </w:p>
    <w:p>
      <w:pPr>
        <w:pStyle w:val="Heading5"/>
      </w:pPr>
      <w:bookmarkStart w:id="1445" w:name="b1430"/>
      <w:r>
        <w:t>§ 960 Wilde Tiere</w:t>
      </w:r>
      <w:r>
        <w:t xml:space="preserve"> </w:t>
      </w:r>
      <w:r>
        <w:rPr>
          <w:rStyle w:val="Suchmarke"/>
        </w:rPr>
        <w:t>#960#</w:t>
      </w:r>
      <w:bookmarkEnd w:id="1445"/>
    </w:p>
    <w:p>
      <w:r>
        <w:t xml:space="preserve">(1) </w:t>
      </w:r>
      <w:r>
        <w:rPr>
          <w:rStyle w:val="Satznummer"/>
        </w:rPr>
        <w:t>1</w:t>
      </w:r>
      <w:r>
        <w:t xml:space="preserve">Wilde Tiere sind herrenlos, solange sie sich in der Freiheit befinden. </w:t>
      </w:r>
      <w:r>
        <w:rPr>
          <w:rStyle w:val="Satznummer"/>
        </w:rPr>
        <w:t>2</w:t>
      </w:r>
      <w:r>
        <w:t>Wilde Tiere in Tiergärten und Fische in Teichen oder anderen geschlossenen Privatgewässern sind nicht herrenlos.</w:t>
      </w:r>
    </w:p>
    <w:p>
      <w:r>
        <w:t>(2) Erlangt ein gefangenes wildes Tier die Freiheit wieder, so wird es herrenlos, wenn nicht der Eigentümer das Tier unverzüglich verfolgt oder wenn er die Verfolgung aufgibt.</w:t>
      </w:r>
    </w:p>
    <w:p>
      <w:r>
        <w:t>(3) Ein gezähmtes Tier wird herrenlos, wenn es die Gewohnheit ablegt, an den ihm bestimmten Ort zurückzukehren.</w:t>
      </w:r>
    </w:p>
    <w:p>
      <w:pPr>
        <w:pStyle w:val="Heading5"/>
      </w:pPr>
      <w:bookmarkStart w:id="1446" w:name="b1431"/>
      <w:r>
        <w:t>§ 961 Eigentumsverlust bei Bienenschwärmen</w:t>
      </w:r>
      <w:r>
        <w:t xml:space="preserve"> </w:t>
      </w:r>
      <w:r>
        <w:rPr>
          <w:rStyle w:val="Suchmarke"/>
        </w:rPr>
        <w:t>#961#</w:t>
      </w:r>
      <w:bookmarkEnd w:id="1446"/>
    </w:p>
    <w:p>
      <w:r>
        <w:t>Zieht ein Bienenschwarm aus, so wird er herrenlos, wenn nicht der Eigentümer ihn unverzüglich verfolgt oder wenn der Eigentümer die Verfolgung aufgibt.</w:t>
      </w:r>
    </w:p>
    <w:p>
      <w:pPr>
        <w:pStyle w:val="Heading5"/>
      </w:pPr>
      <w:bookmarkStart w:id="1447" w:name="b1432"/>
      <w:r>
        <w:t>§ 962 Verfolgungsrecht des Eigentümers</w:t>
      </w:r>
      <w:r>
        <w:t xml:space="preserve"> </w:t>
      </w:r>
      <w:r>
        <w:rPr>
          <w:rStyle w:val="Suchmarke"/>
        </w:rPr>
        <w:t>#962#</w:t>
      </w:r>
      <w:bookmarkEnd w:id="1447"/>
    </w:p>
    <w:p>
      <w:r>
        <w:rPr>
          <w:rStyle w:val="Satznummer"/>
        </w:rPr>
        <w:t>1</w:t>
      </w:r>
      <w:r>
        <w:t xml:space="preserve">Der Eigentümer des Bienenschwarms darf bei der Verfolgung fremde Grundstücke betreten. </w:t>
      </w:r>
      <w:r>
        <w:rPr>
          <w:rStyle w:val="Satznummer"/>
        </w:rPr>
        <w:t>2</w:t>
      </w:r>
      <w:r>
        <w:t xml:space="preserve">Ist der Schwarm in eine fremde nicht besetzte Bienenwohnung eingezogen, so darf der Eigentümer des Schwarmes zum Zwecke des Einfangens die Wohnung öffnen und die Waben herausnehmen oder herausbrechen. </w:t>
      </w:r>
      <w:r>
        <w:rPr>
          <w:rStyle w:val="Satznummer"/>
        </w:rPr>
        <w:t>3</w:t>
      </w:r>
      <w:r>
        <w:t>Er hat den entstehenden Schaden zu ersetzen.</w:t>
      </w:r>
    </w:p>
    <w:p>
      <w:pPr>
        <w:pStyle w:val="Heading5"/>
      </w:pPr>
      <w:bookmarkStart w:id="1448" w:name="b1433"/>
      <w:r>
        <w:t>§ 963 Vereinigung von Bienenschwärmen</w:t>
      </w:r>
      <w:r>
        <w:t xml:space="preserve"> </w:t>
      </w:r>
      <w:r>
        <w:rPr>
          <w:rStyle w:val="Suchmarke"/>
        </w:rPr>
        <w:t>#963#</w:t>
      </w:r>
      <w:bookmarkEnd w:id="1448"/>
    </w:p>
    <w:p>
      <w:r>
        <w:t>Vereinigen sich ausgezogene Bienenschwärme mehrerer Eigentümer, so werden die Eigentümer, welche ihre Schwärme verfolgt haben, Miteigentümer des eingefangenen Gesamtschwarms; die Anteile bestimmen sich nach der Zahl der verfolgten Schwärme.</w:t>
      </w:r>
    </w:p>
    <w:p>
      <w:pPr>
        <w:pStyle w:val="Heading5"/>
      </w:pPr>
      <w:bookmarkStart w:id="1449" w:name="b1434"/>
      <w:r>
        <w:t>§ 964 Vermischung von Bienenschwärmen</w:t>
      </w:r>
      <w:r>
        <w:t xml:space="preserve"> </w:t>
      </w:r>
      <w:r>
        <w:rPr>
          <w:rStyle w:val="Suchmarke"/>
        </w:rPr>
        <w:t>#964#</w:t>
      </w:r>
      <w:bookmarkEnd w:id="1449"/>
    </w:p>
    <w:p>
      <w:r>
        <w:rPr>
          <w:rStyle w:val="Satznummer"/>
        </w:rPr>
        <w:t>1</w:t>
      </w:r>
      <w:r>
        <w:t xml:space="preserve">Ist ein Bienenschwarm in eine fremde besetzte Bienenwohnung eingezogen, so erstrecken sich das Eigentum und die sonstigen Rechte an den Bienen, mit denen die Wohnung besetzt war, auf den eingezogenen Schwarm. </w:t>
      </w:r>
      <w:r>
        <w:rPr>
          <w:rStyle w:val="Satznummer"/>
        </w:rPr>
        <w:t>2</w:t>
      </w:r>
      <w:r>
        <w:t>Das Eigentum und die sonstigen Rechte an dem eingezogenen Schwarme erlöschen.</w:t>
      </w:r>
    </w:p>
    <w:p>
      <w:pPr>
        <w:pStyle w:val="Heading4"/>
      </w:pPr>
      <w:bookmarkStart w:id="1450" w:name="b1435"/>
      <w:r>
        <w:t>Untertitel 6 Fund</w:t>
      </w:r>
      <w:bookmarkEnd w:id="1450"/>
    </w:p>
    <w:p>
      <w:pPr>
        <w:pStyle w:val="Heading5"/>
      </w:pPr>
      <w:bookmarkStart w:id="1451" w:name="b1436"/>
      <w:r>
        <w:t>§ 965 Anzeigepflicht des Finders</w:t>
      </w:r>
      <w:r>
        <w:t xml:space="preserve"> </w:t>
      </w:r>
      <w:r>
        <w:rPr>
          <w:rStyle w:val="Suchmarke"/>
        </w:rPr>
        <w:t>#965#</w:t>
      </w:r>
      <w:bookmarkEnd w:id="1451"/>
    </w:p>
    <w:p>
      <w:r>
        <w:t>(1) Wer eine verlorene Sache findet und an sich nimmt, hat dem Verlierer oder dem Eigentümer oder einem sonstigen Empfangsberechtigten unverzüglich Anzeige zu machen.</w:t>
      </w:r>
    </w:p>
    <w:p>
      <w:r>
        <w:t xml:space="preserve">(2) </w:t>
      </w:r>
      <w:r>
        <w:rPr>
          <w:rStyle w:val="Satznummer"/>
        </w:rPr>
        <w:t>1</w:t>
      </w:r>
      <w:r>
        <w:t xml:space="preserve">Kennt der Finder die Empfangsberechtigten nicht oder ist ihm ihr Aufenthalt unbekannt, so hat er den Fund und die Umstände, welche für die Ermittlung der Empfangsberechtigten erheblich sein können, unverzüglich der zuständigen Behörde anzuzeigen. </w:t>
      </w:r>
      <w:r>
        <w:rPr>
          <w:rStyle w:val="Satznummer"/>
        </w:rPr>
        <w:t>2</w:t>
      </w:r>
      <w:r>
        <w:t>Ist die Sache nicht mehr als zehn Euro wert, so bedarf es der Anzeige nicht.</w:t>
      </w:r>
    </w:p>
    <w:p>
      <w:pPr>
        <w:pStyle w:val="Heading5"/>
      </w:pPr>
      <w:bookmarkStart w:id="1452" w:name="b1437"/>
      <w:r>
        <w:t>§ 966 Verwahrungspflicht</w:t>
      </w:r>
      <w:r>
        <w:t xml:space="preserve"> </w:t>
      </w:r>
      <w:r>
        <w:rPr>
          <w:rStyle w:val="Suchmarke"/>
        </w:rPr>
        <w:t>#966#</w:t>
      </w:r>
      <w:bookmarkEnd w:id="1452"/>
    </w:p>
    <w:p>
      <w:r>
        <w:t>(1) Der Finder ist zur Verwahrung der Sache verpflichtet.</w:t>
      </w:r>
    </w:p>
    <w:p>
      <w:r>
        <w:t xml:space="preserve">(2) </w:t>
      </w:r>
      <w:r>
        <w:rPr>
          <w:rStyle w:val="Satznummer"/>
        </w:rPr>
        <w:t>1</w:t>
      </w:r>
      <w:r>
        <w:t xml:space="preserve">Ist der Verderb der Sache zu besorgen oder ist die Aufbewahrung mit unverhältnismäßigen Kosten verbunden, so hat der Finder die Sache öffentlich versteigern zu lassen. </w:t>
      </w:r>
      <w:r>
        <w:rPr>
          <w:rStyle w:val="Satznummer"/>
        </w:rPr>
        <w:t>2</w:t>
      </w:r>
      <w:r>
        <w:t xml:space="preserve">Vor der Versteigerung ist der zuständigen Behörde Anzeige zu machen. </w:t>
      </w:r>
      <w:r>
        <w:rPr>
          <w:rStyle w:val="Satznummer"/>
        </w:rPr>
        <w:t>3</w:t>
      </w:r>
      <w:r>
        <w:t>Der Erlös tritt an die Stelle der Sache.</w:t>
      </w:r>
    </w:p>
    <w:p>
      <w:pPr>
        <w:pStyle w:val="Heading5"/>
      </w:pPr>
      <w:bookmarkStart w:id="1453" w:name="b1438"/>
      <w:r>
        <w:t>§ 967 Ablieferungspflicht</w:t>
      </w:r>
      <w:r>
        <w:t xml:space="preserve"> </w:t>
      </w:r>
      <w:r>
        <w:rPr>
          <w:rStyle w:val="Suchmarke"/>
        </w:rPr>
        <w:t>#967#</w:t>
      </w:r>
      <w:bookmarkEnd w:id="1453"/>
    </w:p>
    <w:p>
      <w:r>
        <w:t>Der Finder ist berechtigt und auf Anordnung der zuständigen Behörde verpflichtet, die Sache oder den Versteigerungserlös an die zuständige Behörde abzuliefern.</w:t>
      </w:r>
    </w:p>
    <w:p>
      <w:pPr>
        <w:pStyle w:val="Heading5"/>
      </w:pPr>
      <w:bookmarkStart w:id="1454" w:name="b1439"/>
      <w:r>
        <w:t>§ 968 Umfang der Haftung</w:t>
      </w:r>
      <w:r>
        <w:t xml:space="preserve"> </w:t>
      </w:r>
      <w:r>
        <w:rPr>
          <w:rStyle w:val="Suchmarke"/>
        </w:rPr>
        <w:t>#968#</w:t>
      </w:r>
      <w:bookmarkEnd w:id="1454"/>
    </w:p>
    <w:p>
      <w:r>
        <w:t>Der Finder hat nur Vorsatz und grobe Fahrlässigkeit zu vertreten.</w:t>
      </w:r>
    </w:p>
    <w:p>
      <w:pPr>
        <w:pStyle w:val="Heading5"/>
      </w:pPr>
      <w:bookmarkStart w:id="1455" w:name="b1440"/>
      <w:r>
        <w:t>§ 969 Herausgabe an den Verlierer</w:t>
      </w:r>
      <w:r>
        <w:t xml:space="preserve"> </w:t>
      </w:r>
      <w:r>
        <w:rPr>
          <w:rStyle w:val="Suchmarke"/>
        </w:rPr>
        <w:t>#969#</w:t>
      </w:r>
      <w:bookmarkEnd w:id="1455"/>
    </w:p>
    <w:p>
      <w:r>
        <w:t>Der Finder wird durch die Herausgabe der Sache an den Verlierer auch den sonstigen Empfangsberechtigten gegenüber befreit.</w:t>
      </w:r>
    </w:p>
    <w:p>
      <w:pPr>
        <w:pStyle w:val="Heading5"/>
      </w:pPr>
      <w:bookmarkStart w:id="1456" w:name="b1441"/>
      <w:r>
        <w:t>§ 970 Ersatz von Aufwendungen</w:t>
      </w:r>
      <w:r>
        <w:t xml:space="preserve"> </w:t>
      </w:r>
      <w:r>
        <w:rPr>
          <w:rStyle w:val="Suchmarke"/>
        </w:rPr>
        <w:t>#970#</w:t>
      </w:r>
      <w:bookmarkEnd w:id="1456"/>
    </w:p>
    <w:p>
      <w:r>
        <w:t>Macht der Finder zum Zwecke der Verwahrung oder Erhaltung der Sache oder zum Zwecke der Ermittlung eines Empfangsberechtigten Aufwendungen, die er den Umständen nach für erforderlich halten darf, so kann er von dem Empfangsberechtigten Ersatz verlangen.</w:t>
      </w:r>
    </w:p>
    <w:p>
      <w:pPr>
        <w:pStyle w:val="Heading5"/>
      </w:pPr>
      <w:bookmarkStart w:id="1457" w:name="b1442"/>
      <w:r>
        <w:t>§ 971 Finderlohn</w:t>
      </w:r>
      <w:r>
        <w:t xml:space="preserve"> </w:t>
      </w:r>
      <w:r>
        <w:rPr>
          <w:rStyle w:val="Suchmarke"/>
        </w:rPr>
        <w:t>#971#</w:t>
      </w:r>
      <w:bookmarkEnd w:id="1457"/>
    </w:p>
    <w:p>
      <w:r>
        <w:t xml:space="preserve">(1) </w:t>
      </w:r>
      <w:r>
        <w:rPr>
          <w:rStyle w:val="Satznummer"/>
        </w:rPr>
        <w:t>1</w:t>
      </w:r>
      <w:r>
        <w:t xml:space="preserve">Der Finder kann von dem Empfangsberechtigten einen Finderlohn verlangen. </w:t>
      </w:r>
      <w:r>
        <w:rPr>
          <w:rStyle w:val="Satznummer"/>
        </w:rPr>
        <w:t>2</w:t>
      </w:r>
      <w:r>
        <w:t xml:space="preserve">Der Finderlohn beträgt von dem Werte der Sache bis zu 500 Euro fünf vom Hundert, von dem Mehrwert drei vom Hundert, bei Tieren drei vom Hundert. </w:t>
      </w:r>
      <w:r>
        <w:rPr>
          <w:rStyle w:val="Satznummer"/>
        </w:rPr>
        <w:t>3</w:t>
      </w:r>
      <w:r>
        <w:t>Hat die Sache nur für den Empfangsberechtigten einen Wert, so ist der Finderlohn nach billigem Ermessen zu bestimmen.</w:t>
      </w:r>
    </w:p>
    <w:p>
      <w:r>
        <w:t>(2) Der Anspruch ist ausgeschlossen, wenn der Finder die Anzeigepflicht verletzt oder den Fund auf Nachfrage verheimlicht.</w:t>
      </w:r>
    </w:p>
    <w:p>
      <w:pPr>
        <w:pStyle w:val="Heading5"/>
      </w:pPr>
      <w:bookmarkStart w:id="1458" w:name="b1443"/>
      <w:r>
        <w:t>§ 972 Zurückbehaltungsrecht des Finders</w:t>
      </w:r>
      <w:r>
        <w:t xml:space="preserve"> </w:t>
      </w:r>
      <w:r>
        <w:rPr>
          <w:rStyle w:val="Suchmarke"/>
        </w:rPr>
        <w:t>#972#</w:t>
      </w:r>
      <w:bookmarkEnd w:id="1458"/>
    </w:p>
    <w:p>
      <w:r>
        <w:t xml:space="preserve">Auf die in den </w:t>
      </w:r>
      <w:hyperlink w:anchor="b1441" w:history="1">
        <w:r>
          <w:rPr>
            <w:color w:val="0A3A8C"/>
            <w:u w:val="single"/>
          </w:rPr>
          <w:t xml:space="preserve">§§ 970</w:t>
        </w:r>
      </w:hyperlink>
      <w:r>
        <w:t xml:space="preserve">, </w:t>
      </w:r>
      <w:hyperlink w:anchor="b1442" w:history="1">
        <w:r>
          <w:rPr>
            <w:color w:val="0A3A8C"/>
            <w:u w:val="single"/>
          </w:rPr>
          <w:t xml:space="preserve">971</w:t>
        </w:r>
      </w:hyperlink>
      <w:r>
        <w:t xml:space="preserve"> bestimmten Ansprüche finden die für die Ansprüche des Besitzers gegen den Eigentümer wegen Verwendungen geltenden Vorschriften der </w:t>
      </w:r>
      <w:hyperlink w:anchor="b1472" w:history="1">
        <w:r>
          <w:rPr>
            <w:color w:val="0A3A8C"/>
            <w:u w:val="single"/>
          </w:rPr>
          <w:t xml:space="preserve">§§ 1000</w:t>
        </w:r>
      </w:hyperlink>
      <w:r>
        <w:t xml:space="preserve"> bis </w:t>
      </w:r>
      <w:hyperlink w:anchor="b1474" w:history="1">
        <w:r>
          <w:rPr>
            <w:color w:val="0A3A8C"/>
            <w:u w:val="single"/>
          </w:rPr>
          <w:t xml:space="preserve">1002</w:t>
        </w:r>
      </w:hyperlink>
      <w:r>
        <w:t xml:space="preserve"> entsprechende Anwendung.</w:t>
      </w:r>
    </w:p>
    <w:p>
      <w:pPr>
        <w:pStyle w:val="Heading5"/>
      </w:pPr>
      <w:bookmarkStart w:id="1459" w:name="b1444"/>
      <w:r>
        <w:t>§ 973 Eigentumserwerb des Finders</w:t>
      </w:r>
      <w:r>
        <w:t xml:space="preserve"> </w:t>
      </w:r>
      <w:r>
        <w:rPr>
          <w:rStyle w:val="Suchmarke"/>
        </w:rPr>
        <w:t>#973#</w:t>
      </w:r>
      <w:bookmarkEnd w:id="1459"/>
    </w:p>
    <w:p>
      <w:r>
        <w:t xml:space="preserve">(1) </w:t>
      </w:r>
      <w:r>
        <w:rPr>
          <w:rStyle w:val="Satznummer"/>
        </w:rPr>
        <w:t>1</w:t>
      </w:r>
      <w:r>
        <w:t xml:space="preserve">Mit dem Ablauf von sechs Monaten nach der Anzeige des Fundes bei der zuständigen Behörde erwirbt der Finder das Eigentum an der Sache, es sei denn, dass vorher ein Empfangsberechtigter dem Finder bekannt geworden ist oder sein Recht bei der zuständigen Behörde angemeldet hat. </w:t>
      </w:r>
      <w:r>
        <w:rPr>
          <w:rStyle w:val="Satznummer"/>
        </w:rPr>
        <w:t>2</w:t>
      </w:r>
      <w:r>
        <w:t>Mit dem Erwerb des Eigentums erlöschen die sonstigen Rechte an der Sache.</w:t>
      </w:r>
    </w:p>
    <w:p>
      <w:r>
        <w:t xml:space="preserve">(2) </w:t>
      </w:r>
      <w:r>
        <w:rPr>
          <w:rStyle w:val="Satznummer"/>
        </w:rPr>
        <w:t>1</w:t>
      </w:r>
      <w:r>
        <w:t xml:space="preserve">Ist die Sache nicht mehr als zehn Euro wert, so beginnt die sechsmonatige Frist mit dem Fund. </w:t>
      </w:r>
      <w:r>
        <w:rPr>
          <w:rStyle w:val="Satznummer"/>
        </w:rPr>
        <w:t>2</w:t>
      </w:r>
      <w:r>
        <w:t xml:space="preserve">Der Finder erwirbt das Eigentum nicht, wenn er den Fund auf Nachfrage verheimlicht. </w:t>
      </w:r>
      <w:r>
        <w:rPr>
          <w:rStyle w:val="Satznummer"/>
        </w:rPr>
        <w:t>3</w:t>
      </w:r>
      <w:r>
        <w:t>Die Anmeldung eines Rechts bei der zuständigen Behörde steht dem Erwerb des Eigentums nicht entgegen.</w:t>
      </w:r>
    </w:p>
    <w:p>
      <w:pPr>
        <w:pStyle w:val="Heading5"/>
      </w:pPr>
      <w:bookmarkStart w:id="1460" w:name="b1445"/>
      <w:r>
        <w:t>§ 974 Eigentumserwerb nach Verschweigung</w:t>
      </w:r>
      <w:r>
        <w:t xml:space="preserve"> </w:t>
      </w:r>
      <w:r>
        <w:rPr>
          <w:rStyle w:val="Suchmarke"/>
        </w:rPr>
        <w:t>#974#</w:t>
      </w:r>
      <w:bookmarkEnd w:id="1460"/>
    </w:p>
    <w:p>
      <w:r>
        <w:rPr>
          <w:rStyle w:val="Satznummer"/>
        </w:rPr>
        <w:t>1</w:t>
      </w:r>
      <w:r>
        <w:t xml:space="preserve">Sind vor dem Ablauf der sechsmonatigen Frist Empfangsberechtigte dem Finder bekannt geworden oder haben sie bei einer Sache, die mehr als zehn Euro wert ist, ihre Rechte bei der zuständigen Behörde rechtzeitig angemeldet, so kann der Finder die Empfangsberechtigten nach der Vorschrift des § 1003 zur Erklärung über die ihm nach den </w:t>
      </w:r>
      <w:hyperlink w:anchor="b1441" w:history="1">
        <w:r>
          <w:rPr>
            <w:color w:val="0A3A8C"/>
            <w:u w:val="single"/>
          </w:rPr>
          <w:t xml:space="preserve">§§ 970</w:t>
        </w:r>
      </w:hyperlink>
      <w:r>
        <w:t xml:space="preserve"> bis </w:t>
      </w:r>
      <w:hyperlink w:anchor="b1443" w:history="1">
        <w:r>
          <w:rPr>
            <w:color w:val="0A3A8C"/>
            <w:u w:val="single"/>
          </w:rPr>
          <w:t xml:space="preserve">972</w:t>
        </w:r>
      </w:hyperlink>
      <w:r>
        <w:t xml:space="preserve"> zustehenden Ansprüche auffordern. </w:t>
      </w:r>
      <w:r>
        <w:rPr>
          <w:rStyle w:val="Satznummer"/>
        </w:rPr>
        <w:t>2</w:t>
      </w:r>
      <w:r>
        <w:t>Mit dem Ablauf der für die Erklärung bestimmten Frist erwirbt der Finder das Eigentum und erlöschen die sonstigen Rechte an der Sache, wenn nicht die Empfangsberechtigten sich rechtzeitig zu der Befriedigung der Ansprüche bereit erklären.</w:t>
      </w:r>
    </w:p>
    <w:p>
      <w:pPr>
        <w:pStyle w:val="Heading5"/>
      </w:pPr>
      <w:bookmarkStart w:id="1461" w:name="b1446"/>
      <w:r>
        <w:t>§ 975 Rechte des Finders nach Ablieferung</w:t>
      </w:r>
      <w:r>
        <w:t xml:space="preserve"> </w:t>
      </w:r>
      <w:r>
        <w:rPr>
          <w:rStyle w:val="Suchmarke"/>
        </w:rPr>
        <w:t>#975#</w:t>
      </w:r>
      <w:bookmarkEnd w:id="1461"/>
    </w:p>
    <w:p>
      <w:r>
        <w:rPr>
          <w:rStyle w:val="Satznummer"/>
        </w:rPr>
        <w:t>1</w:t>
      </w:r>
      <w:r>
        <w:t xml:space="preserve">Durch die Ablieferung der Sache oder des Versteigerungserlöses an die zuständige Behörde werden die Rechte des Finders nicht berührt. </w:t>
      </w:r>
      <w:r>
        <w:rPr>
          <w:rStyle w:val="Satznummer"/>
        </w:rPr>
        <w:t>2</w:t>
      </w:r>
      <w:r>
        <w:t xml:space="preserve">Lässt die zuständige Behörde die Sache versteigern, so tritt der Erlös an die Stelle der Sache. </w:t>
      </w:r>
      <w:r>
        <w:rPr>
          <w:rStyle w:val="Satznummer"/>
        </w:rPr>
        <w:t>3</w:t>
      </w:r>
      <w:r>
        <w:t>Die zuständige Behörde darf die Sache oder den Erlös nur mit Zustimmung des Finders einem Empfangsberechtigten herausgeben.</w:t>
      </w:r>
    </w:p>
    <w:p>
      <w:pPr>
        <w:pStyle w:val="Heading5"/>
      </w:pPr>
      <w:bookmarkStart w:id="1462" w:name="b1447"/>
      <w:r>
        <w:t>§ 976 Eigentumserwerb der Gemeinde</w:t>
      </w:r>
      <w:r>
        <w:t xml:space="preserve"> </w:t>
      </w:r>
      <w:r>
        <w:rPr>
          <w:rStyle w:val="Suchmarke"/>
        </w:rPr>
        <w:t>#976#</w:t>
      </w:r>
      <w:bookmarkEnd w:id="1462"/>
    </w:p>
    <w:p>
      <w:r>
        <w:t>(1) Verzichtet der Finder der zuständigen Behörde gegenüber auf das Recht zum Erwerb des Eigentums an der Sache, so geht sein Recht auf die Gemeinde des Fundorts über.</w:t>
      </w:r>
    </w:p>
    <w:p>
      <w:r>
        <w:t xml:space="preserve">(2) Hat der Finder nach der Ablieferung der Sache oder des Versteigerungserlöses an die zuständige Behörde auf Grund der Vorschriften der </w:t>
      </w:r>
      <w:hyperlink w:anchor="b1444" w:history="1">
        <w:r>
          <w:rPr>
            <w:color w:val="0A3A8C"/>
            <w:u w:val="single"/>
          </w:rPr>
          <w:t xml:space="preserve">§§ 973</w:t>
        </w:r>
      </w:hyperlink>
      <w:r>
        <w:t xml:space="preserve">, </w:t>
      </w:r>
      <w:hyperlink w:anchor="b1445" w:history="1">
        <w:r>
          <w:rPr>
            <w:color w:val="0A3A8C"/>
            <w:u w:val="single"/>
          </w:rPr>
          <w:t xml:space="preserve">974</w:t>
        </w:r>
      </w:hyperlink>
      <w:r>
        <w:t xml:space="preserve"> das Eigentum erworben, so geht es auf die Gemeinde des Fundorts über, wenn nicht der Finder vor dem Ablauf einer ihm von der zuständigen Behörde bestimmten Frist die Herausgabe verlangt.</w:t>
      </w:r>
    </w:p>
    <w:p>
      <w:pPr>
        <w:pStyle w:val="Heading5"/>
      </w:pPr>
      <w:bookmarkStart w:id="1463" w:name="b1448"/>
      <w:r>
        <w:t>§ 977 Bereicherungsanspruch</w:t>
      </w:r>
      <w:r>
        <w:t xml:space="preserve"> </w:t>
      </w:r>
      <w:r>
        <w:rPr>
          <w:rStyle w:val="Suchmarke"/>
        </w:rPr>
        <w:t>#977#</w:t>
      </w:r>
      <w:bookmarkEnd w:id="1463"/>
    </w:p>
    <w:p>
      <w:r>
        <w:rPr>
          <w:rStyle w:val="Satznummer"/>
        </w:rPr>
        <w:t>1</w:t>
      </w:r>
      <w:r>
        <w:t xml:space="preserve">Wer infolge der Vorschriften der </w:t>
      </w:r>
      <w:hyperlink w:anchor="b1444" w:history="1">
        <w:r>
          <w:rPr>
            <w:color w:val="0A3A8C"/>
            <w:u w:val="single"/>
          </w:rPr>
          <w:t xml:space="preserve">§§ 973</w:t>
        </w:r>
      </w:hyperlink>
      <w:r>
        <w:t xml:space="preserve">, </w:t>
      </w:r>
      <w:hyperlink w:anchor="b1445" w:history="1">
        <w:r>
          <w:rPr>
            <w:color w:val="0A3A8C"/>
            <w:u w:val="single"/>
          </w:rPr>
          <w:t xml:space="preserve">974</w:t>
        </w:r>
      </w:hyperlink>
      <w:r>
        <w:t xml:space="preserve">, </w:t>
      </w:r>
      <w:hyperlink w:anchor="b1447" w:history="1">
        <w:r>
          <w:rPr>
            <w:color w:val="0A3A8C"/>
            <w:u w:val="single"/>
          </w:rPr>
          <w:t xml:space="preserve">976</w:t>
        </w:r>
      </w:hyperlink>
      <w:r>
        <w:t xml:space="preserve"> einen Rechtsverlust erleidet, kann in den Fällen der §§ 973, 974 von dem Finder, in den Fällen des § 976 von der Gemeinde des Fundorts die Herausgabe des durch die Rechtsänderung Erlangten nach den Vorschriften über die Herausgabe einer ungerechtfertigten Bereicherung fordern. </w:t>
      </w:r>
      <w:r>
        <w:rPr>
          <w:rStyle w:val="Satznummer"/>
        </w:rPr>
        <w:t>2</w:t>
      </w:r>
      <w:r>
        <w:t>Der Anspruch erlischt mit dem Ablauf von drei Jahren nach dem Übergang des Eigentums auf den Finder oder die Gemeinde, wenn nicht die gerichtliche Geltendmachung vorher erfolgt.</w:t>
      </w:r>
    </w:p>
    <w:p>
      <w:pPr>
        <w:pStyle w:val="Heading5"/>
      </w:pPr>
      <w:bookmarkStart w:id="1464" w:name="b1449"/>
      <w:r>
        <w:t>§ 978 Fund in öffentlicher Behörde oder Verkehrsanstalt</w:t>
      </w:r>
      <w:r>
        <w:t xml:space="preserve"> </w:t>
      </w:r>
      <w:r>
        <w:rPr>
          <w:rStyle w:val="Suchmarke"/>
        </w:rPr>
        <w:t>#978#</w:t>
      </w:r>
      <w:bookmarkEnd w:id="1464"/>
    </w:p>
    <w:p>
      <w:r>
        <w:t xml:space="preserve">(1) </w:t>
      </w:r>
      <w:r>
        <w:rPr>
          <w:rStyle w:val="Satznummer"/>
        </w:rPr>
        <w:t>1</w:t>
      </w:r>
      <w:r>
        <w:t xml:space="preserve">Wer eine Sache in den Geschäftsräumen oder den Beförderungsmitteln einer öffentlichen Behörde oder einer dem öffentlichen Verkehr dienenden Verkehrsanstalt findet und an sich nimmt, hat die Sache unverzüglich an die Behörde oder die Verkehrsanstalt oder an einen ihrer Angestellten abzuliefern. </w:t>
      </w:r>
      <w:r>
        <w:rPr>
          <w:rStyle w:val="Satznummer"/>
        </w:rPr>
        <w:t>2</w:t>
      </w:r>
      <w:r>
        <w:t xml:space="preserve">Die Vorschriften der </w:t>
      </w:r>
      <w:hyperlink w:anchor="b1436" w:history="1">
        <w:r>
          <w:rPr>
            <w:color w:val="0A3A8C"/>
            <w:u w:val="single"/>
          </w:rPr>
          <w:t xml:space="preserve">§§ 965</w:t>
        </w:r>
      </w:hyperlink>
      <w:r>
        <w:t xml:space="preserve"> bis </w:t>
      </w:r>
      <w:hyperlink w:anchor="b1438" w:history="1">
        <w:r>
          <w:rPr>
            <w:color w:val="0A3A8C"/>
            <w:u w:val="single"/>
          </w:rPr>
          <w:t xml:space="preserve">967</w:t>
        </w:r>
      </w:hyperlink>
      <w:r>
        <w:t xml:space="preserve"> und </w:t>
      </w:r>
      <w:hyperlink w:anchor="b1440" w:history="1">
        <w:r>
          <w:rPr>
            <w:color w:val="0A3A8C"/>
            <w:u w:val="single"/>
          </w:rPr>
          <w:t xml:space="preserve">969</w:t>
        </w:r>
      </w:hyperlink>
      <w:r>
        <w:t xml:space="preserve"> bis </w:t>
      </w:r>
      <w:hyperlink w:anchor="b1448" w:history="1">
        <w:r>
          <w:rPr>
            <w:color w:val="0A3A8C"/>
            <w:u w:val="single"/>
          </w:rPr>
          <w:t xml:space="preserve">977</w:t>
        </w:r>
      </w:hyperlink>
      <w:r>
        <w:t xml:space="preserve"> finden keine Anwendung.</w:t>
      </w:r>
    </w:p>
    <w:p>
      <w:r>
        <w:t xml:space="preserve">(2) </w:t>
      </w:r>
      <w:r>
        <w:rPr>
          <w:rStyle w:val="Satznummer"/>
        </w:rPr>
        <w:t>1</w:t>
      </w:r>
      <w:r>
        <w:t xml:space="preserve">Ist die Sache nicht weniger als 50 Euro wert, so kann der Finder von dem Empfangsberechtigten einen Finderlohn verlangen. </w:t>
      </w:r>
      <w:r>
        <w:rPr>
          <w:rStyle w:val="Satznummer"/>
        </w:rPr>
        <w:t>2</w:t>
      </w:r>
      <w:r>
        <w:t xml:space="preserve">Der Finderlohn besteht in der Hälfte des Betrags, der sich bei Anwendung des </w:t>
      </w:r>
      <w:hyperlink w:anchor="b1442" w:history="1">
        <w:r>
          <w:rPr>
            <w:color w:val="0A3A8C"/>
            <w:u w:val="single"/>
          </w:rPr>
          <w:t xml:space="preserve">§ 971</w:t>
        </w:r>
      </w:hyperlink>
      <w:r>
        <w:t xml:space="preserve"> Abs. 1 Satz 2, 3 ergeben würde. </w:t>
      </w:r>
      <w:r>
        <w:rPr>
          <w:rStyle w:val="Satznummer"/>
        </w:rPr>
        <w:t>3</w:t>
      </w:r>
      <w:r>
        <w:t xml:space="preserve">Der Anspruch ist ausgeschlossen, wenn der Finder Bediensteter der Behörde oder der Verkehrsanstalt ist oder der Finder die Ablieferungspflicht verletzt. </w:t>
      </w:r>
      <w:r>
        <w:rPr>
          <w:rStyle w:val="Satznummer"/>
        </w:rPr>
        <w:t>4</w:t>
      </w:r>
      <w:r>
        <w:t xml:space="preserve">Die für die Ansprüche des Besitzers gegen den Eigentümer wegen Verwendungen geltende Vorschrift des </w:t>
      </w:r>
      <w:hyperlink w:anchor="b1473" w:history="1">
        <w:r>
          <w:rPr>
            <w:color w:val="0A3A8C"/>
            <w:u w:val="single"/>
          </w:rPr>
          <w:t xml:space="preserve">§ 1001</w:t>
        </w:r>
      </w:hyperlink>
      <w:r>
        <w:t xml:space="preserve"> findet auf den Finderlohnanspruch entsprechende Anwendung. </w:t>
      </w:r>
      <w:r>
        <w:rPr>
          <w:rStyle w:val="Satznummer"/>
        </w:rPr>
        <w:t>5</w:t>
      </w:r>
      <w:r>
        <w:t>Besteht ein Anspruch auf Finderlohn, so hat die Behörde oder die Verkehrsanstalt dem Finder die Herausgabe der Sache an einen Empfangsberechtigten anzuzeigen.</w:t>
      </w:r>
    </w:p>
    <w:p>
      <w:r>
        <w:t xml:space="preserve">(3) </w:t>
      </w:r>
      <w:r>
        <w:rPr>
          <w:rStyle w:val="Satznummer"/>
        </w:rPr>
        <w:t>1</w:t>
      </w:r>
      <w:r>
        <w:t xml:space="preserve">Fällt der Versteigerungserlös oder gefundenes Geld an den nach § 981 Abs. 1 Berechtigten, so besteht ein Anspruch auf Finderlohn nach Absatz 2 Satz 1 bis 3 gegen diesen. </w:t>
      </w:r>
      <w:r>
        <w:rPr>
          <w:rStyle w:val="Satznummer"/>
        </w:rPr>
        <w:t>2</w:t>
      </w:r>
      <w:r>
        <w:t>Der Anspruch erlischt mit dem Ablauf von drei Jahren nach seiner Entstehung gegen den in Satz 1 bezeichneten Berechtigten.</w:t>
      </w:r>
    </w:p>
    <w:p>
      <w:pPr>
        <w:pStyle w:val="Heading5"/>
      </w:pPr>
      <w:bookmarkStart w:id="1465" w:name="b1450"/>
      <w:r>
        <w:t>§ 979 Verwertung; Verordnungsermächtigung</w:t>
      </w:r>
      <w:r>
        <w:t xml:space="preserve"> </w:t>
      </w:r>
      <w:r>
        <w:rPr>
          <w:rStyle w:val="Suchmarke"/>
        </w:rPr>
        <w:t>#979#</w:t>
      </w:r>
      <w:bookmarkEnd w:id="1465"/>
    </w:p>
    <w:p>
      <w:r>
        <w:t xml:space="preserve">(1) </w:t>
      </w:r>
      <w:r>
        <w:rPr>
          <w:rStyle w:val="Satznummer"/>
        </w:rPr>
        <w:t>1</w:t>
      </w:r>
      <w:r>
        <w:t xml:space="preserve">Die Behörde oder die Verkehrsanstalt kann die an sie abgelieferte Sache öffentlich versteigern lassen. </w:t>
      </w:r>
      <w:r>
        <w:rPr>
          <w:rStyle w:val="Satznummer"/>
        </w:rPr>
        <w:t>2</w:t>
      </w:r>
      <w:r>
        <w:t xml:space="preserve">Die öffentlichen Behörden und die Verkehrsanstalten des </w:t>
      </w:r>
      <w:r>
        <w:rPr>
          <w:i/>
        </w:rPr>
        <w:t>Reichs,</w:t>
      </w:r>
      <w:r>
        <w:t xml:space="preserve"> der </w:t>
      </w:r>
      <w:r>
        <w:rPr>
          <w:i/>
        </w:rPr>
        <w:t>Bundesstaaten</w:t>
      </w:r>
      <w:r>
        <w:t xml:space="preserve"> und der Gemeinden können die Versteigerung durch einen ihrer Beamten vornehmen lassen.</w:t>
      </w:r>
    </w:p>
    <w:p>
      <w:r>
        <w:t>(1a) Die Versteigerung kann nach Maßgabe der nachfolgenden Vorschriften auch als allgemein zugängliche Versteigerung im Internet über eine Versteigerungsplattform erfolgen.</w:t>
      </w:r>
    </w:p>
    <w:p>
      <w:r>
        <w:t xml:space="preserve">(1b) </w:t>
      </w:r>
      <w:r>
        <w:rPr>
          <w:rStyle w:val="Satznummer"/>
        </w:rPr>
        <w:t>1</w:t>
      </w:r>
      <w:r>
        <w:t xml:space="preserve">Die Bundesregierung wird ermächtigt, durch Rechtsverordnung ohne Zustimmung des Bundesrates für ihren Bereich Versteigerungsplattformen zur Versteigerung von Fundsachen zu bestimmen; sie kann diese Ermächtigung durch Rechtsverordnung auf die fachlich zuständigen obersten Bundesbehörden übertragen. </w:t>
      </w:r>
      <w:r>
        <w:rPr>
          <w:rStyle w:val="Satznummer"/>
        </w:rPr>
        <w:t>2</w:t>
      </w:r>
      <w:r>
        <w:t xml:space="preserve">Die Landesregierungen werden ermächtigt, durch Rechtsverordnung für ihren Bereich entsprechende Regelungen zu treffen; sie können die Ermächtigung auf die fachlich zuständigen obersten Landesbehörden übertragen. </w:t>
      </w:r>
      <w:r>
        <w:rPr>
          <w:rStyle w:val="Satznummer"/>
        </w:rPr>
        <w:t>3</w:t>
      </w:r>
      <w:r>
        <w:t xml:space="preserve">Die Länder können Versteigerungsplattformen bestimmen, die sie länderübergreifend nutzen. </w:t>
      </w:r>
      <w:r>
        <w:rPr>
          <w:rStyle w:val="Satznummer"/>
        </w:rPr>
        <w:t>4</w:t>
      </w:r>
      <w:r>
        <w:t>Sie können eine Übertragung von Abwicklungsaufgaben auf die zuständige Stelle eines anderen Landes vereinbaren.</w:t>
      </w:r>
    </w:p>
    <w:p>
      <w:r>
        <w:t>(2) Der Erlös tritt an die Stelle der Sache.</w:t>
      </w:r>
    </w:p>
    <w:p>
      <w:pPr>
        <w:pStyle w:val="Heading5"/>
      </w:pPr>
      <w:bookmarkStart w:id="1466" w:name="b1451"/>
      <w:r>
        <w:t>§ 980 Öffentliche Bekanntmachung des Fundes</w:t>
      </w:r>
      <w:r>
        <w:t xml:space="preserve"> </w:t>
      </w:r>
      <w:r>
        <w:rPr>
          <w:rStyle w:val="Suchmarke"/>
        </w:rPr>
        <w:t>#980#</w:t>
      </w:r>
      <w:bookmarkEnd w:id="1466"/>
    </w:p>
    <w:p>
      <w:r>
        <w:t>(1) Die Versteigerung ist erst zulässig, nachdem die Empfangsberechtigten in einer öffentlichen Bekanntmachung des Fundes zur Anmeldung ihrer Rechte unter Bestimmung einer Frist aufgefordert worden sind und die Frist verstrichen ist; sie ist unzulässig, wenn eine Anmeldung rechtzeitig erfolgt ist.</w:t>
      </w:r>
    </w:p>
    <w:p>
      <w:r>
        <w:t>(2) Die Bekanntmachung ist nicht erforderlich, wenn der Verderb der Sache zu besorgen oder die Aufbewahrung mit unverhältnismäßigen Kosten verbunden ist.</w:t>
      </w:r>
    </w:p>
    <w:p>
      <w:pPr>
        <w:pStyle w:val="Heading5"/>
      </w:pPr>
      <w:bookmarkStart w:id="1467" w:name="b1452"/>
      <w:r>
        <w:t>§ 981 Empfang des Versteigerungserlöses</w:t>
      </w:r>
      <w:r>
        <w:t xml:space="preserve"> </w:t>
      </w:r>
      <w:r>
        <w:rPr>
          <w:rStyle w:val="Suchmarke"/>
        </w:rPr>
        <w:t>#981#</w:t>
      </w:r>
      <w:bookmarkEnd w:id="1467"/>
    </w:p>
    <w:p>
      <w:r>
        <w:t xml:space="preserve">(1) Sind seit dem Ablauf der in der öffentlichen Bekanntmachung bestimmten Frist drei Jahre verstrichen, so fällt der Versteigerungserlös, wenn nicht ein Empfangsberechtigter sein Recht angemeldet hat, bei </w:t>
      </w:r>
      <w:r>
        <w:rPr>
          <w:i/>
        </w:rPr>
        <w:t>Reichs</w:t>
      </w:r>
      <w:r>
        <w:t xml:space="preserve">behörden und </w:t>
      </w:r>
      <w:r>
        <w:rPr>
          <w:i/>
        </w:rPr>
        <w:t>Reichs</w:t>
      </w:r>
      <w:r>
        <w:t xml:space="preserve">anstalten an den </w:t>
      </w:r>
      <w:r>
        <w:rPr>
          <w:i/>
        </w:rPr>
        <w:t>Reichs</w:t>
      </w:r>
      <w:r>
        <w:t xml:space="preserve">fiskus, bei Landesbehörden und Landesanstalten an den Fiskus des </w:t>
      </w:r>
      <w:r>
        <w:rPr>
          <w:i/>
        </w:rPr>
        <w:t>Bundesstaats,</w:t>
      </w:r>
      <w:r>
        <w:t xml:space="preserve"> bei Gemeindebehörden und Gemeindeanstalten an die Gemeinde, bei Verkehrsanstalten, die von einer Privatperson betrieben werden, an diese.</w:t>
      </w:r>
    </w:p>
    <w:p>
      <w:r>
        <w:t xml:space="preserve">(2) </w:t>
      </w:r>
      <w:r>
        <w:rPr>
          <w:rStyle w:val="Satznummer"/>
        </w:rPr>
        <w:t>1</w:t>
      </w:r>
      <w:r>
        <w:t xml:space="preserve">Ist die Versteigerung ohne die öffentliche Bekanntmachung erfolgt, so beginnt die dreijährige Frist erst, nachdem die Empfangsberechtigten in einer öffentlichen Bekanntmachung des Fundes zur Anmeldung ihrer Rechte aufgefordert worden sind. </w:t>
      </w:r>
      <w:r>
        <w:rPr>
          <w:rStyle w:val="Satznummer"/>
        </w:rPr>
        <w:t>2</w:t>
      </w:r>
      <w:r>
        <w:t>Das Gleiche gilt, wenn gefundenes Geld abgeliefert worden ist.</w:t>
      </w:r>
    </w:p>
    <w:p>
      <w:r>
        <w:t>(3) Die Kosten werden von dem herauszugebenden Betrag abgezogen.</w:t>
      </w:r>
    </w:p>
    <w:p>
      <w:pPr>
        <w:pStyle w:val="Heading5"/>
      </w:pPr>
      <w:bookmarkStart w:id="1468" w:name="b1453"/>
      <w:r>
        <w:t>§ 982 Ausführungsvorschriften</w:t>
      </w:r>
      <w:r>
        <w:t xml:space="preserve"> </w:t>
      </w:r>
      <w:r>
        <w:rPr>
          <w:rStyle w:val="Suchmarke"/>
        </w:rPr>
        <w:t>#982#</w:t>
      </w:r>
      <w:bookmarkEnd w:id="1468"/>
    </w:p>
    <w:p>
      <w:r>
        <w:t xml:space="preserve">Die in den </w:t>
      </w:r>
      <w:hyperlink w:anchor="b1451" w:history="1">
        <w:r>
          <w:rPr>
            <w:color w:val="0A3A8C"/>
            <w:u w:val="single"/>
          </w:rPr>
          <w:t xml:space="preserve">§§ 980</w:t>
        </w:r>
      </w:hyperlink>
      <w:r>
        <w:t xml:space="preserve">, </w:t>
      </w:r>
      <w:hyperlink w:anchor="b1452" w:history="1">
        <w:r>
          <w:rPr>
            <w:color w:val="0A3A8C"/>
            <w:u w:val="single"/>
          </w:rPr>
          <w:t xml:space="preserve">981</w:t>
        </w:r>
      </w:hyperlink>
      <w:r>
        <w:t xml:space="preserve"> vorgeschriebene Bekanntmachung erfolgt bei </w:t>
      </w:r>
      <w:r>
        <w:rPr>
          <w:i/>
        </w:rPr>
        <w:t>Reichs</w:t>
      </w:r>
      <w:r>
        <w:t xml:space="preserve">behörden und </w:t>
      </w:r>
      <w:r>
        <w:rPr>
          <w:i/>
        </w:rPr>
        <w:t>Reichs</w:t>
      </w:r>
      <w:r>
        <w:t xml:space="preserve">anstalten nach den von dem </w:t>
      </w:r>
      <w:r>
        <w:rPr>
          <w:i/>
        </w:rPr>
        <w:t>Bundesrat,</w:t>
      </w:r>
      <w:r>
        <w:t xml:space="preserve"> in den übrigen Fällen nach den von der Zentralbehörde des </w:t>
      </w:r>
      <w:r>
        <w:rPr>
          <w:i/>
        </w:rPr>
        <w:t>Bundesstaats</w:t>
      </w:r>
      <w:r>
        <w:t xml:space="preserve"> erlassenen Vorschriften.</w:t>
      </w:r>
    </w:p>
    <w:p>
      <w:pPr>
        <w:pStyle w:val="Heading5"/>
      </w:pPr>
      <w:bookmarkStart w:id="1469" w:name="b1454"/>
      <w:r>
        <w:t>§ 983 Unanbringbare Sachen bei Behörden</w:t>
      </w:r>
      <w:r>
        <w:t xml:space="preserve"> </w:t>
      </w:r>
      <w:r>
        <w:rPr>
          <w:rStyle w:val="Suchmarke"/>
        </w:rPr>
        <w:t>#983#</w:t>
      </w:r>
      <w:bookmarkEnd w:id="1469"/>
    </w:p>
    <w:p>
      <w:r>
        <w:t xml:space="preserve">Ist eine öffentliche Behörde im Besitz einer Sache, zu deren Herausgabe sie verpflichtet ist, ohne dass die Verpflichtung auf Vertrag beruht, so finden, wenn der Behörde der Empfangsberechtigte oder dessen Aufenthalt unbekannt ist, die Vorschriften der </w:t>
      </w:r>
      <w:hyperlink w:anchor="b1450" w:history="1">
        <w:r>
          <w:rPr>
            <w:color w:val="0A3A8C"/>
            <w:u w:val="single"/>
          </w:rPr>
          <w:t xml:space="preserve">§§ 979</w:t>
        </w:r>
      </w:hyperlink>
      <w:r>
        <w:t xml:space="preserve"> bis </w:t>
      </w:r>
      <w:hyperlink w:anchor="b1453" w:history="1">
        <w:r>
          <w:rPr>
            <w:color w:val="0A3A8C"/>
            <w:u w:val="single"/>
          </w:rPr>
          <w:t xml:space="preserve">982</w:t>
        </w:r>
      </w:hyperlink>
      <w:r>
        <w:t xml:space="preserve"> entsprechende Anwendung.</w:t>
      </w:r>
    </w:p>
    <w:p>
      <w:pPr>
        <w:pStyle w:val="Heading5"/>
      </w:pPr>
      <w:bookmarkStart w:id="1470" w:name="b1455"/>
      <w:r>
        <w:t>§ 984 Schatzfund</w:t>
      </w:r>
      <w:r>
        <w:t xml:space="preserve"> </w:t>
      </w:r>
      <w:r>
        <w:rPr>
          <w:rStyle w:val="Suchmarke"/>
        </w:rPr>
        <w:t>#984#</w:t>
      </w:r>
      <w:bookmarkEnd w:id="1470"/>
    </w:p>
    <w:p>
      <w:r>
        <w:t>Wird eine Sache, die so lange verborgen gelegen hat, dass der Eigentümer nicht mehr zu ermitteln ist (Schatz), entdeckt und infolge der Entdeckung in Besitz genommen, so wird das Eigentum zur Hälfte von dem Entdecker, zur Hälfte von dem Eigentümer der Sache erworben, in welcher der Schatz verborgen war.</w:t>
      </w:r>
    </w:p>
    <w:p>
      <w:pPr>
        <w:pStyle w:val="Heading3"/>
      </w:pPr>
      <w:bookmarkStart w:id="1471" w:name="b1456"/>
      <w:r>
        <w:t>Titel 4 Ansprüche aus dem Eigentum</w:t>
      </w:r>
      <w:bookmarkEnd w:id="1471"/>
    </w:p>
    <w:p>
      <w:pPr>
        <w:pStyle w:val="Heading4"/>
      </w:pPr>
      <w:bookmarkStart w:id="1472" w:name="b1457"/>
      <w:r>
        <w:t>§ 985 Herausgabeanspruch</w:t>
      </w:r>
      <w:r>
        <w:t xml:space="preserve"> </w:t>
      </w:r>
      <w:r>
        <w:rPr>
          <w:rStyle w:val="Suchmarke"/>
        </w:rPr>
        <w:t>#985#</w:t>
      </w:r>
      <w:bookmarkEnd w:id="1472"/>
    </w:p>
    <w:p>
      <w:r>
        <w:t>Der Eigentümer kann von dem Besitzer die Herausgabe der Sache verlangen.</w:t>
      </w:r>
    </w:p>
    <w:p>
      <w:pPr>
        <w:pStyle w:val="Heading4"/>
      </w:pPr>
      <w:bookmarkStart w:id="1473" w:name="b1458"/>
      <w:r>
        <w:t>§ 986 Einwendungen des Besitzers</w:t>
      </w:r>
      <w:r>
        <w:t xml:space="preserve"> </w:t>
      </w:r>
      <w:r>
        <w:rPr>
          <w:rStyle w:val="Suchmarke"/>
        </w:rPr>
        <w:t>#986#</w:t>
      </w:r>
      <w:bookmarkEnd w:id="1473"/>
    </w:p>
    <w:p>
      <w:r>
        <w:t xml:space="preserve">(1) </w:t>
      </w:r>
      <w:r>
        <w:rPr>
          <w:rStyle w:val="Satznummer"/>
        </w:rPr>
        <w:t>1</w:t>
      </w:r>
      <w:r>
        <w:t xml:space="preserve">Der Besitzer kann die Herausgabe der Sache verweigern, wenn er oder der mittelbare Besitzer, von dem er sein Recht zum Besitz ableitet, dem Eigentümer gegenüber zum Besitz berechtigt ist. </w:t>
      </w:r>
      <w:r>
        <w:rPr>
          <w:rStyle w:val="Satznummer"/>
        </w:rPr>
        <w:t>2</w:t>
      </w:r>
      <w:r>
        <w:t>Ist der mittelbare Besitzer dem Eigentümer gegenüber zur Überlassung des Besitzes an den Besitzer nicht befugt, so kann der Eigentümer von dem Besitzer die Herausgabe der Sache an den mittelbaren Besitzer oder, wenn dieser den Besitz nicht wieder übernehmen kann oder will, an sich selbst verlangen.</w:t>
      </w:r>
    </w:p>
    <w:p>
      <w:r>
        <w:t xml:space="preserve">(2) Der Besitzer einer Sache, die nach </w:t>
      </w:r>
      <w:hyperlink w:anchor="b1396" w:history="1">
        <w:r>
          <w:rPr>
            <w:color w:val="0A3A8C"/>
            <w:u w:val="single"/>
          </w:rPr>
          <w:t xml:space="preserve">§ 931</w:t>
        </w:r>
      </w:hyperlink>
      <w:r>
        <w:t xml:space="preserve"> durch Abtretung des Anspruchs auf Herausgabe veräußert worden ist, kann dem neuen Eigentümer die Einwendungen entgegensetzen, welche ihm gegen den abgetretenen Anspruch zustehen.</w:t>
      </w:r>
    </w:p>
    <w:p>
      <w:pPr>
        <w:pStyle w:val="Heading4"/>
      </w:pPr>
      <w:bookmarkStart w:id="1474" w:name="b1459"/>
      <w:r>
        <w:t>§ 987 Nutzungen nach Rechtshängigkeit</w:t>
      </w:r>
      <w:r>
        <w:t xml:space="preserve"> </w:t>
      </w:r>
      <w:r>
        <w:rPr>
          <w:rStyle w:val="Suchmarke"/>
        </w:rPr>
        <w:t>#987#</w:t>
      </w:r>
      <w:bookmarkEnd w:id="1474"/>
    </w:p>
    <w:p>
      <w:r>
        <w:t>(1) Der Besitzer hat dem Eigentümer die Nutzungen herauszugeben, die er nach dem Eintritt der Rechtshängigkeit zieht.</w:t>
      </w:r>
    </w:p>
    <w:p>
      <w:r>
        <w:t>(2) Zieht der Besitzer nach dem Eintritt der Rechtshängigkeit Nutzungen nicht, die er nach den Regeln einer ordnungsmäßigen Wirtschaft ziehen könnte, so ist er dem Eigentümer zum Ersatz verpflichtet, soweit ihm ein Verschulden zur Last fällt.</w:t>
      </w:r>
    </w:p>
    <w:p>
      <w:pPr>
        <w:pStyle w:val="Heading4"/>
      </w:pPr>
      <w:bookmarkStart w:id="1475" w:name="b1460"/>
      <w:r>
        <w:t>§ 988 Nutzungen des unentgeltlichen Besitzers</w:t>
      </w:r>
      <w:r>
        <w:t xml:space="preserve"> </w:t>
      </w:r>
      <w:r>
        <w:rPr>
          <w:rStyle w:val="Suchmarke"/>
        </w:rPr>
        <w:t>#988#</w:t>
      </w:r>
      <w:bookmarkEnd w:id="1475"/>
    </w:p>
    <w:p>
      <w:r>
        <w:t>Hat ein Besitzer, der die Sache als ihm gehörig oder zum Zwecke der Ausübung eines ihm in Wirklichkeit nicht zustehenden Nutzungsrechts an der Sache besitzt, den Besitz unentgeltlich erlangt, so ist er dem Eigentümer gegenüber zur Herausgabe der Nutzungen, die er vor dem Eintritt der Rechtshängigkeit zieht, nach den Vorschriften über die Herausgabe einer ungerechtfertigten Bereicherung verpflichtet.</w:t>
      </w:r>
    </w:p>
    <w:p>
      <w:pPr>
        <w:pStyle w:val="Heading4"/>
      </w:pPr>
      <w:bookmarkStart w:id="1476" w:name="b1461"/>
      <w:r>
        <w:t>§ 989 Schadensersatz nach Rechtshängigkeit</w:t>
      </w:r>
      <w:r>
        <w:t xml:space="preserve"> </w:t>
      </w:r>
      <w:r>
        <w:rPr>
          <w:rStyle w:val="Suchmarke"/>
        </w:rPr>
        <w:t>#989#</w:t>
      </w:r>
      <w:bookmarkEnd w:id="1476"/>
    </w:p>
    <w:p>
      <w:r>
        <w:t>Der Besitzer ist von dem Eintritt der Rechtshängigkeit an dem Eigentümer für den Schaden verantwortlich, der dadurch entsteht, dass infolge seines Verschuldens die Sache verschlechtert wird, untergeht oder aus einem anderen Grunde von ihm nicht herausgegeben werden kann.</w:t>
      </w:r>
    </w:p>
    <w:p>
      <w:pPr>
        <w:pStyle w:val="Heading4"/>
      </w:pPr>
      <w:bookmarkStart w:id="1477" w:name="b1462"/>
      <w:r>
        <w:t>§ 990 Haftung des Besitzers bei Kenntnis</w:t>
      </w:r>
      <w:r>
        <w:t xml:space="preserve"> </w:t>
      </w:r>
      <w:r>
        <w:rPr>
          <w:rStyle w:val="Suchmarke"/>
        </w:rPr>
        <w:t>#990#</w:t>
      </w:r>
      <w:bookmarkEnd w:id="1477"/>
    </w:p>
    <w:p>
      <w:r>
        <w:t xml:space="preserve">(1) </w:t>
      </w:r>
      <w:r>
        <w:rPr>
          <w:rStyle w:val="Satznummer"/>
        </w:rPr>
        <w:t>1</w:t>
      </w:r>
      <w:r>
        <w:t xml:space="preserve">War der Besitzer bei dem Erwerb des Besitzes nicht in gutem Glauben, so haftet er dem Eigentümer von der Zeit des Erwerbs an nach den </w:t>
      </w:r>
      <w:hyperlink w:anchor="b1459" w:history="1">
        <w:r>
          <w:rPr>
            <w:color w:val="0A3A8C"/>
            <w:u w:val="single"/>
          </w:rPr>
          <w:t xml:space="preserve">§§ 987</w:t>
        </w:r>
      </w:hyperlink>
      <w:r>
        <w:t xml:space="preserve">, </w:t>
      </w:r>
      <w:hyperlink w:anchor="b1461" w:history="1">
        <w:r>
          <w:rPr>
            <w:color w:val="0A3A8C"/>
            <w:u w:val="single"/>
          </w:rPr>
          <w:t xml:space="preserve">989</w:t>
        </w:r>
      </w:hyperlink>
      <w:r>
        <w:t xml:space="preserve">. </w:t>
      </w:r>
      <w:r>
        <w:rPr>
          <w:rStyle w:val="Satznummer"/>
        </w:rPr>
        <w:t>2</w:t>
      </w:r>
      <w:r>
        <w:t>Erfährt der Besitzer später, dass er zum Besitz nicht berechtigt ist, so haftet er in gleicher Weise von der Erlangung der Kenntnis an.</w:t>
      </w:r>
    </w:p>
    <w:p>
      <w:r>
        <w:t>(2) Eine weitergehende Haftung des Besitzers wegen Verzugs bleibt unberührt.</w:t>
      </w:r>
    </w:p>
    <w:p>
      <w:pPr>
        <w:pStyle w:val="Heading4"/>
      </w:pPr>
      <w:bookmarkStart w:id="1478" w:name="b1463"/>
      <w:r>
        <w:t>§ 991 Haftung des Besitzmittlers</w:t>
      </w:r>
      <w:r>
        <w:t xml:space="preserve"> </w:t>
      </w:r>
      <w:r>
        <w:rPr>
          <w:rStyle w:val="Suchmarke"/>
        </w:rPr>
        <w:t>#991#</w:t>
      </w:r>
      <w:bookmarkEnd w:id="1478"/>
    </w:p>
    <w:p>
      <w:r>
        <w:t xml:space="preserve">(1) Leitet der Besitzer das Recht zum Besitz von einem mittelbaren Besitzer ab, so findet die Vorschrift des § 990 in Ansehung der Nutzungen nur Anwendung, wenn die Voraussetzungen des </w:t>
      </w:r>
      <w:hyperlink w:anchor="b1462" w:history="1">
        <w:r>
          <w:rPr>
            <w:color w:val="0A3A8C"/>
            <w:u w:val="single"/>
          </w:rPr>
          <w:t xml:space="preserve">§ 990</w:t>
        </w:r>
      </w:hyperlink>
      <w:r>
        <w:t xml:space="preserve"> auch bei dem mittelbaren Besitzer vorliegen oder diesem gegenüber die Rechtshängigkeit eingetreten ist.</w:t>
      </w:r>
    </w:p>
    <w:p>
      <w:r>
        <w:t xml:space="preserve">(2) War der Besitzer bei dem Erwerb des Besitzes in gutem Glauben, so hat er gleichwohl von dem Erwerb an den im </w:t>
      </w:r>
      <w:hyperlink w:anchor="b1461" w:history="1">
        <w:r>
          <w:rPr>
            <w:color w:val="0A3A8C"/>
            <w:u w:val="single"/>
          </w:rPr>
          <w:t xml:space="preserve">§ 989</w:t>
        </w:r>
      </w:hyperlink>
      <w:r>
        <w:t xml:space="preserve"> bezeichneten Schaden dem Eigentümer gegenüber insoweit zu vertreten, als er dem mittelbaren Besitzer verantwortlich ist.</w:t>
      </w:r>
    </w:p>
    <w:p>
      <w:pPr>
        <w:pStyle w:val="Heading4"/>
      </w:pPr>
      <w:bookmarkStart w:id="1479" w:name="b1464"/>
      <w:r>
        <w:t>§ 992 Haftung des deliktischen Besitzers</w:t>
      </w:r>
      <w:r>
        <w:t xml:space="preserve"> </w:t>
      </w:r>
      <w:r>
        <w:rPr>
          <w:rStyle w:val="Suchmarke"/>
        </w:rPr>
        <w:t>#992#</w:t>
      </w:r>
      <w:bookmarkEnd w:id="1479"/>
    </w:p>
    <w:p>
      <w:r>
        <w:t>Hat sich der Besitzer durch verbotene Eigenmacht oder durch eine Straftat den Besitz verschafft, so haftet er dem Eigentümer nach den Vorschriften über den Schadensersatz wegen unerlaubter Handlungen.</w:t>
      </w:r>
    </w:p>
    <w:p>
      <w:pPr>
        <w:pStyle w:val="Heading4"/>
      </w:pPr>
      <w:bookmarkStart w:id="1480" w:name="b1465"/>
      <w:r>
        <w:t>§ 993 Haftung des redlichen Besitzers</w:t>
      </w:r>
      <w:r>
        <w:t xml:space="preserve"> </w:t>
      </w:r>
      <w:r>
        <w:rPr>
          <w:rStyle w:val="Suchmarke"/>
        </w:rPr>
        <w:t>#993#</w:t>
      </w:r>
      <w:bookmarkEnd w:id="1480"/>
    </w:p>
    <w:p>
      <w:r>
        <w:t xml:space="preserve">(1) Liegen die in den </w:t>
      </w:r>
      <w:hyperlink w:anchor="b1459" w:history="1">
        <w:r>
          <w:rPr>
            <w:color w:val="0A3A8C"/>
            <w:u w:val="single"/>
          </w:rPr>
          <w:t xml:space="preserve">§§ 987</w:t>
        </w:r>
      </w:hyperlink>
      <w:r>
        <w:t xml:space="preserve"> bis </w:t>
      </w:r>
      <w:hyperlink w:anchor="b1464" w:history="1">
        <w:r>
          <w:rPr>
            <w:color w:val="0A3A8C"/>
            <w:u w:val="single"/>
          </w:rPr>
          <w:t xml:space="preserve">992</w:t>
        </w:r>
      </w:hyperlink>
      <w:r>
        <w:t xml:space="preserve"> bezeichneten Voraussetzungen nicht vor, so hat der Besitzer die gezogenen Früchte, soweit sie nach den Regeln einer ordnungsmäßigen Wirtschaft nicht als Ertrag der Sache anzusehen sind, nach den Vorschriften über die Herausgabe einer ungerechtfertigten Bereicherung herauszugeben; im Übrigen ist er weder zur Herausgabe von Nutzungen noch zum Schadensersatz verpflichtet.</w:t>
      </w:r>
    </w:p>
    <w:p>
      <w:r>
        <w:t>(2) Für die Zeit, für welche dem Besitzer die Nutzungen verbleiben, findet auf ihn die Vorschrift des § 101 Anwendung.</w:t>
      </w:r>
    </w:p>
    <w:p>
      <w:pPr>
        <w:pStyle w:val="Heading4"/>
      </w:pPr>
      <w:bookmarkStart w:id="1481" w:name="b1466"/>
      <w:r>
        <w:t>§ 994 Notwendige Verwendungen</w:t>
      </w:r>
      <w:r>
        <w:t xml:space="preserve"> </w:t>
      </w:r>
      <w:r>
        <w:rPr>
          <w:rStyle w:val="Suchmarke"/>
        </w:rPr>
        <w:t>#994#</w:t>
      </w:r>
      <w:bookmarkEnd w:id="1481"/>
    </w:p>
    <w:p>
      <w:r>
        <w:t xml:space="preserve">(1) </w:t>
      </w:r>
      <w:r>
        <w:rPr>
          <w:rStyle w:val="Satznummer"/>
        </w:rPr>
        <w:t>1</w:t>
      </w:r>
      <w:r>
        <w:t xml:space="preserve">Der Besitzer kann für die auf die Sache gemachten notwendigen Verwendungen von dem Eigentümer Ersatz verlangen. </w:t>
      </w:r>
      <w:r>
        <w:rPr>
          <w:rStyle w:val="Satznummer"/>
        </w:rPr>
        <w:t>2</w:t>
      </w:r>
      <w:r>
        <w:t>Die gewöhnlichen Erhaltungskosten sind ihm jedoch für die Zeit, für welche ihm die Nutzungen verbleiben, nicht zu ersetzen.</w:t>
      </w:r>
    </w:p>
    <w:p>
      <w:r>
        <w:t xml:space="preserve">(2) Macht der Besitzer nach dem Eintritt der Rechtshängigkeit oder nach dem Beginn der in </w:t>
      </w:r>
      <w:hyperlink w:anchor="b1462" w:history="1">
        <w:r>
          <w:rPr>
            <w:color w:val="0A3A8C"/>
            <w:u w:val="single"/>
          </w:rPr>
          <w:t xml:space="preserve">§ 990</w:t>
        </w:r>
      </w:hyperlink>
      <w:r>
        <w:t xml:space="preserve"> bestimmten Haftung notwendige Verwendungen, so bestimmt sich die Ersatzpflicht des Eigentümers nach den Vorschriften über die Geschäftsführung ohne Auftrag.</w:t>
      </w:r>
    </w:p>
    <w:p>
      <w:pPr>
        <w:pStyle w:val="Heading4"/>
      </w:pPr>
      <w:bookmarkStart w:id="1482" w:name="b1467"/>
      <w:r>
        <w:t>§ 995 Lasten</w:t>
      </w:r>
      <w:r>
        <w:t xml:space="preserve"> </w:t>
      </w:r>
      <w:r>
        <w:rPr>
          <w:rStyle w:val="Suchmarke"/>
        </w:rPr>
        <w:t>#995#</w:t>
      </w:r>
      <w:bookmarkEnd w:id="1482"/>
    </w:p>
    <w:p>
      <w:r>
        <w:rPr>
          <w:rStyle w:val="Satznummer"/>
        </w:rPr>
        <w:t>1</w:t>
      </w:r>
      <w:r>
        <w:t xml:space="preserve">Zu den notwendigen Verwendungen im Sinne des </w:t>
      </w:r>
      <w:hyperlink w:anchor="b1466" w:history="1">
        <w:r>
          <w:rPr>
            <w:color w:val="0A3A8C"/>
            <w:u w:val="single"/>
          </w:rPr>
          <w:t xml:space="preserve">§ 994</w:t>
        </w:r>
      </w:hyperlink>
      <w:r>
        <w:t xml:space="preserve"> gehören auch die Aufwendungen, die der Besitzer zur Bestreitung von Lasten der Sache macht. </w:t>
      </w:r>
      <w:r>
        <w:rPr>
          <w:rStyle w:val="Satznummer"/>
        </w:rPr>
        <w:t>2</w:t>
      </w:r>
      <w:r>
        <w:t>Für die Zeit, für welche dem Besitzer die Nutzungen verbleiben, sind ihm nur die Aufwendungen für solche außerordentliche Lasten zu ersetzen, die als auf den Stammwert der Sache gelegt anzusehen sind.</w:t>
      </w:r>
    </w:p>
    <w:p>
      <w:pPr>
        <w:pStyle w:val="Heading4"/>
      </w:pPr>
      <w:bookmarkStart w:id="1483" w:name="b1468"/>
      <w:r>
        <w:t>§ 996 Nützliche Verwendungen</w:t>
      </w:r>
      <w:r>
        <w:t xml:space="preserve"> </w:t>
      </w:r>
      <w:r>
        <w:rPr>
          <w:rStyle w:val="Suchmarke"/>
        </w:rPr>
        <w:t>#996#</w:t>
      </w:r>
      <w:bookmarkEnd w:id="1483"/>
    </w:p>
    <w:p>
      <w:r>
        <w:t xml:space="preserve">Für andere als notwendige Verwendungen kann der Besitzer Ersatz nur insoweit verlangen, als sie vor dem Eintritt der Rechtshängigkeit und vor dem Beginn der in </w:t>
      </w:r>
      <w:hyperlink w:anchor="b1462" w:history="1">
        <w:r>
          <w:rPr>
            <w:color w:val="0A3A8C"/>
            <w:u w:val="single"/>
          </w:rPr>
          <w:t xml:space="preserve">§ 990</w:t>
        </w:r>
      </w:hyperlink>
      <w:r>
        <w:t xml:space="preserve"> bestimmten Haftung gemacht werden und der Wert der Sache durch sie noch zu der Zeit erhöht ist, zu welcher der Eigentümer die Sache wiedererlangt.</w:t>
      </w:r>
    </w:p>
    <w:p>
      <w:pPr>
        <w:pStyle w:val="Heading4"/>
      </w:pPr>
      <w:bookmarkStart w:id="1484" w:name="b1469"/>
      <w:r>
        <w:t>§ 997 Wegnahmerecht</w:t>
      </w:r>
      <w:r>
        <w:t xml:space="preserve"> </w:t>
      </w:r>
      <w:r>
        <w:rPr>
          <w:rStyle w:val="Suchmarke"/>
        </w:rPr>
        <w:t>#997#</w:t>
      </w:r>
      <w:bookmarkEnd w:id="1484"/>
    </w:p>
    <w:p>
      <w:r>
        <w:t xml:space="preserve">(1) </w:t>
      </w:r>
      <w:r>
        <w:rPr>
          <w:rStyle w:val="Satznummer"/>
        </w:rPr>
        <w:t>1</w:t>
      </w:r>
      <w:r>
        <w:t xml:space="preserve">Hat der Besitzer mit der Sache eine andere Sache als wesentlichen Bestandteil verbunden, so kann er sie abtrennen und sich aneignen. </w:t>
      </w:r>
      <w:r>
        <w:rPr>
          <w:rStyle w:val="Satznummer"/>
        </w:rPr>
        <w:t>2</w:t>
      </w:r>
      <w:r>
        <w:t xml:space="preserve">Die Vorschrift des </w:t>
      </w:r>
      <w:hyperlink w:anchor="b300" w:history="1">
        <w:r>
          <w:rPr>
            <w:color w:val="0A3A8C"/>
            <w:u w:val="single"/>
          </w:rPr>
          <w:t xml:space="preserve">§ 258</w:t>
        </w:r>
      </w:hyperlink>
      <w:r>
        <w:t xml:space="preserve"> findet Anwendung.</w:t>
      </w:r>
    </w:p>
    <w:p>
      <w:r>
        <w:t xml:space="preserve">(2) Das Recht zur Abtrennung ist ausgeschlossen, wenn der Besitzer nach </w:t>
      </w:r>
      <w:hyperlink w:anchor="b1466" w:history="1">
        <w:r>
          <w:rPr>
            <w:color w:val="0A3A8C"/>
            <w:u w:val="single"/>
          </w:rPr>
          <w:t xml:space="preserve">§ 994</w:t>
        </w:r>
      </w:hyperlink>
      <w:r>
        <w:t xml:space="preserve"> Abs. 1 Satz 2 für die Verwendung Ersatz nicht verlangen kann oder die Abtrennung für ihn keinen Nutzen hat oder ihm mindestens der Wert ersetzt wird, den der Bestandteil nach der Abtrennung für ihn haben würde.</w:t>
      </w:r>
    </w:p>
    <w:p>
      <w:pPr>
        <w:pStyle w:val="Heading4"/>
      </w:pPr>
      <w:bookmarkStart w:id="1485" w:name="b1470"/>
      <w:r>
        <w:t>§ 998 Bestellungskosten bei landwirtschaftlichem Grundstück</w:t>
      </w:r>
      <w:r>
        <w:t xml:space="preserve"> </w:t>
      </w:r>
      <w:r>
        <w:rPr>
          <w:rStyle w:val="Suchmarke"/>
        </w:rPr>
        <w:t>#998#</w:t>
      </w:r>
      <w:bookmarkEnd w:id="1485"/>
    </w:p>
    <w:p>
      <w:r>
        <w:t>Ist ein landwirtschaftliches Grundstück herauszugeben, so hat der Eigentümer die Kosten, die der Besitzer auf die noch nicht getrennten, jedoch nach den Regeln einer ordnungsmäßigen Wirtschaft vor dem Ende des Wirtschaftsjahrs zu trennenden Früchte verwendet hat, insoweit zu ersetzen, als sie einer ordnungsmäßigen Wirtschaft entsprechen und den Wert dieser Früchte nicht übersteigen.</w:t>
      </w:r>
    </w:p>
    <w:p>
      <w:pPr>
        <w:pStyle w:val="Heading4"/>
      </w:pPr>
      <w:bookmarkStart w:id="1486" w:name="b1471"/>
      <w:r>
        <w:t>§ 999 Ersatz von Verwendungen des Rechtsvorgängers</w:t>
      </w:r>
      <w:r>
        <w:t xml:space="preserve"> </w:t>
      </w:r>
      <w:r>
        <w:rPr>
          <w:rStyle w:val="Suchmarke"/>
        </w:rPr>
        <w:t>#999#</w:t>
      </w:r>
      <w:bookmarkEnd w:id="1486"/>
    </w:p>
    <w:p>
      <w:r>
        <w:t>(1) Der Besitzer kann für die Verwendungen eines Vorbesitzers, dessen Rechtsnachfolger er geworden ist, in demselben Umfang Ersatz verlangen, in welchem ihn der Vorbesitzer fordern könnte, wenn er die Sache herauszugeben hätte.</w:t>
      </w:r>
    </w:p>
    <w:p>
      <w:r>
        <w:t>(2) Die Verpflichtung des Eigentümers zum Ersatz von Verwendungen erstreckt sich auch auf die Verwendungen, die gemacht worden sind, bevor er das Eigentum erworben hat.</w:t>
      </w:r>
    </w:p>
    <w:p>
      <w:pPr>
        <w:pStyle w:val="Heading4"/>
      </w:pPr>
      <w:bookmarkStart w:id="1487" w:name="b1472"/>
      <w:r>
        <w:t>§ 1000 Zurückbehaltungsrecht des Besitzers</w:t>
      </w:r>
      <w:r>
        <w:t xml:space="preserve"> </w:t>
      </w:r>
      <w:r>
        <w:rPr>
          <w:rStyle w:val="Suchmarke"/>
        </w:rPr>
        <w:t>#1000#</w:t>
      </w:r>
      <w:bookmarkEnd w:id="1487"/>
    </w:p>
    <w:p>
      <w:r>
        <w:rPr>
          <w:rStyle w:val="Satznummer"/>
        </w:rPr>
        <w:t>1</w:t>
      </w:r>
      <w:r>
        <w:t xml:space="preserve">Der Besitzer kann die Herausgabe der Sache verweigern, bis er wegen der ihm zu ersetzenden Verwendungen befriedigt wird. </w:t>
      </w:r>
      <w:r>
        <w:rPr>
          <w:rStyle w:val="Satznummer"/>
        </w:rPr>
        <w:t>2</w:t>
      </w:r>
      <w:r>
        <w:t>Das Zurückbehaltungsrecht steht ihm nicht zu, wenn er die Sache durch eine vorsätzlich begangene unerlaubte Handlung erlangt hat.</w:t>
      </w:r>
    </w:p>
    <w:p>
      <w:pPr>
        <w:pStyle w:val="Heading4"/>
      </w:pPr>
      <w:bookmarkStart w:id="1488" w:name="b1473"/>
      <w:r>
        <w:t>§ 1001 Klage auf Verwendungsersatz</w:t>
      </w:r>
      <w:r>
        <w:t xml:space="preserve"> </w:t>
      </w:r>
      <w:r>
        <w:rPr>
          <w:rStyle w:val="Suchmarke"/>
        </w:rPr>
        <w:t>#1001#</w:t>
      </w:r>
      <w:bookmarkEnd w:id="1488"/>
    </w:p>
    <w:p>
      <w:r>
        <w:rPr>
          <w:rStyle w:val="Satznummer"/>
        </w:rPr>
        <w:t>1</w:t>
      </w:r>
      <w:r>
        <w:t xml:space="preserve">Der Besitzer kann den Anspruch auf den Ersatz der Verwendungen nur geltend machen, wenn der Eigentümer die Sache wiedererlangt oder die Verwendungen genehmigt. </w:t>
      </w:r>
      <w:r>
        <w:rPr>
          <w:rStyle w:val="Satznummer"/>
        </w:rPr>
        <w:t>2</w:t>
      </w:r>
      <w:r>
        <w:t xml:space="preserve">Bis zur Genehmigung der Verwendungen kann sich der Eigentümer von dem Anspruch dadurch befreien, dass er die wiedererlangte Sache zurückgibt. </w:t>
      </w:r>
      <w:r>
        <w:rPr>
          <w:rStyle w:val="Satznummer"/>
        </w:rPr>
        <w:t>3</w:t>
      </w:r>
      <w:r>
        <w:t>Die Genehmigung gilt als erteilt, wenn der Eigentümer die ihm von dem Besitzer unter Vorbehalt des Anspruchs angebotene Sache annimmt.</w:t>
      </w:r>
    </w:p>
    <w:p>
      <w:pPr>
        <w:pStyle w:val="Heading4"/>
      </w:pPr>
      <w:bookmarkStart w:id="1489" w:name="b1474"/>
      <w:r>
        <w:t>§ 1002 Erlöschen des Verwendungsanspruchs</w:t>
      </w:r>
      <w:r>
        <w:t xml:space="preserve"> </w:t>
      </w:r>
      <w:r>
        <w:rPr>
          <w:rStyle w:val="Suchmarke"/>
        </w:rPr>
        <w:t>#1002#</w:t>
      </w:r>
      <w:bookmarkEnd w:id="1489"/>
    </w:p>
    <w:p>
      <w:r>
        <w:t>(1) Gibt der Besitzer die Sache dem Eigentümer heraus, so erlischt der Anspruch auf den Ersatz der Verwendungen mit dem Ablauf eines Monats, bei einem Grundstück mit dem Ablauf von sechs Monaten nach der Herausgabe, wenn nicht vorher die gerichtliche Geltendmachung erfolgt oder der Eigentümer die Verwendungen genehmigt.</w:t>
      </w:r>
    </w:p>
    <w:p>
      <w:r>
        <w:t xml:space="preserve">(2) Auf diese Fristen finden die für die Verjährung geltenden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w:t>
      </w:r>
      <w:hyperlink w:anchor="b251" w:history="1">
        <w:r>
          <w:rPr>
            <w:color w:val="0A3A8C"/>
            <w:u w:val="single"/>
          </w:rPr>
          <w:t xml:space="preserve">211</w:t>
        </w:r>
      </w:hyperlink>
      <w:r>
        <w:t xml:space="preserve"> entsprechende Anwendung.</w:t>
      </w:r>
    </w:p>
    <w:p>
      <w:pPr>
        <w:pStyle w:val="Heading4"/>
      </w:pPr>
      <w:bookmarkStart w:id="1490" w:name="b1475"/>
      <w:r>
        <w:t>§ 1003 Befriedigungsrecht des Besitzers</w:t>
      </w:r>
      <w:r>
        <w:t xml:space="preserve"> </w:t>
      </w:r>
      <w:r>
        <w:rPr>
          <w:rStyle w:val="Suchmarke"/>
        </w:rPr>
        <w:t>#1003#</w:t>
      </w:r>
      <w:bookmarkEnd w:id="1490"/>
    </w:p>
    <w:p>
      <w:r>
        <w:t xml:space="preserve">(1) </w:t>
      </w:r>
      <w:r>
        <w:rPr>
          <w:rStyle w:val="Satznummer"/>
        </w:rPr>
        <w:t>1</w:t>
      </w:r>
      <w:r>
        <w:t xml:space="preserve">Der Besitzer kann den Eigentümer unter Angabe des als Ersatz verlangten Betrags auffordern, sich innerhalb einer von ihm bestimmten angemessenen Frist darüber zu erklären, ob er die Verwendungen genehmige. </w:t>
      </w:r>
      <w:r>
        <w:rPr>
          <w:rStyle w:val="Satznummer"/>
        </w:rPr>
        <w:t>2</w:t>
      </w:r>
      <w:r>
        <w:t>Nach dem Ablauf der Frist ist der Besitzer berechtigt, Befriedigung aus der Sache nach den Vorschriften über den Pfandverkauf, bei einem Grundstück nach den Vorschriften über die Zwangsvollstreckung in das unbewegliche Vermögen zu suchen, wenn nicht die Genehmigung rechtzeitig erfolgt.</w:t>
      </w:r>
    </w:p>
    <w:p>
      <w:r>
        <w:t>(2) Bestreitet der Eigentümer den Anspruch vor dem Ablauf der Frist, so kann sich der Besitzer aus der Sache erst dann befriedigen, wenn er nach rechtskräftiger Feststellung des Betrags der Verwendungen den Eigentümer unter Bestimmung einer angemessenen Frist zur Erklärung aufgefordert hat und die Frist verstrichen ist; das Recht auf Befriedigung aus der Sache ist ausgeschlossen, wenn die Genehmigung rechtzeitig erfolgt.</w:t>
      </w:r>
    </w:p>
    <w:p>
      <w:pPr>
        <w:pStyle w:val="Heading4"/>
      </w:pPr>
      <w:bookmarkStart w:id="1491" w:name="b1476"/>
      <w:r>
        <w:t>§ 1004 Beseitigungs- und Unterlassungsanspruch</w:t>
      </w:r>
      <w:r>
        <w:t xml:space="preserve"> </w:t>
      </w:r>
      <w:r>
        <w:rPr>
          <w:rStyle w:val="Suchmarke"/>
        </w:rPr>
        <w:t>#1004#</w:t>
      </w:r>
      <w:bookmarkEnd w:id="1491"/>
    </w:p>
    <w:p>
      <w:r>
        <w:t xml:space="preserve">(1) </w:t>
      </w:r>
      <w:r>
        <w:rPr>
          <w:rStyle w:val="Satznummer"/>
        </w:rPr>
        <w:t>1</w:t>
      </w:r>
      <w:r>
        <w:t xml:space="preserve">Wird das Eigentum in anderer Weise als durch Entziehung oder Vorenthaltung des Besitzes beeinträchtigt, so kann der Eigentümer von dem Störer die Beseitigung der Beeinträchtigung verlangen. </w:t>
      </w:r>
      <w:r>
        <w:rPr>
          <w:rStyle w:val="Satznummer"/>
        </w:rPr>
        <w:t>2</w:t>
      </w:r>
      <w:r>
        <w:t>Sind weitere Beeinträchtigungen zu besorgen, so kann der Eigentümer auf Unterlassung klagen.</w:t>
      </w:r>
    </w:p>
    <w:p>
      <w:r>
        <w:t>(2) Der Anspruch ist ausgeschlossen, wenn der Eigentümer zur Duldung verpflichtet ist.</w:t>
      </w:r>
    </w:p>
    <w:p>
      <w:pPr>
        <w:pStyle w:val="Heading4"/>
      </w:pPr>
      <w:bookmarkStart w:id="1492" w:name="b1477"/>
      <w:r>
        <w:t>§ 1005 Verfolgungsrecht</w:t>
      </w:r>
      <w:r>
        <w:t xml:space="preserve"> </w:t>
      </w:r>
      <w:r>
        <w:rPr>
          <w:rStyle w:val="Suchmarke"/>
        </w:rPr>
        <w:t>#1005#</w:t>
      </w:r>
      <w:bookmarkEnd w:id="1492"/>
    </w:p>
    <w:p>
      <w:r>
        <w:t xml:space="preserve">Befindet sich eine Sache auf einem Grundstück, das ein anderer als der Eigentümer der Sache besitzt, so steht diesem gegen den Besitzer des Grundstücks der in </w:t>
      </w:r>
      <w:hyperlink w:anchor="b1324" w:history="1">
        <w:r>
          <w:rPr>
            <w:color w:val="0A3A8C"/>
            <w:u w:val="single"/>
          </w:rPr>
          <w:t xml:space="preserve">§ 867</w:t>
        </w:r>
      </w:hyperlink>
      <w:r>
        <w:t xml:space="preserve"> bestimmte Anspruch zu.</w:t>
      </w:r>
    </w:p>
    <w:p>
      <w:pPr>
        <w:pStyle w:val="Heading4"/>
      </w:pPr>
      <w:bookmarkStart w:id="1493" w:name="b1478"/>
      <w:r>
        <w:t>§ 1006 Eigentumsvermutung für Besitzer</w:t>
      </w:r>
      <w:r>
        <w:t xml:space="preserve"> </w:t>
      </w:r>
      <w:r>
        <w:rPr>
          <w:rStyle w:val="Suchmarke"/>
        </w:rPr>
        <w:t>#1006#</w:t>
      </w:r>
      <w:bookmarkEnd w:id="1493"/>
    </w:p>
    <w:p>
      <w:r>
        <w:t xml:space="preserve">(1) </w:t>
      </w:r>
      <w:r>
        <w:rPr>
          <w:rStyle w:val="Satznummer"/>
        </w:rPr>
        <w:t>1</w:t>
      </w:r>
      <w:r>
        <w:t xml:space="preserve">Zugunsten des Besitzers einer beweglichen Sache wird vermutet, dass er Eigentümer der Sache sei. </w:t>
      </w:r>
      <w:r>
        <w:rPr>
          <w:rStyle w:val="Satznummer"/>
        </w:rPr>
        <w:t>2</w:t>
      </w:r>
      <w:r>
        <w:t>Dies gilt jedoch nicht einem früheren Besitzer gegenüber, dem die Sache gestohlen worden, verloren gegangen oder sonst abhanden gekommen ist, es sei denn, dass es sich um Geld oder Inhaberpapiere handelt.</w:t>
      </w:r>
    </w:p>
    <w:p>
      <w:r>
        <w:t>(2) Zugunsten eines früheren Besitzers wird vermutet, dass er während der Dauer seines Besitzes Eigentümer der Sache gewesen sei.</w:t>
      </w:r>
    </w:p>
    <w:p>
      <w:r>
        <w:t>(3) Im Falle eines mittelbaren Besitzes gilt die Vermutung für den mittelbaren Besitzer.</w:t>
      </w:r>
    </w:p>
    <w:p>
      <w:pPr>
        <w:pStyle w:val="Heading4"/>
      </w:pPr>
      <w:bookmarkStart w:id="1494" w:name="b1479"/>
      <w:r>
        <w:t>§ 1007 Ansprüche des früheren Besitzers, Ausschluss bei Kenntnis</w:t>
      </w:r>
      <w:r>
        <w:t xml:space="preserve"> </w:t>
      </w:r>
      <w:r>
        <w:rPr>
          <w:rStyle w:val="Suchmarke"/>
        </w:rPr>
        <w:t>#1007#</w:t>
      </w:r>
      <w:bookmarkEnd w:id="1494"/>
    </w:p>
    <w:p>
      <w:r>
        <w:t>(1) Wer eine bewegliche Sache im Besitz gehabt hat, kann von dem Besitzer die Herausgabe der Sache verlangen, wenn dieser bei dem Erwerb des Besitzes nicht in gutem Glauben war.</w:t>
      </w:r>
    </w:p>
    <w:p>
      <w:r>
        <w:t xml:space="preserve">(2) </w:t>
      </w:r>
      <w:r>
        <w:rPr>
          <w:rStyle w:val="Satznummer"/>
        </w:rPr>
        <w:t>1</w:t>
      </w:r>
      <w:r>
        <w:t xml:space="preserve">Ist die Sache dem früheren Besitzer gestohlen worden, verloren gegangen oder sonst abhanden gekommen, so kann er die Herausgabe auch von einem gutgläubigen Besitzer verlangen, es sei denn, dass dieser Eigentümer der Sache ist oder die Sache ihm vor der Besitzzeit des früheren Besitzers abhanden gekommen war. </w:t>
      </w:r>
      <w:r>
        <w:rPr>
          <w:rStyle w:val="Satznummer"/>
        </w:rPr>
        <w:t>2</w:t>
      </w:r>
      <w:r>
        <w:t>Auf Geld und Inhaberpapiere findet diese Vorschrift keine Anwendung.</w:t>
      </w:r>
    </w:p>
    <w:p>
      <w:r>
        <w:t xml:space="preserve">(3) </w:t>
      </w:r>
      <w:r>
        <w:rPr>
          <w:rStyle w:val="Satznummer"/>
        </w:rPr>
        <w:t>1</w:t>
      </w:r>
      <w:r>
        <w:t xml:space="preserve">Der Anspruch ist ausgeschlossen, wenn der frühere Besitzer bei dem Erwerb des Besitzes nicht in gutem Glauben war oder wenn er den Besitz aufgegeben hat. </w:t>
      </w:r>
      <w:r>
        <w:rPr>
          <w:rStyle w:val="Satznummer"/>
        </w:rPr>
        <w:t>2</w:t>
      </w:r>
      <w:r>
        <w:t xml:space="preserve">Im Übrigen finden die Vorschriften der </w:t>
      </w:r>
      <w:hyperlink w:anchor="b1458" w:history="1">
        <w:r>
          <w:rPr>
            <w:color w:val="0A3A8C"/>
            <w:u w:val="single"/>
          </w:rPr>
          <w:t xml:space="preserve">§§ 986</w:t>
        </w:r>
      </w:hyperlink>
      <w:r>
        <w:t xml:space="preserve"> bis </w:t>
      </w:r>
      <w:hyperlink w:anchor="b1475" w:history="1">
        <w:r>
          <w:rPr>
            <w:color w:val="0A3A8C"/>
            <w:u w:val="single"/>
          </w:rPr>
          <w:t xml:space="preserve">1003</w:t>
        </w:r>
      </w:hyperlink>
      <w:r>
        <w:t xml:space="preserve"> entsprechende Anwendung.</w:t>
      </w:r>
    </w:p>
    <w:p>
      <w:pPr>
        <w:pStyle w:val="Heading3"/>
      </w:pPr>
      <w:bookmarkStart w:id="1495" w:name="b1480"/>
      <w:r>
        <w:t>Titel 5 Miteigentum</w:t>
      </w:r>
      <w:bookmarkEnd w:id="1495"/>
    </w:p>
    <w:p>
      <w:pPr>
        <w:pStyle w:val="Heading4"/>
      </w:pPr>
      <w:bookmarkStart w:id="1496" w:name="b1481"/>
      <w:r>
        <w:t>§ 1008 Miteigentum nach Bruchteilen</w:t>
      </w:r>
      <w:r>
        <w:t xml:space="preserve"> </w:t>
      </w:r>
      <w:r>
        <w:rPr>
          <w:rStyle w:val="Suchmarke"/>
        </w:rPr>
        <w:t>#1008#</w:t>
      </w:r>
      <w:bookmarkEnd w:id="1496"/>
    </w:p>
    <w:p>
      <w:r>
        <w:t xml:space="preserve">Steht das Eigentum an einer Sache mehreren nach Bruchteilen zu, so gelten die Vorschriften der </w:t>
      </w:r>
      <w:hyperlink w:anchor="b1482" w:history="1">
        <w:r>
          <w:rPr>
            <w:color w:val="0A3A8C"/>
            <w:u w:val="single"/>
          </w:rPr>
          <w:t xml:space="preserve">§§ 1009</w:t>
        </w:r>
      </w:hyperlink>
      <w:r>
        <w:t xml:space="preserve"> bis </w:t>
      </w:r>
      <w:hyperlink w:anchor="b1484" w:history="1">
        <w:r>
          <w:rPr>
            <w:color w:val="0A3A8C"/>
            <w:u w:val="single"/>
          </w:rPr>
          <w:t xml:space="preserve">1011</w:t>
        </w:r>
      </w:hyperlink>
      <w:r>
        <w:t>.</w:t>
      </w:r>
    </w:p>
    <w:p>
      <w:pPr>
        <w:pStyle w:val="Heading4"/>
      </w:pPr>
      <w:bookmarkStart w:id="1497" w:name="b1482"/>
      <w:r>
        <w:t>§ 1009 Belastung zugunsten eines Miteigentümers</w:t>
      </w:r>
      <w:r>
        <w:t xml:space="preserve"> </w:t>
      </w:r>
      <w:r>
        <w:rPr>
          <w:rStyle w:val="Suchmarke"/>
        </w:rPr>
        <w:t>#1009#</w:t>
      </w:r>
      <w:bookmarkEnd w:id="1497"/>
    </w:p>
    <w:p>
      <w:r>
        <w:t>(1) Die gemeinschaftliche Sache kann auch zugunsten eines Miteigentümers belastet werden.</w:t>
      </w:r>
    </w:p>
    <w:p>
      <w:r>
        <w:t>(2) Die Belastung eines gemeinschaftlichen Grundstücks zugunsten des jeweiligen Eigentümers eines anderen Grundstücks sowie die Belastung eines anderen Grundstücks zugunsten der jeweiligen Eigentümer des gemeinschaftlichen Grundstücks wird nicht dadurch ausgeschlossen, dass das andere Grundstück einem Miteigentümer des gemeinschaftlichen Grundstücks gehört.</w:t>
      </w:r>
    </w:p>
    <w:p>
      <w:pPr>
        <w:pStyle w:val="Heading4"/>
      </w:pPr>
      <w:bookmarkStart w:id="1498" w:name="b1483"/>
      <w:r>
        <w:t>§ 1010 Sondernachfolger eines Miteigentümers</w:t>
      </w:r>
      <w:r>
        <w:t xml:space="preserve"> </w:t>
      </w:r>
      <w:r>
        <w:rPr>
          <w:rStyle w:val="Suchmarke"/>
        </w:rPr>
        <w:t>#1010#</w:t>
      </w:r>
      <w:bookmarkEnd w:id="1498"/>
    </w:p>
    <w:p>
      <w:r>
        <w:t>(1) Haben die Miteigentümer eines Grundstücks die Verwaltung und Benutzung geregelt oder das Recht, die Aufhebung der Gemeinschaft zu verlangen, für immer oder auf Zeit ausgeschlossen oder eine Kündigungsfrist bestimmt, so wirkt die getroffene Bestimmung gegen den Sondernachfolger eines Miteigentümers nur, wenn sie als Belastung des Anteils im Grundbuch eingetragen ist.</w:t>
      </w:r>
    </w:p>
    <w:p>
      <w:r>
        <w:t xml:space="preserve">(2) Die in den </w:t>
      </w:r>
      <w:hyperlink w:anchor="b1199" w:history="1">
        <w:r>
          <w:rPr>
            <w:color w:val="0A3A8C"/>
            <w:u w:val="single"/>
          </w:rPr>
          <w:t xml:space="preserve">§§ 755</w:t>
        </w:r>
      </w:hyperlink>
      <w:r>
        <w:t xml:space="preserve">, </w:t>
      </w:r>
      <w:hyperlink w:anchor="b1200" w:history="1">
        <w:r>
          <w:rPr>
            <w:color w:val="0A3A8C"/>
            <w:u w:val="single"/>
          </w:rPr>
          <w:t xml:space="preserve">756</w:t>
        </w:r>
      </w:hyperlink>
      <w:r>
        <w:t xml:space="preserve"> bestimmten Ansprüche können gegen den Sondernachfolger eines Miteigentümers nur geltend gemacht werden, wenn sie im Grundbuch eingetragen sind.</w:t>
      </w:r>
    </w:p>
    <w:p>
      <w:pPr>
        <w:pStyle w:val="Heading4"/>
      </w:pPr>
      <w:bookmarkStart w:id="1499" w:name="b1484"/>
      <w:r>
        <w:t>§ 1011 Ansprüche aus dem Miteigentum</w:t>
      </w:r>
      <w:r>
        <w:t xml:space="preserve"> </w:t>
      </w:r>
      <w:r>
        <w:rPr>
          <w:rStyle w:val="Suchmarke"/>
        </w:rPr>
        <w:t>#1011#</w:t>
      </w:r>
      <w:bookmarkEnd w:id="1499"/>
    </w:p>
    <w:p>
      <w:r>
        <w:t xml:space="preserve">Jeder Miteigentümer kann die Ansprüche aus dem Eigentum Dritten gegenüber in Ansehung der ganzen Sache geltend machen, den Anspruch auf Herausgabe jedoch nur in Gemäßheit des </w:t>
      </w:r>
      <w:hyperlink w:anchor="b557" w:history="1">
        <w:r>
          <w:rPr>
            <w:color w:val="0A3A8C"/>
            <w:u w:val="single"/>
          </w:rPr>
          <w:t xml:space="preserve">§ 432</w:t>
        </w:r>
      </w:hyperlink>
      <w:r>
        <w:t>.</w:t>
      </w:r>
    </w:p>
    <w:p>
      <w:pPr>
        <w:pStyle w:val="Heading4"/>
      </w:pPr>
      <w:bookmarkStart w:id="1500" w:name="b1485"/>
      <w:r>
        <w:t>§§ 1012 bis 1017 (weggefallen)</w:t>
      </w:r>
      <w:bookmarkEnd w:id="1500"/>
    </w:p>
    <w:p>
      <w:pPr>
        <w:pStyle w:val="Heading2"/>
      </w:pPr>
      <w:bookmarkStart w:id="1501" w:name="b1486"/>
      <w:r>
        <w:t>Abschnitt 4 Dienstbarkeiten</w:t>
      </w:r>
      <w:bookmarkEnd w:id="1501"/>
    </w:p>
    <w:p>
      <w:pPr>
        <w:pStyle w:val="Heading3"/>
      </w:pPr>
      <w:bookmarkStart w:id="1502" w:name="b1487"/>
      <w:r>
        <w:t>Titel 1 Grunddienstbarkeiten</w:t>
      </w:r>
      <w:bookmarkEnd w:id="1502"/>
    </w:p>
    <w:p>
      <w:pPr>
        <w:pStyle w:val="Heading4"/>
      </w:pPr>
      <w:bookmarkStart w:id="1503" w:name="b1488"/>
      <w:r>
        <w:t>§ 1018 Gesetzlicher Inhalt der Grunddienstbarkeit</w:t>
      </w:r>
      <w:r>
        <w:t xml:space="preserve"> </w:t>
      </w:r>
      <w:r>
        <w:rPr>
          <w:rStyle w:val="Suchmarke"/>
        </w:rPr>
        <w:t>#1018#</w:t>
      </w:r>
      <w:bookmarkEnd w:id="1503"/>
    </w:p>
    <w:p>
      <w:r>
        <w:t>Ein Grundstück kann zugunsten des jeweiligen Eigentümers eines anderen Grundstücks in der Weise belastet werden, dass dieser das Grundstück in einzelnen Beziehungen benutzen darf oder dass auf dem Grundstück gewisse Handlungen nicht vorgenommen werden dürfen oder dass die Ausübung eines Rechts ausgeschlossen ist, das sich aus dem Eigentum an dem belasteten Grundstück dem anderen Grundstück gegenüber ergibt (Grunddienstbarkeit).</w:t>
      </w:r>
    </w:p>
    <w:p>
      <w:pPr>
        <w:pStyle w:val="Heading4"/>
      </w:pPr>
      <w:bookmarkStart w:id="1504" w:name="b1489"/>
      <w:r>
        <w:t>§ 1019 Vorteil des herrschenden Grundstücks</w:t>
      </w:r>
      <w:r>
        <w:t xml:space="preserve"> </w:t>
      </w:r>
      <w:r>
        <w:rPr>
          <w:rStyle w:val="Suchmarke"/>
        </w:rPr>
        <w:t>#1019#</w:t>
      </w:r>
      <w:bookmarkEnd w:id="1504"/>
    </w:p>
    <w:p>
      <w:r>
        <w:rPr>
          <w:rStyle w:val="Satznummer"/>
        </w:rPr>
        <w:t>1</w:t>
      </w:r>
      <w:r>
        <w:t xml:space="preserve">Eine Grunddienstbarkeit kann nur in einer Belastung bestehen, die für die Benutzung des Grundstücks des Berechtigten Vorteil bietet. </w:t>
      </w:r>
      <w:r>
        <w:rPr>
          <w:rStyle w:val="Satznummer"/>
        </w:rPr>
        <w:t>2</w:t>
      </w:r>
      <w:r>
        <w:t>Über das sich hieraus ergebende Maß hinaus kann der Inhalt der Dienstbarkeit nicht erstreckt werden.</w:t>
      </w:r>
    </w:p>
    <w:p>
      <w:pPr>
        <w:pStyle w:val="Heading4"/>
      </w:pPr>
      <w:bookmarkStart w:id="1505" w:name="b1490"/>
      <w:r>
        <w:t>§ 1020 Schonende Ausübung</w:t>
      </w:r>
      <w:r>
        <w:t xml:space="preserve"> </w:t>
      </w:r>
      <w:r>
        <w:rPr>
          <w:rStyle w:val="Suchmarke"/>
        </w:rPr>
        <w:t>#1020#</w:t>
      </w:r>
      <w:bookmarkEnd w:id="1505"/>
    </w:p>
    <w:p>
      <w:r>
        <w:rPr>
          <w:rStyle w:val="Satznummer"/>
        </w:rPr>
        <w:t>1</w:t>
      </w:r>
      <w:r>
        <w:t xml:space="preserve">Bei der Ausübung einer Grunddienstbarkeit hat der Berechtigte das Interesse des Eigentümers des belasteten Grundstücks tunlichst zu schonen. </w:t>
      </w:r>
      <w:r>
        <w:rPr>
          <w:rStyle w:val="Satznummer"/>
        </w:rPr>
        <w:t>2</w:t>
      </w:r>
      <w:r>
        <w:t>Hält er zur Ausübung der Dienstbarkeit auf dem belasteten Grundstück eine Anlage, so hat er sie in ordnungsmäßigem Zustand zu erhalten, soweit das Interesse des Eigentümers es erfordert.</w:t>
      </w:r>
    </w:p>
    <w:p>
      <w:pPr>
        <w:pStyle w:val="Heading4"/>
      </w:pPr>
      <w:bookmarkStart w:id="1506" w:name="b1491"/>
      <w:r>
        <w:t>§ 1021 Vereinbarte Unterhaltungspflicht</w:t>
      </w:r>
      <w:r>
        <w:t xml:space="preserve"> </w:t>
      </w:r>
      <w:r>
        <w:rPr>
          <w:rStyle w:val="Suchmarke"/>
        </w:rPr>
        <w:t>#1021#</w:t>
      </w:r>
      <w:bookmarkEnd w:id="1506"/>
    </w:p>
    <w:p>
      <w:r>
        <w:t xml:space="preserve">(1) </w:t>
      </w:r>
      <w:r>
        <w:rPr>
          <w:rStyle w:val="Satznummer"/>
        </w:rPr>
        <w:t>1</w:t>
      </w:r>
      <w:r>
        <w:t xml:space="preserve">Gehört zur Ausübung einer Grunddienstbarkeit eine Anlage auf dem belasteten Grundstück, so kann bestimmt werden, dass der Eigentümer dieses Grundstücks die Anlage zu unterhalten hat, soweit das Interesse des Berechtigten es erfordert. </w:t>
      </w:r>
      <w:r>
        <w:rPr>
          <w:rStyle w:val="Satznummer"/>
        </w:rPr>
        <w:t>2</w:t>
      </w:r>
      <w:r>
        <w:t>Steht dem Eigentümer das Recht zur Mitbenutzung der Anlage zu, so kann bestimmt werden, dass der Berechtigte die Anlage zu unterhalten hat, soweit es für das Benutzungsrecht des Eigentümers erforderlich ist.</w:t>
      </w:r>
    </w:p>
    <w:p>
      <w:r>
        <w:t>(2) Auf eine solche Unterhaltungspflicht finden die Vorschriften über die Reallasten entsprechende Anwendung.</w:t>
      </w:r>
    </w:p>
    <w:p>
      <w:pPr>
        <w:pStyle w:val="Heading4"/>
      </w:pPr>
      <w:bookmarkStart w:id="1507" w:name="b1492"/>
      <w:r>
        <w:t>§ 1022 Anlagen auf baulichen Anlagen</w:t>
      </w:r>
      <w:r>
        <w:t xml:space="preserve"> </w:t>
      </w:r>
      <w:r>
        <w:rPr>
          <w:rStyle w:val="Suchmarke"/>
        </w:rPr>
        <w:t>#1022#</w:t>
      </w:r>
      <w:bookmarkEnd w:id="1507"/>
    </w:p>
    <w:p>
      <w:r>
        <w:rPr>
          <w:rStyle w:val="Satznummer"/>
        </w:rPr>
        <w:t>1</w:t>
      </w:r>
      <w:r>
        <w:t xml:space="preserve">Besteht die Grunddienstbarkeit in dem Recht, auf einer baulichen Anlage des belasteten Grundstücks eine bauliche Anlage zu halten, so hat, wenn nicht ein anderes bestimmt ist, der Eigentümer des belasteten Grundstücks seine Anlage zu unterhalten, soweit das Interesse des Berechtigten es erfordert. </w:t>
      </w:r>
      <w:r>
        <w:rPr>
          <w:rStyle w:val="Satznummer"/>
        </w:rPr>
        <w:t>2</w:t>
      </w:r>
      <w:r>
        <w:t xml:space="preserve">Die Vorschrift des </w:t>
      </w:r>
      <w:hyperlink w:anchor="b1491" w:history="1">
        <w:r>
          <w:rPr>
            <w:color w:val="0A3A8C"/>
            <w:u w:val="single"/>
          </w:rPr>
          <w:t xml:space="preserve">§ 1021</w:t>
        </w:r>
      </w:hyperlink>
      <w:r>
        <w:t xml:space="preserve"> Abs. 2 gilt auch für diese Unterhaltungspflicht.</w:t>
      </w:r>
    </w:p>
    <w:p>
      <w:pPr>
        <w:pStyle w:val="Heading4"/>
      </w:pPr>
      <w:bookmarkStart w:id="1508" w:name="b1493"/>
      <w:r>
        <w:t>§ 1023 Verlegung der Ausübung</w:t>
      </w:r>
      <w:r>
        <w:t xml:space="preserve"> </w:t>
      </w:r>
      <w:r>
        <w:rPr>
          <w:rStyle w:val="Suchmarke"/>
        </w:rPr>
        <w:t>#1023#</w:t>
      </w:r>
      <w:bookmarkEnd w:id="1508"/>
    </w:p>
    <w:p>
      <w:r>
        <w:t xml:space="preserve">(1) </w:t>
      </w:r>
      <w:r>
        <w:rPr>
          <w:rStyle w:val="Satznummer"/>
        </w:rPr>
        <w:t>1</w:t>
      </w:r>
      <w:r>
        <w:t xml:space="preserve">Beschränkt sich die jeweilige Ausübung einer Grunddienstbarkeit auf einen Teil des belasteten Grundstücks, so kann der Eigentümer die Verlegung der Ausübung auf eine andere, für den Berechtigten ebenso geeignete Stelle verlangen, wenn die Ausübung an der bisherigen Stelle für ihn besonders beschwerlich ist; die Kosten der Verlegung hat er zu tragen und vorzuschießen. </w:t>
      </w:r>
      <w:r>
        <w:rPr>
          <w:rStyle w:val="Satznummer"/>
        </w:rPr>
        <w:t>2</w:t>
      </w:r>
      <w:r>
        <w:t>Dies gilt auch dann, wenn der Teil des Grundstücks, auf den sich die Ausübung beschränkt, durch Rechtsgeschäft bestimmt ist.</w:t>
      </w:r>
    </w:p>
    <w:p>
      <w:r>
        <w:t>(2) Das Recht auf die Verlegung kann nicht durch Rechtsgeschäft ausgeschlossen oder beschränkt werden.</w:t>
      </w:r>
    </w:p>
    <w:p>
      <w:pPr>
        <w:pStyle w:val="Heading4"/>
      </w:pPr>
      <w:bookmarkStart w:id="1509" w:name="b1494"/>
      <w:r>
        <w:t>§ 1024 Zusammentreffen mehrerer Nutzungsrechte</w:t>
      </w:r>
      <w:r>
        <w:t xml:space="preserve"> </w:t>
      </w:r>
      <w:r>
        <w:rPr>
          <w:rStyle w:val="Suchmarke"/>
        </w:rPr>
        <w:t>#1024#</w:t>
      </w:r>
      <w:bookmarkEnd w:id="1509"/>
    </w:p>
    <w:p>
      <w:r>
        <w:t>Trifft eine Grunddienstbarkeit mit einer anderen Grunddienstbarkeit oder einem sonstigen Nutzungsrecht an dem Grundstück dergestalt zusammen, dass die Rechte nebeneinander nicht oder nicht vollständig ausgeübt werden können, und haben die Rechte gleichen Rang, so kann jeder Berechtigte eine den Interessen aller Berechtigten nach billigem Ermessen entsprechende Regelung der Ausübung verlangen.</w:t>
      </w:r>
    </w:p>
    <w:p>
      <w:pPr>
        <w:pStyle w:val="Heading4"/>
      </w:pPr>
      <w:bookmarkStart w:id="1510" w:name="b1495"/>
      <w:r>
        <w:t>§ 1025 Teilung des herrschenden Grundstücks</w:t>
      </w:r>
      <w:r>
        <w:t xml:space="preserve"> </w:t>
      </w:r>
      <w:r>
        <w:rPr>
          <w:rStyle w:val="Suchmarke"/>
        </w:rPr>
        <w:t>#1025#</w:t>
      </w:r>
      <w:bookmarkEnd w:id="1510"/>
    </w:p>
    <w:p>
      <w:r>
        <w:rPr>
          <w:rStyle w:val="Satznummer"/>
        </w:rPr>
        <w:t>1</w:t>
      </w:r>
      <w:r>
        <w:t xml:space="preserve">Wird das Grundstück des Berechtigten geteilt, so besteht die Grunddienstbarkeit für die einzelnen Teile fort; die Ausübung ist jedoch im Zweifel nur in der Weise zulässig, dass sie für den Eigentümer des belasteten Grundstücks nicht beschwerlicher wird. </w:t>
      </w:r>
      <w:r>
        <w:rPr>
          <w:rStyle w:val="Satznummer"/>
        </w:rPr>
        <w:t>2</w:t>
      </w:r>
      <w:r>
        <w:t>Gereicht die Dienstbarkeit nur einem der Teile zum Vorteil, so erlischt sie für die übrigen Teile.</w:t>
      </w:r>
    </w:p>
    <w:p>
      <w:pPr>
        <w:pStyle w:val="Heading4"/>
      </w:pPr>
      <w:bookmarkStart w:id="1511" w:name="b1496"/>
      <w:r>
        <w:t>§ 1026 Teilung des dienenden Grundstücks</w:t>
      </w:r>
      <w:r>
        <w:t xml:space="preserve"> </w:t>
      </w:r>
      <w:r>
        <w:rPr>
          <w:rStyle w:val="Suchmarke"/>
        </w:rPr>
        <w:t>#1026#</w:t>
      </w:r>
      <w:bookmarkEnd w:id="1511"/>
    </w:p>
    <w:p>
      <w:r>
        <w:t>Wird das belastete Grundstück geteilt, so werden, wenn die Ausübung der Grunddienstbarkeit auf einen bestimmten Teil des belasteten Grundstücks beschränkt ist, die Teile, welche außerhalb des Bereichs der Ausübung liegen, von der Dienstbarkeit frei.</w:t>
      </w:r>
    </w:p>
    <w:p>
      <w:pPr>
        <w:pStyle w:val="Heading4"/>
      </w:pPr>
      <w:bookmarkStart w:id="1512" w:name="b1497"/>
      <w:r>
        <w:t>§ 1027 Beeinträchtigung der Grunddienstbarkeit</w:t>
      </w:r>
      <w:r>
        <w:t xml:space="preserve"> </w:t>
      </w:r>
      <w:r>
        <w:rPr>
          <w:rStyle w:val="Suchmarke"/>
        </w:rPr>
        <w:t>#1027#</w:t>
      </w:r>
      <w:bookmarkEnd w:id="1512"/>
    </w:p>
    <w:p>
      <w:r>
        <w:t xml:space="preserve">Wird eine Grunddienstbarkeit beeinträchtigt, so stehen dem Berechtigten die in </w:t>
      </w:r>
      <w:hyperlink w:anchor="b1476" w:history="1">
        <w:r>
          <w:rPr>
            <w:color w:val="0A3A8C"/>
            <w:u w:val="single"/>
          </w:rPr>
          <w:t xml:space="preserve">§ 1004</w:t>
        </w:r>
      </w:hyperlink>
      <w:r>
        <w:t xml:space="preserve"> bestimmten Rechte zu.</w:t>
      </w:r>
    </w:p>
    <w:p>
      <w:pPr>
        <w:pStyle w:val="Heading4"/>
      </w:pPr>
      <w:bookmarkStart w:id="1513" w:name="b1498"/>
      <w:r>
        <w:t>§ 1028 Verjährung</w:t>
      </w:r>
      <w:r>
        <w:t xml:space="preserve"> </w:t>
      </w:r>
      <w:r>
        <w:rPr>
          <w:rStyle w:val="Suchmarke"/>
        </w:rPr>
        <w:t>#1028#</w:t>
      </w:r>
      <w:bookmarkEnd w:id="1513"/>
    </w:p>
    <w:p>
      <w:r>
        <w:t xml:space="preserve">(1) </w:t>
      </w:r>
      <w:r>
        <w:rPr>
          <w:rStyle w:val="Satznummer"/>
        </w:rPr>
        <w:t>1</w:t>
      </w:r>
      <w:r>
        <w:t xml:space="preserve">Ist auf dem belasteten Grundstück eine Anlage, durch welche die Grunddienstbarkeit beeinträchtigt wird, errichtet worden, so unterliegt der Anspruch des Berechtigten auf Beseitigung der Beeinträchtigung der Verjährung, auch wenn die Dienstbarkeit im Grundbuch eingetragen ist. </w:t>
      </w:r>
      <w:r>
        <w:rPr>
          <w:rStyle w:val="Satznummer"/>
        </w:rPr>
        <w:t>2</w:t>
      </w:r>
      <w:r>
        <w:t>Mit der Verjährung des Anspruchs erlischt die Dienstbarkeit, soweit der Bestand der Anlage mit ihr in Widerspruch steht.</w:t>
      </w:r>
    </w:p>
    <w:p>
      <w:r>
        <w:t xml:space="preserve">(2) Die Vorschrift des </w:t>
      </w:r>
      <w:hyperlink w:anchor="b1350" w:history="1">
        <w:r>
          <w:rPr>
            <w:color w:val="0A3A8C"/>
            <w:u w:val="single"/>
          </w:rPr>
          <w:t xml:space="preserve">§ 892</w:t>
        </w:r>
      </w:hyperlink>
      <w:r>
        <w:t xml:space="preserve"> findet keine Anwendung.</w:t>
      </w:r>
    </w:p>
    <w:p>
      <w:pPr>
        <w:pStyle w:val="Heading4"/>
      </w:pPr>
      <w:bookmarkStart w:id="1514" w:name="b1499"/>
      <w:r>
        <w:t>§ 1029 Besitzschutz des Rechtsbesitzers</w:t>
      </w:r>
      <w:r>
        <w:t xml:space="preserve"> </w:t>
      </w:r>
      <w:r>
        <w:rPr>
          <w:rStyle w:val="Suchmarke"/>
        </w:rPr>
        <w:t>#1029#</w:t>
      </w:r>
      <w:bookmarkEnd w:id="1514"/>
    </w:p>
    <w:p>
      <w:r>
        <w:t>Wird der Besitzer eines Grundstücks in der Ausübung einer für den Eigentümer im Grundbuch eingetragenen Grunddienstbarkeit gestört, so finden die für den Besitzschutz geltenden Vorschriften entsprechende Anwendung, soweit die Dienstbarkeit innerhalb eines Jahres vor der Störung, sei es auch nur einmal, ausgeübt worden ist.</w:t>
      </w:r>
    </w:p>
    <w:p>
      <w:pPr>
        <w:pStyle w:val="Heading3"/>
      </w:pPr>
      <w:bookmarkStart w:id="1515" w:name="b1500"/>
      <w:r>
        <w:t>Titel 2 Nießbrauch</w:t>
      </w:r>
      <w:bookmarkEnd w:id="1515"/>
    </w:p>
    <w:p>
      <w:pPr>
        <w:pStyle w:val="Heading4"/>
      </w:pPr>
      <w:bookmarkStart w:id="1516" w:name="b1501"/>
      <w:r>
        <w:t>Untertitel 1 Nießbrauch an Sachen</w:t>
      </w:r>
      <w:bookmarkEnd w:id="1516"/>
    </w:p>
    <w:p>
      <w:pPr>
        <w:pStyle w:val="Heading5"/>
      </w:pPr>
      <w:bookmarkStart w:id="1517" w:name="b1502"/>
      <w:r>
        <w:t>§ 1030 Gesetzlicher Inhalt des Nießbrauchs an Sachen</w:t>
      </w:r>
      <w:r>
        <w:t xml:space="preserve"> </w:t>
      </w:r>
      <w:r>
        <w:rPr>
          <w:rStyle w:val="Suchmarke"/>
        </w:rPr>
        <w:t>#1030#</w:t>
      </w:r>
      <w:bookmarkEnd w:id="1517"/>
    </w:p>
    <w:p>
      <w:r>
        <w:t>(1) Eine Sache kann in der Weise belastet werden, dass derjenige, zu dessen Gunsten die Belastung erfolgt, berechtigt ist, die Nutzungen der Sache zu ziehen (Nießbrauch).</w:t>
      </w:r>
    </w:p>
    <w:p>
      <w:r>
        <w:t>(2) Der Nießbrauch kann durch den Ausschluss einzelner Nutzungen beschränkt werden.</w:t>
      </w:r>
    </w:p>
    <w:p>
      <w:pPr>
        <w:pStyle w:val="Heading5"/>
      </w:pPr>
      <w:bookmarkStart w:id="1518" w:name="b1503"/>
      <w:r>
        <w:t>§ 1031 Erstreckung auf Zubehör</w:t>
      </w:r>
      <w:r>
        <w:t xml:space="preserve"> </w:t>
      </w:r>
      <w:r>
        <w:rPr>
          <w:rStyle w:val="Suchmarke"/>
        </w:rPr>
        <w:t>#1031#</w:t>
      </w:r>
      <w:bookmarkEnd w:id="1518"/>
    </w:p>
    <w:p>
      <w:r>
        <w:t xml:space="preserve">Mit dem Nießbrauch an einem Grundstück erlangt der Nießbraucher den Nießbrauch an dem Zubehör nach der für den Erwerb des Eigentums geltenden Vorschrift des </w:t>
      </w:r>
      <w:hyperlink w:anchor="b1388" w:history="1">
        <w:r>
          <w:rPr>
            <w:color w:val="0A3A8C"/>
            <w:u w:val="single"/>
          </w:rPr>
          <w:t xml:space="preserve">§ 926</w:t>
        </w:r>
      </w:hyperlink>
      <w:r>
        <w:t>.</w:t>
      </w:r>
    </w:p>
    <w:p>
      <w:pPr>
        <w:pStyle w:val="Heading5"/>
      </w:pPr>
      <w:bookmarkStart w:id="1519" w:name="b1504"/>
      <w:r>
        <w:t>§ 1032 Bestellung an beweglichen Sachen</w:t>
      </w:r>
      <w:r>
        <w:t xml:space="preserve"> </w:t>
      </w:r>
      <w:r>
        <w:rPr>
          <w:rStyle w:val="Suchmarke"/>
        </w:rPr>
        <w:t>#1032#</w:t>
      </w:r>
      <w:bookmarkEnd w:id="1519"/>
    </w:p>
    <w:p>
      <w:r>
        <w:rPr>
          <w:rStyle w:val="Satznummer"/>
        </w:rPr>
        <w:t>1</w:t>
      </w:r>
      <w:r>
        <w:t xml:space="preserve">Zur Bestellung des Nießbrauchs an einer beweglichen Sache ist erforderlich, dass der Eigentümer die Sache dem Erwerber übergibt und beide darüber einig sind, dass diesem der Nießbrauch zustehen soll. </w:t>
      </w:r>
      <w:r>
        <w:rPr>
          <w:rStyle w:val="Satznummer"/>
        </w:rPr>
        <w:t>2</w:t>
      </w:r>
      <w:r>
        <w:t xml:space="preserve">Die Vorschriften des </w:t>
      </w:r>
      <w:hyperlink w:anchor="b1393" w:history="1">
        <w:r>
          <w:rPr>
            <w:color w:val="0A3A8C"/>
            <w:u w:val="single"/>
          </w:rPr>
          <w:t xml:space="preserve">§ 929</w:t>
        </w:r>
      </w:hyperlink>
      <w:r>
        <w:t xml:space="preserve"> Satz 2, der </w:t>
      </w:r>
      <w:hyperlink w:anchor="b1395" w:history="1">
        <w:r>
          <w:rPr>
            <w:color w:val="0A3A8C"/>
            <w:u w:val="single"/>
          </w:rPr>
          <w:t xml:space="preserve">§§ 930</w:t>
        </w:r>
      </w:hyperlink>
      <w:r>
        <w:t xml:space="preserve"> bis </w:t>
      </w:r>
      <w:hyperlink w:anchor="b1397" w:history="1">
        <w:r>
          <w:rPr>
            <w:color w:val="0A3A8C"/>
            <w:u w:val="single"/>
          </w:rPr>
          <w:t xml:space="preserve">932</w:t>
        </w:r>
      </w:hyperlink>
      <w:r>
        <w:t xml:space="preserve"> und der </w:t>
      </w:r>
      <w:hyperlink w:anchor="b1399" w:history="1">
        <w:r>
          <w:rPr>
            <w:color w:val="0A3A8C"/>
            <w:u w:val="single"/>
          </w:rPr>
          <w:t xml:space="preserve">§§ 933</w:t>
        </w:r>
      </w:hyperlink>
      <w:r>
        <w:t xml:space="preserve"> bis </w:t>
      </w:r>
      <w:hyperlink w:anchor="b1402" w:history="1">
        <w:r>
          <w:rPr>
            <w:color w:val="0A3A8C"/>
            <w:u w:val="single"/>
          </w:rPr>
          <w:t xml:space="preserve">936</w:t>
        </w:r>
      </w:hyperlink>
      <w:r>
        <w:t xml:space="preserve"> finden entsprechende Anwendung; in den Fällen des </w:t>
      </w:r>
      <w:hyperlink w:anchor="b1402" w:history="1">
        <w:r>
          <w:rPr>
            <w:color w:val="0A3A8C"/>
            <w:u w:val="single"/>
          </w:rPr>
          <w:t xml:space="preserve">§ 936</w:t>
        </w:r>
      </w:hyperlink>
      <w:r>
        <w:t xml:space="preserve"> tritt nur die Wirkung ein, dass der Nießbrauch dem Recht des Dritten vorgeht.</w:t>
      </w:r>
    </w:p>
    <w:p>
      <w:pPr>
        <w:pStyle w:val="Heading5"/>
      </w:pPr>
      <w:bookmarkStart w:id="1520" w:name="b1505"/>
      <w:r>
        <w:t>§ 1033 Erwerb durch Ersitzung</w:t>
      </w:r>
      <w:r>
        <w:t xml:space="preserve"> </w:t>
      </w:r>
      <w:r>
        <w:rPr>
          <w:rStyle w:val="Suchmarke"/>
        </w:rPr>
        <w:t>#1033#</w:t>
      </w:r>
      <w:bookmarkEnd w:id="1520"/>
    </w:p>
    <w:p>
      <w:r>
        <w:rPr>
          <w:rStyle w:val="Satznummer"/>
        </w:rPr>
        <w:t>1</w:t>
      </w:r>
      <w:r>
        <w:t xml:space="preserve">Der Nießbrauch an einer beweglichen Sache kann durch Ersitzung erworben werden. </w:t>
      </w:r>
      <w:r>
        <w:rPr>
          <w:rStyle w:val="Satznummer"/>
        </w:rPr>
        <w:t>2</w:t>
      </w:r>
      <w:r>
        <w:t>Die für den Erwerb des Eigentums durch Ersitzung geltenden Vorschriften finden entsprechende Anwendung.</w:t>
      </w:r>
    </w:p>
    <w:p>
      <w:pPr>
        <w:pStyle w:val="Heading5"/>
      </w:pPr>
      <w:bookmarkStart w:id="1521" w:name="b1506"/>
      <w:r>
        <w:t>§ 1034 Feststellung des Zustands</w:t>
      </w:r>
      <w:r>
        <w:t xml:space="preserve"> </w:t>
      </w:r>
      <w:r>
        <w:rPr>
          <w:rStyle w:val="Suchmarke"/>
        </w:rPr>
        <w:t>#1034#</w:t>
      </w:r>
      <w:bookmarkEnd w:id="1521"/>
    </w:p>
    <w:p>
      <w:r>
        <w:rPr>
          <w:rStyle w:val="Satznummer"/>
        </w:rPr>
        <w:t>1</w:t>
      </w:r>
      <w:r>
        <w:t xml:space="preserve">Der Nießbraucher kann den Zustand der Sache auf seine Kosten durch Sachverständige feststellen lassen. </w:t>
      </w:r>
      <w:r>
        <w:rPr>
          <w:rStyle w:val="Satznummer"/>
        </w:rPr>
        <w:t>2</w:t>
      </w:r>
      <w:r>
        <w:t>Das gleiche Recht steht dem Eigentümer zu.</w:t>
      </w:r>
    </w:p>
    <w:p>
      <w:pPr>
        <w:pStyle w:val="Heading5"/>
      </w:pPr>
      <w:bookmarkStart w:id="1522" w:name="b1507"/>
      <w:r>
        <w:t>§ 1035 Nießbrauch an Inbegriff von Sachen; Verzeichnis</w:t>
      </w:r>
      <w:r>
        <w:t xml:space="preserve"> </w:t>
      </w:r>
      <w:r>
        <w:rPr>
          <w:rStyle w:val="Suchmarke"/>
        </w:rPr>
        <w:t>#1035#</w:t>
      </w:r>
      <w:bookmarkEnd w:id="1522"/>
    </w:p>
    <w:p>
      <w:r>
        <w:rPr>
          <w:rStyle w:val="Satznummer"/>
        </w:rPr>
        <w:t>1</w:t>
      </w:r>
      <w:r>
        <w:t xml:space="preserve">Bei dem Nießbrauch an einem Inbegriff von Sachen sind der Nießbraucher und der Eigentümer einander verpflichtet, zur Aufnahme eines Verzeichnisses der Sachen mitzuwirken. </w:t>
      </w:r>
      <w:r>
        <w:rPr>
          <w:rStyle w:val="Satznummer"/>
        </w:rPr>
        <w:t>2</w:t>
      </w:r>
      <w:r>
        <w:t xml:space="preserve">Das Verzeichnis ist mit der Angabe des Tages der Aufnahme zu versehen und von beiden Teilen zu unterzeichnen; jeder Teil kann verlangen, dass die Unterzeichnung öffentlich beglaubigt wird. </w:t>
      </w:r>
      <w:r>
        <w:rPr>
          <w:rStyle w:val="Satznummer"/>
        </w:rPr>
        <w:t>3</w:t>
      </w:r>
      <w:r>
        <w:t xml:space="preserve">Jeder Teil kann auch verlangen, dass das Verzeichnis durch die zuständige Behörde oder durch einen zuständigen Beamten oder Notar aufgenommen wird. </w:t>
      </w:r>
      <w:r>
        <w:rPr>
          <w:rStyle w:val="Satznummer"/>
        </w:rPr>
        <w:t>4</w:t>
      </w:r>
      <w:r>
        <w:t>Die Kosten hat derjenige zu tragen und vorzuschießen, welcher die Aufnahme oder die Beglaubigung verlangt.</w:t>
      </w:r>
    </w:p>
    <w:p>
      <w:pPr>
        <w:pStyle w:val="Heading5"/>
      </w:pPr>
      <w:bookmarkStart w:id="1523" w:name="b1508"/>
      <w:r>
        <w:t>§ 1036 Besitzrecht; Ausübung des Nießbrauchs</w:t>
      </w:r>
      <w:r>
        <w:t xml:space="preserve"> </w:t>
      </w:r>
      <w:r>
        <w:rPr>
          <w:rStyle w:val="Suchmarke"/>
        </w:rPr>
        <w:t>#1036#</w:t>
      </w:r>
      <w:bookmarkEnd w:id="1523"/>
    </w:p>
    <w:p>
      <w:r>
        <w:t>(1) Der Nießbraucher ist zum Besitz der Sache berechtigt.</w:t>
      </w:r>
    </w:p>
    <w:p>
      <w:r>
        <w:t>(2) Er hat bei der Ausübung des Nutzungsrechts die bisherige wirtschaftliche Bestimmung der Sache aufrechtzuerhalten und nach den Regeln einer ordnungsmäßigen Wirtschaft zu verfahren.</w:t>
      </w:r>
    </w:p>
    <w:p>
      <w:pPr>
        <w:pStyle w:val="Heading5"/>
      </w:pPr>
      <w:bookmarkStart w:id="1524" w:name="b1509"/>
      <w:r>
        <w:t>§ 1037 Umgestaltung</w:t>
      </w:r>
      <w:r>
        <w:t xml:space="preserve"> </w:t>
      </w:r>
      <w:r>
        <w:rPr>
          <w:rStyle w:val="Suchmarke"/>
        </w:rPr>
        <w:t>#1037#</w:t>
      </w:r>
      <w:bookmarkEnd w:id="1524"/>
    </w:p>
    <w:p>
      <w:r>
        <w:t>(1) Der Nießbraucher ist nicht berechtigt, die Sache umzugestalten oder wesentlich zu verändern.</w:t>
      </w:r>
    </w:p>
    <w:p>
      <w:r>
        <w:t>(2) Der Nießbraucher eines Grundstücks darf neue Anlagen zur Gewinnung von Steinen, Kies, Sand, Lehm, Ton, Mergel, Torf und sonstigen Bodenbestandteilen errichten, sofern nicht die wirtschaftliche Bestimmung des Grundstücks dadurch wesentlich verändert wird.</w:t>
      </w:r>
    </w:p>
    <w:p>
      <w:pPr>
        <w:pStyle w:val="Heading5"/>
      </w:pPr>
      <w:bookmarkStart w:id="1525" w:name="b1510"/>
      <w:r>
        <w:t>§ 1038 Wirtschaftsplan für Wald und Bergwerk</w:t>
      </w:r>
      <w:r>
        <w:t xml:space="preserve"> </w:t>
      </w:r>
      <w:r>
        <w:rPr>
          <w:rStyle w:val="Suchmarke"/>
        </w:rPr>
        <w:t>#1038#</w:t>
      </w:r>
      <w:bookmarkEnd w:id="1525"/>
    </w:p>
    <w:p>
      <w:r>
        <w:t xml:space="preserve">(1) </w:t>
      </w:r>
      <w:r>
        <w:rPr>
          <w:rStyle w:val="Satznummer"/>
        </w:rPr>
        <w:t>1</w:t>
      </w:r>
      <w:r>
        <w:t xml:space="preserve">Ist ein Wald Gegenstand des Nießbrauchs, so kann sowohl der Eigentümer als der Nießbraucher verlangen, dass das Maß der Nutzung und die Art der wirtschaftlichen Behandlung durch einen Wirtschaftsplan festgestellt werden. </w:t>
      </w:r>
      <w:r>
        <w:rPr>
          <w:rStyle w:val="Satznummer"/>
        </w:rPr>
        <w:t>2</w:t>
      </w:r>
      <w:r>
        <w:t xml:space="preserve">Tritt eine erhebliche Änderung der Umstände ein, so kann jeder Teil eine entsprechende Änderung des Wirtschaftsplans verlangen. </w:t>
      </w:r>
      <w:r>
        <w:rPr>
          <w:rStyle w:val="Satznummer"/>
        </w:rPr>
        <w:t>3</w:t>
      </w:r>
      <w:r>
        <w:t>Die Kosten hat jeder Teil zur Hälfte zu tragen.</w:t>
      </w:r>
    </w:p>
    <w:p>
      <w:r>
        <w:t>(2) Das Gleiche gilt, wenn ein Bergwerk oder eine andere auf Gewinnung von Bodenbestandteilen gerichtete Anlage Gegenstand des Nießbrauchs ist.</w:t>
      </w:r>
    </w:p>
    <w:p>
      <w:pPr>
        <w:pStyle w:val="Heading5"/>
      </w:pPr>
      <w:bookmarkStart w:id="1526" w:name="b1511"/>
      <w:r>
        <w:t>§ 1039 Übermäßige Fruchtziehung</w:t>
      </w:r>
      <w:r>
        <w:t xml:space="preserve"> </w:t>
      </w:r>
      <w:r>
        <w:rPr>
          <w:rStyle w:val="Suchmarke"/>
        </w:rPr>
        <w:t>#1039#</w:t>
      </w:r>
      <w:bookmarkEnd w:id="1526"/>
    </w:p>
    <w:p>
      <w:r>
        <w:t xml:space="preserve">(1) </w:t>
      </w:r>
      <w:r>
        <w:rPr>
          <w:rStyle w:val="Satznummer"/>
        </w:rPr>
        <w:t>1</w:t>
      </w:r>
      <w:r>
        <w:t xml:space="preserve">Der Nießbraucher erwirbt das Eigentum auch an solchen Früchten, die er den Regeln einer ordnungsmäßigen Wirtschaft zuwider oder die er deshalb im Übermaß zieht, weil dies infolge eines besonderen Ereignisses notwendig geworden ist. </w:t>
      </w:r>
      <w:r>
        <w:rPr>
          <w:rStyle w:val="Satznummer"/>
        </w:rPr>
        <w:t>2</w:t>
      </w:r>
      <w:r>
        <w:t xml:space="preserve">Er ist jedoch, unbeschadet seiner Verantwortlichkeit für ein Verschulden, verpflichtet, den Wert der Früchte dem Eigentümer bei der Beendigung des Nießbrauchs zu ersetzen und für die Erfüllung dieser Verpflichtung Sicherheit zu leisten. </w:t>
      </w:r>
      <w:r>
        <w:rPr>
          <w:rStyle w:val="Satznummer"/>
        </w:rPr>
        <w:t>3</w:t>
      </w:r>
      <w:r>
        <w:t>Sowohl der Eigentümer als der Nießbraucher kann verlangen, dass der zu ersetzende Betrag zur Wiederherstellung der Sache insoweit verwendet wird, als es einer ordnungsmäßigen Wirtschaft entspricht.</w:t>
      </w:r>
    </w:p>
    <w:p>
      <w:r>
        <w:t>(2) Wird die Verwendung zur Wiederherstellung der Sache nicht verlangt, so fällt die Ersatzpflicht weg, soweit durch den ordnungswidrigen oder den übermäßigen Fruchtbezug die dem Nießbraucher gebührenden Nutzungen beeinträchtigt werden.</w:t>
      </w:r>
    </w:p>
    <w:p>
      <w:pPr>
        <w:pStyle w:val="Heading5"/>
      </w:pPr>
      <w:bookmarkStart w:id="1527" w:name="b1512"/>
      <w:r>
        <w:t>§ 1040 Schatz</w:t>
      </w:r>
      <w:r>
        <w:t xml:space="preserve"> </w:t>
      </w:r>
      <w:r>
        <w:rPr>
          <w:rStyle w:val="Suchmarke"/>
        </w:rPr>
        <w:t>#1040#</w:t>
      </w:r>
      <w:bookmarkEnd w:id="1527"/>
    </w:p>
    <w:p>
      <w:r>
        <w:t>Das Recht des Nießbrauchers erstreckt sich nicht auf den Anteil des Eigentümers an einem Schatze, der in der Sache gefunden wird.</w:t>
      </w:r>
    </w:p>
    <w:p>
      <w:pPr>
        <w:pStyle w:val="Heading5"/>
      </w:pPr>
      <w:bookmarkStart w:id="1528" w:name="b1513"/>
      <w:r>
        <w:t>§ 1041 Erhaltung der Sache</w:t>
      </w:r>
      <w:r>
        <w:t xml:space="preserve"> </w:t>
      </w:r>
      <w:r>
        <w:rPr>
          <w:rStyle w:val="Suchmarke"/>
        </w:rPr>
        <w:t>#1041#</w:t>
      </w:r>
      <w:bookmarkEnd w:id="1528"/>
    </w:p>
    <w:p>
      <w:r>
        <w:rPr>
          <w:rStyle w:val="Satznummer"/>
        </w:rPr>
        <w:t>1</w:t>
      </w:r>
      <w:r>
        <w:t xml:space="preserve">Der Nießbraucher hat für die Erhaltung der Sache in ihrem wirtschaftlichen Bestand zu sorgen. </w:t>
      </w:r>
      <w:r>
        <w:rPr>
          <w:rStyle w:val="Satznummer"/>
        </w:rPr>
        <w:t>2</w:t>
      </w:r>
      <w:r>
        <w:t>Ausbesserungen und Erneuerungen liegen ihm nur insoweit ob, als sie zu der gewöhnlichen Unterhaltung der Sache gehören.</w:t>
      </w:r>
    </w:p>
    <w:p>
      <w:pPr>
        <w:pStyle w:val="Heading5"/>
      </w:pPr>
      <w:bookmarkStart w:id="1529" w:name="b1514"/>
      <w:r>
        <w:t>§ 1042 Anzeigepflicht des Nießbrauchers</w:t>
      </w:r>
      <w:r>
        <w:t xml:space="preserve"> </w:t>
      </w:r>
      <w:r>
        <w:rPr>
          <w:rStyle w:val="Suchmarke"/>
        </w:rPr>
        <w:t>#1042#</w:t>
      </w:r>
      <w:bookmarkEnd w:id="1529"/>
    </w:p>
    <w:p>
      <w:r>
        <w:rPr>
          <w:rStyle w:val="Satznummer"/>
        </w:rPr>
        <w:t>1</w:t>
      </w:r>
      <w:r>
        <w:t xml:space="preserve">Wird die Sache zerstört oder beschädigt oder wird eine außergewöhnliche Ausbesserung oder Erneuerung der Sache oder eine Vorkehrung zum Schutze der Sache gegen eine nicht vorhergesehene Gefahr erforderlich, so hat der Nießbraucher dem Eigentümer unverzüglich Anzeige zu machen. </w:t>
      </w:r>
      <w:r>
        <w:rPr>
          <w:rStyle w:val="Satznummer"/>
        </w:rPr>
        <w:t>2</w:t>
      </w:r>
      <w:r>
        <w:t>Das Gleiche gilt, wenn sich ein Dritter ein Recht an der Sache anmaßt.</w:t>
      </w:r>
    </w:p>
    <w:p>
      <w:pPr>
        <w:pStyle w:val="Heading5"/>
      </w:pPr>
      <w:bookmarkStart w:id="1530" w:name="b1515"/>
      <w:r>
        <w:t>§ 1043 Ausbesserung oder Erneuerung</w:t>
      </w:r>
      <w:r>
        <w:t xml:space="preserve"> </w:t>
      </w:r>
      <w:r>
        <w:rPr>
          <w:rStyle w:val="Suchmarke"/>
        </w:rPr>
        <w:t>#1043#</w:t>
      </w:r>
      <w:bookmarkEnd w:id="1530"/>
    </w:p>
    <w:p>
      <w:r>
        <w:t>Nimmt der Nießbraucher eines Grundstücks eine erforderlich gewordene außergewöhnliche Ausbesserung oder Erneuerung selbst vor, so darf er zu diesem Zwecke innerhalb der Grenzen einer ordnungsmäßigen Wirtschaft auch Bestandteile des Grundstücks verwenden, die nicht zu den ihm gebührenden Früchten gehören.</w:t>
      </w:r>
    </w:p>
    <w:p>
      <w:pPr>
        <w:pStyle w:val="Heading5"/>
      </w:pPr>
      <w:bookmarkStart w:id="1531" w:name="b1516"/>
      <w:r>
        <w:t>§ 1044 Duldung von Ausbesserungen</w:t>
      </w:r>
      <w:r>
        <w:t xml:space="preserve"> </w:t>
      </w:r>
      <w:r>
        <w:rPr>
          <w:rStyle w:val="Suchmarke"/>
        </w:rPr>
        <w:t>#1044#</w:t>
      </w:r>
      <w:bookmarkEnd w:id="1531"/>
    </w:p>
    <w:p>
      <w:r>
        <w:t xml:space="preserve">Nimmt der Nießbraucher eine erforderlich gewordene Ausbesserung oder Erneuerung der Sache nicht selbst vor, so hat er dem Eigentümer die Vornahme und, wenn ein Grundstück Gegenstand des Nießbrauchs ist, die Verwendung der in </w:t>
      </w:r>
      <w:hyperlink w:anchor="b1515" w:history="1">
        <w:r>
          <w:rPr>
            <w:color w:val="0A3A8C"/>
            <w:u w:val="single"/>
          </w:rPr>
          <w:t xml:space="preserve">§ 1043</w:t>
        </w:r>
      </w:hyperlink>
      <w:r>
        <w:t xml:space="preserve"> bezeichneten Bestandteile des Grundstücks zu gestatten.</w:t>
      </w:r>
    </w:p>
    <w:p>
      <w:pPr>
        <w:pStyle w:val="Heading5"/>
      </w:pPr>
      <w:bookmarkStart w:id="1532" w:name="b1517"/>
      <w:r>
        <w:t>§ 1045 Versicherungspflicht des Nießbrauchers</w:t>
      </w:r>
      <w:r>
        <w:t xml:space="preserve"> </w:t>
      </w:r>
      <w:r>
        <w:rPr>
          <w:rStyle w:val="Suchmarke"/>
        </w:rPr>
        <w:t>#1045#</w:t>
      </w:r>
      <w:bookmarkEnd w:id="1532"/>
    </w:p>
    <w:p>
      <w:r>
        <w:t xml:space="preserve">(1) </w:t>
      </w:r>
      <w:r>
        <w:rPr>
          <w:rStyle w:val="Satznummer"/>
        </w:rPr>
        <w:t>1</w:t>
      </w:r>
      <w:r>
        <w:t xml:space="preserve">Der Nießbraucher hat die Sache für die Dauer des Nießbrauchs gegen Brandschaden und sonstige Unfälle auf seine Kosten unter Versicherung zu bringen, wenn die Versicherung einer ordnungsmäßigen Wirtschaft entspricht. </w:t>
      </w:r>
      <w:r>
        <w:rPr>
          <w:rStyle w:val="Satznummer"/>
        </w:rPr>
        <w:t>2</w:t>
      </w:r>
      <w:r>
        <w:t>Die Versicherung ist so zu nehmen, dass die Forderung gegen den Versicherer dem Eigentümer zusteht.</w:t>
      </w:r>
    </w:p>
    <w:p>
      <w:r>
        <w:t>(2) Ist die Sache bereits versichert, so fallen die für die Versicherung zu leistenden Zahlungen dem Nießbraucher für die Dauer des Nießbrauchs zur Last, soweit er zur Versicherung verpflichtet sein würde.</w:t>
      </w:r>
    </w:p>
    <w:p>
      <w:pPr>
        <w:pStyle w:val="Heading5"/>
      </w:pPr>
      <w:bookmarkStart w:id="1533" w:name="b1518"/>
      <w:r>
        <w:t>§ 1046 Nießbrauch an der Versicherungsforderung</w:t>
      </w:r>
      <w:r>
        <w:t xml:space="preserve"> </w:t>
      </w:r>
      <w:r>
        <w:rPr>
          <w:rStyle w:val="Suchmarke"/>
        </w:rPr>
        <w:t>#1046#</w:t>
      </w:r>
      <w:bookmarkEnd w:id="1533"/>
    </w:p>
    <w:p>
      <w:r>
        <w:t>(1) An der Forderung gegen den Versicherer steht dem Nießbraucher der Nießbrauch nach den Vorschriften zu, die für den Nießbrauch an einer auf Zinsen ausstehenden Forderung gelten.</w:t>
      </w:r>
    </w:p>
    <w:p>
      <w:r>
        <w:t xml:space="preserve">(2) </w:t>
      </w:r>
      <w:r>
        <w:rPr>
          <w:rStyle w:val="Satznummer"/>
        </w:rPr>
        <w:t>1</w:t>
      </w:r>
      <w:r>
        <w:t xml:space="preserve">Tritt ein unter die Versicherung fallender Schaden ein, so kann sowohl der Eigentümer als der Nießbraucher verlangen, dass die Versicherungssumme zur Wiederherstellung der Sache oder zur Beschaffung eines Ersatzes insoweit verwendet wird, als es einer ordnungsmäßigen Wirtschaft entspricht. </w:t>
      </w:r>
      <w:r>
        <w:rPr>
          <w:rStyle w:val="Satznummer"/>
        </w:rPr>
        <w:t>2</w:t>
      </w:r>
      <w:r>
        <w:t>Der Eigentümer kann die Verwendung selbst besorgen oder dem Nießbraucher überlassen.</w:t>
      </w:r>
    </w:p>
    <w:p>
      <w:pPr>
        <w:pStyle w:val="Heading5"/>
      </w:pPr>
      <w:bookmarkStart w:id="1534" w:name="b1519"/>
      <w:r>
        <w:t>§ 1047 Lastentragung</w:t>
      </w:r>
      <w:r>
        <w:t xml:space="preserve"> </w:t>
      </w:r>
      <w:r>
        <w:rPr>
          <w:rStyle w:val="Suchmarke"/>
        </w:rPr>
        <w:t>#1047#</w:t>
      </w:r>
      <w:bookmarkEnd w:id="1534"/>
    </w:p>
    <w:p>
      <w:r>
        <w:t>Der Nießbraucher ist dem Eigentümer gegenüber verpflichtet, für die Dauer des Nießbrauchs die auf der Sache ruhenden öffentlichen Lasten mit Ausschluss der außerordentlichen Lasten, die als auf den Stammwert der Sache gelegt anzusehen sind, sowie diejenigen privatrechtlichen Lasten zu tragen, welche schon zur Zeit der Bestellung des Nießbrauchs auf der Sache ruhten, insbesondere die Zinsen der Hypothekenforderungen und Grundschulden sowie die auf Grund einer Rentenschuld zu entrichtenden Leistungen.</w:t>
      </w:r>
    </w:p>
    <w:p>
      <w:pPr>
        <w:pStyle w:val="Heading5"/>
      </w:pPr>
      <w:bookmarkStart w:id="1535" w:name="b1520"/>
      <w:r>
        <w:t>§ 1048 Nießbrauch an Grundstück mit Inventar</w:t>
      </w:r>
      <w:r>
        <w:t xml:space="preserve"> </w:t>
      </w:r>
      <w:r>
        <w:rPr>
          <w:rStyle w:val="Suchmarke"/>
        </w:rPr>
        <w:t>#1048#</w:t>
      </w:r>
      <w:bookmarkEnd w:id="1535"/>
    </w:p>
    <w:p>
      <w:r>
        <w:t xml:space="preserve">(1) </w:t>
      </w:r>
      <w:r>
        <w:rPr>
          <w:rStyle w:val="Satznummer"/>
        </w:rPr>
        <w:t>1</w:t>
      </w:r>
      <w:r>
        <w:t xml:space="preserve">Ist ein Grundstück samt Inventar Gegenstand des Nießbrauchs, so kann der Nießbraucher über die einzelnen Stücke des Inventars innerhalb der Grenzen einer ordnungsmäßigen Wirtschaft verfügen. </w:t>
      </w:r>
      <w:r>
        <w:rPr>
          <w:rStyle w:val="Satznummer"/>
        </w:rPr>
        <w:t>2</w:t>
      </w:r>
      <w:r>
        <w:t>Er hat für den gewöhnlichen Abgang sowie für die nach den Regeln einer ordnungsmäßigen Wirtschaft ausscheidenden Stücke Ersatz zu beschaffen; die von ihm angeschafften Stücke werden mit der Einverleibung in das Inventar Eigentum desjenigen, welchem das Inventar gehört.</w:t>
      </w:r>
    </w:p>
    <w:p>
      <w:r>
        <w:t xml:space="preserve">(2) Übernimmt der Nießbraucher das Inventar zum Schätzwert mit der Verpflichtung, es bei der Beendigung des Nießbrauchs zum Schätzwert zurückzugewähren, so findet die Vorschrift des </w:t>
      </w:r>
      <w:hyperlink w:anchor="b836" w:history="1">
        <w:r>
          <w:rPr>
            <w:color w:val="0A3A8C"/>
            <w:u w:val="single"/>
          </w:rPr>
          <w:t xml:space="preserve">§ 582a</w:t>
        </w:r>
      </w:hyperlink>
      <w:r>
        <w:t xml:space="preserve"> entsprechende Anwendung.</w:t>
      </w:r>
    </w:p>
    <w:p>
      <w:pPr>
        <w:pStyle w:val="Heading5"/>
      </w:pPr>
      <w:bookmarkStart w:id="1536" w:name="b1521"/>
      <w:r>
        <w:t>§ 1049 Ersatz von Verwendungen</w:t>
      </w:r>
      <w:r>
        <w:t xml:space="preserve"> </w:t>
      </w:r>
      <w:r>
        <w:rPr>
          <w:rStyle w:val="Suchmarke"/>
        </w:rPr>
        <w:t>#1049#</w:t>
      </w:r>
      <w:bookmarkEnd w:id="1536"/>
    </w:p>
    <w:p>
      <w:r>
        <w:t>(1) Macht der Nießbraucher Verwendungen auf die Sache, zu denen er nicht verpflichtet ist, so bestimmt sich die Ersatzpflicht des Eigentümers nach den Vorschriften über die Geschäftsführung ohne Auftrag.</w:t>
      </w:r>
    </w:p>
    <w:p>
      <w:r>
        <w:t>(2) Der Nießbraucher ist berechtigt, eine Einrichtung, mit der er die Sache versehen hat, wegzunehmen.</w:t>
      </w:r>
    </w:p>
    <w:p>
      <w:pPr>
        <w:pStyle w:val="Heading5"/>
      </w:pPr>
      <w:bookmarkStart w:id="1537" w:name="b1522"/>
      <w:r>
        <w:t>§ 1050 Abnutzung</w:t>
      </w:r>
      <w:r>
        <w:t xml:space="preserve"> </w:t>
      </w:r>
      <w:r>
        <w:rPr>
          <w:rStyle w:val="Suchmarke"/>
        </w:rPr>
        <w:t>#1050#</w:t>
      </w:r>
      <w:bookmarkEnd w:id="1537"/>
    </w:p>
    <w:p>
      <w:r>
        <w:t>Veränderungen oder Verschlechterungen der Sache, welche durch die ordnungsmäßige Ausübung des Nießbrauchs herbeigeführt werden, hat der Nießbraucher nicht zu vertreten.</w:t>
      </w:r>
    </w:p>
    <w:p>
      <w:pPr>
        <w:pStyle w:val="Heading5"/>
      </w:pPr>
      <w:bookmarkStart w:id="1538" w:name="b1523"/>
      <w:r>
        <w:t>§ 1051 Sicherheitsleistung</w:t>
      </w:r>
      <w:r>
        <w:t xml:space="preserve"> </w:t>
      </w:r>
      <w:r>
        <w:rPr>
          <w:rStyle w:val="Suchmarke"/>
        </w:rPr>
        <w:t>#1051#</w:t>
      </w:r>
      <w:bookmarkEnd w:id="1538"/>
    </w:p>
    <w:p>
      <w:r>
        <w:t>Wird durch das Verhalten des Nießbrauchers die Besorgnis einer erheblichen Verletzung der Rechte des Eigentümers begründet, so kann der Eigentümer Sicherheitsleistung verlangen.</w:t>
      </w:r>
    </w:p>
    <w:p>
      <w:pPr>
        <w:pStyle w:val="Heading5"/>
      </w:pPr>
      <w:bookmarkStart w:id="1539" w:name="b1524"/>
      <w:r>
        <w:t>§ 1052 Gerichtliche Verwaltung mangels Sicherheitsleistung</w:t>
      </w:r>
      <w:r>
        <w:t xml:space="preserve"> </w:t>
      </w:r>
      <w:r>
        <w:rPr>
          <w:rStyle w:val="Suchmarke"/>
        </w:rPr>
        <w:t>#1052#</w:t>
      </w:r>
      <w:bookmarkEnd w:id="1539"/>
    </w:p>
    <w:p>
      <w:r>
        <w:t xml:space="preserve">(1) </w:t>
      </w:r>
      <w:r>
        <w:rPr>
          <w:rStyle w:val="Satznummer"/>
        </w:rPr>
        <w:t>1</w:t>
      </w:r>
      <w:r>
        <w:t xml:space="preserve">Ist der Nießbraucher zur Sicherheitsleistung rechtskräftig verurteilt, so kann der Eigentümer statt der Sicherheitsleistung verlangen, dass die Ausübung des Nießbrauchs für Rechnung des Nießbrauchers einem von dem Gericht zu bestellenden Verwalter übertragen wird. </w:t>
      </w:r>
      <w:r>
        <w:rPr>
          <w:rStyle w:val="Satznummer"/>
        </w:rPr>
        <w:t>2</w:t>
      </w:r>
      <w:r>
        <w:t>Die Anordnung der Verwaltung ist nur zulässig, wenn dem Nießbraucher auf Antrag des Eigentümers von dem Gericht eine Frist zur Sicherheitsleistung bestimmt worden und die Frist verstrichen ist; sie ist unzulässig, wenn die Sicherheit vor dem Ablauf der Frist geleistet wird.</w:t>
      </w:r>
    </w:p>
    <w:p>
      <w:r>
        <w:t xml:space="preserve">(2) </w:t>
      </w:r>
      <w:r>
        <w:rPr>
          <w:rStyle w:val="Satznummer"/>
        </w:rPr>
        <w:t>1</w:t>
      </w:r>
      <w:r>
        <w:t xml:space="preserve">Der Verwalter steht unter der Aufsicht des Gerichts wie ein für die Zwangsverwaltung eines Grundstücks bestellter Verwalter. </w:t>
      </w:r>
      <w:r>
        <w:rPr>
          <w:rStyle w:val="Satznummer"/>
        </w:rPr>
        <w:t>2</w:t>
      </w:r>
      <w:r>
        <w:t>Verwalter kann auch der Eigentümer sein.</w:t>
      </w:r>
    </w:p>
    <w:p>
      <w:r>
        <w:t>(3) Die Verwaltung ist aufzuheben, wenn die Sicherheit nachträglich geleistet wird.</w:t>
      </w:r>
    </w:p>
    <w:p>
      <w:pPr>
        <w:pStyle w:val="Heading5"/>
      </w:pPr>
      <w:bookmarkStart w:id="1540" w:name="b1525"/>
      <w:r>
        <w:t>§ 1053 Unterlassungsklage bei unbefugtem Gebrauch</w:t>
      </w:r>
      <w:r>
        <w:t xml:space="preserve"> </w:t>
      </w:r>
      <w:r>
        <w:rPr>
          <w:rStyle w:val="Suchmarke"/>
        </w:rPr>
        <w:t>#1053#</w:t>
      </w:r>
      <w:bookmarkEnd w:id="1540"/>
    </w:p>
    <w:p>
      <w:r>
        <w:t>Macht der Nießbraucher einen Gebrauch von der Sache, zu dem er nicht befugt ist, und setzt er den Gebrauch ungeachtet einer Abmahnung des Eigentümers fort, so kann der Eigentümer auf Unterlassung klagen.</w:t>
      </w:r>
    </w:p>
    <w:p>
      <w:pPr>
        <w:pStyle w:val="Heading5"/>
      </w:pPr>
      <w:bookmarkStart w:id="1541" w:name="b1526"/>
      <w:r>
        <w:t>§ 1054 Gerichtliche Verwaltung wegen Pflichtverletzung</w:t>
      </w:r>
      <w:r>
        <w:t xml:space="preserve"> </w:t>
      </w:r>
      <w:r>
        <w:rPr>
          <w:rStyle w:val="Suchmarke"/>
        </w:rPr>
        <w:t>#1054#</w:t>
      </w:r>
      <w:bookmarkEnd w:id="1541"/>
    </w:p>
    <w:p>
      <w:r>
        <w:t xml:space="preserve">Verletzt der Nießbraucher die Rechte des Eigentümers in erheblichem Maße und setzt er das verletzende Verhalten ungeachtet einer Abmahnung des Eigentümers fort, so kann der Eigentümer die Anordnung einer Verwaltung nach </w:t>
      </w:r>
      <w:hyperlink w:anchor="b1524" w:history="1">
        <w:r>
          <w:rPr>
            <w:color w:val="0A3A8C"/>
            <w:u w:val="single"/>
          </w:rPr>
          <w:t xml:space="preserve">§ 1052</w:t>
        </w:r>
      </w:hyperlink>
      <w:r>
        <w:t xml:space="preserve"> verlangen.</w:t>
      </w:r>
    </w:p>
    <w:p>
      <w:pPr>
        <w:pStyle w:val="Heading5"/>
      </w:pPr>
      <w:bookmarkStart w:id="1542" w:name="b1527"/>
      <w:r>
        <w:t>§ 1055 Rückgabepflicht des Nießbrauchers</w:t>
      </w:r>
      <w:r>
        <w:t xml:space="preserve"> </w:t>
      </w:r>
      <w:r>
        <w:rPr>
          <w:rStyle w:val="Suchmarke"/>
        </w:rPr>
        <w:t>#1055#</w:t>
      </w:r>
      <w:bookmarkEnd w:id="1542"/>
    </w:p>
    <w:p>
      <w:r>
        <w:t>(1) Der Nießbraucher ist verpflichtet, die Sache nach der Beendigung des Nießbrauchs dem Eigentümer zurückzugeben.</w:t>
      </w:r>
    </w:p>
    <w:p>
      <w:r>
        <w:t xml:space="preserve">(2) Bei dem Nießbrauch an einem landwirtschaftlichen Grundstück finden die Vorschriften des </w:t>
      </w:r>
      <w:hyperlink w:anchor="b870" w:history="1">
        <w:r>
          <w:rPr>
            <w:color w:val="0A3A8C"/>
            <w:u w:val="single"/>
          </w:rPr>
          <w:t xml:space="preserve">§ 596</w:t>
        </w:r>
      </w:hyperlink>
      <w:r>
        <w:t xml:space="preserve"> Abs. 1 und des </w:t>
      </w:r>
      <w:hyperlink w:anchor="b871" w:history="1">
        <w:r>
          <w:rPr>
            <w:color w:val="0A3A8C"/>
            <w:u w:val="single"/>
          </w:rPr>
          <w:t xml:space="preserve">§ 596a</w:t>
        </w:r>
      </w:hyperlink>
      <w:r>
        <w:t xml:space="preserve">, bei dem Nießbrauch an einem Landgut finden die Vorschriften des </w:t>
      </w:r>
      <w:hyperlink w:anchor="b870" w:history="1">
        <w:r>
          <w:rPr>
            <w:color w:val="0A3A8C"/>
            <w:u w:val="single"/>
          </w:rPr>
          <w:t xml:space="preserve">§ 596</w:t>
        </w:r>
      </w:hyperlink>
      <w:r>
        <w:t xml:space="preserve"> Abs. 1 und der </w:t>
      </w:r>
      <w:hyperlink w:anchor="b871" w:history="1">
        <w:r>
          <w:rPr>
            <w:color w:val="0A3A8C"/>
            <w:u w:val="single"/>
          </w:rPr>
          <w:t xml:space="preserve">§§ 596a</w:t>
        </w:r>
      </w:hyperlink>
      <w:r>
        <w:t xml:space="preserve">, </w:t>
      </w:r>
      <w:hyperlink w:anchor="b872" w:history="1">
        <w:r>
          <w:rPr>
            <w:color w:val="0A3A8C"/>
            <w:u w:val="single"/>
          </w:rPr>
          <w:t xml:space="preserve">596b</w:t>
        </w:r>
      </w:hyperlink>
      <w:r>
        <w:t xml:space="preserve"> entsprechende Anwendung.</w:t>
      </w:r>
    </w:p>
    <w:p>
      <w:pPr>
        <w:pStyle w:val="Heading5"/>
      </w:pPr>
      <w:bookmarkStart w:id="1543" w:name="b1528"/>
      <w:r>
        <w:t>§ 1056 Miet- und Pachtverhältnisse bei Beendigung des Nießbrauchs</w:t>
      </w:r>
      <w:r>
        <w:t xml:space="preserve"> </w:t>
      </w:r>
      <w:r>
        <w:rPr>
          <w:rStyle w:val="Suchmarke"/>
        </w:rPr>
        <w:t>#1056#</w:t>
      </w:r>
      <w:bookmarkEnd w:id="1543"/>
    </w:p>
    <w:p>
      <w:r>
        <w:t xml:space="preserve">(1) Hat der Nießbraucher ein Grundstück über die Dauer des Nießbrauchs hinaus vermietet oder verpachtet, so finden nach der Beendigung des Nießbrauchs die für den Fall der Veräußerung von vermietetem Wohnraum geltenden Vorschriften der </w:t>
      </w:r>
      <w:hyperlink w:anchor="b790" w:history="1">
        <w:r>
          <w:rPr>
            <w:color w:val="0A3A8C"/>
            <w:u w:val="single"/>
          </w:rPr>
          <w:t xml:space="preserve">§§ 566</w:t>
        </w:r>
      </w:hyperlink>
      <w:r>
        <w:t xml:space="preserve">, </w:t>
      </w:r>
      <w:hyperlink w:anchor="b791" w:history="1">
        <w:r>
          <w:rPr>
            <w:color w:val="0A3A8C"/>
            <w:u w:val="single"/>
          </w:rPr>
          <w:t xml:space="preserve">566a</w:t>
        </w:r>
      </w:hyperlink>
      <w:r>
        <w:t xml:space="preserve">, </w:t>
      </w:r>
      <w:hyperlink w:anchor="b792" w:history="1">
        <w:r>
          <w:rPr>
            <w:color w:val="0A3A8C"/>
            <w:u w:val="single"/>
          </w:rPr>
          <w:t xml:space="preserve">566b</w:t>
        </w:r>
      </w:hyperlink>
      <w:r>
        <w:t xml:space="preserve"> Abs. 1 und der </w:t>
      </w:r>
      <w:hyperlink w:anchor="b793" w:history="1">
        <w:r>
          <w:rPr>
            <w:color w:val="0A3A8C"/>
            <w:u w:val="single"/>
          </w:rPr>
          <w:t xml:space="preserve">§§ 566c</w:t>
        </w:r>
      </w:hyperlink>
      <w:r>
        <w:t xml:space="preserve"> bis </w:t>
      </w:r>
      <w:hyperlink w:anchor="b795" w:history="1">
        <w:r>
          <w:rPr>
            <w:color w:val="0A3A8C"/>
            <w:u w:val="single"/>
          </w:rPr>
          <w:t xml:space="preserve">566e</w:t>
        </w:r>
      </w:hyperlink>
      <w:r>
        <w:t xml:space="preserve">, </w:t>
      </w:r>
      <w:hyperlink w:anchor="b798" w:history="1">
        <w:r>
          <w:rPr>
            <w:color w:val="0A3A8C"/>
            <w:u w:val="single"/>
          </w:rPr>
          <w:t xml:space="preserve">567b</w:t>
        </w:r>
      </w:hyperlink>
      <w:r>
        <w:t xml:space="preserve"> entsprechende Anwendung.</w:t>
      </w:r>
    </w:p>
    <w:p>
      <w:r>
        <w:t xml:space="preserve">(2) </w:t>
      </w:r>
      <w:r>
        <w:rPr>
          <w:rStyle w:val="Satznummer"/>
        </w:rPr>
        <w:t>1</w:t>
      </w:r>
      <w:r>
        <w:t xml:space="preserve">Der Eigentümer ist berechtigt, das Miet- oder Pachtverhältnis unter Einhaltung der gesetzlichen Kündigungsfrist zu kündigen. </w:t>
      </w:r>
      <w:r>
        <w:rPr>
          <w:rStyle w:val="Satznummer"/>
        </w:rPr>
        <w:t>2</w:t>
      </w:r>
      <w:r>
        <w:t>Verzichtet der Nießbraucher auf den Nießbrauch, so ist die Kündigung erst von der Zeit an zulässig, zu welcher der Nießbrauch ohne den Verzicht erlöschen würde.</w:t>
      </w:r>
    </w:p>
    <w:p>
      <w:r>
        <w:t xml:space="preserve">(3) </w:t>
      </w:r>
      <w:r>
        <w:rPr>
          <w:rStyle w:val="Satznummer"/>
        </w:rPr>
        <w:t>1</w:t>
      </w:r>
      <w:r>
        <w:t xml:space="preserve">Der Mieter oder der Pächter ist berechtigt, den Eigentümer unter Bestimmung einer angemessenen Frist zur Erklärung darüber aufzufordern, ob er von dem Kündigungsrecht Gebrauch mache. </w:t>
      </w:r>
      <w:r>
        <w:rPr>
          <w:rStyle w:val="Satznummer"/>
        </w:rPr>
        <w:t>2</w:t>
      </w:r>
      <w:r>
        <w:t>Die Kündigung kann nur bis zum Ablauf der Frist erfolgen.</w:t>
      </w:r>
    </w:p>
    <w:p>
      <w:pPr>
        <w:pStyle w:val="Heading5"/>
      </w:pPr>
      <w:bookmarkStart w:id="1544" w:name="b1529"/>
      <w:r>
        <w:t>§ 1057 Verjährung der Ersatzansprüche</w:t>
      </w:r>
      <w:r>
        <w:t xml:space="preserve"> </w:t>
      </w:r>
      <w:r>
        <w:rPr>
          <w:rStyle w:val="Suchmarke"/>
        </w:rPr>
        <w:t>#1057#</w:t>
      </w:r>
      <w:bookmarkEnd w:id="1544"/>
    </w:p>
    <w:p>
      <w:r>
        <w:rPr>
          <w:rStyle w:val="Satznummer"/>
        </w:rPr>
        <w:t>1</w:t>
      </w:r>
      <w:r>
        <w:t xml:space="preserve">Die Ersatzansprüche des Eigentümers wegen Veränderungen oder Verschlechterungen der Sache sowie die Ansprüche des Nießbrauchers auf Ersatz von Verwendungen oder auf Gestattung der Wegnahme einer Einrichtung verjähren in sechs Monaten. </w:t>
      </w:r>
      <w:r>
        <w:rPr>
          <w:rStyle w:val="Satznummer"/>
        </w:rPr>
        <w:t>2</w:t>
      </w:r>
      <w:r>
        <w:t xml:space="preserve">Die Vorschrift des </w:t>
      </w:r>
      <w:hyperlink w:anchor="b730" w:history="1">
        <w:r>
          <w:rPr>
            <w:color w:val="0A3A8C"/>
            <w:u w:val="single"/>
          </w:rPr>
          <w:t xml:space="preserve">§ 548</w:t>
        </w:r>
      </w:hyperlink>
      <w:r>
        <w:t xml:space="preserve"> Abs. 1 Satz 2 und 3, Abs. 2 findet entsprechende Anwendung.</w:t>
      </w:r>
    </w:p>
    <w:p>
      <w:pPr>
        <w:pStyle w:val="Heading5"/>
      </w:pPr>
      <w:bookmarkStart w:id="1545" w:name="b1530"/>
      <w:r>
        <w:t>§ 1058 Besteller als Eigentümer</w:t>
      </w:r>
      <w:r>
        <w:t xml:space="preserve"> </w:t>
      </w:r>
      <w:r>
        <w:rPr>
          <w:rStyle w:val="Suchmarke"/>
        </w:rPr>
        <w:t>#1058#</w:t>
      </w:r>
      <w:bookmarkEnd w:id="1545"/>
    </w:p>
    <w:p>
      <w:r>
        <w:t>Im Verhältnis zwischen dem Nießbraucher und dem Eigentümer gilt zugunsten des Nießbrauchers der Besteller als Eigentümer, es sei denn, dass der Nießbraucher weiß, dass der Besteller nicht Eigentümer ist.</w:t>
      </w:r>
    </w:p>
    <w:p>
      <w:pPr>
        <w:pStyle w:val="Heading5"/>
      </w:pPr>
      <w:bookmarkStart w:id="1546" w:name="b1531"/>
      <w:r>
        <w:t>§ 1059 Unübertragbarkeit; Überlassung der Ausübung</w:t>
      </w:r>
      <w:r>
        <w:t xml:space="preserve"> </w:t>
      </w:r>
      <w:r>
        <w:rPr>
          <w:rStyle w:val="Suchmarke"/>
        </w:rPr>
        <w:t>#1059#</w:t>
      </w:r>
      <w:bookmarkEnd w:id="1546"/>
    </w:p>
    <w:p>
      <w:r>
        <w:rPr>
          <w:rStyle w:val="Satznummer"/>
        </w:rPr>
        <w:t>1</w:t>
      </w:r>
      <w:r>
        <w:t xml:space="preserve">Der Nießbrauch ist nicht übertragbar. </w:t>
      </w:r>
      <w:r>
        <w:rPr>
          <w:rStyle w:val="Satznummer"/>
        </w:rPr>
        <w:t>2</w:t>
      </w:r>
      <w:r>
        <w:t>Die Ausübung des Nießbrauchs kann einem anderen überlassen werden.</w:t>
      </w:r>
    </w:p>
    <w:p>
      <w:pPr>
        <w:pStyle w:val="Heading5"/>
      </w:pPr>
      <w:bookmarkStart w:id="1547" w:name="b1532"/>
      <w:r>
        <w:t>§ 1059a Übertragbarkeit bei juristischer Person oder rechtsfähiger Personengesellschaft</w:t>
      </w:r>
      <w:r>
        <w:t xml:space="preserve"> </w:t>
      </w:r>
      <w:r>
        <w:rPr>
          <w:rStyle w:val="Suchmarke"/>
        </w:rPr>
        <w:t>#1059a#</w:t>
      </w:r>
      <w:bookmarkEnd w:id="1547"/>
    </w:p>
    <w:p>
      <w:r>
        <w:t>(1) Steht ein Nießbrauch einer juristischen Person zu, so ist er nach Maßgabe der folgenden Vorschriften übertragbar:</w:t>
      </w:r>
    </w:p>
    <w:p>
      <w:pPr>
        <w:tabs>
          <w:tab w:pos="567" w:val="left"/>
        </w:tabs>
        <w:ind w:left="567" w:hanging="567"/>
      </w:pPr>
      <w:r>
        <w:t>1.</w:t>
      </w:r>
      <w:r>
        <w:tab/>
      </w:r>
      <w:r>
        <w:t>Geht das Vermögen der juristischen Person auf dem Wege der Gesamtrechtsnachfolge auf einen anderen über, so geht auch der Nießbrauch auf den Rechtsnachfolger über, es sei denn, dass der Übergang ausdrücklich ausgeschlossen ist.</w:t>
      </w:r>
    </w:p>
    <w:p>
      <w:pPr>
        <w:tabs>
          <w:tab w:pos="567" w:val="left"/>
        </w:tabs>
        <w:ind w:left="567" w:hanging="567"/>
      </w:pPr>
      <w:r>
        <w:t>2.</w:t>
      </w:r>
      <w:r>
        <w:tab/>
      </w:r>
      <w:r>
        <w:t xml:space="preserve">Wird sonst ein von einer juristischen Person betriebenes Unternehmen oder ein Teil eines solchen Unternehmens auf einen anderen übertragen, so kann auf den Erwerber auch ein Nießbrauch übertragen werden, sofern er den Zwecken des Unternehmens oder des Teils des Unternehmens zu dienen geeignet ist. </w:t>
      </w:r>
      <w:r>
        <w:rPr>
          <w:rStyle w:val="Satznummer"/>
        </w:rPr>
        <w:t>2</w:t>
      </w:r>
      <w:r>
        <w:t xml:space="preserve">Ob diese Voraussetzungen gegeben sind, wird durch eine Erklärung der zuständigen Landesbehörde festgestellt. </w:t>
      </w:r>
      <w:r>
        <w:rPr>
          <w:rStyle w:val="Satznummer"/>
        </w:rPr>
        <w:t>3</w:t>
      </w:r>
      <w:r>
        <w:t xml:space="preserve">Die Erklärung bindet die Gerichte und die Verwaltungsbehörden. </w:t>
      </w:r>
      <w:r>
        <w:rPr>
          <w:rStyle w:val="Satznummer"/>
        </w:rPr>
        <w:t>4</w:t>
      </w:r>
      <w:r>
        <w:t xml:space="preserve">Die Landesregierungen bestimmen durch Rechtsverordnung die zuständige Landesbehörde. </w:t>
      </w:r>
      <w:r>
        <w:rPr>
          <w:rStyle w:val="Satznummer"/>
        </w:rPr>
        <w:t>5</w:t>
      </w:r>
      <w:r>
        <w:t>Die Landesregierungen können die Ermächtigung durch Rechtsverordnung auf die Landesjustizverwaltungen übertragen.</w:t>
      </w:r>
    </w:p>
    <w:p>
      <w:r>
        <w:t>(2) Einer juristischen Person steht eine rechtsfähige Personengesellschaft gleich.</w:t>
      </w:r>
    </w:p>
    <w:p>
      <w:pPr>
        <w:pStyle w:val="Heading5"/>
      </w:pPr>
      <w:bookmarkStart w:id="1548" w:name="b1533"/>
      <w:r>
        <w:t>§ 1059b Unpfändbarkeit</w:t>
      </w:r>
      <w:r>
        <w:t xml:space="preserve"> </w:t>
      </w:r>
      <w:r>
        <w:rPr>
          <w:rStyle w:val="Suchmarke"/>
        </w:rPr>
        <w:t>#1059b#</w:t>
      </w:r>
      <w:bookmarkEnd w:id="1548"/>
    </w:p>
    <w:p>
      <w:r>
        <w:t xml:space="preserve">Ein Nießbrauch kann auf Grund der Vorschrift des </w:t>
      </w:r>
      <w:hyperlink w:anchor="b1532" w:history="1">
        <w:r>
          <w:rPr>
            <w:color w:val="0A3A8C"/>
            <w:u w:val="single"/>
          </w:rPr>
          <w:t xml:space="preserve">§ 1059a</w:t>
        </w:r>
      </w:hyperlink>
      <w:r>
        <w:t xml:space="preserve"> weder gepfändet noch verpfändet noch mit einem Nießbrauch belastet werden.</w:t>
      </w:r>
    </w:p>
    <w:p>
      <w:pPr>
        <w:pStyle w:val="Heading5"/>
      </w:pPr>
      <w:bookmarkStart w:id="1549" w:name="b1534"/>
      <w:r>
        <w:t>§ 1059c Übergang oder Übertragung des Nießbrauchs</w:t>
      </w:r>
      <w:r>
        <w:t xml:space="preserve"> </w:t>
      </w:r>
      <w:r>
        <w:rPr>
          <w:rStyle w:val="Suchmarke"/>
        </w:rPr>
        <w:t>#1059c#</w:t>
      </w:r>
      <w:bookmarkEnd w:id="1549"/>
    </w:p>
    <w:p>
      <w:r>
        <w:t xml:space="preserve">(1) </w:t>
      </w:r>
      <w:r>
        <w:rPr>
          <w:rStyle w:val="Satznummer"/>
        </w:rPr>
        <w:t>1</w:t>
      </w:r>
      <w:r>
        <w:t xml:space="preserve">Im Falle des Übergangs oder der Übertragung des Nießbrauchs tritt der Erwerber anstelle des bisherigen Berechtigten in die mit dem Nießbrauch verbundenen Rechte und Verpflichtungen gegenüber dem Eigentümer ein. </w:t>
      </w:r>
      <w:r>
        <w:rPr>
          <w:rStyle w:val="Satznummer"/>
        </w:rPr>
        <w:t>2</w:t>
      </w:r>
      <w:r>
        <w:t>Sind in Ansehung dieser Rechte und Verpflichtungen Vereinbarungen zwischen dem Eigentümer und dem Berechtigten getroffen worden, so wirken sie auch für und gegen den Erwerber.</w:t>
      </w:r>
    </w:p>
    <w:p>
      <w:r>
        <w:t>(2) Durch den Übergang oder die Übertragung des Nießbrauchs wird ein Anspruch auf Entschädigung weder für den Eigentümer noch für sonstige dinglich Berechtigte begründet.</w:t>
      </w:r>
    </w:p>
    <w:p>
      <w:pPr>
        <w:pStyle w:val="Heading5"/>
      </w:pPr>
      <w:bookmarkStart w:id="1550" w:name="b1535"/>
      <w:r>
        <w:t>§ 1059d Miet- und Pachtverhältnisse bei Übertragung des Nießbrauchs</w:t>
      </w:r>
      <w:r>
        <w:t xml:space="preserve"> </w:t>
      </w:r>
      <w:r>
        <w:rPr>
          <w:rStyle w:val="Suchmarke"/>
        </w:rPr>
        <w:t>#1059d#</w:t>
      </w:r>
      <w:bookmarkEnd w:id="1550"/>
    </w:p>
    <w:p>
      <w:r>
        <w:t xml:space="preserve">Hat der bisherige Berechtigte das mit dem Nießbrauch belastete Grundstück über die Dauer des Nießbrauchs hinaus vermietet oder verpachtet, so sind nach der Übertragung des Nießbrauchs die für den Fall der Veräußerung von vermietetem Wohnraum geltenden Vorschriften der </w:t>
      </w:r>
      <w:hyperlink w:anchor="b790" w:history="1">
        <w:r>
          <w:rPr>
            <w:color w:val="0A3A8C"/>
            <w:u w:val="single"/>
          </w:rPr>
          <w:t xml:space="preserve">§§ 566</w:t>
        </w:r>
      </w:hyperlink>
      <w:r>
        <w:t xml:space="preserve"> bis </w:t>
      </w:r>
      <w:hyperlink w:anchor="b795" w:history="1">
        <w:r>
          <w:rPr>
            <w:color w:val="0A3A8C"/>
            <w:u w:val="single"/>
          </w:rPr>
          <w:t xml:space="preserve">566e</w:t>
        </w:r>
      </w:hyperlink>
      <w:r>
        <w:t xml:space="preserve">, </w:t>
      </w:r>
      <w:hyperlink w:anchor="b797" w:history="1">
        <w:r>
          <w:rPr>
            <w:color w:val="0A3A8C"/>
            <w:u w:val="single"/>
          </w:rPr>
          <w:t xml:space="preserve">567a</w:t>
        </w:r>
      </w:hyperlink>
      <w:r>
        <w:t xml:space="preserve"> und </w:t>
      </w:r>
      <w:hyperlink w:anchor="b798" w:history="1">
        <w:r>
          <w:rPr>
            <w:color w:val="0A3A8C"/>
            <w:u w:val="single"/>
          </w:rPr>
          <w:t xml:space="preserve">567b</w:t>
        </w:r>
      </w:hyperlink>
      <w:r>
        <w:t xml:space="preserve"> entsprechend anzuwenden.</w:t>
      </w:r>
    </w:p>
    <w:p>
      <w:pPr>
        <w:pStyle w:val="Heading5"/>
      </w:pPr>
      <w:bookmarkStart w:id="1551" w:name="b1536"/>
      <w:r>
        <w:t>§ 1059e Anspruch auf Einräumung des Nießbrauchs</w:t>
      </w:r>
      <w:r>
        <w:t xml:space="preserve"> </w:t>
      </w:r>
      <w:r>
        <w:rPr>
          <w:rStyle w:val="Suchmarke"/>
        </w:rPr>
        <w:t>#1059e#</w:t>
      </w:r>
      <w:bookmarkEnd w:id="1551"/>
    </w:p>
    <w:p>
      <w:r>
        <w:t xml:space="preserve">Steht ein Anspruch auf Einräumung eines Nießbrauchs einer juristischen Person oder einer rechtsfähigen Personengesellschaft zu, so gelten die Vorschriften der </w:t>
      </w:r>
      <w:hyperlink w:anchor="b1532" w:history="1">
        <w:r>
          <w:rPr>
            <w:color w:val="0A3A8C"/>
            <w:u w:val="single"/>
          </w:rPr>
          <w:t xml:space="preserve">§§ 1059a</w:t>
        </w:r>
      </w:hyperlink>
      <w:r>
        <w:t xml:space="preserve"> bis </w:t>
      </w:r>
      <w:hyperlink w:anchor="b1535" w:history="1">
        <w:r>
          <w:rPr>
            <w:color w:val="0A3A8C"/>
            <w:u w:val="single"/>
          </w:rPr>
          <w:t xml:space="preserve">1059d</w:t>
        </w:r>
      </w:hyperlink>
      <w:r>
        <w:t xml:space="preserve"> entsprechend.</w:t>
      </w:r>
    </w:p>
    <w:p>
      <w:pPr>
        <w:pStyle w:val="Heading5"/>
      </w:pPr>
      <w:bookmarkStart w:id="1552" w:name="b1537"/>
      <w:r>
        <w:t>§ 1060 Zusammentreffen mehrerer Nutzungsrechte</w:t>
      </w:r>
      <w:r>
        <w:t xml:space="preserve"> </w:t>
      </w:r>
      <w:r>
        <w:rPr>
          <w:rStyle w:val="Suchmarke"/>
        </w:rPr>
        <w:t>#1060#</w:t>
      </w:r>
      <w:bookmarkEnd w:id="1552"/>
    </w:p>
    <w:p>
      <w:r>
        <w:t>Trifft ein Nießbrauch mit einem anderen Nießbrauch oder mit einem sonstigen Nutzungsrecht an der Sache dergestalt zusammen, dass die Rechte nebeneinander nicht oder nicht vollständig ausgeübt werden können, und haben die Rechte gleichen Rang, so findet die Vorschrift des § 1024 Anwendung.</w:t>
      </w:r>
    </w:p>
    <w:p>
      <w:pPr>
        <w:pStyle w:val="Heading5"/>
      </w:pPr>
      <w:bookmarkStart w:id="1553" w:name="b1538"/>
      <w:r>
        <w:t>§ 1061 Tod des Nießbrauchers</w:t>
      </w:r>
      <w:r>
        <w:t xml:space="preserve"> </w:t>
      </w:r>
      <w:r>
        <w:rPr>
          <w:rStyle w:val="Suchmarke"/>
        </w:rPr>
        <w:t>#1061#</w:t>
      </w:r>
      <w:bookmarkEnd w:id="1553"/>
    </w:p>
    <w:p>
      <w:r>
        <w:rPr>
          <w:rStyle w:val="Satznummer"/>
        </w:rPr>
        <w:t>1</w:t>
      </w:r>
      <w:r>
        <w:t xml:space="preserve">Der Nießbrauch erlischt mit dem Tode des Nießbrauchers. </w:t>
      </w:r>
      <w:r>
        <w:rPr>
          <w:rStyle w:val="Satznummer"/>
        </w:rPr>
        <w:t>2</w:t>
      </w:r>
      <w:r>
        <w:t>Steht der Nießbrauch einer juristischen Person oder einer rechtsfähigen Personengesellschaft zu, so erlischt er mit dieser.</w:t>
      </w:r>
    </w:p>
    <w:p>
      <w:pPr>
        <w:pStyle w:val="Heading5"/>
      </w:pPr>
      <w:bookmarkStart w:id="1554" w:name="b1539"/>
      <w:r>
        <w:t>§ 1062 Erstreckung der Aufhebung auf das Zubehör</w:t>
      </w:r>
      <w:r>
        <w:t xml:space="preserve"> </w:t>
      </w:r>
      <w:r>
        <w:rPr>
          <w:rStyle w:val="Suchmarke"/>
        </w:rPr>
        <w:t>#1062#</w:t>
      </w:r>
      <w:bookmarkEnd w:id="1554"/>
    </w:p>
    <w:p>
      <w:r>
        <w:t>Wird der Nießbrauch an einem Grundstück durch Rechtsgeschäft aufgehoben, so erstreckt sich die Aufhebung im Zweifel auf den Nießbrauch an dem Zubehör.</w:t>
      </w:r>
    </w:p>
    <w:p>
      <w:pPr>
        <w:pStyle w:val="Heading5"/>
      </w:pPr>
      <w:bookmarkStart w:id="1555" w:name="b1540"/>
      <w:r>
        <w:t>§ 1063 Zusammentreffen mit dem Eigentum</w:t>
      </w:r>
      <w:r>
        <w:t xml:space="preserve"> </w:t>
      </w:r>
      <w:r>
        <w:rPr>
          <w:rStyle w:val="Suchmarke"/>
        </w:rPr>
        <w:t>#1063#</w:t>
      </w:r>
      <w:bookmarkEnd w:id="1555"/>
    </w:p>
    <w:p>
      <w:r>
        <w:t>(1) Der Nießbrauch an einer beweglichen Sache erlischt, wenn er mit dem Eigentum in derselben Person zusammentrifft.</w:t>
      </w:r>
    </w:p>
    <w:p>
      <w:r>
        <w:t>(2) Der Nießbrauch gilt als nicht erloschen, soweit der Eigentümer ein rechtliches Interesse an dem Fortbestehen des Nießbrauchs hat.</w:t>
      </w:r>
    </w:p>
    <w:p>
      <w:pPr>
        <w:pStyle w:val="Heading5"/>
      </w:pPr>
      <w:bookmarkStart w:id="1556" w:name="b1541"/>
      <w:r>
        <w:t>§ 1064 Aufhebung des Nießbrauchs an beweglichen Sachen</w:t>
      </w:r>
      <w:r>
        <w:t xml:space="preserve"> </w:t>
      </w:r>
      <w:r>
        <w:rPr>
          <w:rStyle w:val="Suchmarke"/>
        </w:rPr>
        <w:t>#1064#</w:t>
      </w:r>
      <w:bookmarkEnd w:id="1556"/>
    </w:p>
    <w:p>
      <w:r>
        <w:t>Zur Aufhebung des Nießbrauchs an einer beweglichen Sache durch Rechtsgeschäft genügt die Erklärung des Nießbrauchers gegenüber dem Eigentümer oder dem Besteller, dass er den Nießbrauch aufgebe.</w:t>
      </w:r>
    </w:p>
    <w:p>
      <w:pPr>
        <w:pStyle w:val="Heading5"/>
      </w:pPr>
      <w:bookmarkStart w:id="1557" w:name="b1542"/>
      <w:r>
        <w:t>§ 1065 Beeinträchtigung des Nießbrauchsrechts</w:t>
      </w:r>
      <w:r>
        <w:t xml:space="preserve"> </w:t>
      </w:r>
      <w:r>
        <w:rPr>
          <w:rStyle w:val="Suchmarke"/>
        </w:rPr>
        <w:t>#1065#</w:t>
      </w:r>
      <w:bookmarkEnd w:id="1557"/>
    </w:p>
    <w:p>
      <w:r>
        <w:t>Wird das Recht des Nießbrauchers beeinträchtigt, so finden auf die Ansprüche des Nießbrauchers die für die Ansprüche aus dem Eigentum geltenden Vorschriften entsprechende Anwendung.</w:t>
      </w:r>
    </w:p>
    <w:p>
      <w:pPr>
        <w:pStyle w:val="Heading5"/>
      </w:pPr>
      <w:bookmarkStart w:id="1558" w:name="b1543"/>
      <w:r>
        <w:t>§ 1066 Nießbrauch am Anteil eines Miteigentümers</w:t>
      </w:r>
      <w:r>
        <w:t xml:space="preserve"> </w:t>
      </w:r>
      <w:r>
        <w:rPr>
          <w:rStyle w:val="Suchmarke"/>
        </w:rPr>
        <w:t>#1066#</w:t>
      </w:r>
      <w:bookmarkEnd w:id="1558"/>
    </w:p>
    <w:p>
      <w:r>
        <w:t>(1) Besteht ein Nießbrauch an dem Anteil eines Miteigentümers, so übt der Nießbraucher die Rechte aus, die sich aus der Gemeinschaft der Miteigentümer in Ansehung der Verwaltung der Sache und der Art ihrer Benutzung ergeben.</w:t>
      </w:r>
    </w:p>
    <w:p>
      <w:r>
        <w:t>(2) Die Aufhebung der Gemeinschaft kann nur von dem Miteigentümer und dem Nießbraucher gemeinschaftlich verlangt werden.</w:t>
      </w:r>
    </w:p>
    <w:p>
      <w:r>
        <w:t>(3) Wird die Gemeinschaft aufgehoben, so gebührt dem Nießbraucher der Nießbrauch an den Gegenständen, welche an die Stelle des Anteils treten.</w:t>
      </w:r>
    </w:p>
    <w:p>
      <w:pPr>
        <w:pStyle w:val="Heading5"/>
      </w:pPr>
      <w:bookmarkStart w:id="1559" w:name="b1544"/>
      <w:r>
        <w:t>§ 1067 Nießbrauch an verbrauchbaren Sachen</w:t>
      </w:r>
      <w:r>
        <w:t xml:space="preserve"> </w:t>
      </w:r>
      <w:r>
        <w:rPr>
          <w:rStyle w:val="Suchmarke"/>
        </w:rPr>
        <w:t>#1067#</w:t>
      </w:r>
      <w:bookmarkEnd w:id="1559"/>
    </w:p>
    <w:p>
      <w:r>
        <w:t xml:space="preserve">(1) </w:t>
      </w:r>
      <w:r>
        <w:rPr>
          <w:rStyle w:val="Satznummer"/>
        </w:rPr>
        <w:t>1</w:t>
      </w:r>
      <w:r>
        <w:t xml:space="preserve">Sind verbrauchbare Sachen Gegenstand des Nießbrauchs, so wird der Nießbraucher Eigentümer der Sachen; nach der Beendigung des Nießbrauchs hat er dem Besteller den Wert zu ersetzen, den die Sachen zur Zeit der Bestellung hatten. </w:t>
      </w:r>
      <w:r>
        <w:rPr>
          <w:rStyle w:val="Satznummer"/>
        </w:rPr>
        <w:t>2</w:t>
      </w:r>
      <w:r>
        <w:t>Sowohl der Besteller als der Nießbraucher kann den Wert auf seine Kosten durch Sachverständige feststellen lassen.</w:t>
      </w:r>
    </w:p>
    <w:p>
      <w:r>
        <w:t>(2) Der Besteller kann Sicherheitsleistung verlangen, wenn der Anspruch auf Ersatz des Wertes gefährdet ist.</w:t>
      </w:r>
    </w:p>
    <w:p>
      <w:pPr>
        <w:pStyle w:val="Heading4"/>
      </w:pPr>
      <w:bookmarkStart w:id="1560" w:name="b1545"/>
      <w:r>
        <w:t>Untertitel 2 Nießbrauch an Rechten</w:t>
      </w:r>
      <w:bookmarkEnd w:id="1560"/>
    </w:p>
    <w:p>
      <w:pPr>
        <w:pStyle w:val="Heading5"/>
      </w:pPr>
      <w:bookmarkStart w:id="1561" w:name="b1546"/>
      <w:r>
        <w:t>§ 1068 Gesetzlicher Inhalt des Nießbrauchs an Rechten</w:t>
      </w:r>
      <w:r>
        <w:t xml:space="preserve"> </w:t>
      </w:r>
      <w:r>
        <w:rPr>
          <w:rStyle w:val="Suchmarke"/>
        </w:rPr>
        <w:t>#1068#</w:t>
      </w:r>
      <w:bookmarkEnd w:id="1561"/>
    </w:p>
    <w:p>
      <w:r>
        <w:t>(1) Gegenstand des Nießbrauchs kann auch ein Recht sein.</w:t>
      </w:r>
    </w:p>
    <w:p>
      <w:r>
        <w:t xml:space="preserve">(2) Auf den Nießbrauch an Rechten finden die Vorschriften über den Nießbrauch an Sachen entsprechende Anwendung, soweit sich nicht aus den </w:t>
      </w:r>
      <w:hyperlink w:anchor="b1547" w:history="1">
        <w:r>
          <w:rPr>
            <w:color w:val="0A3A8C"/>
            <w:u w:val="single"/>
          </w:rPr>
          <w:t xml:space="preserve">§§ 1069</w:t>
        </w:r>
      </w:hyperlink>
      <w:r>
        <w:t xml:space="preserve"> bis </w:t>
      </w:r>
      <w:hyperlink w:anchor="b1562" w:history="1">
        <w:r>
          <w:rPr>
            <w:color w:val="0A3A8C"/>
            <w:u w:val="single"/>
          </w:rPr>
          <w:t xml:space="preserve">1084</w:t>
        </w:r>
      </w:hyperlink>
      <w:r>
        <w:t xml:space="preserve"> ein anderes ergibt.</w:t>
      </w:r>
    </w:p>
    <w:p>
      <w:pPr>
        <w:pStyle w:val="Heading5"/>
      </w:pPr>
      <w:bookmarkStart w:id="1562" w:name="b1547"/>
      <w:r>
        <w:t>§ 1069 Bestellung</w:t>
      </w:r>
      <w:r>
        <w:t xml:space="preserve"> </w:t>
      </w:r>
      <w:r>
        <w:rPr>
          <w:rStyle w:val="Suchmarke"/>
        </w:rPr>
        <w:t>#1069#</w:t>
      </w:r>
      <w:bookmarkEnd w:id="1562"/>
    </w:p>
    <w:p>
      <w:r>
        <w:t>(1) Die Bestellung des Nießbrauchs an einem Recht erfolgt nach den für die Übertragung des Rechts geltenden Vorschriften.</w:t>
      </w:r>
    </w:p>
    <w:p>
      <w:r>
        <w:t>(2) An einem Recht, das nicht übertragbar ist, kann ein Nießbrauch nicht bestellt werden.</w:t>
      </w:r>
    </w:p>
    <w:p>
      <w:pPr>
        <w:pStyle w:val="Heading5"/>
      </w:pPr>
      <w:bookmarkStart w:id="1563" w:name="b1548"/>
      <w:r>
        <w:t>§ 1070 Nießbrauch an Recht auf Leistung</w:t>
      </w:r>
      <w:r>
        <w:t xml:space="preserve"> </w:t>
      </w:r>
      <w:r>
        <w:rPr>
          <w:rStyle w:val="Suchmarke"/>
        </w:rPr>
        <w:t>#1070#</w:t>
      </w:r>
      <w:bookmarkEnd w:id="1563"/>
    </w:p>
    <w:p>
      <w:r>
        <w:t>(1) Ist ein Recht, kraft dessen eine Leistung gefordert werden kann, Gegenstand des Nießbrauchs, so finden auf das Rechtsverhältnis zwischen dem Nießbraucher und dem Verpflichteten die Vorschriften entsprechende Anwendung, welche im Falle der Übertragung des Rechts für das Rechtsverhältnis zwischen dem Erwerber und dem Verpflichteten gelten.</w:t>
      </w:r>
    </w:p>
    <w:p>
      <w:r>
        <w:t xml:space="preserve">(2) </w:t>
      </w:r>
      <w:r>
        <w:rPr>
          <w:rStyle w:val="Satznummer"/>
        </w:rPr>
        <w:t>1</w:t>
      </w:r>
      <w:r>
        <w:t xml:space="preserve">Wird die Ausübung des Nießbrauchs nach </w:t>
      </w:r>
      <w:hyperlink w:anchor="b1524" w:history="1">
        <w:r>
          <w:rPr>
            <w:color w:val="0A3A8C"/>
            <w:u w:val="single"/>
          </w:rPr>
          <w:t xml:space="preserve">§ 1052</w:t>
        </w:r>
      </w:hyperlink>
      <w:r>
        <w:t xml:space="preserve"> einem Verwalter übertragen, so ist die Übertragung dem Verpflichteten gegenüber erst wirksam, wenn er von der getroffenen Anordnung Kenntnis erlangt oder wenn ihm eine Mitteilung von der Anordnung zugestellt wird. </w:t>
      </w:r>
      <w:r>
        <w:rPr>
          <w:rStyle w:val="Satznummer"/>
        </w:rPr>
        <w:t>2</w:t>
      </w:r>
      <w:r>
        <w:t>Das Gleiche gilt von der Aufhebung der Verwaltung.</w:t>
      </w:r>
    </w:p>
    <w:p>
      <w:pPr>
        <w:pStyle w:val="Heading5"/>
      </w:pPr>
      <w:bookmarkStart w:id="1564" w:name="b1549"/>
      <w:r>
        <w:t>§ 1071 Aufhebung oder Änderung des belasteten Rechts</w:t>
      </w:r>
      <w:r>
        <w:t xml:space="preserve"> </w:t>
      </w:r>
      <w:r>
        <w:rPr>
          <w:rStyle w:val="Suchmarke"/>
        </w:rPr>
        <w:t>#1071#</w:t>
      </w:r>
      <w:bookmarkEnd w:id="1564"/>
    </w:p>
    <w:p>
      <w:r>
        <w:t xml:space="preserve">(1) </w:t>
      </w:r>
      <w:r>
        <w:rPr>
          <w:rStyle w:val="Satznummer"/>
        </w:rPr>
        <w:t>1</w:t>
      </w:r>
      <w:r>
        <w:t xml:space="preserve">Ein dem Nießbrauch unterliegendes Recht kann durch Rechtsgeschäft nur mit Zustimmung des Nießbrauchers aufgehoben werden. </w:t>
      </w:r>
      <w:r>
        <w:rPr>
          <w:rStyle w:val="Satznummer"/>
        </w:rPr>
        <w:t>2</w:t>
      </w:r>
      <w:r>
        <w:t xml:space="preserve">Die Zustimmung ist demjenigen gegenüber zu erklären, zu dessen Gunsten sie erfolgt; sie ist unwiderruflich. </w:t>
      </w:r>
      <w:r>
        <w:rPr>
          <w:rStyle w:val="Satznummer"/>
        </w:rPr>
        <w:t>3</w:t>
      </w:r>
      <w:r>
        <w:t xml:space="preserve">Die Vorschrift des </w:t>
      </w:r>
      <w:hyperlink w:anchor="b1334" w:history="1">
        <w:r>
          <w:rPr>
            <w:color w:val="0A3A8C"/>
            <w:u w:val="single"/>
          </w:rPr>
          <w:t xml:space="preserve">§ 876</w:t>
        </w:r>
      </w:hyperlink>
      <w:r>
        <w:t xml:space="preserve"> Satz 3 bleibt unberührt.</w:t>
      </w:r>
    </w:p>
    <w:p>
      <w:r>
        <w:t>(2) Das Gleiche gilt im Falle einer Änderung des Rechts, sofern sie den Nießbrauch beeinträchtigt.</w:t>
      </w:r>
    </w:p>
    <w:p>
      <w:pPr>
        <w:pStyle w:val="Heading5"/>
      </w:pPr>
      <w:bookmarkStart w:id="1565" w:name="b1550"/>
      <w:r>
        <w:t>§ 1072 Beendigung des Nießbrauchs</w:t>
      </w:r>
      <w:r>
        <w:t xml:space="preserve"> </w:t>
      </w:r>
      <w:r>
        <w:rPr>
          <w:rStyle w:val="Suchmarke"/>
        </w:rPr>
        <w:t>#1072#</w:t>
      </w:r>
      <w:bookmarkEnd w:id="1565"/>
    </w:p>
    <w:p>
      <w:r>
        <w:t xml:space="preserve">Die Beendigung des Nießbrauchs tritt nach den Vorschriften der </w:t>
      </w:r>
      <w:hyperlink w:anchor="b1540" w:history="1">
        <w:r>
          <w:rPr>
            <w:color w:val="0A3A8C"/>
            <w:u w:val="single"/>
          </w:rPr>
          <w:t xml:space="preserve">§§ 1063</w:t>
        </w:r>
      </w:hyperlink>
      <w:r>
        <w:t xml:space="preserve">, </w:t>
      </w:r>
      <w:hyperlink w:anchor="b1541" w:history="1">
        <w:r>
          <w:rPr>
            <w:color w:val="0A3A8C"/>
            <w:u w:val="single"/>
          </w:rPr>
          <w:t xml:space="preserve">1064</w:t>
        </w:r>
      </w:hyperlink>
      <w:r>
        <w:t xml:space="preserve"> auch dann ein, wenn das dem Nießbrauch unterliegende Recht nicht ein Recht an einer beweglichen Sache ist.</w:t>
      </w:r>
    </w:p>
    <w:p>
      <w:pPr>
        <w:pStyle w:val="Heading5"/>
      </w:pPr>
      <w:bookmarkStart w:id="1566" w:name="b1551"/>
      <w:r>
        <w:t>§ 1073 Nießbrauch an einer Leibrente</w:t>
      </w:r>
      <w:r>
        <w:t xml:space="preserve"> </w:t>
      </w:r>
      <w:r>
        <w:rPr>
          <w:rStyle w:val="Suchmarke"/>
        </w:rPr>
        <w:t>#1073#</w:t>
      </w:r>
      <w:bookmarkEnd w:id="1566"/>
    </w:p>
    <w:p>
      <w:r>
        <w:t>Dem Nießbraucher einer Leibrente, eines Auszugs oder eines ähnlichen Rechts gebühren die einzelnen Leistungen, die auf Grund des Rechts gefordert werden können.</w:t>
      </w:r>
    </w:p>
    <w:p>
      <w:pPr>
        <w:pStyle w:val="Heading5"/>
      </w:pPr>
      <w:bookmarkStart w:id="1567" w:name="b1552"/>
      <w:r>
        <w:t>§ 1074 Nießbrauch an einer Forderung; Kündigung und Einziehung</w:t>
      </w:r>
      <w:r>
        <w:t xml:space="preserve"> </w:t>
      </w:r>
      <w:r>
        <w:rPr>
          <w:rStyle w:val="Suchmarke"/>
        </w:rPr>
        <w:t>#1074#</w:t>
      </w:r>
      <w:bookmarkEnd w:id="1567"/>
    </w:p>
    <w:p>
      <w:r>
        <w:rPr>
          <w:rStyle w:val="Satznummer"/>
        </w:rPr>
        <w:t>1</w:t>
      </w:r>
      <w:r>
        <w:t xml:space="preserve">Der Nießbraucher einer Forderung ist zur Einziehung der Forderung und, wenn die Fälligkeit von einer Kündigung des Gläubigers abhängt, zur Kündigung berechtigt. </w:t>
      </w:r>
      <w:r>
        <w:rPr>
          <w:rStyle w:val="Satznummer"/>
        </w:rPr>
        <w:t>2</w:t>
      </w:r>
      <w:r>
        <w:t xml:space="preserve">Er hat für die ordnungsmäßige Einziehung zu sorgen. </w:t>
      </w:r>
      <w:r>
        <w:rPr>
          <w:rStyle w:val="Satznummer"/>
        </w:rPr>
        <w:t>3</w:t>
      </w:r>
      <w:r>
        <w:t>Zu anderen Verfügungen über die Forderung ist er nicht berechtigt.</w:t>
      </w:r>
    </w:p>
    <w:p>
      <w:pPr>
        <w:pStyle w:val="Heading5"/>
      </w:pPr>
      <w:bookmarkStart w:id="1568" w:name="b1553"/>
      <w:r>
        <w:t>§ 1075 Wirkung der Leistung</w:t>
      </w:r>
      <w:r>
        <w:t xml:space="preserve"> </w:t>
      </w:r>
      <w:r>
        <w:rPr>
          <w:rStyle w:val="Suchmarke"/>
        </w:rPr>
        <w:t>#1075#</w:t>
      </w:r>
      <w:bookmarkEnd w:id="1568"/>
    </w:p>
    <w:p>
      <w:r>
        <w:t>(1) Mit der Leistung des Schuldners an den Nießbraucher erwirbt der Gläubiger den geleisteten Gegenstand und der Nießbraucher den Nießbrauch an dem Gegenstand.</w:t>
      </w:r>
    </w:p>
    <w:p>
      <w:r>
        <w:t xml:space="preserve">(2) Werden verbrauchbare Sachen geleistet, so erwirbt der Nießbraucher das Eigentum; die Vorschrift des </w:t>
      </w:r>
      <w:hyperlink w:anchor="b1544" w:history="1">
        <w:r>
          <w:rPr>
            <w:color w:val="0A3A8C"/>
            <w:u w:val="single"/>
          </w:rPr>
          <w:t xml:space="preserve">§ 1067</w:t>
        </w:r>
      </w:hyperlink>
      <w:r>
        <w:t xml:space="preserve"> findet entsprechende Anwendung.</w:t>
      </w:r>
    </w:p>
    <w:p>
      <w:pPr>
        <w:pStyle w:val="Heading5"/>
      </w:pPr>
      <w:bookmarkStart w:id="1569" w:name="b1554"/>
      <w:r>
        <w:t>§ 1076 Nießbrauch an verzinslicher Forderung</w:t>
      </w:r>
      <w:r>
        <w:t xml:space="preserve"> </w:t>
      </w:r>
      <w:r>
        <w:rPr>
          <w:rStyle w:val="Suchmarke"/>
        </w:rPr>
        <w:t>#1076#</w:t>
      </w:r>
      <w:bookmarkEnd w:id="1569"/>
    </w:p>
    <w:p>
      <w:r>
        <w:t xml:space="preserve">Ist eine auf Zinsen ausstehende Forderung Gegenstand des Nießbrauchs, so gelten die Vorschriften der </w:t>
      </w:r>
      <w:hyperlink w:anchor="b1555" w:history="1">
        <w:r>
          <w:rPr>
            <w:color w:val="0A3A8C"/>
            <w:u w:val="single"/>
          </w:rPr>
          <w:t xml:space="preserve">§§ 1077</w:t>
        </w:r>
      </w:hyperlink>
      <w:r>
        <w:t xml:space="preserve"> bis </w:t>
      </w:r>
      <w:hyperlink w:anchor="b1557" w:history="1">
        <w:r>
          <w:rPr>
            <w:color w:val="0A3A8C"/>
            <w:u w:val="single"/>
          </w:rPr>
          <w:t xml:space="preserve">1079</w:t>
        </w:r>
      </w:hyperlink>
      <w:r>
        <w:t>.</w:t>
      </w:r>
    </w:p>
    <w:p>
      <w:pPr>
        <w:pStyle w:val="Heading5"/>
      </w:pPr>
      <w:bookmarkStart w:id="1570" w:name="b1555"/>
      <w:r>
        <w:t>§ 1077 Kündigung und Zahlung</w:t>
      </w:r>
      <w:r>
        <w:t xml:space="preserve"> </w:t>
      </w:r>
      <w:r>
        <w:rPr>
          <w:rStyle w:val="Suchmarke"/>
        </w:rPr>
        <w:t>#1077#</w:t>
      </w:r>
      <w:bookmarkEnd w:id="1570"/>
    </w:p>
    <w:p>
      <w:r>
        <w:t xml:space="preserve">(1) </w:t>
      </w:r>
      <w:r>
        <w:rPr>
          <w:rStyle w:val="Satznummer"/>
        </w:rPr>
        <w:t>1</w:t>
      </w:r>
      <w:r>
        <w:t xml:space="preserve">Der Schuldner kann das Kapital nur an den Nießbraucher und den Gläubiger gemeinschaftlich zahlen. </w:t>
      </w:r>
      <w:r>
        <w:rPr>
          <w:rStyle w:val="Satznummer"/>
        </w:rPr>
        <w:t>2</w:t>
      </w:r>
      <w:r>
        <w:t>Jeder von beiden kann verlangen, dass an sie gemeinschaftlich gezahlt wird; jeder kann statt der Zahlung die Hinterlegung für beide fordern.</w:t>
      </w:r>
    </w:p>
    <w:p>
      <w:r>
        <w:t xml:space="preserve">(2) </w:t>
      </w:r>
      <w:r>
        <w:rPr>
          <w:rStyle w:val="Satznummer"/>
        </w:rPr>
        <w:t>1</w:t>
      </w:r>
      <w:r>
        <w:t xml:space="preserve">Der Nießbraucher und der Gläubiger können nur gemeinschaftlich kündigen. </w:t>
      </w:r>
      <w:r>
        <w:rPr>
          <w:rStyle w:val="Satznummer"/>
        </w:rPr>
        <w:t>2</w:t>
      </w:r>
      <w:r>
        <w:t>Die Kündigung des Schuldners ist nur wirksam, wenn sie dem Nießbraucher und dem Gläubiger erklärt wird.</w:t>
      </w:r>
    </w:p>
    <w:p>
      <w:pPr>
        <w:pStyle w:val="Heading5"/>
      </w:pPr>
      <w:bookmarkStart w:id="1571" w:name="b1556"/>
      <w:r>
        <w:t>§ 1078 Mitwirkung zur Einziehung</w:t>
      </w:r>
      <w:r>
        <w:t xml:space="preserve"> </w:t>
      </w:r>
      <w:r>
        <w:rPr>
          <w:rStyle w:val="Suchmarke"/>
        </w:rPr>
        <w:t>#1078#</w:t>
      </w:r>
      <w:bookmarkEnd w:id="1571"/>
    </w:p>
    <w:p>
      <w:r>
        <w:rPr>
          <w:rStyle w:val="Satznummer"/>
        </w:rPr>
        <w:t>1</w:t>
      </w:r>
      <w:r>
        <w:t xml:space="preserve">Ist die Forderung fällig, so sind der Nießbraucher und der Gläubiger einander verpflichtet, zur Einziehung mitzuwirken. </w:t>
      </w:r>
      <w:r>
        <w:rPr>
          <w:rStyle w:val="Satznummer"/>
        </w:rPr>
        <w:t>2</w:t>
      </w:r>
      <w:r>
        <w:t>Hängt die Fälligkeit von einer Kündigung ab, so kann jeder Teil die Mitwirkung des anderen zur Kündigung verlangen, wenn die Einziehung der Forderung wegen Gefährdung ihrer Sicherheit nach den Regeln einer ordnungsmäßigen Vermögensverwaltung geboten ist.</w:t>
      </w:r>
    </w:p>
    <w:p>
      <w:pPr>
        <w:pStyle w:val="Heading5"/>
      </w:pPr>
      <w:bookmarkStart w:id="1572" w:name="b1557"/>
      <w:r>
        <w:t>§ 1079 Anlegung des Kapitals</w:t>
      </w:r>
      <w:r>
        <w:t xml:space="preserve"> </w:t>
      </w:r>
      <w:r>
        <w:rPr>
          <w:rStyle w:val="Suchmarke"/>
        </w:rPr>
        <w:t>#1079#</w:t>
      </w:r>
      <w:bookmarkEnd w:id="1572"/>
    </w:p>
    <w:p>
      <w:r>
        <w:rPr>
          <w:rStyle w:val="Satznummer"/>
        </w:rPr>
        <w:t>1</w:t>
      </w:r>
      <w:r>
        <w:t xml:space="preserve">Der Nießbraucher und der Gläubiger sind einander verpflichtet, dazu mitzuwirken, dass das eingezogene Kapital der Rechtsverordnung nach </w:t>
      </w:r>
      <w:hyperlink w:anchor="b278" w:history="1">
        <w:r>
          <w:rPr>
            <w:color w:val="0A3A8C"/>
            <w:u w:val="single"/>
          </w:rPr>
          <w:t xml:space="preserve">§ 240a</w:t>
        </w:r>
      </w:hyperlink>
      <w:r>
        <w:t xml:space="preserve"> entsprechend angelegt und gleichzeitig dem Nießbraucher der Nießbrauch bestellt wird. </w:t>
      </w:r>
      <w:r>
        <w:rPr>
          <w:rStyle w:val="Satznummer"/>
        </w:rPr>
        <w:t>2</w:t>
      </w:r>
      <w:r>
        <w:t>Die Art der Anlegung bestimmt der Nießbraucher.</w:t>
      </w:r>
    </w:p>
    <w:p>
      <w:pPr>
        <w:pStyle w:val="Heading5"/>
      </w:pPr>
      <w:bookmarkStart w:id="1573" w:name="b1558"/>
      <w:r>
        <w:t>§ 1080 Nießbrauch an Grund- oder Rentenschuld</w:t>
      </w:r>
      <w:r>
        <w:t xml:space="preserve"> </w:t>
      </w:r>
      <w:r>
        <w:rPr>
          <w:rStyle w:val="Suchmarke"/>
        </w:rPr>
        <w:t>#1080#</w:t>
      </w:r>
      <w:bookmarkEnd w:id="1573"/>
    </w:p>
    <w:p>
      <w:r>
        <w:t>Die Vorschriften über den Nießbrauch an einer Forderung gelten auch für den Nießbrauch an einer Grundschuld und an einer Rentenschuld.</w:t>
      </w:r>
    </w:p>
    <w:p>
      <w:pPr>
        <w:pStyle w:val="Heading5"/>
      </w:pPr>
      <w:bookmarkStart w:id="1574" w:name="b1559"/>
      <w:r>
        <w:t>§ 1081 Nießbrauch an Inhaber- oder Orderpapieren</w:t>
      </w:r>
      <w:r>
        <w:t xml:space="preserve"> </w:t>
      </w:r>
      <w:r>
        <w:rPr>
          <w:rStyle w:val="Suchmarke"/>
        </w:rPr>
        <w:t>#1081#</w:t>
      </w:r>
      <w:bookmarkEnd w:id="1574"/>
    </w:p>
    <w:p>
      <w:r>
        <w:t xml:space="preserve">(1) </w:t>
      </w:r>
      <w:r>
        <w:rPr>
          <w:rStyle w:val="Satznummer"/>
        </w:rPr>
        <w:t>1</w:t>
      </w:r>
      <w:r>
        <w:t xml:space="preserve">Ist ein Inhaberpapier oder ein Orderpapier, das mit Blankoindossament versehen ist, Gegenstand des Nießbrauchs, so steht der Besitz des Papiers und des zu dem Papier gehörenden Erneuerungsscheins dem Nießbraucher und dem Eigentümer gemeinschaftlich zu. </w:t>
      </w:r>
      <w:r>
        <w:rPr>
          <w:rStyle w:val="Satznummer"/>
        </w:rPr>
        <w:t>2</w:t>
      </w:r>
      <w:r>
        <w:t>Der Besitz der zu dem Papier gehörenden Zins-, Renten- oder Gewinnanteilscheine steht dem Nießbraucher zu.</w:t>
      </w:r>
    </w:p>
    <w:p>
      <w:r>
        <w:t>(2) Zur Bestellung des Nießbrauchs genügt anstelle der Übergabe des Papiers die Einräumung des Mitbesitzes.</w:t>
      </w:r>
    </w:p>
    <w:p>
      <w:pPr>
        <w:pStyle w:val="Heading5"/>
      </w:pPr>
      <w:bookmarkStart w:id="1575" w:name="b1560"/>
      <w:r>
        <w:t>§ 1082 Hinterlegung</w:t>
      </w:r>
      <w:r>
        <w:t xml:space="preserve"> </w:t>
      </w:r>
      <w:r>
        <w:rPr>
          <w:rStyle w:val="Suchmarke"/>
        </w:rPr>
        <w:t>#1082#</w:t>
      </w:r>
      <w:bookmarkEnd w:id="1575"/>
    </w:p>
    <w:p>
      <w:r>
        <w:t>Das Papier ist nebst dem Erneuerungsschein auf Verlangen des Nießbrauchers oder des Eigentümers bei einer Hinterlegungsstelle mit der Bestimmung zu hinterlegen, dass die Herausgabe nur von dem Nießbraucher und dem Eigentümer gemeinschaftlich verlangt werden kann.</w:t>
      </w:r>
    </w:p>
    <w:p>
      <w:pPr>
        <w:pStyle w:val="Heading5"/>
      </w:pPr>
      <w:bookmarkStart w:id="1576" w:name="b1561"/>
      <w:r>
        <w:t>§ 1083 Mitwirkung zur Einziehung</w:t>
      </w:r>
      <w:r>
        <w:t xml:space="preserve"> </w:t>
      </w:r>
      <w:r>
        <w:rPr>
          <w:rStyle w:val="Suchmarke"/>
        </w:rPr>
        <w:t>#1083#</w:t>
      </w:r>
      <w:bookmarkEnd w:id="1576"/>
    </w:p>
    <w:p>
      <w:r>
        <w:t>(1) Der Nießbraucher und der Eigentümer des Papiers sind einander verpflichtet, zur Einziehung des fälligen Kapitals, zur Beschaffung neuer Zins-, Renten- oder Gewinnanteilscheine sowie zu sonstigen Maßnahmen mitzuwirken, die zur ordnungsmäßigen Vermögensverwaltung erforderlich sind.</w:t>
      </w:r>
    </w:p>
    <w:p>
      <w:r>
        <w:t xml:space="preserve">(2) </w:t>
      </w:r>
      <w:r>
        <w:rPr>
          <w:rStyle w:val="Satznummer"/>
        </w:rPr>
        <w:t>1</w:t>
      </w:r>
      <w:r>
        <w:t xml:space="preserve">Im Falle der Einlösung des Papiers findet die Vorschrift des § 1079 Anwendung. </w:t>
      </w:r>
      <w:r>
        <w:rPr>
          <w:rStyle w:val="Satznummer"/>
        </w:rPr>
        <w:t>2</w:t>
      </w:r>
      <w:r>
        <w:t>Eine bei der Einlösung gezahlte Prämie gilt als Teil des Kapitals.</w:t>
      </w:r>
    </w:p>
    <w:p>
      <w:pPr>
        <w:pStyle w:val="Heading5"/>
      </w:pPr>
      <w:bookmarkStart w:id="1577" w:name="b1562"/>
      <w:r>
        <w:t>§ 1084 Verbrauchbare Sachen</w:t>
      </w:r>
      <w:r>
        <w:t xml:space="preserve"> </w:t>
      </w:r>
      <w:r>
        <w:rPr>
          <w:rStyle w:val="Suchmarke"/>
        </w:rPr>
        <w:t>#1084#</w:t>
      </w:r>
      <w:bookmarkEnd w:id="1577"/>
    </w:p>
    <w:p>
      <w:r>
        <w:t xml:space="preserve">Gehört ein Inhaberpapier oder ein Orderpapier, das mit Blankoindossament versehen ist, nach </w:t>
      </w:r>
      <w:hyperlink w:anchor="b117" w:history="1">
        <w:r>
          <w:rPr>
            <w:color w:val="0A3A8C"/>
            <w:u w:val="single"/>
          </w:rPr>
          <w:t xml:space="preserve">§ 92</w:t>
        </w:r>
      </w:hyperlink>
      <w:r>
        <w:t xml:space="preserve"> zu den verbrauchbaren Sachen, so bewendet es bei der Vorschrift des </w:t>
      </w:r>
      <w:hyperlink w:anchor="b1544" w:history="1">
        <w:r>
          <w:rPr>
            <w:color w:val="0A3A8C"/>
            <w:u w:val="single"/>
          </w:rPr>
          <w:t xml:space="preserve">§ 1067</w:t>
        </w:r>
      </w:hyperlink>
      <w:r>
        <w:t>.</w:t>
      </w:r>
    </w:p>
    <w:p>
      <w:pPr>
        <w:pStyle w:val="Heading4"/>
      </w:pPr>
      <w:bookmarkStart w:id="1578" w:name="b1563"/>
      <w:r>
        <w:t>Untertitel 3 Nießbrauch an einem Vermögen</w:t>
      </w:r>
      <w:bookmarkEnd w:id="1578"/>
    </w:p>
    <w:p>
      <w:pPr>
        <w:pStyle w:val="Heading5"/>
      </w:pPr>
      <w:bookmarkStart w:id="1579" w:name="b1564"/>
      <w:r>
        <w:t>§ 1085 Bestellung des Nießbrauchs an einem Vermögen</w:t>
      </w:r>
      <w:r>
        <w:t xml:space="preserve"> </w:t>
      </w:r>
      <w:r>
        <w:rPr>
          <w:rStyle w:val="Suchmarke"/>
        </w:rPr>
        <w:t>#1085#</w:t>
      </w:r>
      <w:bookmarkEnd w:id="1579"/>
    </w:p>
    <w:p>
      <w:r>
        <w:rPr>
          <w:rStyle w:val="Satznummer"/>
        </w:rPr>
        <w:t>1</w:t>
      </w:r>
      <w:r>
        <w:t xml:space="preserve">Der Nießbrauch an dem Vermögen einer Person kann nur in der Weise bestellt werden, dass der Nießbraucher den Nießbrauch an den einzelnen zu dem Vermögen gehörenden Gegenständen erlangt. </w:t>
      </w:r>
      <w:r>
        <w:rPr>
          <w:rStyle w:val="Satznummer"/>
        </w:rPr>
        <w:t>2</w:t>
      </w:r>
      <w:r>
        <w:t xml:space="preserve">Soweit der Nießbrauch bestellt ist, gelten die Vorschriften der </w:t>
      </w:r>
      <w:hyperlink w:anchor="b1565" w:history="1">
        <w:r>
          <w:rPr>
            <w:color w:val="0A3A8C"/>
            <w:u w:val="single"/>
          </w:rPr>
          <w:t xml:space="preserve">§§ 1086</w:t>
        </w:r>
      </w:hyperlink>
      <w:r>
        <w:t xml:space="preserve"> bis </w:t>
      </w:r>
      <w:hyperlink w:anchor="b1567" w:history="1">
        <w:r>
          <w:rPr>
            <w:color w:val="0A3A8C"/>
            <w:u w:val="single"/>
          </w:rPr>
          <w:t xml:space="preserve">1088</w:t>
        </w:r>
      </w:hyperlink>
      <w:r>
        <w:t>.</w:t>
      </w:r>
    </w:p>
    <w:p>
      <w:pPr>
        <w:pStyle w:val="Heading5"/>
      </w:pPr>
      <w:bookmarkStart w:id="1580" w:name="b1565"/>
      <w:r>
        <w:t>§ 1086 Rechte der Gläubiger des Bestellers</w:t>
      </w:r>
      <w:r>
        <w:t xml:space="preserve"> </w:t>
      </w:r>
      <w:r>
        <w:rPr>
          <w:rStyle w:val="Suchmarke"/>
        </w:rPr>
        <w:t>#1086#</w:t>
      </w:r>
      <w:bookmarkEnd w:id="1580"/>
    </w:p>
    <w:p>
      <w:r>
        <w:rPr>
          <w:rStyle w:val="Satznummer"/>
        </w:rPr>
        <w:t>1</w:t>
      </w:r>
      <w:r>
        <w:t xml:space="preserve">Die Gläubiger des Bestellers können, soweit ihre Forderungen vor der Bestellung entstanden sind, ohne Rücksicht auf den Nießbrauch Befriedigung aus den dem Nießbrauch unterliegenden Gegenständen verlangen. </w:t>
      </w:r>
      <w:r>
        <w:rPr>
          <w:rStyle w:val="Satznummer"/>
        </w:rPr>
        <w:t>2</w:t>
      </w:r>
      <w:r>
        <w:t>Hat der Nießbraucher das Eigentum an verbrauchbaren Sachen erlangt, so tritt an die Stelle der Sachen der Anspruch des Bestellers auf Ersatz des Wertes; der Nießbraucher ist den Gläubigern gegenüber zum sofortigen Ersatz verpflichtet.</w:t>
      </w:r>
    </w:p>
    <w:p>
      <w:pPr>
        <w:pStyle w:val="Heading5"/>
      </w:pPr>
      <w:bookmarkStart w:id="1581" w:name="b1566"/>
      <w:r>
        <w:t>§ 1087 Verhältnis zwischen Nießbraucher und Besteller</w:t>
      </w:r>
      <w:r>
        <w:t xml:space="preserve"> </w:t>
      </w:r>
      <w:r>
        <w:rPr>
          <w:rStyle w:val="Suchmarke"/>
        </w:rPr>
        <w:t>#1087#</w:t>
      </w:r>
      <w:bookmarkEnd w:id="1581"/>
    </w:p>
    <w:p>
      <w:r>
        <w:t xml:space="preserve">(1) </w:t>
      </w:r>
      <w:r>
        <w:rPr>
          <w:rStyle w:val="Satznummer"/>
        </w:rPr>
        <w:t>1</w:t>
      </w:r>
      <w:r>
        <w:t xml:space="preserve">Der Besteller kann, wenn eine vor der Bestellung entstandene Forderung fällig ist, von dem Nießbraucher Rückgabe der zur Befriedigung des Gläubigers erforderlichen Gegenstände verlangen. </w:t>
      </w:r>
      <w:r>
        <w:rPr>
          <w:rStyle w:val="Satznummer"/>
        </w:rPr>
        <w:t>2</w:t>
      </w:r>
      <w:r>
        <w:t xml:space="preserve">Die Auswahl steht ihm zu; er kann jedoch nur die vorzugsweise geeigneten Gegenstände auswählen. </w:t>
      </w:r>
      <w:r>
        <w:rPr>
          <w:rStyle w:val="Satznummer"/>
        </w:rPr>
        <w:t>3</w:t>
      </w:r>
      <w:r>
        <w:t>Soweit die zurückgegebenen Gegenstände ausreichen, ist der Besteller dem Nießbraucher gegenüber zur Befriedigung des Gläubigers verpflichtet.</w:t>
      </w:r>
    </w:p>
    <w:p>
      <w:r>
        <w:t xml:space="preserve">(2) </w:t>
      </w:r>
      <w:r>
        <w:rPr>
          <w:rStyle w:val="Satznummer"/>
        </w:rPr>
        <w:t>1</w:t>
      </w:r>
      <w:r>
        <w:t xml:space="preserve">Der Nießbraucher kann die Verbindlichkeit durch Leistung des geschuldeten Gegenstands erfüllen. </w:t>
      </w:r>
      <w:r>
        <w:rPr>
          <w:rStyle w:val="Satznummer"/>
        </w:rPr>
        <w:t>2</w:t>
      </w:r>
      <w:r>
        <w:t xml:space="preserve">Gehört der geschuldete Gegenstand nicht zu dem Vermögen, das dem Nießbrauch unterliegt, so ist der Nießbraucher berechtigt, zum Zwecke der Befriedigung des Gläubigers einen zu dem Vermögen gehörenden Gegenstand zu veräußern, wenn die Befriedigung durch den Besteller nicht ohne Gefahr abgewartet werden kann. </w:t>
      </w:r>
      <w:r>
        <w:rPr>
          <w:rStyle w:val="Satznummer"/>
        </w:rPr>
        <w:t>3</w:t>
      </w:r>
      <w:r>
        <w:t xml:space="preserve">Er hat einen vorzugsweise geeigneten Gegenstand auszuwählen. </w:t>
      </w:r>
      <w:r>
        <w:rPr>
          <w:rStyle w:val="Satznummer"/>
        </w:rPr>
        <w:t>4</w:t>
      </w:r>
      <w:r>
        <w:t>Soweit er zum Ersatz des Wertes verbrauchbarer Sachen verpflichtet ist, darf er eine Veräußerung nicht vornehmen.</w:t>
      </w:r>
    </w:p>
    <w:p>
      <w:pPr>
        <w:pStyle w:val="Heading5"/>
      </w:pPr>
      <w:bookmarkStart w:id="1582" w:name="b1567"/>
      <w:r>
        <w:t>§ 1088 Haftung des Nießbrauchers</w:t>
      </w:r>
      <w:r>
        <w:t xml:space="preserve"> </w:t>
      </w:r>
      <w:r>
        <w:rPr>
          <w:rStyle w:val="Suchmarke"/>
        </w:rPr>
        <w:t>#1088#</w:t>
      </w:r>
      <w:bookmarkEnd w:id="1582"/>
    </w:p>
    <w:p>
      <w:r>
        <w:t xml:space="preserve">(1) </w:t>
      </w:r>
      <w:r>
        <w:rPr>
          <w:rStyle w:val="Satznummer"/>
        </w:rPr>
        <w:t>1</w:t>
      </w:r>
      <w:r>
        <w:t xml:space="preserve">Die Gläubiger des Bestellers, deren Forderungen schon zur Zeit der Bestellung verzinslich waren, können die Zinsen für die Dauer des Nießbrauchs auch von dem Nießbraucher verlangen. </w:t>
      </w:r>
      <w:r>
        <w:rPr>
          <w:rStyle w:val="Satznummer"/>
        </w:rPr>
        <w:t>2</w:t>
      </w:r>
      <w:r>
        <w:t>Das Gleiche gilt von anderen wiederkehrenden Leistungen, die bei ordnungsmäßiger Verwaltung aus den Einkünften des Vermögens bestritten werden, wenn die Forderung vor der Bestellung des Nießbrauchs entstanden ist.</w:t>
      </w:r>
    </w:p>
    <w:p>
      <w:r>
        <w:t>(2) Die Haftung des Nießbrauchers kann nicht durch Vereinbarung zwischen ihm und dem Besteller ausgeschlossen oder beschränkt werden.</w:t>
      </w:r>
    </w:p>
    <w:p>
      <w:r>
        <w:t xml:space="preserve">(3) </w:t>
      </w:r>
      <w:r>
        <w:rPr>
          <w:rStyle w:val="Satznummer"/>
        </w:rPr>
        <w:t>1</w:t>
      </w:r>
      <w:r>
        <w:t xml:space="preserve">Der Nießbraucher ist dem Besteller gegenüber zur Befriedigung der Gläubiger wegen der im Absatz 1 bezeichneten Ansprüche verpflichtet. </w:t>
      </w:r>
      <w:r>
        <w:rPr>
          <w:rStyle w:val="Satznummer"/>
        </w:rPr>
        <w:t>2</w:t>
      </w:r>
      <w:r>
        <w:t>Die Rückgabe von Gegenständen zum Zwecke der Befriedigung kann der Besteller nur verlangen, wenn der Nießbraucher mit der Erfüllung dieser Verbindlichkeit in Verzug kommt.</w:t>
      </w:r>
    </w:p>
    <w:p>
      <w:pPr>
        <w:pStyle w:val="Heading5"/>
      </w:pPr>
      <w:bookmarkStart w:id="1583" w:name="b1568"/>
      <w:r>
        <w:t>§ 1089 Nießbrauch an einer Erbschaft</w:t>
      </w:r>
      <w:r>
        <w:t xml:space="preserve"> </w:t>
      </w:r>
      <w:r>
        <w:rPr>
          <w:rStyle w:val="Suchmarke"/>
        </w:rPr>
        <w:t>#1089#</w:t>
      </w:r>
      <w:bookmarkEnd w:id="1583"/>
    </w:p>
    <w:p>
      <w:r>
        <w:t xml:space="preserve">Die Vorschriften der </w:t>
      </w:r>
      <w:hyperlink w:anchor="b1564" w:history="1">
        <w:r>
          <w:rPr>
            <w:color w:val="0A3A8C"/>
            <w:u w:val="single"/>
          </w:rPr>
          <w:t xml:space="preserve">§§ 1085</w:t>
        </w:r>
      </w:hyperlink>
      <w:r>
        <w:t xml:space="preserve"> bis </w:t>
      </w:r>
      <w:hyperlink w:anchor="b1567" w:history="1">
        <w:r>
          <w:rPr>
            <w:color w:val="0A3A8C"/>
            <w:u w:val="single"/>
          </w:rPr>
          <w:t xml:space="preserve">1088</w:t>
        </w:r>
      </w:hyperlink>
      <w:r>
        <w:t xml:space="preserve"> finden auf den Nießbrauch an einer Erbschaft entsprechende Anwendung.</w:t>
      </w:r>
    </w:p>
    <w:p>
      <w:pPr>
        <w:pStyle w:val="Heading3"/>
      </w:pPr>
      <w:bookmarkStart w:id="1584" w:name="b1569"/>
      <w:r>
        <w:t>Titel 3 Beschränkte persönliche Dienstbarkeiten</w:t>
      </w:r>
      <w:bookmarkEnd w:id="1584"/>
    </w:p>
    <w:p>
      <w:pPr>
        <w:pStyle w:val="Heading4"/>
      </w:pPr>
      <w:bookmarkStart w:id="1585" w:name="b1570"/>
      <w:r>
        <w:t>§ 1090 Gesetzlicher Inhalt der beschränkten persönlichen Dienstbarkeit</w:t>
      </w:r>
      <w:r>
        <w:t xml:space="preserve"> </w:t>
      </w:r>
      <w:r>
        <w:rPr>
          <w:rStyle w:val="Suchmarke"/>
        </w:rPr>
        <w:t>#1090#</w:t>
      </w:r>
      <w:bookmarkEnd w:id="1585"/>
    </w:p>
    <w:p>
      <w:r>
        <w:t>(1) Ein Grundstück kann in der Weise belastet werden, dass derjenige, zu dessen Gunsten die Belastung erfolgt, berechtigt ist, das Grundstück in einzelnen Beziehungen zu benutzen, oder dass ihm eine sonstige Befugnis zusteht, die den Inhalt einer Grunddienstbarkeit bilden kann (beschränkte persönliche Dienstbarkeit).</w:t>
      </w:r>
    </w:p>
    <w:p>
      <w:r>
        <w:t xml:space="preserve">(2) Die Vorschriften der </w:t>
      </w:r>
      <w:hyperlink w:anchor="b1490" w:history="1">
        <w:r>
          <w:rPr>
            <w:color w:val="0A3A8C"/>
            <w:u w:val="single"/>
          </w:rPr>
          <w:t xml:space="preserve">§§ 1020</w:t>
        </w:r>
      </w:hyperlink>
      <w:r>
        <w:t xml:space="preserve"> bis </w:t>
      </w:r>
      <w:hyperlink w:anchor="b1494" w:history="1">
        <w:r>
          <w:rPr>
            <w:color w:val="0A3A8C"/>
            <w:u w:val="single"/>
          </w:rPr>
          <w:t xml:space="preserve">1024</w:t>
        </w:r>
      </w:hyperlink>
      <w:r>
        <w:t xml:space="preserve">, </w:t>
      </w:r>
      <w:hyperlink w:anchor="b1496" w:history="1">
        <w:r>
          <w:rPr>
            <w:color w:val="0A3A8C"/>
            <w:u w:val="single"/>
          </w:rPr>
          <w:t xml:space="preserve">1026</w:t>
        </w:r>
      </w:hyperlink>
      <w:r>
        <w:t xml:space="preserve"> bis </w:t>
      </w:r>
      <w:hyperlink w:anchor="b1499" w:history="1">
        <w:r>
          <w:rPr>
            <w:color w:val="0A3A8C"/>
            <w:u w:val="single"/>
          </w:rPr>
          <w:t xml:space="preserve">1029</w:t>
        </w:r>
      </w:hyperlink>
      <w:r>
        <w:t xml:space="preserve">, </w:t>
      </w:r>
      <w:hyperlink w:anchor="b1538" w:history="1">
        <w:r>
          <w:rPr>
            <w:color w:val="0A3A8C"/>
            <w:u w:val="single"/>
          </w:rPr>
          <w:t xml:space="preserve">1061</w:t>
        </w:r>
      </w:hyperlink>
      <w:r>
        <w:t xml:space="preserve"> finden entsprechende Anwendung.</w:t>
      </w:r>
    </w:p>
    <w:p>
      <w:pPr>
        <w:pStyle w:val="Heading4"/>
      </w:pPr>
      <w:bookmarkStart w:id="1586" w:name="b1571"/>
      <w:r>
        <w:t>§ 1091 Umfang</w:t>
      </w:r>
      <w:r>
        <w:t xml:space="preserve"> </w:t>
      </w:r>
      <w:r>
        <w:rPr>
          <w:rStyle w:val="Suchmarke"/>
        </w:rPr>
        <w:t>#1091#</w:t>
      </w:r>
      <w:bookmarkEnd w:id="1586"/>
    </w:p>
    <w:p>
      <w:r>
        <w:t>Der Umfang einer beschränkten persönlichen Dienstbarkeit bestimmt sich im Zweifel nach dem persönlichen Bedürfnis des Berechtigten.</w:t>
      </w:r>
    </w:p>
    <w:p>
      <w:pPr>
        <w:pStyle w:val="Heading4"/>
      </w:pPr>
      <w:bookmarkStart w:id="1587" w:name="b1572"/>
      <w:r>
        <w:t>§ 1092 Unübertragbarkeit; Überlassung der Ausübung</w:t>
      </w:r>
      <w:r>
        <w:t xml:space="preserve"> </w:t>
      </w:r>
      <w:r>
        <w:rPr>
          <w:rStyle w:val="Suchmarke"/>
        </w:rPr>
        <w:t>#1092#</w:t>
      </w:r>
      <w:bookmarkEnd w:id="1587"/>
    </w:p>
    <w:p>
      <w:r>
        <w:t xml:space="preserve">(1) </w:t>
      </w:r>
      <w:r>
        <w:rPr>
          <w:rStyle w:val="Satznummer"/>
        </w:rPr>
        <w:t>1</w:t>
      </w:r>
      <w:r>
        <w:t xml:space="preserve">Eine beschränkte persönliche Dienstbarkeit ist nicht übertragbar. </w:t>
      </w:r>
      <w:r>
        <w:rPr>
          <w:rStyle w:val="Satznummer"/>
        </w:rPr>
        <w:t>2</w:t>
      </w:r>
      <w:r>
        <w:t>Die Ausübung der Dienstbarkeit kann einem anderen nur überlassen werden, wenn die Überlassung gestattet ist.</w:t>
      </w:r>
    </w:p>
    <w:p>
      <w:r>
        <w:t xml:space="preserve">(2) Steht eine beschränkte persönliche Dienstbarkeit oder der Anspruch auf Einräumung einer beschränkten persönlichen Dienstbarkeit einer juristischen Person oder einer rechtsfähigen Personengesellschaft zu, so gelten die Vorschriften der </w:t>
      </w:r>
      <w:hyperlink w:anchor="b1532" w:history="1">
        <w:r>
          <w:rPr>
            <w:color w:val="0A3A8C"/>
            <w:u w:val="single"/>
          </w:rPr>
          <w:t xml:space="preserve">§§ 1059a</w:t>
        </w:r>
      </w:hyperlink>
      <w:r>
        <w:t xml:space="preserve"> bis </w:t>
      </w:r>
      <w:hyperlink w:anchor="b1535" w:history="1">
        <w:r>
          <w:rPr>
            <w:color w:val="0A3A8C"/>
            <w:u w:val="single"/>
          </w:rPr>
          <w:t xml:space="preserve">1059d</w:t>
        </w:r>
      </w:hyperlink>
      <w:r>
        <w:t xml:space="preserve"> entsprechend.</w:t>
      </w:r>
    </w:p>
    <w:p>
      <w:r>
        <w:t xml:space="preserve">(3) </w:t>
      </w:r>
      <w:r>
        <w:rPr>
          <w:rStyle w:val="Satznummer"/>
        </w:rPr>
        <w:t>1</w:t>
      </w:r>
      <w:r>
        <w:t>Steht einer juristischen Person oder einer rechtsfähigen Personengesellschaft eine beschränkte persönliche Dienstbarkeit zu, so ist die Dienstbarkeit übertragbar, wenn sie dazu berechtigt, ein Grundstück zu nutzen für</w:t>
      </w:r>
    </w:p>
    <w:p>
      <w:pPr>
        <w:tabs>
          <w:tab w:pos="567" w:val="left"/>
        </w:tabs>
        <w:ind w:left="567" w:hanging="567"/>
      </w:pPr>
      <w:r>
        <w:t>1.</w:t>
      </w:r>
      <w:r>
        <w:tab/>
      </w:r>
      <w:r>
        <w:t>Anlagen zur Nutzung von Wasserkraft, Windenergie, solarer Strahlungsenergie, Geothermie, Umweltwärme oder Energie aus Biomasse,</w:t>
      </w:r>
    </w:p>
    <w:p>
      <w:pPr>
        <w:tabs>
          <w:tab w:pos="567" w:val="left"/>
        </w:tabs>
        <w:ind w:left="567" w:hanging="567"/>
      </w:pPr>
      <w:r>
        <w:t>2.</w:t>
      </w:r>
      <w:r>
        <w:tab/>
      </w:r>
      <w:r>
        <w:t>Anlagen zur elektrochemischen Herstellung von Wasserstoff oder zur Erzeugung von Strom aus Wasserstoff,</w:t>
      </w:r>
    </w:p>
    <w:p>
      <w:pPr>
        <w:tabs>
          <w:tab w:pos="567" w:val="left"/>
        </w:tabs>
        <w:ind w:left="567" w:hanging="567"/>
      </w:pPr>
      <w:r>
        <w:t>3.</w:t>
      </w:r>
      <w:r>
        <w:tab/>
      </w:r>
      <w:r>
        <w:t>Anlagen zur Fortleitung von Elektrizität, Gas, Fernwärme, Wasser, Abwasser, Öl oder Rohstoffen einschließlich aller dazugehörigen Anlagen, die der Fortleitung unmittelbar dienen,</w:t>
      </w:r>
    </w:p>
    <w:p>
      <w:pPr>
        <w:tabs>
          <w:tab w:pos="567" w:val="left"/>
        </w:tabs>
        <w:ind w:left="567" w:hanging="567"/>
      </w:pPr>
      <w:r>
        <w:t>4.</w:t>
      </w:r>
      <w:r>
        <w:tab/>
      </w:r>
      <w:r>
        <w:t>Telekommunikationsanlagen,</w:t>
      </w:r>
    </w:p>
    <w:p>
      <w:pPr>
        <w:tabs>
          <w:tab w:pos="567" w:val="left"/>
        </w:tabs>
        <w:ind w:left="567" w:hanging="567"/>
      </w:pPr>
      <w:r>
        <w:t>5.</w:t>
      </w:r>
      <w:r>
        <w:tab/>
      </w:r>
      <w:r>
        <w:t>Anlagen zum Transport von Produkten zwischen Betriebsstätten eines oder mehrerer privater oder öffentlicher Unternehmen oder</w:t>
      </w:r>
    </w:p>
    <w:p>
      <w:pPr>
        <w:tabs>
          <w:tab w:pos="567" w:val="left"/>
        </w:tabs>
        <w:ind w:left="567" w:hanging="567"/>
      </w:pPr>
      <w:r>
        <w:t>6.</w:t>
      </w:r>
      <w:r>
        <w:tab/>
      </w:r>
      <w:r>
        <w:t>Straßenbahn- oder Eisenbahnanlagen.</w:t>
      </w:r>
    </w:p>
    <w:p>
      <w:r>
        <w:rPr>
          <w:rStyle w:val="Satznummer"/>
        </w:rPr>
        <w:t>2</w:t>
      </w:r>
      <w:r>
        <w:t xml:space="preserve">Die Übertragbarkeit umfasst nicht das Recht, die Dienstbarkeit nach ihren Befugnissen zu teilen. </w:t>
      </w:r>
      <w:r>
        <w:rPr>
          <w:rStyle w:val="Satznummer"/>
        </w:rPr>
        <w:t>3</w:t>
      </w:r>
      <w:r>
        <w:t xml:space="preserve">Steht ein Anspruch auf Einräumung einer solchen beschränkten persönlichen Dienstbarkeit einer der in Satz 1 genannten Personen zu, so ist der Anspruch übertragbar. </w:t>
      </w:r>
      <w:r>
        <w:rPr>
          <w:rStyle w:val="Satznummer"/>
        </w:rPr>
        <w:t>4</w:t>
      </w:r>
      <w:r>
        <w:t xml:space="preserve">Die Vorschriften der </w:t>
      </w:r>
      <w:hyperlink w:anchor="b1533" w:history="1">
        <w:r>
          <w:rPr>
            <w:color w:val="0A3A8C"/>
            <w:u w:val="single"/>
          </w:rPr>
          <w:t xml:space="preserve">§§ 1059b</w:t>
        </w:r>
      </w:hyperlink>
      <w:r>
        <w:t xml:space="preserve"> bis </w:t>
      </w:r>
      <w:hyperlink w:anchor="b1535" w:history="1">
        <w:r>
          <w:rPr>
            <w:color w:val="0A3A8C"/>
            <w:u w:val="single"/>
          </w:rPr>
          <w:t xml:space="preserve">1059d</w:t>
        </w:r>
      </w:hyperlink>
      <w:r>
        <w:t xml:space="preserve"> gelten entsprechend.</w:t>
      </w:r>
    </w:p>
    <w:p>
      <w:pPr>
        <w:pStyle w:val="Heading4"/>
      </w:pPr>
      <w:bookmarkStart w:id="1588" w:name="b1573"/>
      <w:r>
        <w:t>§ 1093 Wohnungsrecht</w:t>
      </w:r>
      <w:r>
        <w:t xml:space="preserve"> </w:t>
      </w:r>
      <w:r>
        <w:rPr>
          <w:rStyle w:val="Suchmarke"/>
        </w:rPr>
        <w:t>#1093#</w:t>
      </w:r>
      <w:bookmarkEnd w:id="1588"/>
    </w:p>
    <w:p>
      <w:r>
        <w:t xml:space="preserve">(1) </w:t>
      </w:r>
      <w:r>
        <w:rPr>
          <w:rStyle w:val="Satznummer"/>
        </w:rPr>
        <w:t>1</w:t>
      </w:r>
      <w:r>
        <w:t xml:space="preserve">Als beschränkte persönliche Dienstbarkeit kann auch das Recht bestellt werden, ein Gebäude oder einen Teil eines Gebäudes unter Ausschluss des Eigentümers als Wohnung zu benutzen. </w:t>
      </w:r>
      <w:r>
        <w:rPr>
          <w:rStyle w:val="Satznummer"/>
        </w:rPr>
        <w:t>2</w:t>
      </w:r>
      <w:r>
        <w:t xml:space="preserve">Auf dieses Recht finden die für den Nießbrauch geltenden Vorschriften der </w:t>
      </w:r>
      <w:hyperlink w:anchor="b1503" w:history="1">
        <w:r>
          <w:rPr>
            <w:color w:val="0A3A8C"/>
            <w:u w:val="single"/>
          </w:rPr>
          <w:t xml:space="preserve">§§ 1031</w:t>
        </w:r>
      </w:hyperlink>
      <w:r>
        <w:t xml:space="preserve">, </w:t>
      </w:r>
      <w:hyperlink w:anchor="b1506" w:history="1">
        <w:r>
          <w:rPr>
            <w:color w:val="0A3A8C"/>
            <w:u w:val="single"/>
          </w:rPr>
          <w:t xml:space="preserve">1034</w:t>
        </w:r>
      </w:hyperlink>
      <w:r>
        <w:t xml:space="preserve">, </w:t>
      </w:r>
      <w:hyperlink w:anchor="b1508" w:history="1">
        <w:r>
          <w:rPr>
            <w:color w:val="0A3A8C"/>
            <w:u w:val="single"/>
          </w:rPr>
          <w:t xml:space="preserve">1036</w:t>
        </w:r>
      </w:hyperlink>
      <w:r>
        <w:t xml:space="preserve">, des </w:t>
      </w:r>
      <w:hyperlink w:anchor="b1509" w:history="1">
        <w:r>
          <w:rPr>
            <w:color w:val="0A3A8C"/>
            <w:u w:val="single"/>
          </w:rPr>
          <w:t xml:space="preserve">§ 1037</w:t>
        </w:r>
      </w:hyperlink>
      <w:r>
        <w:t xml:space="preserve"> Abs. 1 und der </w:t>
      </w:r>
      <w:hyperlink w:anchor="b1513" w:history="1">
        <w:r>
          <w:rPr>
            <w:color w:val="0A3A8C"/>
            <w:u w:val="single"/>
          </w:rPr>
          <w:t xml:space="preserve">§§ 1041</w:t>
        </w:r>
      </w:hyperlink>
      <w:r>
        <w:t xml:space="preserve">, </w:t>
      </w:r>
      <w:hyperlink w:anchor="b1514" w:history="1">
        <w:r>
          <w:rPr>
            <w:color w:val="0A3A8C"/>
            <w:u w:val="single"/>
          </w:rPr>
          <w:t xml:space="preserve">1042</w:t>
        </w:r>
      </w:hyperlink>
      <w:r>
        <w:t xml:space="preserve">, </w:t>
      </w:r>
      <w:hyperlink w:anchor="b1516" w:history="1">
        <w:r>
          <w:rPr>
            <w:color w:val="0A3A8C"/>
            <w:u w:val="single"/>
          </w:rPr>
          <w:t xml:space="preserve">1044</w:t>
        </w:r>
      </w:hyperlink>
      <w:r>
        <w:t xml:space="preserve">, </w:t>
      </w:r>
      <w:hyperlink w:anchor="b1521" w:history="1">
        <w:r>
          <w:rPr>
            <w:color w:val="0A3A8C"/>
            <w:u w:val="single"/>
          </w:rPr>
          <w:t xml:space="preserve">1049</w:t>
        </w:r>
      </w:hyperlink>
      <w:r>
        <w:t xml:space="preserve">, </w:t>
      </w:r>
      <w:hyperlink w:anchor="b1522" w:history="1">
        <w:r>
          <w:rPr>
            <w:color w:val="0A3A8C"/>
            <w:u w:val="single"/>
          </w:rPr>
          <w:t xml:space="preserve">1050</w:t>
        </w:r>
      </w:hyperlink>
      <w:r>
        <w:t xml:space="preserve">, </w:t>
      </w:r>
      <w:hyperlink w:anchor="b1529" w:history="1">
        <w:r>
          <w:rPr>
            <w:color w:val="0A3A8C"/>
            <w:u w:val="single"/>
          </w:rPr>
          <w:t xml:space="preserve">1057</w:t>
        </w:r>
      </w:hyperlink>
      <w:r>
        <w:t xml:space="preserve">, </w:t>
      </w:r>
      <w:hyperlink w:anchor="b1539" w:history="1">
        <w:r>
          <w:rPr>
            <w:color w:val="0A3A8C"/>
            <w:u w:val="single"/>
          </w:rPr>
          <w:t xml:space="preserve">1062</w:t>
        </w:r>
      </w:hyperlink>
      <w:r>
        <w:t xml:space="preserve"> entsprechende Anwendung.</w:t>
      </w:r>
    </w:p>
    <w:p>
      <w:r>
        <w:t>(2) Der Berechtigte ist befugt, seine Familie sowie die zur standesmäßigen Bedienung und zur Pflege erforderlichen Personen in die Wohnung aufzunehmen.</w:t>
      </w:r>
    </w:p>
    <w:p>
      <w:r>
        <w:t>(3) Ist das Recht auf einen Teil des Gebäudes beschränkt, so kann der Berechtigte die zum gemeinschaftlichen Gebrauch der Bewohner bestimmten Anlagen und Einrichtungen mitbenutzen.</w:t>
      </w:r>
    </w:p>
    <w:p>
      <w:pPr>
        <w:pStyle w:val="Heading2"/>
      </w:pPr>
      <w:bookmarkStart w:id="1589" w:name="b1574"/>
      <w:r>
        <w:t>Abschnitt 5 Vorkaufsrecht</w:t>
      </w:r>
      <w:bookmarkEnd w:id="1589"/>
    </w:p>
    <w:p>
      <w:pPr>
        <w:pStyle w:val="Heading3"/>
      </w:pPr>
      <w:bookmarkStart w:id="1590" w:name="b1575"/>
      <w:r>
        <w:t>§ 1094 Gesetzlicher Inhalt des dinglichen Vorkaufsrechts</w:t>
      </w:r>
      <w:r>
        <w:t xml:space="preserve"> </w:t>
      </w:r>
      <w:r>
        <w:rPr>
          <w:rStyle w:val="Suchmarke"/>
        </w:rPr>
        <w:t>#1094#</w:t>
      </w:r>
      <w:bookmarkEnd w:id="1590"/>
    </w:p>
    <w:p>
      <w:r>
        <w:t>(1) Ein Grundstück kann in der Weise belastet werden, dass derjenige, zu dessen Gunsten die Belastung erfolgt, dem Eigentümer gegenüber zum Vorkauf berechtigt ist.</w:t>
      </w:r>
    </w:p>
    <w:p>
      <w:r>
        <w:t>(2) Das Vorkaufsrecht kann auch zugunsten des jeweiligen Eigentümers eines anderen Grundstücks bestellt werden.</w:t>
      </w:r>
    </w:p>
    <w:p>
      <w:pPr>
        <w:pStyle w:val="Heading3"/>
      </w:pPr>
      <w:bookmarkStart w:id="1591" w:name="b1576"/>
      <w:r>
        <w:t>§ 1095 Belastung eines Bruchteils</w:t>
      </w:r>
      <w:r>
        <w:t xml:space="preserve"> </w:t>
      </w:r>
      <w:r>
        <w:rPr>
          <w:rStyle w:val="Suchmarke"/>
        </w:rPr>
        <w:t>#1095#</w:t>
      </w:r>
      <w:bookmarkEnd w:id="1591"/>
    </w:p>
    <w:p>
      <w:r>
        <w:t>Ein Bruchteil eines Grundstücks kann mit dem Vorkaufsrecht nur belastet werden, wenn er in dem Anteil eines Miteigentümers besteht.</w:t>
      </w:r>
    </w:p>
    <w:p>
      <w:pPr>
        <w:pStyle w:val="Heading3"/>
      </w:pPr>
      <w:bookmarkStart w:id="1592" w:name="b1577"/>
      <w:r>
        <w:t>§ 1096 Erstreckung auf Zubehör</w:t>
      </w:r>
      <w:r>
        <w:t xml:space="preserve"> </w:t>
      </w:r>
      <w:r>
        <w:rPr>
          <w:rStyle w:val="Suchmarke"/>
        </w:rPr>
        <w:t>#1096#</w:t>
      </w:r>
      <w:bookmarkEnd w:id="1592"/>
    </w:p>
    <w:p>
      <w:r>
        <w:rPr>
          <w:rStyle w:val="Satznummer"/>
        </w:rPr>
        <w:t>1</w:t>
      </w:r>
      <w:r>
        <w:t xml:space="preserve">Das Vorkaufsrecht kann auf das Zubehör erstreckt werden, das mit dem Grundstück verkauft wird. </w:t>
      </w:r>
      <w:r>
        <w:rPr>
          <w:rStyle w:val="Satznummer"/>
        </w:rPr>
        <w:t>2</w:t>
      </w:r>
      <w:r>
        <w:t>Im Zweifel ist anzunehmen, dass sich das Vorkaufsrecht auf dieses Zubehör erstrecken soll.</w:t>
      </w:r>
    </w:p>
    <w:p>
      <w:pPr>
        <w:pStyle w:val="Heading3"/>
      </w:pPr>
      <w:bookmarkStart w:id="1593" w:name="b1578"/>
      <w:r>
        <w:t>§ 1097 Bestellung für einen oder mehrere Verkaufsfälle</w:t>
      </w:r>
      <w:r>
        <w:t xml:space="preserve"> </w:t>
      </w:r>
      <w:r>
        <w:rPr>
          <w:rStyle w:val="Suchmarke"/>
        </w:rPr>
        <w:t>#1097#</w:t>
      </w:r>
      <w:bookmarkEnd w:id="1593"/>
    </w:p>
    <w:p>
      <w:r>
        <w:t>Das Vorkaufsrecht beschränkt sich auf den Fall des Verkaufs durch den Eigentümer, welchem das Grundstück zur Zeit der Bestellung gehört, oder durch dessen Erben; es kann jedoch auch für mehrere oder für alle Verkaufsfälle bestellt werden.</w:t>
      </w:r>
    </w:p>
    <w:p>
      <w:pPr>
        <w:pStyle w:val="Heading3"/>
      </w:pPr>
      <w:bookmarkStart w:id="1594" w:name="b1579"/>
      <w:r>
        <w:t>§ 1098 Wirkung des Vorkaufsrechts</w:t>
      </w:r>
      <w:r>
        <w:t xml:space="preserve"> </w:t>
      </w:r>
      <w:r>
        <w:rPr>
          <w:rStyle w:val="Suchmarke"/>
        </w:rPr>
        <w:t>#1098#</w:t>
      </w:r>
      <w:bookmarkEnd w:id="1594"/>
    </w:p>
    <w:p>
      <w:r>
        <w:t xml:space="preserve">(1) </w:t>
      </w:r>
      <w:r>
        <w:rPr>
          <w:rStyle w:val="Satznummer"/>
        </w:rPr>
        <w:t>1</w:t>
      </w:r>
      <w:r>
        <w:t xml:space="preserve">Das Rechtsverhältnis zwischen dem Berechtigten und dem Verpflichteten bestimmt sich nach den Vorschriften der </w:t>
      </w:r>
      <w:hyperlink w:anchor="b598" w:history="1">
        <w:r>
          <w:rPr>
            <w:color w:val="0A3A8C"/>
            <w:u w:val="single"/>
          </w:rPr>
          <w:t xml:space="preserve">§§ 463</w:t>
        </w:r>
      </w:hyperlink>
      <w:r>
        <w:t xml:space="preserve"> bis </w:t>
      </w:r>
      <w:hyperlink w:anchor="b608" w:history="1">
        <w:r>
          <w:rPr>
            <w:color w:val="0A3A8C"/>
            <w:u w:val="single"/>
          </w:rPr>
          <w:t xml:space="preserve">473</w:t>
        </w:r>
      </w:hyperlink>
      <w:r>
        <w:t xml:space="preserve">. </w:t>
      </w:r>
      <w:r>
        <w:rPr>
          <w:rStyle w:val="Satznummer"/>
        </w:rPr>
        <w:t>2</w:t>
      </w:r>
      <w:r>
        <w:t>Das Vorkaufsrecht kann auch dann ausgeübt werden, wenn das Grundstück von dem Insolvenzverwalter aus freier Hand verkauft wird.</w:t>
      </w:r>
    </w:p>
    <w:p>
      <w:r>
        <w:t>(2) Dritten gegenüber hat das Vorkaufsrecht die Wirkung einer Vormerkung zur Sicherung des durch die Ausübung des Rechts entstehenden Anspruchs auf Übertragung des Eigentums.</w:t>
      </w:r>
    </w:p>
    <w:p>
      <w:r>
        <w:t xml:space="preserve">(3) Steht ein nach </w:t>
      </w:r>
      <w:hyperlink w:anchor="b1575" w:history="1">
        <w:r>
          <w:rPr>
            <w:color w:val="0A3A8C"/>
            <w:u w:val="single"/>
          </w:rPr>
          <w:t xml:space="preserve">§ 1094</w:t>
        </w:r>
      </w:hyperlink>
      <w:r>
        <w:t xml:space="preserve"> Abs. 1 begründetes Vorkaufsrecht einer juristischen Person oder einer rechtsfähigen Personengesellschaft zu, so gelten, wenn seine Übertragbarkeit nicht vereinbart ist, für die Übertragung des Rechts die Vorschriften der </w:t>
      </w:r>
      <w:hyperlink w:anchor="b1532" w:history="1">
        <w:r>
          <w:rPr>
            <w:color w:val="0A3A8C"/>
            <w:u w:val="single"/>
          </w:rPr>
          <w:t xml:space="preserve">§§ 1059a</w:t>
        </w:r>
      </w:hyperlink>
      <w:r>
        <w:t xml:space="preserve"> bis </w:t>
      </w:r>
      <w:hyperlink w:anchor="b1535" w:history="1">
        <w:r>
          <w:rPr>
            <w:color w:val="0A3A8C"/>
            <w:u w:val="single"/>
          </w:rPr>
          <w:t xml:space="preserve">1059d</w:t>
        </w:r>
      </w:hyperlink>
      <w:r>
        <w:t xml:space="preserve"> entsprechend.</w:t>
      </w:r>
    </w:p>
    <w:p>
      <w:pPr>
        <w:pStyle w:val="Heading3"/>
      </w:pPr>
      <w:bookmarkStart w:id="1595" w:name="b1580"/>
      <w:r>
        <w:t>§ 1099 Mitteilungen</w:t>
      </w:r>
      <w:r>
        <w:t xml:space="preserve"> </w:t>
      </w:r>
      <w:r>
        <w:rPr>
          <w:rStyle w:val="Suchmarke"/>
        </w:rPr>
        <w:t>#1099#</w:t>
      </w:r>
      <w:bookmarkEnd w:id="1595"/>
    </w:p>
    <w:p>
      <w:r>
        <w:t xml:space="preserve">(1) Gelangt das Grundstück in das Eigentum eines Dritten, so kann dieser in gleicher Weise wie der Verpflichtete dem Berechtigten den Inhalt des Kaufvertrags mit der im </w:t>
      </w:r>
      <w:hyperlink w:anchor="b604" w:history="1">
        <w:r>
          <w:rPr>
            <w:color w:val="0A3A8C"/>
            <w:u w:val="single"/>
          </w:rPr>
          <w:t xml:space="preserve">§ 469</w:t>
        </w:r>
      </w:hyperlink>
      <w:r>
        <w:t xml:space="preserve"> Abs. 2 bestimmten Wirkung mitteilen.</w:t>
      </w:r>
    </w:p>
    <w:p>
      <w:r>
        <w:t>(2) Der Verpflichtete hat den neuen Eigentümer zu benachrichtigen, sobald die Ausübung des Vorkaufsrechts erfolgt oder ausgeschlossen ist.</w:t>
      </w:r>
    </w:p>
    <w:p>
      <w:pPr>
        <w:pStyle w:val="Heading3"/>
      </w:pPr>
      <w:bookmarkStart w:id="1596" w:name="b1581"/>
      <w:r>
        <w:t>§ 1100 Rechte des Käufers</w:t>
      </w:r>
      <w:r>
        <w:t xml:space="preserve"> </w:t>
      </w:r>
      <w:r>
        <w:rPr>
          <w:rStyle w:val="Suchmarke"/>
        </w:rPr>
        <w:t>#1100#</w:t>
      </w:r>
      <w:bookmarkEnd w:id="1596"/>
    </w:p>
    <w:p>
      <w:r>
        <w:rPr>
          <w:rStyle w:val="Satznummer"/>
        </w:rPr>
        <w:t>1</w:t>
      </w:r>
      <w:r>
        <w:t xml:space="preserve">Der neue Eigentümer kann, wenn er der Käufer oder ein Rechtsnachfolger des Käufers ist, die Zustimmung zur Eintragung des Berechtigten als Eigentümer und die Herausgabe des Grundstücks verweigern, bis ihm der zwischen dem Verpflichteten und dem Käufer vereinbarte Kaufpreis, soweit er berichtigt ist, erstattet wird. </w:t>
      </w:r>
      <w:r>
        <w:rPr>
          <w:rStyle w:val="Satznummer"/>
        </w:rPr>
        <w:t>2</w:t>
      </w:r>
      <w:r>
        <w:t>Erlangt der Berechtigte die Eintragung als Eigentümer, so kann der bisherige Eigentümer von ihm die Erstattung des berichtigten Kaufpreises gegen Herausgabe des Grundstücks fordern.</w:t>
      </w:r>
    </w:p>
    <w:p>
      <w:pPr>
        <w:pStyle w:val="Heading3"/>
      </w:pPr>
      <w:bookmarkStart w:id="1597" w:name="b1582"/>
      <w:r>
        <w:t>§ 1101 Befreiung des Berechtigten</w:t>
      </w:r>
      <w:r>
        <w:t xml:space="preserve"> </w:t>
      </w:r>
      <w:r>
        <w:rPr>
          <w:rStyle w:val="Suchmarke"/>
        </w:rPr>
        <w:t>#1101#</w:t>
      </w:r>
      <w:bookmarkEnd w:id="1597"/>
    </w:p>
    <w:p>
      <w:r>
        <w:t>Soweit der Berechtigte nach § 1100 dem Käufer oder dessen Rechtsnachfolger den Kaufpreis zu erstatten hat, wird er von der Verpflichtung zur Zahlung des aus dem Vorkauf geschuldeten Kaufpreises frei.</w:t>
      </w:r>
    </w:p>
    <w:p>
      <w:pPr>
        <w:pStyle w:val="Heading3"/>
      </w:pPr>
      <w:bookmarkStart w:id="1598" w:name="b1583"/>
      <w:r>
        <w:t>§ 1102 Befreiung des Käufers</w:t>
      </w:r>
      <w:r>
        <w:t xml:space="preserve"> </w:t>
      </w:r>
      <w:r>
        <w:rPr>
          <w:rStyle w:val="Suchmarke"/>
        </w:rPr>
        <w:t>#1102#</w:t>
      </w:r>
      <w:bookmarkEnd w:id="1598"/>
    </w:p>
    <w:p>
      <w:r>
        <w:t>Verliert der Käufer oder sein Rechtsnachfolger infolge der Geltendmachung des Vorkaufsrechts das Eigentum, so wird der Käufer, soweit der von ihm geschuldete Kaufpreis noch nicht berichtigt ist, von seiner Verpflichtung frei; den berichtigten Kaufpreis kann er nicht zurückfordern.</w:t>
      </w:r>
    </w:p>
    <w:p>
      <w:pPr>
        <w:pStyle w:val="Heading3"/>
      </w:pPr>
      <w:bookmarkStart w:id="1599" w:name="b1584"/>
      <w:r>
        <w:t>§ 1103 Subjektiv-dingliches und subjektiv-persönliches Vorkaufsrecht</w:t>
      </w:r>
      <w:r>
        <w:t xml:space="preserve"> </w:t>
      </w:r>
      <w:r>
        <w:rPr>
          <w:rStyle w:val="Suchmarke"/>
        </w:rPr>
        <w:t>#1103#</w:t>
      </w:r>
      <w:bookmarkEnd w:id="1599"/>
    </w:p>
    <w:p>
      <w:r>
        <w:t>(1) Ein zugunsten des jeweiligen Eigentümers eines Grundstücks bestehendes Vorkaufsrecht kann nicht von dem Eigentum an diesem Grundstück getrennt werden.</w:t>
      </w:r>
    </w:p>
    <w:p>
      <w:r>
        <w:t>(2) Ein zugunsten einer bestimmten Person bestehendes Vorkaufsrecht kann nicht mit dem Eigentum an einem Grundstück verbunden werden.</w:t>
      </w:r>
    </w:p>
    <w:p>
      <w:pPr>
        <w:pStyle w:val="Heading3"/>
      </w:pPr>
      <w:bookmarkStart w:id="1600" w:name="b1585"/>
      <w:r>
        <w:t>§ 1104 Ausschluss unbekannter Berechtigter</w:t>
      </w:r>
      <w:r>
        <w:t xml:space="preserve"> </w:t>
      </w:r>
      <w:r>
        <w:rPr>
          <w:rStyle w:val="Suchmarke"/>
        </w:rPr>
        <w:t>#1104#</w:t>
      </w:r>
      <w:bookmarkEnd w:id="1600"/>
    </w:p>
    <w:p>
      <w:r>
        <w:t xml:space="preserve">(1) </w:t>
      </w:r>
      <w:r>
        <w:rPr>
          <w:rStyle w:val="Satznummer"/>
        </w:rPr>
        <w:t>1</w:t>
      </w:r>
      <w:r>
        <w:t xml:space="preserve">Ist der Berechtigte unbekannt, so kann er im Wege des Aufgebotsverfahrens mit seinem Recht ausgeschlossen werden, wenn die in </w:t>
      </w:r>
      <w:hyperlink w:anchor="b1654" w:history="1">
        <w:r>
          <w:rPr>
            <w:color w:val="0A3A8C"/>
            <w:u w:val="single"/>
          </w:rPr>
          <w:t xml:space="preserve">§ 1170</w:t>
        </w:r>
      </w:hyperlink>
      <w:r>
        <w:t xml:space="preserve"> für die Ausschließung eines Hypothekengläubigers bestimmten Voraussetzungen vorliegen. </w:t>
      </w:r>
      <w:r>
        <w:rPr>
          <w:rStyle w:val="Satznummer"/>
        </w:rPr>
        <w:t>2</w:t>
      </w:r>
      <w:r>
        <w:t>Mit der Rechtskraft des Ausschließungsbeschlusses erlischt das Vorkaufsrecht.</w:t>
      </w:r>
    </w:p>
    <w:p>
      <w:r>
        <w:t>(2) Auf ein Vorkaufsrecht, das zugunsten des jeweiligen Eigentümers eines Grundstücks besteht, finden diese Vorschriften keine Anwendung.</w:t>
      </w:r>
    </w:p>
    <w:p>
      <w:pPr>
        <w:pStyle w:val="Heading2"/>
      </w:pPr>
      <w:bookmarkStart w:id="1601" w:name="b1586"/>
      <w:r>
        <w:t>Abschnitt 6 Reallasten</w:t>
      </w:r>
      <w:bookmarkEnd w:id="1601"/>
    </w:p>
    <w:p>
      <w:pPr>
        <w:pStyle w:val="Heading3"/>
      </w:pPr>
      <w:bookmarkStart w:id="1602" w:name="b1587"/>
      <w:r>
        <w:t>§ 1105 Gesetzlicher Inhalt der Reallast</w:t>
      </w:r>
      <w:r>
        <w:t xml:space="preserve"> </w:t>
      </w:r>
      <w:r>
        <w:rPr>
          <w:rStyle w:val="Suchmarke"/>
        </w:rPr>
        <w:t>#1105#</w:t>
      </w:r>
      <w:bookmarkEnd w:id="1602"/>
    </w:p>
    <w:p>
      <w:r>
        <w:t xml:space="preserve">(1) </w:t>
      </w:r>
      <w:r>
        <w:rPr>
          <w:rStyle w:val="Satznummer"/>
        </w:rPr>
        <w:t>1</w:t>
      </w:r>
      <w:r>
        <w:t xml:space="preserve">Ein Grundstück kann in der Weise belastet werden, dass an denjenigen, zu dessen Gunsten die Belastung erfolgt, wiederkehrende Leistungen aus dem Grundstück zu entrichten sind (Reallast). </w:t>
      </w:r>
      <w:r>
        <w:rPr>
          <w:rStyle w:val="Satznummer"/>
        </w:rPr>
        <w:t>2</w:t>
      </w:r>
      <w:r>
        <w:t>Als Inhalt der Reallast kann auch vereinbart werden, dass die zu entrichtenden Leistungen sich ohne weiteres an veränderte Verhältnisse anpassen, wenn anhand der in der Vereinbarung festgelegten Voraussetzungen Art und Umfang der Belastung des Grundstücks bestimmt werden können.</w:t>
      </w:r>
    </w:p>
    <w:p>
      <w:r>
        <w:t>(2) Die Reallast kann auch zugunsten des jeweiligen Eigentümers eines anderen Grundstücks bestellt werden.</w:t>
      </w:r>
    </w:p>
    <w:p>
      <w:pPr>
        <w:pStyle w:val="Heading3"/>
      </w:pPr>
      <w:bookmarkStart w:id="1603" w:name="b1588"/>
      <w:r>
        <w:t>§ 1106 Belastung eines Bruchteils</w:t>
      </w:r>
      <w:r>
        <w:t xml:space="preserve"> </w:t>
      </w:r>
      <w:r>
        <w:rPr>
          <w:rStyle w:val="Suchmarke"/>
        </w:rPr>
        <w:t>#1106#</w:t>
      </w:r>
      <w:bookmarkEnd w:id="1603"/>
    </w:p>
    <w:p>
      <w:r>
        <w:t>Ein Bruchteil eines Grundstücks kann mit einer Reallast nur belastet werden, wenn er in dem Anteil eines Miteigentümers besteht.</w:t>
      </w:r>
    </w:p>
    <w:p>
      <w:pPr>
        <w:pStyle w:val="Heading3"/>
      </w:pPr>
      <w:bookmarkStart w:id="1604" w:name="b1589"/>
      <w:r>
        <w:t>§ 1107 Einzelleistungen</w:t>
      </w:r>
      <w:r>
        <w:t xml:space="preserve"> </w:t>
      </w:r>
      <w:r>
        <w:rPr>
          <w:rStyle w:val="Suchmarke"/>
        </w:rPr>
        <w:t>#1107#</w:t>
      </w:r>
      <w:bookmarkEnd w:id="1604"/>
    </w:p>
    <w:p>
      <w:r>
        <w:t>Auf die einzelnen Leistungen finden die für die Zinsen einer Hypothekenforderung geltenden Vorschriften entsprechende Anwendung.</w:t>
      </w:r>
    </w:p>
    <w:p>
      <w:pPr>
        <w:pStyle w:val="Heading3"/>
      </w:pPr>
      <w:bookmarkStart w:id="1605" w:name="b1590"/>
      <w:r>
        <w:t>§ 1108 Persönliche Haftung des Eigentümers</w:t>
      </w:r>
      <w:r>
        <w:t xml:space="preserve"> </w:t>
      </w:r>
      <w:r>
        <w:rPr>
          <w:rStyle w:val="Suchmarke"/>
        </w:rPr>
        <w:t>#1108#</w:t>
      </w:r>
      <w:bookmarkEnd w:id="1605"/>
    </w:p>
    <w:p>
      <w:r>
        <w:t>(1) Der Eigentümer haftet für die während der Dauer seines Eigentums fällig werdenden Leistungen auch persönlich, soweit nicht ein anderes bestimmt ist.</w:t>
      </w:r>
    </w:p>
    <w:p>
      <w:r>
        <w:t>(2) Wird das Grundstück geteilt, so haften die Eigentümer der einzelnen Teile als Gesamtschuldner.</w:t>
      </w:r>
    </w:p>
    <w:p>
      <w:pPr>
        <w:pStyle w:val="Heading3"/>
      </w:pPr>
      <w:bookmarkStart w:id="1606" w:name="b1591"/>
      <w:r>
        <w:t>§ 1109 Teilung des herrschenden Grundstücks</w:t>
      </w:r>
      <w:r>
        <w:t xml:space="preserve"> </w:t>
      </w:r>
      <w:r>
        <w:rPr>
          <w:rStyle w:val="Suchmarke"/>
        </w:rPr>
        <w:t>#1109#</w:t>
      </w:r>
      <w:bookmarkEnd w:id="1606"/>
    </w:p>
    <w:p>
      <w:r>
        <w:t xml:space="preserve">(1) </w:t>
      </w:r>
      <w:r>
        <w:rPr>
          <w:rStyle w:val="Satznummer"/>
        </w:rPr>
        <w:t>1</w:t>
      </w:r>
      <w:r>
        <w:t xml:space="preserve">Wird das Grundstück des Berechtigten geteilt, so besteht die Reallast für die einzelnen Teile fort. </w:t>
      </w:r>
      <w:r>
        <w:rPr>
          <w:rStyle w:val="Satznummer"/>
        </w:rPr>
        <w:t>2</w:t>
      </w:r>
      <w:r>
        <w:t xml:space="preserve">Ist die Leistung teilbar, so bestimmen sich die Anteile der Eigentümer nach dem Verhältnis der Größe der Teile; ist sie nicht teilbar, so findet die Vorschrift des § 432 Anwendung. </w:t>
      </w:r>
      <w:r>
        <w:rPr>
          <w:rStyle w:val="Satznummer"/>
        </w:rPr>
        <w:t>3</w:t>
      </w:r>
      <w:r>
        <w:t>Die Ausübung des Rechts ist im Zweifel nur in der Weise zulässig, dass sie für den Eigentümer des belasteten Grundstücks nicht beschwerlicher wird.</w:t>
      </w:r>
    </w:p>
    <w:p>
      <w:r>
        <w:t xml:space="preserve">(2) </w:t>
      </w:r>
      <w:r>
        <w:rPr>
          <w:rStyle w:val="Satznummer"/>
        </w:rPr>
        <w:t>1</w:t>
      </w:r>
      <w:r>
        <w:t xml:space="preserve">Der Berechtigte kann bestimmen, dass das Recht nur mit einem der Teile verbunden sein soll. </w:t>
      </w:r>
      <w:r>
        <w:rPr>
          <w:rStyle w:val="Satznummer"/>
        </w:rPr>
        <w:t>2</w:t>
      </w:r>
      <w:r>
        <w:t xml:space="preserve">Die Bestimmung hat dem Grundbuchamt gegenüber zu erfolgen und bedarf der Eintragung in das Grundbuch; die Vorschriften der </w:t>
      </w:r>
      <w:hyperlink w:anchor="b1334" w:history="1">
        <w:r>
          <w:rPr>
            <w:color w:val="0A3A8C"/>
            <w:u w:val="single"/>
          </w:rPr>
          <w:t xml:space="preserve">§§ 876</w:t>
        </w:r>
      </w:hyperlink>
      <w:r>
        <w:t xml:space="preserve">, </w:t>
      </w:r>
      <w:hyperlink w:anchor="b1336" w:history="1">
        <w:r>
          <w:rPr>
            <w:color w:val="0A3A8C"/>
            <w:u w:val="single"/>
          </w:rPr>
          <w:t xml:space="preserve">878</w:t>
        </w:r>
      </w:hyperlink>
      <w:r>
        <w:t xml:space="preserve"> finden entsprechende Anwendung. </w:t>
      </w:r>
      <w:r>
        <w:rPr>
          <w:rStyle w:val="Satznummer"/>
        </w:rPr>
        <w:t>3</w:t>
      </w:r>
      <w:r>
        <w:t>Veräußert der Berechtigte einen Teil des Grundstücks, ohne eine solche Bestimmung zu treffen, so bleibt das Recht mit dem Teil verbunden, den er behält.</w:t>
      </w:r>
    </w:p>
    <w:p>
      <w:r>
        <w:t>(3) Gereicht die Reallast nur einem der Teile zum Vorteil, so bleibt sie mit diesem Teil allein verbunden.</w:t>
      </w:r>
    </w:p>
    <w:p>
      <w:pPr>
        <w:pStyle w:val="Heading3"/>
      </w:pPr>
      <w:bookmarkStart w:id="1607" w:name="b1592"/>
      <w:r>
        <w:t>§ 1110 Subjektiv-dingliche Reallast</w:t>
      </w:r>
      <w:r>
        <w:t xml:space="preserve"> </w:t>
      </w:r>
      <w:r>
        <w:rPr>
          <w:rStyle w:val="Suchmarke"/>
        </w:rPr>
        <w:t>#1110#</w:t>
      </w:r>
      <w:bookmarkEnd w:id="1607"/>
    </w:p>
    <w:p>
      <w:r>
        <w:t>Eine zugunsten des jeweiligen Eigentümers eines Grundstücks bestehende Reallast kann nicht von dem Eigentum an diesem Grundstück getrennt werden.</w:t>
      </w:r>
    </w:p>
    <w:p>
      <w:pPr>
        <w:pStyle w:val="Heading3"/>
      </w:pPr>
      <w:bookmarkStart w:id="1608" w:name="b1593"/>
      <w:r>
        <w:t>§ 1111 Subjektiv-persönliche Reallast</w:t>
      </w:r>
      <w:r>
        <w:t xml:space="preserve"> </w:t>
      </w:r>
      <w:r>
        <w:rPr>
          <w:rStyle w:val="Suchmarke"/>
        </w:rPr>
        <w:t>#1111#</w:t>
      </w:r>
      <w:bookmarkEnd w:id="1608"/>
    </w:p>
    <w:p>
      <w:r>
        <w:t>(1) Eine zugunsten einer bestimmten Person bestehende Reallast kann nicht mit dem Eigentum an einem Grundstück verbunden werden.</w:t>
      </w:r>
    </w:p>
    <w:p>
      <w:r>
        <w:t>(2) Ist der Anspruch auf die einzelne Leistung nicht übertragbar, so kann das Recht nicht veräußert oder belastet werden.</w:t>
      </w:r>
    </w:p>
    <w:p>
      <w:pPr>
        <w:pStyle w:val="Heading3"/>
      </w:pPr>
      <w:bookmarkStart w:id="1609" w:name="b1594"/>
      <w:r>
        <w:t>§ 1112 Ausschluss unbekannter Berechtigter</w:t>
      </w:r>
      <w:r>
        <w:t xml:space="preserve"> </w:t>
      </w:r>
      <w:r>
        <w:rPr>
          <w:rStyle w:val="Suchmarke"/>
        </w:rPr>
        <w:t>#1112#</w:t>
      </w:r>
      <w:bookmarkEnd w:id="1609"/>
    </w:p>
    <w:p>
      <w:r>
        <w:t xml:space="preserve">Ist der Berechtigte unbekannt, so findet auf die Ausschließung seines Rechts die Vorschrift des </w:t>
      </w:r>
      <w:hyperlink w:anchor="b1585" w:history="1">
        <w:r>
          <w:rPr>
            <w:color w:val="0A3A8C"/>
            <w:u w:val="single"/>
          </w:rPr>
          <w:t xml:space="preserve">§ 1104</w:t>
        </w:r>
      </w:hyperlink>
      <w:r>
        <w:t xml:space="preserve"> entsprechende Anwendung.</w:t>
      </w:r>
    </w:p>
    <w:p>
      <w:pPr>
        <w:pStyle w:val="Heading2"/>
      </w:pPr>
      <w:bookmarkStart w:id="1610" w:name="b1595"/>
      <w:r>
        <w:t>Abschnitt 7 Hypothek, Grundschuld, Rentenschuld</w:t>
      </w:r>
      <w:bookmarkEnd w:id="1610"/>
    </w:p>
    <w:p>
      <w:pPr>
        <w:pStyle w:val="Heading3"/>
      </w:pPr>
      <w:bookmarkStart w:id="1611" w:name="b1596"/>
      <w:r>
        <w:t>Titel 1 Hypothek</w:t>
      </w:r>
      <w:bookmarkEnd w:id="1611"/>
    </w:p>
    <w:p>
      <w:pPr>
        <w:pStyle w:val="Heading4"/>
      </w:pPr>
      <w:bookmarkStart w:id="1612" w:name="b1597"/>
      <w:r>
        <w:t>§ 1113 Gesetzlicher Inhalt der Hypothek</w:t>
      </w:r>
      <w:r>
        <w:t xml:space="preserve"> </w:t>
      </w:r>
      <w:r>
        <w:rPr>
          <w:rStyle w:val="Suchmarke"/>
        </w:rPr>
        <w:t>#1113#</w:t>
      </w:r>
      <w:bookmarkEnd w:id="1612"/>
    </w:p>
    <w:p>
      <w:r>
        <w:t>(1) Ein Grundstück kann in der Weise belastet werden, dass an denjenigen, zu dessen Gunsten die Belastung erfolgt, eine bestimmte Geldsumme zur Befriedigung wegen einer ihm zustehenden Forderung aus dem Grundstück zu zahlen ist (Hypothek).</w:t>
      </w:r>
    </w:p>
    <w:p>
      <w:r>
        <w:t>(2) Die Hypothek kann auch für eine künftige oder eine bedingte Forderung bestellt werden.</w:t>
      </w:r>
    </w:p>
    <w:p>
      <w:pPr>
        <w:pStyle w:val="Heading4"/>
      </w:pPr>
      <w:bookmarkStart w:id="1613" w:name="b1598"/>
      <w:r>
        <w:t>§ 1114 Belastung eines Bruchteils</w:t>
      </w:r>
      <w:r>
        <w:t xml:space="preserve"> </w:t>
      </w:r>
      <w:r>
        <w:rPr>
          <w:rStyle w:val="Suchmarke"/>
        </w:rPr>
        <w:t>#1114#</w:t>
      </w:r>
      <w:bookmarkEnd w:id="1613"/>
    </w:p>
    <w:p>
      <w:r>
        <w:t>Ein Bruchteil eines Grundstücks kann außer in den in § 3 Abs. 6 der Grundbuchordnung bezeichneten Fällen mit einer Hypothek nur belastet werden, wenn er in dem Anteil eines Miteigentümers besteht.</w:t>
      </w:r>
    </w:p>
    <w:p>
      <w:pPr>
        <w:pStyle w:val="Heading4"/>
      </w:pPr>
      <w:bookmarkStart w:id="1614" w:name="b1599"/>
      <w:r>
        <w:t>§ 1115 Eintragung der Hypothek</w:t>
      </w:r>
      <w:r>
        <w:t xml:space="preserve"> </w:t>
      </w:r>
      <w:r>
        <w:rPr>
          <w:rStyle w:val="Suchmarke"/>
        </w:rPr>
        <w:t>#1115#</w:t>
      </w:r>
      <w:bookmarkEnd w:id="1614"/>
    </w:p>
    <w:p>
      <w:r>
        <w:t>(1) Bei der Eintragung der Hypothek müssen der Gläubiger, der Geldbetrag der Forderung und, wenn die Forderung verzinslich ist, der Zinssatz, wenn andere Nebenleistungen zu entrichten sind, ihr Geldbetrag im Grundbuch angegeben werden; im Übrigen kann zur Bezeichnung der Forderung auf die Eintragungsbewilligung Bezug genommen werden.</w:t>
      </w:r>
    </w:p>
    <w:p>
      <w:r>
        <w:t>(2) Bei der Eintragung der Hypothek für ein Darlehen einer Kreditanstalt, deren Satzung von der zuständigen Behörde öffentlich bekannt gemacht worden ist, genügt zur Bezeichnung der außer den Zinsen satzungsgemäß zu entrichtenden Nebenleistungen die Bezugnahme auf die Satzung.</w:t>
      </w:r>
    </w:p>
    <w:p>
      <w:pPr>
        <w:pStyle w:val="Heading4"/>
      </w:pPr>
      <w:bookmarkStart w:id="1615" w:name="b1600"/>
      <w:r>
        <w:t>§ 1116 Brief- und Buchhypothek</w:t>
      </w:r>
      <w:r>
        <w:t xml:space="preserve"> </w:t>
      </w:r>
      <w:r>
        <w:rPr>
          <w:rStyle w:val="Suchmarke"/>
        </w:rPr>
        <w:t>#1116#</w:t>
      </w:r>
      <w:bookmarkEnd w:id="1615"/>
    </w:p>
    <w:p>
      <w:r>
        <w:t>(1) Über die Hypothek wird ein Hypothekenbrief erteilt.</w:t>
      </w:r>
    </w:p>
    <w:p>
      <w:r>
        <w:t xml:space="preserve">(2) </w:t>
      </w:r>
      <w:r>
        <w:rPr>
          <w:rStyle w:val="Satznummer"/>
        </w:rPr>
        <w:t>1</w:t>
      </w:r>
      <w:r>
        <w:t xml:space="preserve">Die Erteilung des Briefes kann ausgeschlossen werden. </w:t>
      </w:r>
      <w:r>
        <w:rPr>
          <w:rStyle w:val="Satznummer"/>
        </w:rPr>
        <w:t>2</w:t>
      </w:r>
      <w:r>
        <w:t xml:space="preserve">Die Ausschließung kann auch nachträglich erfolgen. </w:t>
      </w:r>
      <w:r>
        <w:rPr>
          <w:rStyle w:val="Satznummer"/>
        </w:rPr>
        <w:t>3</w:t>
      </w:r>
      <w:r>
        <w:t xml:space="preserve">Zu der Ausschließung ist die Einigung des Gläubigers und des Eigentümers sowie die Eintragung in das Grundbuch erforderlich; die Vorschriften des </w:t>
      </w:r>
      <w:hyperlink w:anchor="b1331" w:history="1">
        <w:r>
          <w:rPr>
            <w:color w:val="0A3A8C"/>
            <w:u w:val="single"/>
          </w:rPr>
          <w:t xml:space="preserve">§ 873</w:t>
        </w:r>
      </w:hyperlink>
      <w:r>
        <w:t xml:space="preserve"> Abs. 2 und der </w:t>
      </w:r>
      <w:hyperlink w:anchor="b1334" w:history="1">
        <w:r>
          <w:rPr>
            <w:color w:val="0A3A8C"/>
            <w:u w:val="single"/>
          </w:rPr>
          <w:t xml:space="preserve">§§ 876</w:t>
        </w:r>
      </w:hyperlink>
      <w:r>
        <w:t xml:space="preserve">, </w:t>
      </w:r>
      <w:hyperlink w:anchor="b1336" w:history="1">
        <w:r>
          <w:rPr>
            <w:color w:val="0A3A8C"/>
            <w:u w:val="single"/>
          </w:rPr>
          <w:t xml:space="preserve">878</w:t>
        </w:r>
      </w:hyperlink>
      <w:r>
        <w:t xml:space="preserve"> finden entsprechende Anwendung.</w:t>
      </w:r>
    </w:p>
    <w:p>
      <w:r>
        <w:t>(3) Die Ausschließung der Erteilung des Briefes kann aufgehoben werden; die Aufhebung erfolgt in gleicher Weise wie die Ausschließung.</w:t>
      </w:r>
    </w:p>
    <w:p>
      <w:pPr>
        <w:pStyle w:val="Heading4"/>
      </w:pPr>
      <w:bookmarkStart w:id="1616" w:name="b1601"/>
      <w:r>
        <w:t>§ 1117 Erwerb der Briefhypothek</w:t>
      </w:r>
      <w:r>
        <w:t xml:space="preserve"> </w:t>
      </w:r>
      <w:r>
        <w:rPr>
          <w:rStyle w:val="Suchmarke"/>
        </w:rPr>
        <w:t>#1117#</w:t>
      </w:r>
      <w:bookmarkEnd w:id="1616"/>
    </w:p>
    <w:p>
      <w:r>
        <w:t xml:space="preserve">(1) </w:t>
      </w:r>
      <w:r>
        <w:rPr>
          <w:rStyle w:val="Satznummer"/>
        </w:rPr>
        <w:t>1</w:t>
      </w:r>
      <w:r>
        <w:t xml:space="preserve">Der Gläubiger erwirbt, sofern nicht die Erteilung des Hypothekenbriefs ausgeschlossen ist, die Hypothek erst, wenn ihm der Brief von dem Eigentümer des Grundstücks übergeben wird. </w:t>
      </w:r>
      <w:r>
        <w:rPr>
          <w:rStyle w:val="Satznummer"/>
        </w:rPr>
        <w:t>2</w:t>
      </w:r>
      <w:r>
        <w:t xml:space="preserve">Auf die Übergabe finden die Vorschriften des </w:t>
      </w:r>
      <w:hyperlink w:anchor="b1393" w:history="1">
        <w:r>
          <w:rPr>
            <w:color w:val="0A3A8C"/>
            <w:u w:val="single"/>
          </w:rPr>
          <w:t xml:space="preserve">§ 929</w:t>
        </w:r>
      </w:hyperlink>
      <w:r>
        <w:t xml:space="preserve"> Satz 2 und der §§ 930, 931 Anwendung.</w:t>
      </w:r>
    </w:p>
    <w:p>
      <w:r>
        <w:t>(2) Die Übergabe des Briefes kann durch die Vereinbarung ersetzt werden, dass der Gläubiger berechtigt sein soll, sich den Brief von dem Grundbuchamt aushändigen zu lassen.</w:t>
      </w:r>
    </w:p>
    <w:p>
      <w:r>
        <w:t>(3) Ist der Gläubiger im Besitz des Briefes, so wird vermutet, dass die Übergabe erfolgt sei.</w:t>
      </w:r>
    </w:p>
    <w:p>
      <w:pPr>
        <w:pStyle w:val="Heading4"/>
      </w:pPr>
      <w:bookmarkStart w:id="1617" w:name="b1602"/>
      <w:r>
        <w:t>§ 1118 Haftung für Nebenforderungen</w:t>
      </w:r>
      <w:r>
        <w:t xml:space="preserve"> </w:t>
      </w:r>
      <w:r>
        <w:rPr>
          <w:rStyle w:val="Suchmarke"/>
        </w:rPr>
        <w:t>#1118#</w:t>
      </w:r>
      <w:bookmarkEnd w:id="1617"/>
    </w:p>
    <w:p>
      <w:r>
        <w:t>Kraft der Hypothek haftet das Grundstück auch für die gesetzlichen Zinsen der Forderung sowie für die Kosten der Kündigung und der die Befriedigung aus dem Grundstück bezweckenden Rechtsverfolgung.</w:t>
      </w:r>
    </w:p>
    <w:p>
      <w:pPr>
        <w:pStyle w:val="Heading4"/>
      </w:pPr>
      <w:bookmarkStart w:id="1618" w:name="b1603"/>
      <w:r>
        <w:t>§ 1119 Erweiterung der Haftung für Zinsen</w:t>
      </w:r>
      <w:r>
        <w:t xml:space="preserve"> </w:t>
      </w:r>
      <w:r>
        <w:rPr>
          <w:rStyle w:val="Suchmarke"/>
        </w:rPr>
        <w:t>#1119#</w:t>
      </w:r>
      <w:bookmarkEnd w:id="1618"/>
    </w:p>
    <w:p>
      <w:r>
        <w:t>(1) Ist die Forderung unverzinslich oder ist der Zinssatz niedriger als fünf vom Hundert, so kann die Hypothek ohne Zustimmung der im Range gleich- oder nachstehenden Berechtigten dahin erweitert werden, dass das Grundstück für Zinsen bis zu fünf vom Hundert haftet.</w:t>
      </w:r>
    </w:p>
    <w:p>
      <w:r>
        <w:t>(2) Zu einer Änderung der Zahlungszeit und des Zahlungsorts ist die Zustimmung dieser Berechtigten gleichfalls nicht erforderlich.</w:t>
      </w:r>
    </w:p>
    <w:p>
      <w:pPr>
        <w:pStyle w:val="Heading4"/>
      </w:pPr>
      <w:bookmarkStart w:id="1619" w:name="b1604"/>
      <w:r>
        <w:t>§ 1120 Erstreckung auf Erzeugnisse, Bestandteile und Zubehör</w:t>
      </w:r>
      <w:r>
        <w:t xml:space="preserve"> </w:t>
      </w:r>
      <w:r>
        <w:rPr>
          <w:rStyle w:val="Suchmarke"/>
        </w:rPr>
        <w:t>#1120#</w:t>
      </w:r>
      <w:bookmarkEnd w:id="1619"/>
    </w:p>
    <w:p>
      <w:r>
        <w:t>Die Hypothek erstreckt sich auf die von dem Grundstück getrennten Erzeugnisse und sonstigen Bestandteile, soweit sie nicht mit der Trennung nach den §§ 954 bis 957 in das Eigentum eines anderen als des Eigentümers oder des Eigenbesitzers des Grundstücks gelangt sind, sowie auf das Zubehör des Grundstücks mit Ausnahme der Zubehörstücke, welche nicht in das Eigentum des Eigentümers des Grundstücks gelangt sind.</w:t>
      </w:r>
    </w:p>
    <w:p>
      <w:pPr>
        <w:pStyle w:val="Heading4"/>
      </w:pPr>
      <w:bookmarkStart w:id="1620" w:name="b1605"/>
      <w:r>
        <w:t>§ 1121 Enthaftung durch Veräußerung und Entfernung</w:t>
      </w:r>
      <w:r>
        <w:t xml:space="preserve"> </w:t>
      </w:r>
      <w:r>
        <w:rPr>
          <w:rStyle w:val="Suchmarke"/>
        </w:rPr>
        <w:t>#1121#</w:t>
      </w:r>
      <w:bookmarkEnd w:id="1620"/>
    </w:p>
    <w:p>
      <w:r>
        <w:t>(1) Erzeugnisse und sonstige Bestandteile des Grundstücks sowie Zubehörstücke werden von der Haftung frei, wenn sie veräußert und von dem Grundstück entfernt werden, bevor sie zugunsten des Gläubigers in Beschlag genommen worden sind.</w:t>
      </w:r>
    </w:p>
    <w:p>
      <w:r>
        <w:t xml:space="preserve">(2) </w:t>
      </w:r>
      <w:r>
        <w:rPr>
          <w:rStyle w:val="Satznummer"/>
        </w:rPr>
        <w:t>1</w:t>
      </w:r>
      <w:r>
        <w:t xml:space="preserve">Erfolgt die Veräußerung vor der Entfernung, so kann sich der Erwerber dem Gläubiger gegenüber nicht darauf berufen, dass er in Ansehung der Hypothek in gutem Glauben gewesen sei. </w:t>
      </w:r>
      <w:r>
        <w:rPr>
          <w:rStyle w:val="Satznummer"/>
        </w:rPr>
        <w:t>2</w:t>
      </w:r>
      <w:r>
        <w:t>Entfernt der Erwerber die Sache von dem Grundstück, so ist eine vor der Entfernung erfolgte Beschlagnahme ihm gegenüber nur wirksam, wenn er bei der Entfernung in Ansehung der Beschlagnahme nicht in gutem Glauben ist.</w:t>
      </w:r>
    </w:p>
    <w:p>
      <w:pPr>
        <w:pStyle w:val="Heading4"/>
      </w:pPr>
      <w:bookmarkStart w:id="1621" w:name="b1606"/>
      <w:r>
        <w:t>§ 1122 Enthaftung ohne Veräußerung</w:t>
      </w:r>
      <w:r>
        <w:t xml:space="preserve"> </w:t>
      </w:r>
      <w:r>
        <w:rPr>
          <w:rStyle w:val="Suchmarke"/>
        </w:rPr>
        <w:t>#1122#</w:t>
      </w:r>
      <w:bookmarkEnd w:id="1621"/>
    </w:p>
    <w:p>
      <w:r>
        <w:t>(1) Sind die Erzeugnisse oder Bestandteile innerhalb der Grenzen einer ordnungsmäßigen Wirtschaft von dem Grundstück getrennt worden, so erlischt ihre Haftung auch ohne Veräußerung, wenn sie vor der Beschlagnahme von dem Grundstück entfernt werden, es sei denn, dass die Entfernung zu einem vorübergehenden Zwecke erfolgt.</w:t>
      </w:r>
    </w:p>
    <w:p>
      <w:r>
        <w:t>(2) Zubehörstücke werden ohne Veräußerung von der Haftung frei, wenn die Zubehöreigenschaft innerhalb der Grenzen einer ordnungsmäßigen Wirtschaft vor der Beschlagnahme aufgehoben wird.</w:t>
      </w:r>
    </w:p>
    <w:p>
      <w:pPr>
        <w:pStyle w:val="Heading4"/>
      </w:pPr>
      <w:bookmarkStart w:id="1622" w:name="b1607"/>
      <w:r>
        <w:t>§ 1123 Erstreckung auf Miet- oder Pachtforderung</w:t>
      </w:r>
      <w:r>
        <w:t xml:space="preserve"> </w:t>
      </w:r>
      <w:r>
        <w:rPr>
          <w:rStyle w:val="Suchmarke"/>
        </w:rPr>
        <w:t>#1123#</w:t>
      </w:r>
      <w:bookmarkEnd w:id="1622"/>
    </w:p>
    <w:p>
      <w:r>
        <w:t>(1) Ist das Grundstück vermietet oder verpachtet, so erstreckt sich die Hypothek auf die Miet- oder Pachtforderung.</w:t>
      </w:r>
    </w:p>
    <w:p>
      <w:r>
        <w:t xml:space="preserve">(2) </w:t>
      </w:r>
      <w:r>
        <w:rPr>
          <w:rStyle w:val="Satznummer"/>
        </w:rPr>
        <w:t>1</w:t>
      </w:r>
      <w:r>
        <w:t xml:space="preserve">Soweit die Forderung fällig ist, wird sie mit dem Ablauf eines Jahres nach dem Eintritt der Fälligkeit von der Haftung frei, wenn nicht vorher die Beschlagnahme zugunsten des Hypothekengläubigers erfolgt. </w:t>
      </w:r>
      <w:r>
        <w:rPr>
          <w:rStyle w:val="Satznummer"/>
        </w:rPr>
        <w:t>2</w:t>
      </w:r>
      <w:r>
        <w:t>Ist die Miete oder Pacht im Voraus zu entrichten, so erstreckt sich die Befreiung nicht auf die Miete oder Pacht für eine spätere Zeit als den zur Zeit der Beschlagnahme laufenden Kalendermonat; erfolgt die Beschlagnahme nach dem 15. Tage des Monats, so erstreckt sich die Befreiung auch auf den Miet- oder Pachtzins für den folgenden Kalendermonat.</w:t>
      </w:r>
    </w:p>
    <w:p>
      <w:pPr>
        <w:pStyle w:val="Heading4"/>
      </w:pPr>
      <w:bookmarkStart w:id="1623" w:name="b1608"/>
      <w:r>
        <w:t>§ 1124 Vorausverfügung über Miete oder Pacht</w:t>
      </w:r>
      <w:r>
        <w:t xml:space="preserve"> </w:t>
      </w:r>
      <w:r>
        <w:rPr>
          <w:rStyle w:val="Suchmarke"/>
        </w:rPr>
        <w:t>#1124#</w:t>
      </w:r>
      <w:bookmarkEnd w:id="1623"/>
    </w:p>
    <w:p>
      <w:r>
        <w:t xml:space="preserve">(1) </w:t>
      </w:r>
      <w:r>
        <w:rPr>
          <w:rStyle w:val="Satznummer"/>
        </w:rPr>
        <w:t>1</w:t>
      </w:r>
      <w:r>
        <w:t xml:space="preserve">Wird die Miete oder Pacht eingezogen, bevor sie zugunsten des Hypothekengläubigers in Beschlag genommen worden ist, oder wird vor der Beschlagnahme in anderer Weise über sie verfügt, so ist die Verfügung dem Hypothekengläubiger gegenüber wirksam. </w:t>
      </w:r>
      <w:r>
        <w:rPr>
          <w:rStyle w:val="Satznummer"/>
        </w:rPr>
        <w:t>2</w:t>
      </w:r>
      <w:r>
        <w:t>Besteht die Verfügung in der Übertragung der Forderung auf einen Dritten, so erlischt die Haftung der Forderung; erlangt ein Dritter ein Recht an der Forderung, so geht es der Hypothek im Range vor.</w:t>
      </w:r>
    </w:p>
    <w:p>
      <w:r>
        <w:t>(2) Die Verfügung ist dem Hypothekengläubiger gegenüber unwirksam, soweit sie sich auf die Miete oder Pacht für eine spätere Zeit als den zur Zeit der Beschlagnahme laufenden Kalendermonat bezieht; erfolgt die Beschlagnahme nach dem fünfzehnten Tage des Monats, so ist die Verfügung jedoch insoweit wirksam, als sie sich auf die Miete oder Pacht für den folgenden Kalendermonat bezieht.</w:t>
      </w:r>
    </w:p>
    <w:p>
      <w:r>
        <w:t>(3) Der Übertragung der Forderung auf einen Dritten steht es gleich, wenn das Grundstück ohne die Forderung veräußert wird.</w:t>
      </w:r>
    </w:p>
    <w:p>
      <w:pPr>
        <w:pStyle w:val="Heading4"/>
      </w:pPr>
      <w:bookmarkStart w:id="1624" w:name="b1609"/>
      <w:r>
        <w:t>§ 1125 Aufrechnung gegen Miete oder Pacht</w:t>
      </w:r>
      <w:r>
        <w:t xml:space="preserve"> </w:t>
      </w:r>
      <w:r>
        <w:rPr>
          <w:rStyle w:val="Suchmarke"/>
        </w:rPr>
        <w:t>#1125#</w:t>
      </w:r>
      <w:bookmarkEnd w:id="1624"/>
    </w:p>
    <w:p>
      <w:r>
        <w:t>Soweit die Einziehung der Miete oder Pacht dem Hypothekengläubiger gegenüber unwirksam ist, kann der Mieter oder der Pächter nicht eine ihm gegen den Vermieter oder den Verpächter zustehende Forderung gegen den Hypothekengläubiger aufrechnen.</w:t>
      </w:r>
    </w:p>
    <w:p>
      <w:pPr>
        <w:pStyle w:val="Heading4"/>
      </w:pPr>
      <w:bookmarkStart w:id="1625" w:name="b1610"/>
      <w:r>
        <w:t>§ 1126 Erstreckung auf wiederkehrende Leistungen</w:t>
      </w:r>
      <w:r>
        <w:t xml:space="preserve"> </w:t>
      </w:r>
      <w:r>
        <w:rPr>
          <w:rStyle w:val="Suchmarke"/>
        </w:rPr>
        <w:t>#1126#</w:t>
      </w:r>
      <w:bookmarkEnd w:id="1625"/>
    </w:p>
    <w:p>
      <w:r>
        <w:rPr>
          <w:rStyle w:val="Satznummer"/>
        </w:rPr>
        <w:t>1</w:t>
      </w:r>
      <w:r>
        <w:t xml:space="preserve">Ist mit dem Eigentum an dem Grundstück ein Recht auf wiederkehrende Leistungen verbunden, so erstreckt sich die Hypothek auf die Ansprüche auf diese Leistungen. </w:t>
      </w:r>
      <w:r>
        <w:rPr>
          <w:rStyle w:val="Satznummer"/>
        </w:rPr>
        <w:t>2</w:t>
      </w:r>
      <w:r>
        <w:t xml:space="preserve">Die Vorschriften des </w:t>
      </w:r>
      <w:hyperlink w:anchor="b1607" w:history="1">
        <w:r>
          <w:rPr>
            <w:color w:val="0A3A8C"/>
            <w:u w:val="single"/>
          </w:rPr>
          <w:t xml:space="preserve">§ 1123</w:t>
        </w:r>
      </w:hyperlink>
      <w:r>
        <w:t xml:space="preserve"> Abs. 2 Satz 1, des </w:t>
      </w:r>
      <w:hyperlink w:anchor="b1608" w:history="1">
        <w:r>
          <w:rPr>
            <w:color w:val="0A3A8C"/>
            <w:u w:val="single"/>
          </w:rPr>
          <w:t xml:space="preserve">§ 1124</w:t>
        </w:r>
      </w:hyperlink>
      <w:r>
        <w:t xml:space="preserve"> Abs. 1, 3 und des </w:t>
      </w:r>
      <w:hyperlink w:anchor="b1609" w:history="1">
        <w:r>
          <w:rPr>
            <w:color w:val="0A3A8C"/>
            <w:u w:val="single"/>
          </w:rPr>
          <w:t xml:space="preserve">§ 1125</w:t>
        </w:r>
      </w:hyperlink>
      <w:r>
        <w:t xml:space="preserve"> finden entsprechende Anwendung. </w:t>
      </w:r>
      <w:r>
        <w:rPr>
          <w:rStyle w:val="Satznummer"/>
        </w:rPr>
        <w:t>3</w:t>
      </w:r>
      <w:r>
        <w:t>Eine vor der Beschlagnahme erfolgte Verfügung über den Anspruch auf eine Leistung, die erst drei Monate nach der Beschlagnahme fällig wird, ist dem Hypothekengläubiger gegenüber unwirksam.</w:t>
      </w:r>
    </w:p>
    <w:p>
      <w:pPr>
        <w:pStyle w:val="Heading4"/>
      </w:pPr>
      <w:bookmarkStart w:id="1626" w:name="b1611"/>
      <w:r>
        <w:t>§ 1127 Erstreckung auf die Versicherungsforderung</w:t>
      </w:r>
      <w:r>
        <w:t xml:space="preserve"> </w:t>
      </w:r>
      <w:r>
        <w:rPr>
          <w:rStyle w:val="Suchmarke"/>
        </w:rPr>
        <w:t>#1127#</w:t>
      </w:r>
      <w:bookmarkEnd w:id="1626"/>
    </w:p>
    <w:p>
      <w:r>
        <w:t>(1) Sind Gegenstände, die der Hypothek unterliegen, für den Eigentümer oder den Eigenbesitzer des Grundstücks unter Versicherung gebracht, so erstreckt sich die Hypothek auf die Forderung gegen den Versicherer.</w:t>
      </w:r>
    </w:p>
    <w:p>
      <w:r>
        <w:t>(2) Die Haftung der Forderung gegen den Versicherer erlischt, wenn der versicherte Gegenstand wiederhergestellt oder Ersatz für ihn beschafft ist.</w:t>
      </w:r>
    </w:p>
    <w:p>
      <w:pPr>
        <w:pStyle w:val="Heading4"/>
      </w:pPr>
      <w:bookmarkStart w:id="1627" w:name="b1612"/>
      <w:r>
        <w:t>§ 1128 Gebäudeversicherung</w:t>
      </w:r>
      <w:r>
        <w:t xml:space="preserve"> </w:t>
      </w:r>
      <w:r>
        <w:rPr>
          <w:rStyle w:val="Suchmarke"/>
        </w:rPr>
        <w:t>#1128#</w:t>
      </w:r>
      <w:bookmarkEnd w:id="1627"/>
    </w:p>
    <w:p>
      <w:r>
        <w:t xml:space="preserve">(1) </w:t>
      </w:r>
      <w:r>
        <w:rPr>
          <w:rStyle w:val="Satznummer"/>
        </w:rPr>
        <w:t>1</w:t>
      </w:r>
      <w:r>
        <w:t xml:space="preserve">Ist ein Gebäude versichert, so kann der Versicherer die Versicherungssumme mit Wirkung gegen den Hypothekengläubiger an den Versicherten erst zahlen, wenn er oder der Versicherte den Eintritt des Schadens dem Hypothekengläubiger angezeigt hat und seit dem Empfang der Anzeige ein Monat verstrichen ist. </w:t>
      </w:r>
      <w:r>
        <w:rPr>
          <w:rStyle w:val="Satznummer"/>
        </w:rPr>
        <w:t>2</w:t>
      </w:r>
      <w:r>
        <w:t xml:space="preserve">Der Hypothekengläubiger kann bis zum Ablauf der Frist dem Versicherer gegenüber der Zahlung widersprechen. </w:t>
      </w:r>
      <w:r>
        <w:rPr>
          <w:rStyle w:val="Satznummer"/>
        </w:rPr>
        <w:t>3</w:t>
      </w:r>
      <w:r>
        <w:t>Die Anzeige darf unterbleiben, wenn sie untunlich ist; in diesem Falle wird der Monat von dem Zeitpunkt an berechnet, in welchem die Versicherungssumme fällig wird.</w:t>
      </w:r>
    </w:p>
    <w:p>
      <w:r>
        <w:t>(2) Hat der Hypothekengläubiger seine Hypothek dem Versicherer angemeldet, so kann der Versicherer mit Wirkung gegen den Hypothekengläubiger an den Versicherten nur zahlen, wenn der Hypothekengläubiger der Zahlung schriftlich zugestimmt hat.</w:t>
      </w:r>
    </w:p>
    <w:p>
      <w:r>
        <w:t>(3) Im Übrigen finden die für eine verpfändete Forderung geltenden Vorschriften Anwendung; der Versicherer kann sich jedoch nicht darauf berufen, dass er eine aus dem Grundbuch ersichtliche Hypothek nicht gekannt habe.</w:t>
      </w:r>
    </w:p>
    <w:p>
      <w:pPr>
        <w:pStyle w:val="Heading4"/>
      </w:pPr>
      <w:bookmarkStart w:id="1628" w:name="b1613"/>
      <w:r>
        <w:t>§ 1129 Sonstige Schadensversicherung</w:t>
      </w:r>
      <w:r>
        <w:t xml:space="preserve"> </w:t>
      </w:r>
      <w:r>
        <w:rPr>
          <w:rStyle w:val="Suchmarke"/>
        </w:rPr>
        <w:t>#1129#</w:t>
      </w:r>
      <w:bookmarkEnd w:id="1628"/>
    </w:p>
    <w:p>
      <w:r>
        <w:t xml:space="preserve">Ist ein anderer Gegenstand als ein Gebäude versichert, so bestimmt sich die Haftung der Forderung gegen den Versicherer nach den Vorschriften des </w:t>
      </w:r>
      <w:hyperlink w:anchor="b1607" w:history="1">
        <w:r>
          <w:rPr>
            <w:color w:val="0A3A8C"/>
            <w:u w:val="single"/>
          </w:rPr>
          <w:t xml:space="preserve">§ 1123</w:t>
        </w:r>
      </w:hyperlink>
      <w:r>
        <w:t xml:space="preserve"> Abs. 2 Satz 1 und des </w:t>
      </w:r>
      <w:hyperlink w:anchor="b1608" w:history="1">
        <w:r>
          <w:rPr>
            <w:color w:val="0A3A8C"/>
            <w:u w:val="single"/>
          </w:rPr>
          <w:t xml:space="preserve">§ 1124</w:t>
        </w:r>
      </w:hyperlink>
      <w:r>
        <w:t xml:space="preserve"> Abs. 1, 3.</w:t>
      </w:r>
    </w:p>
    <w:p>
      <w:pPr>
        <w:pStyle w:val="Heading4"/>
      </w:pPr>
      <w:bookmarkStart w:id="1629" w:name="b1614"/>
      <w:r>
        <w:t>§ 1130 Wiederherstellungsklausel</w:t>
      </w:r>
      <w:r>
        <w:t xml:space="preserve"> </w:t>
      </w:r>
      <w:r>
        <w:rPr>
          <w:rStyle w:val="Suchmarke"/>
        </w:rPr>
        <w:t>#1130#</w:t>
      </w:r>
      <w:bookmarkEnd w:id="1629"/>
    </w:p>
    <w:p>
      <w:r>
        <w:t>Ist der Versicherer nach den Versicherungsbestimmungen nur verpflichtet, die Versicherungssumme zur Wiederherstellung des versicherten Gegenstands zu zahlen, so ist eine diesen Bestimmungen entsprechende Zahlung an den Versicherten dem Hypothekengläubiger gegenüber wirksam.</w:t>
      </w:r>
    </w:p>
    <w:p>
      <w:pPr>
        <w:pStyle w:val="Heading4"/>
      </w:pPr>
      <w:bookmarkStart w:id="1630" w:name="b1615"/>
      <w:r>
        <w:t>§ 1131 Zuschreibung eines Grundstücks</w:t>
      </w:r>
      <w:r>
        <w:t xml:space="preserve"> </w:t>
      </w:r>
      <w:r>
        <w:rPr>
          <w:rStyle w:val="Suchmarke"/>
        </w:rPr>
        <w:t>#1131#</w:t>
      </w:r>
      <w:bookmarkEnd w:id="1630"/>
    </w:p>
    <w:p>
      <w:r>
        <w:rPr>
          <w:rStyle w:val="Satznummer"/>
        </w:rPr>
        <w:t>1</w:t>
      </w:r>
      <w:r>
        <w:t xml:space="preserve">Wird ein Grundstück nach </w:t>
      </w:r>
      <w:hyperlink w:anchor="b1348" w:history="1">
        <w:r>
          <w:rPr>
            <w:color w:val="0A3A8C"/>
            <w:u w:val="single"/>
          </w:rPr>
          <w:t xml:space="preserve">§ 890</w:t>
        </w:r>
      </w:hyperlink>
      <w:r>
        <w:t xml:space="preserve"> Abs. 2 einem anderen Grundstück im Grundbuch zugeschrieben, so erstrecken sich die an diesem Grundstück bestehenden Hypotheken auf das zugeschriebene Grundstück. </w:t>
      </w:r>
      <w:r>
        <w:rPr>
          <w:rStyle w:val="Satznummer"/>
        </w:rPr>
        <w:t>2</w:t>
      </w:r>
      <w:r>
        <w:t>Rechte, mit denen das zugeschriebene Grundstück belastet ist, gehen diesen Hypotheken im Range vor.</w:t>
      </w:r>
    </w:p>
    <w:p>
      <w:pPr>
        <w:pStyle w:val="Heading4"/>
      </w:pPr>
      <w:bookmarkStart w:id="1631" w:name="b1616"/>
      <w:r>
        <w:t>§ 1132 Gesamthypothek</w:t>
      </w:r>
      <w:r>
        <w:t xml:space="preserve"> </w:t>
      </w:r>
      <w:r>
        <w:rPr>
          <w:rStyle w:val="Suchmarke"/>
        </w:rPr>
        <w:t>#1132#</w:t>
      </w:r>
      <w:bookmarkEnd w:id="1631"/>
    </w:p>
    <w:p>
      <w:r>
        <w:t xml:space="preserve">(1) </w:t>
      </w:r>
      <w:r>
        <w:rPr>
          <w:rStyle w:val="Satznummer"/>
        </w:rPr>
        <w:t>1</w:t>
      </w:r>
      <w:r>
        <w:t xml:space="preserve">Besteht für die Forderung eine Hypothek an mehreren Grundstücken (Gesamthypothek), so haftet jedes Grundstück für die ganze Forderung. </w:t>
      </w:r>
      <w:r>
        <w:rPr>
          <w:rStyle w:val="Satznummer"/>
        </w:rPr>
        <w:t>2</w:t>
      </w:r>
      <w:r>
        <w:t>Der Gläubiger kann die Befriedigung nach seinem Belieben aus jedem der Grundstücke ganz oder zu einem Teil suchen.</w:t>
      </w:r>
    </w:p>
    <w:p>
      <w:r>
        <w:t xml:space="preserve">(2) </w:t>
      </w:r>
      <w:r>
        <w:rPr>
          <w:rStyle w:val="Satznummer"/>
        </w:rPr>
        <w:t>1</w:t>
      </w:r>
      <w:r>
        <w:t xml:space="preserve">Der Gläubiger ist berechtigt, den Betrag der Forderung auf die einzelnen Grundstücke in der Weise zu verteilen, dass jedes Grundstück nur für den zugeteilten Betrag haftet. </w:t>
      </w:r>
      <w:r>
        <w:rPr>
          <w:rStyle w:val="Satznummer"/>
        </w:rPr>
        <w:t>2</w:t>
      </w:r>
      <w:r>
        <w:t xml:space="preserve">Auf die Verteilung finden die Vorschriften der </w:t>
      </w:r>
      <w:hyperlink w:anchor="b1333" w:history="1">
        <w:r>
          <w:rPr>
            <w:color w:val="0A3A8C"/>
            <w:u w:val="single"/>
          </w:rPr>
          <w:t xml:space="preserve">§§ 875</w:t>
        </w:r>
      </w:hyperlink>
      <w:r>
        <w:t xml:space="preserve">, </w:t>
      </w:r>
      <w:hyperlink w:anchor="b1334" w:history="1">
        <w:r>
          <w:rPr>
            <w:color w:val="0A3A8C"/>
            <w:u w:val="single"/>
          </w:rPr>
          <w:t xml:space="preserve">876</w:t>
        </w:r>
      </w:hyperlink>
      <w:r>
        <w:t xml:space="preserve">, </w:t>
      </w:r>
      <w:hyperlink w:anchor="b1336" w:history="1">
        <w:r>
          <w:rPr>
            <w:color w:val="0A3A8C"/>
            <w:u w:val="single"/>
          </w:rPr>
          <w:t xml:space="preserve">878</w:t>
        </w:r>
      </w:hyperlink>
      <w:r>
        <w:t xml:space="preserve"> entsprechende Anwendung.</w:t>
      </w:r>
    </w:p>
    <w:p>
      <w:pPr>
        <w:pStyle w:val="Heading4"/>
      </w:pPr>
      <w:bookmarkStart w:id="1632" w:name="b1617"/>
      <w:r>
        <w:t>§ 1133 Gefährdung der Sicherheit der Hypothek</w:t>
      </w:r>
      <w:r>
        <w:t xml:space="preserve"> </w:t>
      </w:r>
      <w:r>
        <w:rPr>
          <w:rStyle w:val="Suchmarke"/>
        </w:rPr>
        <w:t>#1133#</w:t>
      </w:r>
      <w:bookmarkEnd w:id="1632"/>
    </w:p>
    <w:p>
      <w:r>
        <w:rPr>
          <w:rStyle w:val="Satznummer"/>
        </w:rPr>
        <w:t>1</w:t>
      </w:r>
      <w:r>
        <w:t xml:space="preserve">Ist infolge einer Verschlechterung des Grundstücks die Sicherheit der Hypothek gefährdet, so kann der Gläubiger dem Eigentümer eine angemessene Frist zur Beseitigung der Gefährdung bestimmen. </w:t>
      </w:r>
      <w:r>
        <w:rPr>
          <w:rStyle w:val="Satznummer"/>
        </w:rPr>
        <w:t>2</w:t>
      </w:r>
      <w:r>
        <w:t xml:space="preserve">Nach dem Ablauf der Frist ist der Gläubiger berechtigt, sofort Befriedigung aus dem Grundstück zu suchen, wenn nicht die Gefährdung durch Verbesserung des Grundstücks oder durch anderweitige Hypothekenbestellung beseitigt worden ist. </w:t>
      </w:r>
      <w:r>
        <w:rPr>
          <w:rStyle w:val="Satznummer"/>
        </w:rPr>
        <w:t>3</w:t>
      </w:r>
      <w:r>
        <w:t>Ist die Forderung unverzinslich und noch nicht fällig, so gebührt dem Gläubiger nur die Summe, welche mit Hinzurechnung der gesetzlichen Zinsen für die Zeit von der Zahlung bis zur Fälligkeit dem Betrag der Forderung gleichkommt.</w:t>
      </w:r>
    </w:p>
    <w:p>
      <w:pPr>
        <w:pStyle w:val="Heading4"/>
      </w:pPr>
      <w:bookmarkStart w:id="1633" w:name="b1618"/>
      <w:r>
        <w:t>§ 1134 Unterlassungsklage</w:t>
      </w:r>
      <w:r>
        <w:t xml:space="preserve"> </w:t>
      </w:r>
      <w:r>
        <w:rPr>
          <w:rStyle w:val="Suchmarke"/>
        </w:rPr>
        <w:t>#1134#</w:t>
      </w:r>
      <w:bookmarkEnd w:id="1633"/>
    </w:p>
    <w:p>
      <w:r>
        <w:t>(1) Wirkt der Eigentümer oder ein Dritter auf das Grundstück in solcher Weise ein, dass eine die Sicherheit der Hypothek gefährdende Verschlechterung des Grundstücks zu besorgen ist, so kann der Gläubiger auf Unterlassung klagen.</w:t>
      </w:r>
    </w:p>
    <w:p>
      <w:r>
        <w:t xml:space="preserve">(2) </w:t>
      </w:r>
      <w:r>
        <w:rPr>
          <w:rStyle w:val="Satznummer"/>
        </w:rPr>
        <w:t>1</w:t>
      </w:r>
      <w:r>
        <w:t xml:space="preserve">Geht die Einwirkung von dem Eigentümer aus, so hat das Gericht auf Antrag des Gläubigers die zur Abwendung der Gefährdung erforderlichen Maßregeln anzuordnen. </w:t>
      </w:r>
      <w:r>
        <w:rPr>
          <w:rStyle w:val="Satznummer"/>
        </w:rPr>
        <w:t>2</w:t>
      </w:r>
      <w:r>
        <w:t>Das Gleiche gilt, wenn die Verschlechterung deshalb zu besorgen ist, weil der Eigentümer die erforderlichen Vorkehrungen gegen Einwirkungen Dritter oder gegen andere Beschädigungen unterlässt.</w:t>
      </w:r>
    </w:p>
    <w:p>
      <w:pPr>
        <w:pStyle w:val="Heading4"/>
      </w:pPr>
      <w:bookmarkStart w:id="1634" w:name="b1619"/>
      <w:r>
        <w:t>§ 1135 Verschlechterung des Zubehörs</w:t>
      </w:r>
      <w:r>
        <w:t xml:space="preserve"> </w:t>
      </w:r>
      <w:r>
        <w:rPr>
          <w:rStyle w:val="Suchmarke"/>
        </w:rPr>
        <w:t>#1135#</w:t>
      </w:r>
      <w:bookmarkEnd w:id="1634"/>
    </w:p>
    <w:p>
      <w:r>
        <w:t xml:space="preserve">Einer Verschlechterung des Grundstücks im Sinne der </w:t>
      </w:r>
      <w:hyperlink w:anchor="b1617" w:history="1">
        <w:r>
          <w:rPr>
            <w:color w:val="0A3A8C"/>
            <w:u w:val="single"/>
          </w:rPr>
          <w:t xml:space="preserve">§§ 1133</w:t>
        </w:r>
      </w:hyperlink>
      <w:r>
        <w:t xml:space="preserve">, </w:t>
      </w:r>
      <w:hyperlink w:anchor="b1618" w:history="1">
        <w:r>
          <w:rPr>
            <w:color w:val="0A3A8C"/>
            <w:u w:val="single"/>
          </w:rPr>
          <w:t xml:space="preserve">1134</w:t>
        </w:r>
      </w:hyperlink>
      <w:r>
        <w:t xml:space="preserve"> steht es gleich, wenn Zubehörstücke, auf die sich die Hypothek erstreckt, verschlechtert oder den Regeln einer ordnungsmäßigen Wirtschaft zuwider von dem Grundstück entfernt werden.</w:t>
      </w:r>
    </w:p>
    <w:p>
      <w:pPr>
        <w:pStyle w:val="Heading4"/>
      </w:pPr>
      <w:bookmarkStart w:id="1635" w:name="b1620"/>
      <w:r>
        <w:t>§ 1136 Rechtsgeschäftliche Verfügungsbeschränkung</w:t>
      </w:r>
      <w:r>
        <w:t xml:space="preserve"> </w:t>
      </w:r>
      <w:r>
        <w:rPr>
          <w:rStyle w:val="Suchmarke"/>
        </w:rPr>
        <w:t>#1136#</w:t>
      </w:r>
      <w:bookmarkEnd w:id="1635"/>
    </w:p>
    <w:p>
      <w:r>
        <w:t>Eine Vereinbarung, durch die sich der Eigentümer dem Gläubiger gegenüber verpflichtet, das Grundstück nicht zu veräußern oder nicht weiter zu belasten, ist nichtig.</w:t>
      </w:r>
    </w:p>
    <w:p>
      <w:pPr>
        <w:pStyle w:val="Heading4"/>
      </w:pPr>
      <w:bookmarkStart w:id="1636" w:name="b1621"/>
      <w:r>
        <w:t>§ 1137 Einreden des Eigentümers</w:t>
      </w:r>
      <w:r>
        <w:t xml:space="preserve"> </w:t>
      </w:r>
      <w:r>
        <w:rPr>
          <w:rStyle w:val="Suchmarke"/>
        </w:rPr>
        <w:t>#1137#</w:t>
      </w:r>
      <w:bookmarkEnd w:id="1636"/>
    </w:p>
    <w:p>
      <w:r>
        <w:t xml:space="preserve">(1) </w:t>
      </w:r>
      <w:r>
        <w:rPr>
          <w:rStyle w:val="Satznummer"/>
        </w:rPr>
        <w:t>1</w:t>
      </w:r>
      <w:r>
        <w:t xml:space="preserve">Der Eigentümer kann gegen die Hypothek die dem persönlichen Schuldner gegen die Forderung sowie die nach </w:t>
      </w:r>
      <w:hyperlink w:anchor="b1217" w:history="1">
        <w:r>
          <w:rPr>
            <w:color w:val="0A3A8C"/>
            <w:u w:val="single"/>
          </w:rPr>
          <w:t xml:space="preserve">§ 770</w:t>
        </w:r>
      </w:hyperlink>
      <w:r>
        <w:t xml:space="preserve"> einem Bürgen zustehenden Einreden geltend machen. </w:t>
      </w:r>
      <w:r>
        <w:rPr>
          <w:rStyle w:val="Satznummer"/>
        </w:rPr>
        <w:t>2</w:t>
      </w:r>
      <w:r>
        <w:t>Stirbt der persönliche Schuldner, so kann sich der Eigentümer nicht darauf berufen, dass der Erbe für die Schuld nur beschränkt haftet.</w:t>
      </w:r>
    </w:p>
    <w:p>
      <w:r>
        <w:t>(2) Ist der Eigentümer nicht der persönliche Schuldner, so verliert er eine Einrede nicht dadurch, dass dieser auf sie verzichtet.</w:t>
      </w:r>
    </w:p>
    <w:p>
      <w:pPr>
        <w:pStyle w:val="Heading4"/>
      </w:pPr>
      <w:bookmarkStart w:id="1637" w:name="b1622"/>
      <w:r>
        <w:t>§ 1138 Öffentlicher Glaube des Grundbuchs</w:t>
      </w:r>
      <w:r>
        <w:t xml:space="preserve"> </w:t>
      </w:r>
      <w:r>
        <w:rPr>
          <w:rStyle w:val="Suchmarke"/>
        </w:rPr>
        <w:t>#1138#</w:t>
      </w:r>
      <w:bookmarkEnd w:id="1637"/>
    </w:p>
    <w:p>
      <w:r>
        <w:t xml:space="preserve">Die Vorschriften der </w:t>
      </w:r>
      <w:hyperlink w:anchor="b1349" w:history="1">
        <w:r>
          <w:rPr>
            <w:color w:val="0A3A8C"/>
            <w:u w:val="single"/>
          </w:rPr>
          <w:t xml:space="preserve">§§ 891</w:t>
        </w:r>
      </w:hyperlink>
      <w:r>
        <w:t xml:space="preserve"> bis </w:t>
      </w:r>
      <w:hyperlink w:anchor="b1357" w:history="1">
        <w:r>
          <w:rPr>
            <w:color w:val="0A3A8C"/>
            <w:u w:val="single"/>
          </w:rPr>
          <w:t xml:space="preserve">899</w:t>
        </w:r>
      </w:hyperlink>
      <w:r>
        <w:t xml:space="preserve"> gelten für die Hypothek auch in Ansehung der Forderung und der dem Eigentümer nach </w:t>
      </w:r>
      <w:hyperlink w:anchor="b1621" w:history="1">
        <w:r>
          <w:rPr>
            <w:color w:val="0A3A8C"/>
            <w:u w:val="single"/>
          </w:rPr>
          <w:t xml:space="preserve">§ 1137</w:t>
        </w:r>
      </w:hyperlink>
      <w:r>
        <w:t xml:space="preserve"> zustehenden Einreden.</w:t>
      </w:r>
    </w:p>
    <w:p>
      <w:pPr>
        <w:pStyle w:val="Heading4"/>
      </w:pPr>
      <w:bookmarkStart w:id="1638" w:name="b1623"/>
      <w:r>
        <w:t>§ 1139 Widerspruch bei Darlehensbuchhypothek</w:t>
      </w:r>
      <w:r>
        <w:t xml:space="preserve"> </w:t>
      </w:r>
      <w:r>
        <w:rPr>
          <w:rStyle w:val="Suchmarke"/>
        </w:rPr>
        <w:t>#1139#</w:t>
      </w:r>
      <w:bookmarkEnd w:id="1638"/>
    </w:p>
    <w:p>
      <w:r>
        <w:rPr>
          <w:rStyle w:val="Satznummer"/>
        </w:rPr>
        <w:t>1</w:t>
      </w:r>
      <w:r>
        <w:t xml:space="preserve">Ist bei der Bestellung einer Hypothek für ein Darlehen die Erteilung des Hypothekenbriefs ausgeschlossen worden, so genügt zur Eintragung eines Widerspruchs, der sich darauf gründet, dass die Hingabe des Darlehens unterblieben sei, der von dem Eigentümer an das Grundbuchamt gerichtete Antrag, sofern er vor dem Ablauf eines Monats nach der Eintragung der Hypothek gestellt wird. </w:t>
      </w:r>
      <w:r>
        <w:rPr>
          <w:rStyle w:val="Satznummer"/>
        </w:rPr>
        <w:t>2</w:t>
      </w:r>
      <w:r>
        <w:t>Wird der Widerspruch innerhalb des Monats eingetragen, so hat die Eintragung die gleiche Wirkung, wie wenn der Widerspruch zugleich mit der Hypothek eingetragen worden wäre.</w:t>
      </w:r>
    </w:p>
    <w:p>
      <w:pPr>
        <w:pStyle w:val="Heading4"/>
      </w:pPr>
      <w:bookmarkStart w:id="1639" w:name="b1624"/>
      <w:r>
        <w:t>§ 1140 Hypothekenbrief und Unrichtigkeit des Grundbuchs</w:t>
      </w:r>
      <w:r>
        <w:t xml:space="preserve"> </w:t>
      </w:r>
      <w:r>
        <w:rPr>
          <w:rStyle w:val="Suchmarke"/>
        </w:rPr>
        <w:t>#1140#</w:t>
      </w:r>
      <w:bookmarkEnd w:id="1639"/>
    </w:p>
    <w:p>
      <w:r>
        <w:rPr>
          <w:rStyle w:val="Satznummer"/>
        </w:rPr>
        <w:t>1</w:t>
      </w:r>
      <w:r>
        <w:t xml:space="preserve">Soweit die Unrichtigkeit des Grundbuchs aus dem Hypothekenbrief oder einem Vermerk auf dem Brief hervorgeht, ist die Berufung auf die Vorschriften der </w:t>
      </w:r>
      <w:hyperlink w:anchor="b1350" w:history="1">
        <w:r>
          <w:rPr>
            <w:color w:val="0A3A8C"/>
            <w:u w:val="single"/>
          </w:rPr>
          <w:t xml:space="preserve">§§ 892</w:t>
        </w:r>
      </w:hyperlink>
      <w:r>
        <w:t xml:space="preserve">, </w:t>
      </w:r>
      <w:hyperlink w:anchor="b1351" w:history="1">
        <w:r>
          <w:rPr>
            <w:color w:val="0A3A8C"/>
            <w:u w:val="single"/>
          </w:rPr>
          <w:t xml:space="preserve">893</w:t>
        </w:r>
      </w:hyperlink>
      <w:r>
        <w:t xml:space="preserve"> ausgeschlossen. </w:t>
      </w:r>
      <w:r>
        <w:rPr>
          <w:rStyle w:val="Satznummer"/>
        </w:rPr>
        <w:t>2</w:t>
      </w:r>
      <w:r>
        <w:t>Ein Widerspruch gegen die Richtigkeit des Grundbuchs, der aus dem Briefe oder einem Vermerk auf dem Briefe hervorgeht, steht einem im Grundbuch eingetragenen Widerspruch gleich.</w:t>
      </w:r>
    </w:p>
    <w:p>
      <w:pPr>
        <w:pStyle w:val="Heading4"/>
      </w:pPr>
      <w:bookmarkStart w:id="1640" w:name="b1625"/>
      <w:r>
        <w:t>§ 1141 Kündigung der Hypothek</w:t>
      </w:r>
      <w:r>
        <w:t xml:space="preserve"> </w:t>
      </w:r>
      <w:r>
        <w:rPr>
          <w:rStyle w:val="Suchmarke"/>
        </w:rPr>
        <w:t>#1141#</w:t>
      </w:r>
      <w:bookmarkEnd w:id="1640"/>
    </w:p>
    <w:p>
      <w:r>
        <w:t xml:space="preserve">(1) </w:t>
      </w:r>
      <w:r>
        <w:rPr>
          <w:rStyle w:val="Satznummer"/>
        </w:rPr>
        <w:t>1</w:t>
      </w:r>
      <w:r>
        <w:t xml:space="preserve">Hängt die Fälligkeit der Forderung von einer Kündigung ab, so ist die Kündigung für die Hypothek nur wirksam, wenn sie von dem Gläubiger dem Eigentümer oder von dem Eigentümer dem Gläubiger erklärt wird. </w:t>
      </w:r>
      <w:r>
        <w:rPr>
          <w:rStyle w:val="Satznummer"/>
        </w:rPr>
        <w:t>2</w:t>
      </w:r>
      <w:r>
        <w:t>Zugunsten des Gläubigers gilt derjenige, welcher im Grundbuch als Eigentümer eingetragen ist, als der Eigentümer.</w:t>
      </w:r>
    </w:p>
    <w:p>
      <w:r>
        <w:t xml:space="preserve">(2) Hat der Eigentümer keinen Wohnsitz im Inland oder liegen die Voraussetzungen des </w:t>
      </w:r>
      <w:hyperlink w:anchor="b163" w:history="1">
        <w:r>
          <w:rPr>
            <w:color w:val="0A3A8C"/>
            <w:u w:val="single"/>
          </w:rPr>
          <w:t xml:space="preserve">§ 132</w:t>
        </w:r>
      </w:hyperlink>
      <w:r>
        <w:t xml:space="preserve"> Abs. 2 vor, so hat auf Antrag des Gläubigers das Amtsgericht, in dessen Bezirk das Grundstück liegt, dem Eigentümer einen Vertreter zu bestellen, dem gegenüber die Kündigung des Gläubigers erfolgen kann.</w:t>
      </w:r>
    </w:p>
    <w:p>
      <w:pPr>
        <w:pStyle w:val="Heading4"/>
      </w:pPr>
      <w:bookmarkStart w:id="1641" w:name="b1626"/>
      <w:r>
        <w:t>§ 1142 Befriedigungsrecht des Eigentümers</w:t>
      </w:r>
      <w:r>
        <w:t xml:space="preserve"> </w:t>
      </w:r>
      <w:r>
        <w:rPr>
          <w:rStyle w:val="Suchmarke"/>
        </w:rPr>
        <w:t>#1142#</w:t>
      </w:r>
      <w:bookmarkEnd w:id="1641"/>
    </w:p>
    <w:p>
      <w:r>
        <w:t>(1) Der Eigentümer ist berechtigt, den Gläubiger zu befriedigen, wenn die Forderung ihm gegenüber fällig geworden oder wenn der persönliche Schuldner zur Leistung berechtigt ist.</w:t>
      </w:r>
    </w:p>
    <w:p>
      <w:r>
        <w:t>(2) Die Befriedigung kann auch durch Hinterlegung oder durch Aufrechnung erfolgen.</w:t>
      </w:r>
    </w:p>
    <w:p>
      <w:pPr>
        <w:pStyle w:val="Heading4"/>
      </w:pPr>
      <w:bookmarkStart w:id="1642" w:name="b1627"/>
      <w:r>
        <w:t>§ 1143 Übergang der Forderung</w:t>
      </w:r>
      <w:r>
        <w:t xml:space="preserve"> </w:t>
      </w:r>
      <w:r>
        <w:rPr>
          <w:rStyle w:val="Suchmarke"/>
        </w:rPr>
        <w:t>#1143#</w:t>
      </w:r>
      <w:bookmarkEnd w:id="1642"/>
    </w:p>
    <w:p>
      <w:r>
        <w:t xml:space="preserve">(1) </w:t>
      </w:r>
      <w:r>
        <w:rPr>
          <w:rStyle w:val="Satznummer"/>
        </w:rPr>
        <w:t>1</w:t>
      </w:r>
      <w:r>
        <w:t xml:space="preserve">Ist der Eigentümer nicht der persönliche Schuldner, so geht, soweit er den Gläubiger befriedigt, die Forderung auf ihn über. </w:t>
      </w:r>
      <w:r>
        <w:rPr>
          <w:rStyle w:val="Satznummer"/>
        </w:rPr>
        <w:t>2</w:t>
      </w:r>
      <w:r>
        <w:t xml:space="preserve">Die für einen Bürgen geltende Vorschrift des </w:t>
      </w:r>
      <w:hyperlink w:anchor="b1221" w:history="1">
        <w:r>
          <w:rPr>
            <w:color w:val="0A3A8C"/>
            <w:u w:val="single"/>
          </w:rPr>
          <w:t xml:space="preserve">§ 774</w:t>
        </w:r>
      </w:hyperlink>
      <w:r>
        <w:t xml:space="preserve"> Abs. 1 findet entsprechende Anwendung.</w:t>
      </w:r>
    </w:p>
    <w:p>
      <w:r>
        <w:t xml:space="preserve">(2) Besteht für die Forderung eine Gesamthypothek, so gilt für diese die Vorschrift des </w:t>
      </w:r>
      <w:hyperlink w:anchor="b1657" w:history="1">
        <w:r>
          <w:rPr>
            <w:color w:val="0A3A8C"/>
            <w:u w:val="single"/>
          </w:rPr>
          <w:t xml:space="preserve">§ 1173</w:t>
        </w:r>
      </w:hyperlink>
      <w:r>
        <w:t>.</w:t>
      </w:r>
    </w:p>
    <w:p>
      <w:pPr>
        <w:pStyle w:val="Heading4"/>
      </w:pPr>
      <w:bookmarkStart w:id="1643" w:name="b1628"/>
      <w:r>
        <w:t>§ 1144 Aushändigung der Urkunden</w:t>
      </w:r>
      <w:r>
        <w:t xml:space="preserve"> </w:t>
      </w:r>
      <w:r>
        <w:rPr>
          <w:rStyle w:val="Suchmarke"/>
        </w:rPr>
        <w:t>#1144#</w:t>
      </w:r>
      <w:bookmarkEnd w:id="1643"/>
    </w:p>
    <w:p>
      <w:r>
        <w:t>Der Eigentümer kann gegen Befriedigung des Gläubigers die Aushändigung des Hypothekenbriefs und der sonstigen Urkunden verlangen, die zur Berichtigung des Grundbuchs oder zur Löschung der Hypothek erforderlich sind.</w:t>
      </w:r>
    </w:p>
    <w:p>
      <w:pPr>
        <w:pStyle w:val="Heading4"/>
      </w:pPr>
      <w:bookmarkStart w:id="1644" w:name="b1629"/>
      <w:r>
        <w:t>§ 1145 Teilweise Befriedigung</w:t>
      </w:r>
      <w:r>
        <w:t xml:space="preserve"> </w:t>
      </w:r>
      <w:r>
        <w:rPr>
          <w:rStyle w:val="Suchmarke"/>
        </w:rPr>
        <w:t>#1145#</w:t>
      </w:r>
      <w:bookmarkEnd w:id="1644"/>
    </w:p>
    <w:p>
      <w:r>
        <w:t xml:space="preserve">(1) </w:t>
      </w:r>
      <w:r>
        <w:rPr>
          <w:rStyle w:val="Satznummer"/>
        </w:rPr>
        <w:t>1</w:t>
      </w:r>
      <w:r>
        <w:t xml:space="preserve">Befriedigt der Eigentümer den Gläubiger nur teilweise, so kann er die Aushändigung des Hypothekenbriefs nicht verlangen. </w:t>
      </w:r>
      <w:r>
        <w:rPr>
          <w:rStyle w:val="Satznummer"/>
        </w:rPr>
        <w:t>2</w:t>
      </w:r>
      <w:r>
        <w:t>Der Gläubiger ist verpflichtet, die teilweise Befriedigung auf dem Briefe zu vermerken und den Brief zum Zwecke der Berichtigung des Grundbuchs oder der Löschung dem Grundbuchamt oder zum Zwecke der Herstellung eines Teilhypothekenbriefs für den Eigentümer der zuständigen Behörde oder einem zuständigen Notar vorzulegen.</w:t>
      </w:r>
    </w:p>
    <w:p>
      <w:r>
        <w:t xml:space="preserve">(2) </w:t>
      </w:r>
      <w:r>
        <w:rPr>
          <w:rStyle w:val="Satznummer"/>
        </w:rPr>
        <w:t>1</w:t>
      </w:r>
      <w:r>
        <w:t xml:space="preserve">Die Vorschrift des Absatzes 1 Satz 2 gilt für Zinsen und andere Nebenleistungen nur, wenn sie später als in dem Kalendervierteljahr, in welchem der Gläubiger befriedigt wird, oder dem folgenden Vierteljahr fällig werden. </w:t>
      </w:r>
      <w:r>
        <w:rPr>
          <w:rStyle w:val="Satznummer"/>
        </w:rPr>
        <w:t>2</w:t>
      </w:r>
      <w:r>
        <w:t xml:space="preserve">Auf Kosten, für die das Grundstück nach </w:t>
      </w:r>
      <w:hyperlink w:anchor="b1602" w:history="1">
        <w:r>
          <w:rPr>
            <w:color w:val="0A3A8C"/>
            <w:u w:val="single"/>
          </w:rPr>
          <w:t xml:space="preserve">§ 1118</w:t>
        </w:r>
      </w:hyperlink>
      <w:r>
        <w:t xml:space="preserve"> haftet, findet die Vorschrift keine Anwendung.</w:t>
      </w:r>
    </w:p>
    <w:p>
      <w:pPr>
        <w:pStyle w:val="Heading4"/>
      </w:pPr>
      <w:bookmarkStart w:id="1645" w:name="b1630"/>
      <w:r>
        <w:t>§ 1146 Verzugszinsen</w:t>
      </w:r>
      <w:r>
        <w:t xml:space="preserve"> </w:t>
      </w:r>
      <w:r>
        <w:rPr>
          <w:rStyle w:val="Suchmarke"/>
        </w:rPr>
        <w:t>#1146#</w:t>
      </w:r>
      <w:bookmarkEnd w:id="1645"/>
    </w:p>
    <w:p>
      <w:r>
        <w:t>Liegen dem Eigentümer gegenüber die Voraussetzungen vor, unter denen ein Schuldner in Verzug kommt, so gebühren dem Gläubiger Verzugszinsen aus dem Grundstück.</w:t>
      </w:r>
    </w:p>
    <w:p>
      <w:pPr>
        <w:pStyle w:val="Heading4"/>
      </w:pPr>
      <w:bookmarkStart w:id="1646" w:name="b1631"/>
      <w:r>
        <w:t>§ 1147 Befriedigung durch Zwangsvollstreckung</w:t>
      </w:r>
      <w:r>
        <w:t xml:space="preserve"> </w:t>
      </w:r>
      <w:r>
        <w:rPr>
          <w:rStyle w:val="Suchmarke"/>
        </w:rPr>
        <w:t>#1147#</w:t>
      </w:r>
      <w:bookmarkEnd w:id="1646"/>
    </w:p>
    <w:p>
      <w:r>
        <w:t>Die Befriedigung des Gläubigers aus dem Grundstück und den Gegenständen, auf die sich die Hypothek erstreckt, erfolgt im Wege der Zwangsvollstreckung.</w:t>
      </w:r>
    </w:p>
    <w:p>
      <w:pPr>
        <w:pStyle w:val="Heading4"/>
      </w:pPr>
      <w:bookmarkStart w:id="1647" w:name="b1632"/>
      <w:r>
        <w:t>§ 1148 Eigentumsfiktion</w:t>
      </w:r>
      <w:r>
        <w:t xml:space="preserve"> </w:t>
      </w:r>
      <w:r>
        <w:rPr>
          <w:rStyle w:val="Suchmarke"/>
        </w:rPr>
        <w:t>#1148#</w:t>
      </w:r>
      <w:bookmarkEnd w:id="1647"/>
    </w:p>
    <w:p>
      <w:r>
        <w:rPr>
          <w:rStyle w:val="Satznummer"/>
        </w:rPr>
        <w:t>1</w:t>
      </w:r>
      <w:r>
        <w:t xml:space="preserve">Bei der Verfolgung des Rechts aus der Hypothek gilt zugunsten des Gläubigers derjenige, welcher im Grundbuch als Eigentümer eingetragen ist, als der Eigentümer. </w:t>
      </w:r>
      <w:r>
        <w:rPr>
          <w:rStyle w:val="Satznummer"/>
        </w:rPr>
        <w:t>2</w:t>
      </w:r>
      <w:r>
        <w:t>Das Recht des nicht eingetragenen Eigentümers, die ihm gegen die Hypothek zustehenden Einwendungen geltend zu machen, bleibt unberührt.</w:t>
      </w:r>
    </w:p>
    <w:p>
      <w:pPr>
        <w:pStyle w:val="Heading4"/>
      </w:pPr>
      <w:bookmarkStart w:id="1648" w:name="b1633"/>
      <w:r>
        <w:t>§ 1149 Unzulässige Befriedigungsabreden</w:t>
      </w:r>
      <w:r>
        <w:t xml:space="preserve"> </w:t>
      </w:r>
      <w:r>
        <w:rPr>
          <w:rStyle w:val="Suchmarke"/>
        </w:rPr>
        <w:t>#1149#</w:t>
      </w:r>
      <w:bookmarkEnd w:id="1648"/>
    </w:p>
    <w:p>
      <w:r>
        <w:t>Der Eigentümer kann, solange nicht die Forderung ihm gegenüber fällig geworden ist, dem Gläubiger nicht das Recht einräumen, zum Zwecke der Befriedigung die Übertragung des Eigentums an dem Grundstück zu verlangen oder die Veräußerung des Grundstücks auf andere Weise als im Wege der Zwangsvollstreckung zu bewirken.</w:t>
      </w:r>
    </w:p>
    <w:p>
      <w:pPr>
        <w:pStyle w:val="Heading4"/>
      </w:pPr>
      <w:bookmarkStart w:id="1649" w:name="b1634"/>
      <w:r>
        <w:t>§ 1150 Ablösungsrecht Dritter</w:t>
      </w:r>
      <w:r>
        <w:t xml:space="preserve"> </w:t>
      </w:r>
      <w:r>
        <w:rPr>
          <w:rStyle w:val="Suchmarke"/>
        </w:rPr>
        <w:t>#1150#</w:t>
      </w:r>
      <w:bookmarkEnd w:id="1649"/>
    </w:p>
    <w:p>
      <w:r>
        <w:t xml:space="preserve">Verlangt der Gläubiger Befriedigung aus dem Grundstück, so finden die Vorschriften der </w:t>
      </w:r>
      <w:hyperlink w:anchor="b310" w:history="1">
        <w:r>
          <w:rPr>
            <w:color w:val="0A3A8C"/>
            <w:u w:val="single"/>
          </w:rPr>
          <w:t xml:space="preserve">§§ 268</w:t>
        </w:r>
      </w:hyperlink>
      <w:r>
        <w:t xml:space="preserve">, </w:t>
      </w:r>
      <w:hyperlink w:anchor="b1628" w:history="1">
        <w:r>
          <w:rPr>
            <w:color w:val="0A3A8C"/>
            <w:u w:val="single"/>
          </w:rPr>
          <w:t xml:space="preserve">1144</w:t>
        </w:r>
      </w:hyperlink>
      <w:r>
        <w:t xml:space="preserve">, </w:t>
      </w:r>
      <w:hyperlink w:anchor="b1629" w:history="1">
        <w:r>
          <w:rPr>
            <w:color w:val="0A3A8C"/>
            <w:u w:val="single"/>
          </w:rPr>
          <w:t xml:space="preserve">1145</w:t>
        </w:r>
      </w:hyperlink>
      <w:r>
        <w:t xml:space="preserve"> entsprechende Anwendung.</w:t>
      </w:r>
    </w:p>
    <w:p>
      <w:pPr>
        <w:pStyle w:val="Heading4"/>
      </w:pPr>
      <w:bookmarkStart w:id="1650" w:name="b1635"/>
      <w:r>
        <w:t>§ 1151 Rangänderung bei Teilhypotheken</w:t>
      </w:r>
      <w:r>
        <w:t xml:space="preserve"> </w:t>
      </w:r>
      <w:r>
        <w:rPr>
          <w:rStyle w:val="Suchmarke"/>
        </w:rPr>
        <w:t>#1151#</w:t>
      </w:r>
      <w:bookmarkEnd w:id="1650"/>
    </w:p>
    <w:p>
      <w:r>
        <w:t>Wird die Forderung geteilt, so ist zur Änderung des Rangverhältnisses der Teilhypotheken untereinander die Zustimmung des Eigentümers nicht erforderlich.</w:t>
      </w:r>
    </w:p>
    <w:p>
      <w:pPr>
        <w:pStyle w:val="Heading4"/>
      </w:pPr>
      <w:bookmarkStart w:id="1651" w:name="b1636"/>
      <w:r>
        <w:t>§ 1152 Teilhypothekenbrief</w:t>
      </w:r>
      <w:r>
        <w:t xml:space="preserve"> </w:t>
      </w:r>
      <w:r>
        <w:rPr>
          <w:rStyle w:val="Suchmarke"/>
        </w:rPr>
        <w:t>#1152#</w:t>
      </w:r>
      <w:bookmarkEnd w:id="1651"/>
    </w:p>
    <w:p>
      <w:r>
        <w:rPr>
          <w:rStyle w:val="Satznummer"/>
        </w:rPr>
        <w:t>1</w:t>
      </w:r>
      <w:r>
        <w:t xml:space="preserve">Im Falle einer Teilung der Forderung kann, sofern nicht die Erteilung des Hypothekenbriefs ausgeschlossen ist, für jeden Teil ein Teilhypothekenbrief hergestellt werden; die Zustimmung des Eigentümers des Grundstücks ist nicht erforderlich. </w:t>
      </w:r>
      <w:r>
        <w:rPr>
          <w:rStyle w:val="Satznummer"/>
        </w:rPr>
        <w:t>2</w:t>
      </w:r>
      <w:r>
        <w:t>Der Teilhypothekenbrief tritt für den Teil, auf den er sich bezieht, an die Stelle des bisherigen Briefes.</w:t>
      </w:r>
    </w:p>
    <w:p>
      <w:pPr>
        <w:pStyle w:val="Heading4"/>
      </w:pPr>
      <w:bookmarkStart w:id="1652" w:name="b1637"/>
      <w:r>
        <w:t>§ 1153 Übertragung von Hypothek und Forderung</w:t>
      </w:r>
      <w:r>
        <w:t xml:space="preserve"> </w:t>
      </w:r>
      <w:r>
        <w:rPr>
          <w:rStyle w:val="Suchmarke"/>
        </w:rPr>
        <w:t>#1153#</w:t>
      </w:r>
      <w:bookmarkEnd w:id="1652"/>
    </w:p>
    <w:p>
      <w:r>
        <w:t>(1) Mit der Übertragung der Forderung geht die Hypothek auf den neuen Gläubiger über.</w:t>
      </w:r>
    </w:p>
    <w:p>
      <w:r>
        <w:t>(2) Die Forderung kann nicht ohne die Hypothek, die Hypothek kann nicht ohne die Forderung übertragen werden.</w:t>
      </w:r>
    </w:p>
    <w:p>
      <w:pPr>
        <w:pStyle w:val="Heading4"/>
      </w:pPr>
      <w:bookmarkStart w:id="1653" w:name="b1638"/>
      <w:r>
        <w:t>§ 1154 Abtretung der Forderung</w:t>
      </w:r>
      <w:r>
        <w:t xml:space="preserve"> </w:t>
      </w:r>
      <w:r>
        <w:rPr>
          <w:rStyle w:val="Suchmarke"/>
        </w:rPr>
        <w:t>#1154#</w:t>
      </w:r>
      <w:bookmarkEnd w:id="1653"/>
    </w:p>
    <w:p>
      <w:r>
        <w:t xml:space="preserve">(1) </w:t>
      </w:r>
      <w:r>
        <w:rPr>
          <w:rStyle w:val="Satznummer"/>
        </w:rPr>
        <w:t>1</w:t>
      </w:r>
      <w:r>
        <w:t xml:space="preserve">Zur Abtretung der Forderung ist Erteilung der Abtretungserklärung in schriftlicher Form und Übergabe des Hypothekenbriefs erforderlich; die Vorschrift des </w:t>
      </w:r>
      <w:hyperlink w:anchor="b1601" w:history="1">
        <w:r>
          <w:rPr>
            <w:color w:val="0A3A8C"/>
            <w:u w:val="single"/>
          </w:rPr>
          <w:t xml:space="preserve">§ 1117</w:t>
        </w:r>
      </w:hyperlink>
      <w:r>
        <w:t xml:space="preserve"> findet Anwendung. </w:t>
      </w:r>
      <w:r>
        <w:rPr>
          <w:rStyle w:val="Satznummer"/>
        </w:rPr>
        <w:t>2</w:t>
      </w:r>
      <w:r>
        <w:t>Der bisherige Gläubiger hat auf Verlangen des neuen Gläubigers die Abtretungserklärung auf seine Kosten öffentlich beglaubigen zu lassen.</w:t>
      </w:r>
    </w:p>
    <w:p>
      <w:r>
        <w:t>(2) Die schriftliche Form der Abtretungserklärung kann dadurch ersetzt werden, dass die Abtretung in das Grundbuch eingetragen wird.</w:t>
      </w:r>
    </w:p>
    <w:p>
      <w:r>
        <w:t xml:space="preserve">(3) Ist die Erteilung des Hypothekenbriefs ausgeschlossen, so finden auf die Abtretung der Forderung die Vorschriften der </w:t>
      </w:r>
      <w:hyperlink w:anchor="b1331" w:history="1">
        <w:r>
          <w:rPr>
            <w:color w:val="0A3A8C"/>
            <w:u w:val="single"/>
          </w:rPr>
          <w:t xml:space="preserve">§§ 873</w:t>
        </w:r>
      </w:hyperlink>
      <w:r>
        <w:t xml:space="preserve">, </w:t>
      </w:r>
      <w:hyperlink w:anchor="b1336" w:history="1">
        <w:r>
          <w:rPr>
            <w:color w:val="0A3A8C"/>
            <w:u w:val="single"/>
          </w:rPr>
          <w:t xml:space="preserve">878</w:t>
        </w:r>
      </w:hyperlink>
      <w:r>
        <w:t xml:space="preserve"> entsprechende Anwendung.</w:t>
      </w:r>
    </w:p>
    <w:p>
      <w:pPr>
        <w:pStyle w:val="Heading4"/>
      </w:pPr>
      <w:bookmarkStart w:id="1654" w:name="b1639"/>
      <w:r>
        <w:t>§ 1155 Öffentlicher Glaube beglaubigter Abtretungserklärungen</w:t>
      </w:r>
      <w:r>
        <w:t xml:space="preserve"> </w:t>
      </w:r>
      <w:r>
        <w:rPr>
          <w:rStyle w:val="Suchmarke"/>
        </w:rPr>
        <w:t>#1155#</w:t>
      </w:r>
      <w:bookmarkEnd w:id="1654"/>
    </w:p>
    <w:p>
      <w:r>
        <w:rPr>
          <w:rStyle w:val="Satznummer"/>
        </w:rPr>
        <w:t>1</w:t>
      </w:r>
      <w:r>
        <w:t xml:space="preserve">Ergibt sich das Gläubigerrecht des Besitzers des Hypothekenbriefs aus einer zusammenhängenden, auf einen eingetragenen Gläubiger zurückführenden Reihe von öffentlich beglaubigten Abtretungserklärungen, so finden die Vorschriften der §§ 891 bis 899 in gleicher Weise Anwendung, wie wenn der Besitzer des Briefes als Gläubiger im Grundbuch eingetragen wäre. </w:t>
      </w:r>
      <w:r>
        <w:rPr>
          <w:rStyle w:val="Satznummer"/>
        </w:rPr>
        <w:t>2</w:t>
      </w:r>
      <w:r>
        <w:t>Einer öffentlich beglaubigten Abtretungserklärung steht gleich ein gerichtlicher Überweisungsbeschluss und das öffentlich beglaubigte Anerkenntnis einer kraft Gesetzes erfolgten Übertragung der Forderung.</w:t>
      </w:r>
    </w:p>
    <w:p>
      <w:pPr>
        <w:pStyle w:val="Heading4"/>
      </w:pPr>
      <w:bookmarkStart w:id="1655" w:name="b1640"/>
      <w:r>
        <w:t>§ 1156 Rechtsverhältnis zwischen Eigentümer und neuem Gläubiger</w:t>
      </w:r>
      <w:r>
        <w:t xml:space="preserve"> </w:t>
      </w:r>
      <w:r>
        <w:rPr>
          <w:rStyle w:val="Suchmarke"/>
        </w:rPr>
        <w:t>#1156#</w:t>
      </w:r>
      <w:bookmarkEnd w:id="1655"/>
    </w:p>
    <w:p>
      <w:r>
        <w:rPr>
          <w:rStyle w:val="Satznummer"/>
        </w:rPr>
        <w:t>1</w:t>
      </w:r>
      <w:r>
        <w:t xml:space="preserve">Die für die Übertragung der Forderung geltenden Vorschriften der </w:t>
      </w:r>
      <w:hyperlink w:anchor="b529" w:history="1">
        <w:r>
          <w:rPr>
            <w:color w:val="0A3A8C"/>
            <w:u w:val="single"/>
          </w:rPr>
          <w:t xml:space="preserve">§§ 406</w:t>
        </w:r>
      </w:hyperlink>
      <w:r>
        <w:t xml:space="preserve"> bis </w:t>
      </w:r>
      <w:hyperlink w:anchor="b531" w:history="1">
        <w:r>
          <w:rPr>
            <w:color w:val="0A3A8C"/>
            <w:u w:val="single"/>
          </w:rPr>
          <w:t xml:space="preserve">408</w:t>
        </w:r>
      </w:hyperlink>
      <w:r>
        <w:t xml:space="preserve"> finden auf das Rechtsverhältnis zwischen dem Eigentümer und dem neuen Gläubiger in Ansehung der Hypothek keine Anwendung. </w:t>
      </w:r>
      <w:r>
        <w:rPr>
          <w:rStyle w:val="Satznummer"/>
        </w:rPr>
        <w:t>2</w:t>
      </w:r>
      <w:r>
        <w:t>Der neue Gläubiger muss jedoch eine dem bisherigen Gläubiger gegenüber erfolgte Kündigung des Eigentümers gegen sich gelten lassen, es sei denn, dass die Übertragung zur Zeit der Kündigung dem Eigentümer bekannt oder im Grundbuch eingetragen ist.</w:t>
      </w:r>
    </w:p>
    <w:p>
      <w:pPr>
        <w:pStyle w:val="Heading4"/>
      </w:pPr>
      <w:bookmarkStart w:id="1656" w:name="b1641"/>
      <w:r>
        <w:t>§ 1157 Fortbestehen der Einreden gegen die Hypothek</w:t>
      </w:r>
      <w:r>
        <w:t xml:space="preserve"> </w:t>
      </w:r>
      <w:r>
        <w:rPr>
          <w:rStyle w:val="Suchmarke"/>
        </w:rPr>
        <w:t>#1157#</w:t>
      </w:r>
      <w:bookmarkEnd w:id="1656"/>
    </w:p>
    <w:p>
      <w:r>
        <w:rPr>
          <w:rStyle w:val="Satznummer"/>
        </w:rPr>
        <w:t>1</w:t>
      </w:r>
      <w:r>
        <w:t xml:space="preserve">Eine Einrede, die dem Eigentümer auf Grund eines zwischen ihm und dem bisherigen Gläubiger bestehenden Rechtsverhältnisses gegen die Hypothek zusteht, kann auch dem neuen Gläubiger entgegengesetzt werden. </w:t>
      </w:r>
      <w:r>
        <w:rPr>
          <w:rStyle w:val="Satznummer"/>
        </w:rPr>
        <w:t>2</w:t>
      </w:r>
      <w:r>
        <w:t xml:space="preserve">Die Vorschriften der </w:t>
      </w:r>
      <w:hyperlink w:anchor="b1350" w:history="1">
        <w:r>
          <w:rPr>
            <w:color w:val="0A3A8C"/>
            <w:u w:val="single"/>
          </w:rPr>
          <w:t xml:space="preserve">§§ 892</w:t>
        </w:r>
      </w:hyperlink>
      <w:r>
        <w:t xml:space="preserve">, </w:t>
      </w:r>
      <w:hyperlink w:anchor="b1352" w:history="1">
        <w:r>
          <w:rPr>
            <w:color w:val="0A3A8C"/>
            <w:u w:val="single"/>
          </w:rPr>
          <w:t xml:space="preserve">894</w:t>
        </w:r>
      </w:hyperlink>
      <w:r>
        <w:t xml:space="preserve"> bis </w:t>
      </w:r>
      <w:hyperlink w:anchor="b1357" w:history="1">
        <w:r>
          <w:rPr>
            <w:color w:val="0A3A8C"/>
            <w:u w:val="single"/>
          </w:rPr>
          <w:t xml:space="preserve">899</w:t>
        </w:r>
      </w:hyperlink>
      <w:r>
        <w:t xml:space="preserve">, </w:t>
      </w:r>
      <w:hyperlink w:anchor="b1624" w:history="1">
        <w:r>
          <w:rPr>
            <w:color w:val="0A3A8C"/>
            <w:u w:val="single"/>
          </w:rPr>
          <w:t xml:space="preserve">1140</w:t>
        </w:r>
      </w:hyperlink>
      <w:r>
        <w:t xml:space="preserve"> gelten auch für diese Einrede.</w:t>
      </w:r>
    </w:p>
    <w:p>
      <w:pPr>
        <w:pStyle w:val="Heading4"/>
      </w:pPr>
      <w:bookmarkStart w:id="1657" w:name="b1642"/>
      <w:r>
        <w:t>§ 1158 Künftige Nebenleistungen</w:t>
      </w:r>
      <w:r>
        <w:t xml:space="preserve"> </w:t>
      </w:r>
      <w:r>
        <w:rPr>
          <w:rStyle w:val="Suchmarke"/>
        </w:rPr>
        <w:t>#1158#</w:t>
      </w:r>
      <w:bookmarkEnd w:id="1657"/>
    </w:p>
    <w:p>
      <w:r>
        <w:t xml:space="preserve">Soweit die Forderung auf Zinsen oder andere Nebenleistungen gerichtet ist, die nicht später als in dem Kalendervierteljahr, in welchem der Eigentümer von der Übertragung Kenntnis erlangt, oder dem folgenden Vierteljahr fällig werden, finden auf das Rechtsverhältnis zwischen dem Eigentümer und dem neuen Gläubiger die Vorschriften der §§ 406 bis 408 Anwendung; der Gläubiger kann sich gegenüber den Einwendungen, welche dem Eigentümer nach den </w:t>
      </w:r>
      <w:hyperlink w:anchor="b527" w:history="1">
        <w:r>
          <w:rPr>
            <w:color w:val="0A3A8C"/>
            <w:u w:val="single"/>
          </w:rPr>
          <w:t xml:space="preserve">§§ 404</w:t>
        </w:r>
      </w:hyperlink>
      <w:r>
        <w:t xml:space="preserve">, </w:t>
      </w:r>
      <w:hyperlink w:anchor="b529" w:history="1">
        <w:r>
          <w:rPr>
            <w:color w:val="0A3A8C"/>
            <w:u w:val="single"/>
          </w:rPr>
          <w:t xml:space="preserve">406</w:t>
        </w:r>
      </w:hyperlink>
      <w:r>
        <w:t xml:space="preserve"> bis </w:t>
      </w:r>
      <w:hyperlink w:anchor="b531" w:history="1">
        <w:r>
          <w:rPr>
            <w:color w:val="0A3A8C"/>
            <w:u w:val="single"/>
          </w:rPr>
          <w:t xml:space="preserve">408</w:t>
        </w:r>
      </w:hyperlink>
      <w:r>
        <w:t xml:space="preserve">, </w:t>
      </w:r>
      <w:hyperlink w:anchor="b1641" w:history="1">
        <w:r>
          <w:rPr>
            <w:color w:val="0A3A8C"/>
            <w:u w:val="single"/>
          </w:rPr>
          <w:t xml:space="preserve">1157</w:t>
        </w:r>
      </w:hyperlink>
      <w:r>
        <w:t xml:space="preserve"> zustehen, nicht auf die Vorschriften des </w:t>
      </w:r>
      <w:hyperlink w:anchor="b1350" w:history="1">
        <w:r>
          <w:rPr>
            <w:color w:val="0A3A8C"/>
            <w:u w:val="single"/>
          </w:rPr>
          <w:t xml:space="preserve">§ 892</w:t>
        </w:r>
      </w:hyperlink>
      <w:r>
        <w:t xml:space="preserve"> berufen.</w:t>
      </w:r>
    </w:p>
    <w:p>
      <w:pPr>
        <w:pStyle w:val="Heading4"/>
      </w:pPr>
      <w:bookmarkStart w:id="1658" w:name="b1643"/>
      <w:r>
        <w:t>§ 1159 Rückständige Nebenleistungen</w:t>
      </w:r>
      <w:r>
        <w:t xml:space="preserve"> </w:t>
      </w:r>
      <w:r>
        <w:rPr>
          <w:rStyle w:val="Suchmarke"/>
        </w:rPr>
        <w:t>#1159#</w:t>
      </w:r>
      <w:bookmarkEnd w:id="1658"/>
    </w:p>
    <w:p>
      <w:r>
        <w:t xml:space="preserve">(1) </w:t>
      </w:r>
      <w:r>
        <w:rPr>
          <w:rStyle w:val="Satznummer"/>
        </w:rPr>
        <w:t>1</w:t>
      </w:r>
      <w:r>
        <w:t xml:space="preserve">Soweit die Forderung auf Rückstände von Zinsen oder anderen Nebenleistungen gerichtet ist, bestimmt sich die Übertragung sowie das Rechtsverhältnis zwischen dem Eigentümer und dem neuen Gläubiger nach den für die Übertragung von Forderungen geltenden allgemeinen Vorschriften. </w:t>
      </w:r>
      <w:r>
        <w:rPr>
          <w:rStyle w:val="Satznummer"/>
        </w:rPr>
        <w:t>2</w:t>
      </w:r>
      <w:r>
        <w:t xml:space="preserve">Das Gleiche gilt für den Anspruch auf Erstattung von Kosten, für die das Grundstück nach </w:t>
      </w:r>
      <w:hyperlink w:anchor="b1602" w:history="1">
        <w:r>
          <w:rPr>
            <w:color w:val="0A3A8C"/>
            <w:u w:val="single"/>
          </w:rPr>
          <w:t xml:space="preserve">§ 1118</w:t>
        </w:r>
      </w:hyperlink>
      <w:r>
        <w:t xml:space="preserve"> haftet.</w:t>
      </w:r>
    </w:p>
    <w:p>
      <w:r>
        <w:t xml:space="preserve">(2) Die Vorschrift des </w:t>
      </w:r>
      <w:hyperlink w:anchor="b1350" w:history="1">
        <w:r>
          <w:rPr>
            <w:color w:val="0A3A8C"/>
            <w:u w:val="single"/>
          </w:rPr>
          <w:t xml:space="preserve">§ 892</w:t>
        </w:r>
      </w:hyperlink>
      <w:r>
        <w:t xml:space="preserve"> findet auf die im Absatz 1 bezeichneten Ansprüche keine Anwendung.</w:t>
      </w:r>
    </w:p>
    <w:p>
      <w:pPr>
        <w:pStyle w:val="Heading4"/>
      </w:pPr>
      <w:bookmarkStart w:id="1659" w:name="b1644"/>
      <w:r>
        <w:t>§ 1160 Geltendmachung der Briefhypothek</w:t>
      </w:r>
      <w:r>
        <w:t xml:space="preserve"> </w:t>
      </w:r>
      <w:r>
        <w:rPr>
          <w:rStyle w:val="Suchmarke"/>
        </w:rPr>
        <w:t>#1160#</w:t>
      </w:r>
      <w:bookmarkEnd w:id="1659"/>
    </w:p>
    <w:p>
      <w:r>
        <w:t xml:space="preserve">(1) Der Geltendmachung der Hypothek kann, sofern nicht die Erteilung des Hypothekenbriefs ausgeschlossen ist, widersprochen werden, wenn der Gläubiger nicht den Brief vorlegt; ist der Gläubiger nicht im Grundbuch eingetragen, so sind auch die im </w:t>
      </w:r>
      <w:hyperlink w:anchor="b1639" w:history="1">
        <w:r>
          <w:rPr>
            <w:color w:val="0A3A8C"/>
            <w:u w:val="single"/>
          </w:rPr>
          <w:t xml:space="preserve">§ 1155</w:t>
        </w:r>
      </w:hyperlink>
      <w:r>
        <w:t xml:space="preserve"> bezeichneten Urkunden vorzulegen.</w:t>
      </w:r>
    </w:p>
    <w:p>
      <w:r>
        <w:t>(2) Eine dem Eigentümer gegenüber erfolgte Kündigung oder Mahnung ist unwirksam, wenn der Gläubiger die nach Absatz 1 erforderlichen Urkunden nicht vorlegt und der Eigentümer die Kündigung oder die Mahnung aus diesem Grunde unverzüglich zurückweist.</w:t>
      </w:r>
    </w:p>
    <w:p>
      <w:r>
        <w:t xml:space="preserve">(3) Diese Vorschriften gelten nicht für die im </w:t>
      </w:r>
      <w:hyperlink w:anchor="b1643" w:history="1">
        <w:r>
          <w:rPr>
            <w:color w:val="0A3A8C"/>
            <w:u w:val="single"/>
          </w:rPr>
          <w:t xml:space="preserve">§ 1159</w:t>
        </w:r>
      </w:hyperlink>
      <w:r>
        <w:t xml:space="preserve"> bezeichneten Ansprüche.</w:t>
      </w:r>
    </w:p>
    <w:p>
      <w:pPr>
        <w:pStyle w:val="Heading4"/>
      </w:pPr>
      <w:bookmarkStart w:id="1660" w:name="b1645"/>
      <w:r>
        <w:t>§ 1161 Geltendmachung der Forderung</w:t>
      </w:r>
      <w:r>
        <w:t xml:space="preserve"> </w:t>
      </w:r>
      <w:r>
        <w:rPr>
          <w:rStyle w:val="Suchmarke"/>
        </w:rPr>
        <w:t>#1161#</w:t>
      </w:r>
      <w:bookmarkEnd w:id="1660"/>
    </w:p>
    <w:p>
      <w:r>
        <w:t xml:space="preserve">Ist der Eigentümer der persönliche Schuldner, so findet die Vorschrift des </w:t>
      </w:r>
      <w:hyperlink w:anchor="b1644" w:history="1">
        <w:r>
          <w:rPr>
            <w:color w:val="0A3A8C"/>
            <w:u w:val="single"/>
          </w:rPr>
          <w:t xml:space="preserve">§ 1160</w:t>
        </w:r>
      </w:hyperlink>
      <w:r>
        <w:t xml:space="preserve"> auch auf die Geltendmachung der Forderung Anwendung.</w:t>
      </w:r>
    </w:p>
    <w:p>
      <w:pPr>
        <w:pStyle w:val="Heading4"/>
      </w:pPr>
      <w:bookmarkStart w:id="1661" w:name="b1646"/>
      <w:r>
        <w:t>§ 1162 Aufgebot des Hypothekenbriefs</w:t>
      </w:r>
      <w:r>
        <w:t xml:space="preserve"> </w:t>
      </w:r>
      <w:r>
        <w:rPr>
          <w:rStyle w:val="Suchmarke"/>
        </w:rPr>
        <w:t>#1162#</w:t>
      </w:r>
      <w:bookmarkEnd w:id="1661"/>
    </w:p>
    <w:p>
      <w:r>
        <w:t>Ist der Hypothekenbrief abhanden gekommen oder vernichtet, so kann er im Wege des Aufgebotsverfahrens für kraftlos erklärt werden.</w:t>
      </w:r>
    </w:p>
    <w:p>
      <w:pPr>
        <w:pStyle w:val="Heading4"/>
      </w:pPr>
      <w:bookmarkStart w:id="1662" w:name="b1647"/>
      <w:r>
        <w:t>§ 1163 Eigentümerhypothek</w:t>
      </w:r>
      <w:r>
        <w:t xml:space="preserve"> </w:t>
      </w:r>
      <w:r>
        <w:rPr>
          <w:rStyle w:val="Suchmarke"/>
        </w:rPr>
        <w:t>#1163#</w:t>
      </w:r>
      <w:bookmarkEnd w:id="1662"/>
    </w:p>
    <w:p>
      <w:r>
        <w:t xml:space="preserve">(1) </w:t>
      </w:r>
      <w:r>
        <w:rPr>
          <w:rStyle w:val="Satznummer"/>
        </w:rPr>
        <w:t>1</w:t>
      </w:r>
      <w:r>
        <w:t xml:space="preserve">Ist die Forderung, für welche die Hypothek bestellt ist, nicht zur Entstehung gelangt, so steht die Hypothek dem Eigentümer zu. </w:t>
      </w:r>
      <w:r>
        <w:rPr>
          <w:rStyle w:val="Satznummer"/>
        </w:rPr>
        <w:t>2</w:t>
      </w:r>
      <w:r>
        <w:t>Erlischt die Forderung, so erwirbt der Eigentümer die Hypothek.</w:t>
      </w:r>
    </w:p>
    <w:p>
      <w:r>
        <w:t>(2) Eine Hypothek, für welche die Erteilung des Hypothekenbriefs nicht ausgeschlossen ist, steht bis zur Übergabe des Briefes an den Gläubiger dem Eigentümer zu.</w:t>
      </w:r>
    </w:p>
    <w:p>
      <w:pPr>
        <w:pStyle w:val="Heading4"/>
      </w:pPr>
      <w:bookmarkStart w:id="1663" w:name="b1648"/>
      <w:r>
        <w:t>§ 1164 Übergang der Hypothek auf den Schuldner</w:t>
      </w:r>
      <w:r>
        <w:t xml:space="preserve"> </w:t>
      </w:r>
      <w:r>
        <w:rPr>
          <w:rStyle w:val="Suchmarke"/>
        </w:rPr>
        <w:t>#1164#</w:t>
      </w:r>
      <w:bookmarkEnd w:id="1663"/>
    </w:p>
    <w:p>
      <w:r>
        <w:t xml:space="preserve">(1) </w:t>
      </w:r>
      <w:r>
        <w:rPr>
          <w:rStyle w:val="Satznummer"/>
        </w:rPr>
        <w:t>1</w:t>
      </w:r>
      <w:r>
        <w:t xml:space="preserve">Befriedigt der persönliche Schuldner den Gläubiger, so geht die Hypothek insoweit auf ihn über, als er von dem Eigentümer oder einem Rechtsvorgänger des Eigentümers Ersatz verlangen kann. </w:t>
      </w:r>
      <w:r>
        <w:rPr>
          <w:rStyle w:val="Satznummer"/>
        </w:rPr>
        <w:t>2</w:t>
      </w:r>
      <w:r>
        <w:t>Ist dem Schuldner nur teilweise Ersatz zu leisten, so kann der Eigentümer die Hypothek, soweit sie auf ihn übergegangen ist, nicht zum Nachteil der Hypothek des Schuldners geltend machen.</w:t>
      </w:r>
    </w:p>
    <w:p>
      <w:r>
        <w:t>(2) Der Befriedigung des Gläubigers steht es gleich, wenn sich Forderung und Schuld in einer Person vereinigen.</w:t>
      </w:r>
    </w:p>
    <w:p>
      <w:pPr>
        <w:pStyle w:val="Heading4"/>
      </w:pPr>
      <w:bookmarkStart w:id="1664" w:name="b1649"/>
      <w:r>
        <w:t>§ 1165 Freiwerden des Schuldners</w:t>
      </w:r>
      <w:r>
        <w:t xml:space="preserve"> </w:t>
      </w:r>
      <w:r>
        <w:rPr>
          <w:rStyle w:val="Suchmarke"/>
        </w:rPr>
        <w:t>#1165#</w:t>
      </w:r>
      <w:bookmarkEnd w:id="1664"/>
    </w:p>
    <w:p>
      <w:r>
        <w:t xml:space="preserve">Verzichtet der Gläubiger auf die Hypothek oder hebt er sie nach </w:t>
      </w:r>
      <w:hyperlink w:anchor="b1669" w:history="1">
        <w:r>
          <w:rPr>
            <w:color w:val="0A3A8C"/>
            <w:u w:val="single"/>
          </w:rPr>
          <w:t xml:space="preserve">§ 1183</w:t>
        </w:r>
      </w:hyperlink>
      <w:r>
        <w:t xml:space="preserve"> auf oder räumt er einem anderen Recht den Vorrang ein, so wird der persönliche Schuldner insoweit frei, als er ohne diese Verfügung nach § 1164 aus der Hypothek hätte Ersatz erlangen können.</w:t>
      </w:r>
    </w:p>
    <w:p>
      <w:pPr>
        <w:pStyle w:val="Heading4"/>
      </w:pPr>
      <w:bookmarkStart w:id="1665" w:name="b1650"/>
      <w:r>
        <w:t>§ 1166 Benachrichtigung des Schuldners</w:t>
      </w:r>
      <w:r>
        <w:t xml:space="preserve"> </w:t>
      </w:r>
      <w:r>
        <w:rPr>
          <w:rStyle w:val="Suchmarke"/>
        </w:rPr>
        <w:t>#1166#</w:t>
      </w:r>
      <w:bookmarkEnd w:id="1665"/>
    </w:p>
    <w:p>
      <w:r>
        <w:rPr>
          <w:rStyle w:val="Satznummer"/>
        </w:rPr>
        <w:t>1</w:t>
      </w:r>
      <w:r>
        <w:t xml:space="preserve">Ist der persönliche Schuldner berechtigt, von dem Eigentümer Ersatz zu verlangen, falls er den Gläubiger befriedigt, so kann er, wenn der Gläubiger die Zwangsversteigerung des Grundstücks betreibt, ohne ihn unverzüglich zu benachrichtigen, die Befriedigung des Gläubigers wegen eines Ausfalls bei der Zwangsversteigerung insoweit verweigern, als er infolge der Unterlassung der Benachrichtigung einen Schaden erleidet. </w:t>
      </w:r>
      <w:r>
        <w:rPr>
          <w:rStyle w:val="Satznummer"/>
        </w:rPr>
        <w:t>2</w:t>
      </w:r>
      <w:r>
        <w:t>Die Benachrichtigung darf unterbleiben, wenn sie untunlich ist.</w:t>
      </w:r>
    </w:p>
    <w:p>
      <w:pPr>
        <w:pStyle w:val="Heading4"/>
      </w:pPr>
      <w:bookmarkStart w:id="1666" w:name="b1651"/>
      <w:r>
        <w:t>§ 1167 Aushändigung der Berichtigungsurkunden</w:t>
      </w:r>
      <w:r>
        <w:t xml:space="preserve"> </w:t>
      </w:r>
      <w:r>
        <w:rPr>
          <w:rStyle w:val="Suchmarke"/>
        </w:rPr>
        <w:t>#1167#</w:t>
      </w:r>
      <w:bookmarkEnd w:id="1666"/>
    </w:p>
    <w:p>
      <w:r>
        <w:t xml:space="preserve">Erwirbt der persönliche Schuldner, falls er den Gläubiger befriedigt, die Hypothek oder hat er im Falle der Befriedigung ein sonstiges rechtliches Interesse an der Berichtigung des Grundbuchs, so stehen ihm die in den </w:t>
      </w:r>
      <w:hyperlink w:anchor="b1628" w:history="1">
        <w:r>
          <w:rPr>
            <w:color w:val="0A3A8C"/>
            <w:u w:val="single"/>
          </w:rPr>
          <w:t xml:space="preserve">§§ 1144</w:t>
        </w:r>
      </w:hyperlink>
      <w:r>
        <w:t xml:space="preserve">, </w:t>
      </w:r>
      <w:hyperlink w:anchor="b1629" w:history="1">
        <w:r>
          <w:rPr>
            <w:color w:val="0A3A8C"/>
            <w:u w:val="single"/>
          </w:rPr>
          <w:t xml:space="preserve">1145</w:t>
        </w:r>
      </w:hyperlink>
      <w:r>
        <w:t xml:space="preserve"> bestimmten Rechte zu.</w:t>
      </w:r>
    </w:p>
    <w:p>
      <w:pPr>
        <w:pStyle w:val="Heading4"/>
      </w:pPr>
      <w:bookmarkStart w:id="1667" w:name="b1652"/>
      <w:r>
        <w:t>§ 1168 Verzicht auf die Hypothek</w:t>
      </w:r>
      <w:r>
        <w:t xml:space="preserve"> </w:t>
      </w:r>
      <w:r>
        <w:rPr>
          <w:rStyle w:val="Suchmarke"/>
        </w:rPr>
        <w:t>#1168#</w:t>
      </w:r>
      <w:bookmarkEnd w:id="1667"/>
    </w:p>
    <w:p>
      <w:r>
        <w:t>(1) Verzichtet der Gläubiger auf die Hypothek, so erwirbt sie der Eigentümer.</w:t>
      </w:r>
    </w:p>
    <w:p>
      <w:r>
        <w:t xml:space="preserve">(2) </w:t>
      </w:r>
      <w:r>
        <w:rPr>
          <w:rStyle w:val="Satznummer"/>
        </w:rPr>
        <w:t>1</w:t>
      </w:r>
      <w:r>
        <w:t xml:space="preserve">Der Verzicht ist dem Grundbuchamt oder dem Eigentümer gegenüber zu erklären und bedarf der Eintragung in das Grundbuch. </w:t>
      </w:r>
      <w:r>
        <w:rPr>
          <w:rStyle w:val="Satznummer"/>
        </w:rPr>
        <w:t>2</w:t>
      </w:r>
      <w:r>
        <w:t xml:space="preserve">Die Vorschriften des </w:t>
      </w:r>
      <w:hyperlink w:anchor="b1333" w:history="1">
        <w:r>
          <w:rPr>
            <w:color w:val="0A3A8C"/>
            <w:u w:val="single"/>
          </w:rPr>
          <w:t xml:space="preserve">§ 875</w:t>
        </w:r>
      </w:hyperlink>
      <w:r>
        <w:t xml:space="preserve"> Abs. 2 und der </w:t>
      </w:r>
      <w:hyperlink w:anchor="b1334" w:history="1">
        <w:r>
          <w:rPr>
            <w:color w:val="0A3A8C"/>
            <w:u w:val="single"/>
          </w:rPr>
          <w:t xml:space="preserve">§§ 876</w:t>
        </w:r>
      </w:hyperlink>
      <w:r>
        <w:t xml:space="preserve">, </w:t>
      </w:r>
      <w:hyperlink w:anchor="b1336" w:history="1">
        <w:r>
          <w:rPr>
            <w:color w:val="0A3A8C"/>
            <w:u w:val="single"/>
          </w:rPr>
          <w:t xml:space="preserve">878</w:t>
        </w:r>
      </w:hyperlink>
      <w:r>
        <w:t xml:space="preserve"> finden entsprechende Anwendung.</w:t>
      </w:r>
    </w:p>
    <w:p>
      <w:r>
        <w:t xml:space="preserve">(3) Verzichtet der Gläubiger für einen Teil der Forderung auf die Hypothek, so stehen dem Eigentümer die im </w:t>
      </w:r>
      <w:hyperlink w:anchor="b1629" w:history="1">
        <w:r>
          <w:rPr>
            <w:color w:val="0A3A8C"/>
            <w:u w:val="single"/>
          </w:rPr>
          <w:t xml:space="preserve">§ 1145</w:t>
        </w:r>
      </w:hyperlink>
      <w:r>
        <w:t xml:space="preserve"> bestimmten Rechte zu.</w:t>
      </w:r>
    </w:p>
    <w:p>
      <w:pPr>
        <w:pStyle w:val="Heading4"/>
      </w:pPr>
      <w:bookmarkStart w:id="1668" w:name="b1653"/>
      <w:r>
        <w:t>§ 1169 Rechtszerstörende Einrede</w:t>
      </w:r>
      <w:r>
        <w:t xml:space="preserve"> </w:t>
      </w:r>
      <w:r>
        <w:rPr>
          <w:rStyle w:val="Suchmarke"/>
        </w:rPr>
        <w:t>#1169#</w:t>
      </w:r>
      <w:bookmarkEnd w:id="1668"/>
    </w:p>
    <w:p>
      <w:r>
        <w:t>Steht dem Eigentümer eine Einrede zu, durch welche die Geltendmachung der Hypothek dauernd ausgeschlossen wird, so kann er verlangen, dass der Gläubiger auf die Hypothek verzichtet.</w:t>
      </w:r>
    </w:p>
    <w:p>
      <w:pPr>
        <w:pStyle w:val="Heading4"/>
      </w:pPr>
      <w:bookmarkStart w:id="1669" w:name="b1654"/>
      <w:r>
        <w:t>§ 1170 Ausschluss unbekannter Gläubiger</w:t>
      </w:r>
      <w:r>
        <w:t xml:space="preserve"> </w:t>
      </w:r>
      <w:r>
        <w:rPr>
          <w:rStyle w:val="Suchmarke"/>
        </w:rPr>
        <w:t>#1170#</w:t>
      </w:r>
      <w:bookmarkEnd w:id="1669"/>
    </w:p>
    <w:p>
      <w:r>
        <w:t xml:space="preserve">(1) </w:t>
      </w:r>
      <w:r>
        <w:rPr>
          <w:rStyle w:val="Satznummer"/>
        </w:rPr>
        <w:t>1</w:t>
      </w:r>
      <w:r>
        <w:t xml:space="preserve">Ist der Gläubiger unbekannt, so kann er im Wege des Aufgebotsverfahrens mit seinem Recht ausgeschlossen werden, wenn seit der letzten sich auf die Hypothek beziehenden Eintragung in das Grundbuch zehn Jahre verstrichen sind und das Recht des Gläubigers nicht innerhalb dieser Frist von dem Eigentümer in einer nach § 212 Abs. 1 Nr. 1 zum Neubeginn der Verjährung geeigneten Weise anerkannt worden ist. </w:t>
      </w:r>
      <w:r>
        <w:rPr>
          <w:rStyle w:val="Satznummer"/>
        </w:rPr>
        <w:t>2</w:t>
      </w:r>
      <w:r>
        <w:t>Besteht für die Forderung eine nach dem Kalender bestimmte Zahlungszeit, so beginnt die Frist nicht vor dem Ablauf des Zahlungstags.</w:t>
      </w:r>
    </w:p>
    <w:p>
      <w:r>
        <w:t xml:space="preserve">(2) </w:t>
      </w:r>
      <w:r>
        <w:rPr>
          <w:rStyle w:val="Satznummer"/>
        </w:rPr>
        <w:t>1</w:t>
      </w:r>
      <w:r>
        <w:t xml:space="preserve">Mit der Rechtskraft des Ausschließungsbeschlusses erwirbt der Eigentümer die Hypothek. </w:t>
      </w:r>
      <w:r>
        <w:rPr>
          <w:rStyle w:val="Satznummer"/>
        </w:rPr>
        <w:t>2</w:t>
      </w:r>
      <w:r>
        <w:t>Der dem Gläubiger erteilte Hypothekenbrief wird kraftlos.</w:t>
      </w:r>
    </w:p>
    <w:p>
      <w:pPr>
        <w:pStyle w:val="Heading4"/>
      </w:pPr>
      <w:bookmarkStart w:id="1670" w:name="b1655"/>
      <w:r>
        <w:t>§ 1171 Ausschluss durch Hinterlegung</w:t>
      </w:r>
      <w:r>
        <w:t xml:space="preserve"> </w:t>
      </w:r>
      <w:r>
        <w:rPr>
          <w:rStyle w:val="Suchmarke"/>
        </w:rPr>
        <w:t>#1171#</w:t>
      </w:r>
      <w:bookmarkEnd w:id="1670"/>
    </w:p>
    <w:p>
      <w:r>
        <w:t xml:space="preserve">(1) </w:t>
      </w:r>
      <w:r>
        <w:rPr>
          <w:rStyle w:val="Satznummer"/>
        </w:rPr>
        <w:t>1</w:t>
      </w:r>
      <w:r>
        <w:t xml:space="preserve">Der unbekannte Gläubiger kann im Wege des Aufgebotsverfahrens mit seinem Recht auch dann ausgeschlossen werden, wenn der Eigentümer zur Befriedigung des Gläubigers oder zur Kündigung berechtigt ist und den Betrag der Forderung für den Gläubiger unter Verzicht auf das Recht zur Rücknahme hinterlegt. </w:t>
      </w:r>
      <w:r>
        <w:rPr>
          <w:rStyle w:val="Satznummer"/>
        </w:rPr>
        <w:t>2</w:t>
      </w:r>
      <w:r>
        <w:t>Die Hinterlegung von Zinsen ist nur erforderlich, wenn der Zinssatz im Grundbuch eingetragen ist; Zinsen für eine frühere Zeit als das vierte Kalenderjahr vor der Rechtskraft des Ausschließungsbeschlusses sind nicht zu hinterlegen.</w:t>
      </w:r>
    </w:p>
    <w:p>
      <w:r>
        <w:t xml:space="preserve">(2) </w:t>
      </w:r>
      <w:r>
        <w:rPr>
          <w:rStyle w:val="Satznummer"/>
        </w:rPr>
        <w:t>1</w:t>
      </w:r>
      <w:r>
        <w:t xml:space="preserve">Mit der Rechtskraft des Ausschließungsbeschlusses gilt der Gläubiger als befriedigt, sofern nicht nach den Vorschriften über die Hinterlegung die Befriedigung schon vorher eingetreten ist. </w:t>
      </w:r>
      <w:r>
        <w:rPr>
          <w:rStyle w:val="Satznummer"/>
        </w:rPr>
        <w:t>2</w:t>
      </w:r>
      <w:r>
        <w:t>Der dem Gläubiger erteilte Hypothekenbrief wird kraftlos.</w:t>
      </w:r>
    </w:p>
    <w:p>
      <w:r>
        <w:t>(3) Das Recht des Gläubigers auf den hinterlegten Betrag erlischt mit dem Ablauf von 30 Jahren nach der Rechtskraft des Ausschließungsbeschlusses, wenn nicht der Gläubiger sich vorher bei der Hinterlegungsstelle meldet; der Hinterleger ist zur Rücknahme berechtigt, auch wenn er auf das Recht zur Rücknahme verzichtet hat.</w:t>
      </w:r>
    </w:p>
    <w:p>
      <w:pPr>
        <w:pStyle w:val="Heading4"/>
      </w:pPr>
      <w:bookmarkStart w:id="1671" w:name="b1656"/>
      <w:r>
        <w:t>§ 1172 Eigentümergesamthypothek</w:t>
      </w:r>
      <w:r>
        <w:t xml:space="preserve"> </w:t>
      </w:r>
      <w:r>
        <w:rPr>
          <w:rStyle w:val="Suchmarke"/>
        </w:rPr>
        <w:t>#1172#</w:t>
      </w:r>
      <w:bookmarkEnd w:id="1671"/>
    </w:p>
    <w:p>
      <w:r>
        <w:t>(1) Eine Gesamthypothek steht in den Fällen des § 1163 den Eigentümern der belasteten Grundstücke gemeinschaftlich zu.</w:t>
      </w:r>
    </w:p>
    <w:p>
      <w:r>
        <w:t xml:space="preserve">(2) </w:t>
      </w:r>
      <w:r>
        <w:rPr>
          <w:rStyle w:val="Satznummer"/>
        </w:rPr>
        <w:t>1</w:t>
      </w:r>
      <w:r>
        <w:t xml:space="preserve">Jeder Eigentümer kann, sofern nicht ein anderes vereinbart ist, verlangen, dass die Hypothek an seinem Grundstück auf den Teilbetrag, der dem Verhältnis des Wertes seines Grundstücks zu dem Werte der sämtlichen Grundstücke entspricht, nach </w:t>
      </w:r>
      <w:hyperlink w:anchor="b1616" w:history="1">
        <w:r>
          <w:rPr>
            <w:color w:val="0A3A8C"/>
            <w:u w:val="single"/>
          </w:rPr>
          <w:t xml:space="preserve">§ 1132</w:t>
        </w:r>
      </w:hyperlink>
      <w:r>
        <w:t xml:space="preserve"> Abs. 2 beschränkt und in dieser Beschränkung ihm zugeteilt wird. </w:t>
      </w:r>
      <w:r>
        <w:rPr>
          <w:rStyle w:val="Satznummer"/>
        </w:rPr>
        <w:t>2</w:t>
      </w:r>
      <w:r>
        <w:t>Der Wert wird unter Abzug der Belastungen berechnet, die der Gesamthypothek im Range vorgehen.</w:t>
      </w:r>
    </w:p>
    <w:p>
      <w:pPr>
        <w:pStyle w:val="Heading4"/>
      </w:pPr>
      <w:bookmarkStart w:id="1672" w:name="b1657"/>
      <w:r>
        <w:t>§ 1173 Befriedigung durch einen der Eigentümer</w:t>
      </w:r>
      <w:r>
        <w:t xml:space="preserve"> </w:t>
      </w:r>
      <w:r>
        <w:rPr>
          <w:rStyle w:val="Suchmarke"/>
        </w:rPr>
        <w:t>#1173#</w:t>
      </w:r>
      <w:bookmarkEnd w:id="1672"/>
    </w:p>
    <w:p>
      <w:r>
        <w:t xml:space="preserve">(1) </w:t>
      </w:r>
      <w:r>
        <w:rPr>
          <w:rStyle w:val="Satznummer"/>
        </w:rPr>
        <w:t>1</w:t>
      </w:r>
      <w:r>
        <w:t xml:space="preserve">Befriedigt der Eigentümer eines der mit einer Gesamthypothek belasteten Grundstücke den Gläubiger, so erwirbt er die Hypothek an seinem Grundstück; die Hypothek an den übrigen Grundstücken erlischt. </w:t>
      </w:r>
      <w:r>
        <w:rPr>
          <w:rStyle w:val="Satznummer"/>
        </w:rPr>
        <w:t>2</w:t>
      </w:r>
      <w:r>
        <w:t>Der Befriedigung des Gläubigers durch den Eigentümer steht es gleich, wenn das Gläubigerrecht auf den Eigentümer übertragen wird oder wenn sich Forderung und Schuld in der Person des Eigentümers vereinigen.</w:t>
      </w:r>
    </w:p>
    <w:p>
      <w:r>
        <w:t>(2) Kann der Eigentümer, der den Gläubiger befriedigt, von dem Eigentümer eines der anderen Grundstücke oder einem Rechtsvorgänger dieses Eigentümers Ersatz verlangen, so geht in Höhe des Ersatzanspruchs auch die Hypothek an dem Grundstück dieses Eigentümers auf ihn über; sie bleibt mit der Hypothek an seinem eigenen Grundstück Gesamthypothek.</w:t>
      </w:r>
    </w:p>
    <w:p>
      <w:pPr>
        <w:pStyle w:val="Heading4"/>
      </w:pPr>
      <w:bookmarkStart w:id="1673" w:name="b1658"/>
      <w:r>
        <w:t>§ 1174 Befriedigung durch den persönlichen Schuldner</w:t>
      </w:r>
      <w:r>
        <w:t xml:space="preserve"> </w:t>
      </w:r>
      <w:r>
        <w:rPr>
          <w:rStyle w:val="Suchmarke"/>
        </w:rPr>
        <w:t>#1174#</w:t>
      </w:r>
      <w:bookmarkEnd w:id="1673"/>
    </w:p>
    <w:p>
      <w:r>
        <w:t>(1) Befriedigt der persönliche Schuldner den Gläubiger, dem eine Gesamthypothek zusteht, oder vereinigen sich bei einer Gesamthypothek Forderung und Schuld in einer Person, so geht, wenn der Schuldner nur von dem Eigentümer eines der Grundstücke oder von einem Rechtsvorgänger des Eigentümers Ersatz verlangen kann, die Hypothek an diesem Grundstück auf ihn über; die Hypothek an den übrigen Grundstücken erlischt.</w:t>
      </w:r>
    </w:p>
    <w:p>
      <w:r>
        <w:t xml:space="preserve">(2) Ist dem Schuldner nur teilweise Ersatz zu leisten und geht deshalb die Hypothek nur zu einem Teilbetrag auf ihn über, so hat sich der Eigentümer diesen Betrag auf den ihm nach </w:t>
      </w:r>
      <w:hyperlink w:anchor="b1656" w:history="1">
        <w:r>
          <w:rPr>
            <w:color w:val="0A3A8C"/>
            <w:u w:val="single"/>
          </w:rPr>
          <w:t xml:space="preserve">§ 1172</w:t>
        </w:r>
      </w:hyperlink>
      <w:r>
        <w:t xml:space="preserve"> gebührenden Teil des übrig bleibenden Betrags der Gesamthypothek anrechnen zu lassen.</w:t>
      </w:r>
    </w:p>
    <w:p>
      <w:pPr>
        <w:pStyle w:val="Heading4"/>
      </w:pPr>
      <w:bookmarkStart w:id="1674" w:name="b1659"/>
      <w:r>
        <w:t>§ 1175 Verzicht auf die Gesamthypothek</w:t>
      </w:r>
      <w:r>
        <w:t xml:space="preserve"> </w:t>
      </w:r>
      <w:r>
        <w:rPr>
          <w:rStyle w:val="Suchmarke"/>
        </w:rPr>
        <w:t>#1175#</w:t>
      </w:r>
      <w:bookmarkEnd w:id="1674"/>
    </w:p>
    <w:p>
      <w:r>
        <w:t xml:space="preserve">(1) </w:t>
      </w:r>
      <w:r>
        <w:rPr>
          <w:rStyle w:val="Satznummer"/>
        </w:rPr>
        <w:t>1</w:t>
      </w:r>
      <w:r>
        <w:t xml:space="preserve">Verzichtet der Gläubiger auf die Gesamthypothek, so fällt sie den Eigentümern der belasteten Grundstücke gemeinschaftlich zu; die Vorschriften des </w:t>
      </w:r>
      <w:hyperlink w:anchor="b1656" w:history="1">
        <w:r>
          <w:rPr>
            <w:color w:val="0A3A8C"/>
            <w:u w:val="single"/>
          </w:rPr>
          <w:t xml:space="preserve">§ 1172</w:t>
        </w:r>
      </w:hyperlink>
      <w:r>
        <w:t xml:space="preserve"> Abs. 2 finden Anwendung. </w:t>
      </w:r>
      <w:r>
        <w:rPr>
          <w:rStyle w:val="Satznummer"/>
        </w:rPr>
        <w:t>2</w:t>
      </w:r>
      <w:r>
        <w:t>Verzichtet der Gläubiger auf die Hypothek an einem der Grundstücke, so erlischt die Hypothek an diesem.</w:t>
      </w:r>
    </w:p>
    <w:p>
      <w:r>
        <w:t xml:space="preserve">(2) Das Gleiche gilt, wenn der Gläubiger nach </w:t>
      </w:r>
      <w:hyperlink w:anchor="b1654" w:history="1">
        <w:r>
          <w:rPr>
            <w:color w:val="0A3A8C"/>
            <w:u w:val="single"/>
          </w:rPr>
          <w:t xml:space="preserve">§ 1170</w:t>
        </w:r>
      </w:hyperlink>
      <w:r>
        <w:t xml:space="preserve"> mit seinem Recht ausgeschlossen wird.</w:t>
      </w:r>
    </w:p>
    <w:p>
      <w:pPr>
        <w:pStyle w:val="Heading4"/>
      </w:pPr>
      <w:bookmarkStart w:id="1675" w:name="b1660"/>
      <w:r>
        <w:t>§ 1176 Eigentümerteilhypothek; Kollisionsklausel</w:t>
      </w:r>
      <w:r>
        <w:t xml:space="preserve"> </w:t>
      </w:r>
      <w:r>
        <w:rPr>
          <w:rStyle w:val="Suchmarke"/>
        </w:rPr>
        <w:t>#1176#</w:t>
      </w:r>
      <w:bookmarkEnd w:id="1675"/>
    </w:p>
    <w:p>
      <w:r>
        <w:t xml:space="preserve">Liegen die Voraussetzungen der </w:t>
      </w:r>
      <w:hyperlink w:anchor="b1647" w:history="1">
        <w:r>
          <w:rPr>
            <w:color w:val="0A3A8C"/>
            <w:u w:val="single"/>
          </w:rPr>
          <w:t xml:space="preserve">§§ 1163</w:t>
        </w:r>
      </w:hyperlink>
      <w:r>
        <w:t xml:space="preserve">, </w:t>
      </w:r>
      <w:hyperlink w:anchor="b1648" w:history="1">
        <w:r>
          <w:rPr>
            <w:color w:val="0A3A8C"/>
            <w:u w:val="single"/>
          </w:rPr>
          <w:t xml:space="preserve">1164</w:t>
        </w:r>
      </w:hyperlink>
      <w:r>
        <w:t xml:space="preserve">, </w:t>
      </w:r>
      <w:hyperlink w:anchor="b1652" w:history="1">
        <w:r>
          <w:rPr>
            <w:color w:val="0A3A8C"/>
            <w:u w:val="single"/>
          </w:rPr>
          <w:t xml:space="preserve">1168</w:t>
        </w:r>
      </w:hyperlink>
      <w:r>
        <w:t xml:space="preserve">, </w:t>
      </w:r>
      <w:hyperlink w:anchor="b1656" w:history="1">
        <w:r>
          <w:rPr>
            <w:color w:val="0A3A8C"/>
            <w:u w:val="single"/>
          </w:rPr>
          <w:t xml:space="preserve">1172</w:t>
        </w:r>
      </w:hyperlink>
      <w:r>
        <w:t xml:space="preserve"> bis </w:t>
      </w:r>
      <w:hyperlink w:anchor="b1659" w:history="1">
        <w:r>
          <w:rPr>
            <w:color w:val="0A3A8C"/>
            <w:u w:val="single"/>
          </w:rPr>
          <w:t xml:space="preserve">1175</w:t>
        </w:r>
      </w:hyperlink>
      <w:r>
        <w:t xml:space="preserve"> nur in Ansehung eines Teilbetrags der Hypothek vor, so kann die auf Grund dieser Vorschriften dem Eigentümer oder einem der Eigentümer oder dem persönlichen Schuldner zufallende Hypothek nicht zum Nachteil der dem Gläubiger verbleibenden Hypothek geltend gemacht werden.</w:t>
      </w:r>
    </w:p>
    <w:p>
      <w:pPr>
        <w:pStyle w:val="Heading4"/>
      </w:pPr>
      <w:bookmarkStart w:id="1676" w:name="b1661"/>
      <w:r>
        <w:t>§ 1177 Eigentümergrundschuld, Eigentümerhypothek</w:t>
      </w:r>
      <w:r>
        <w:t xml:space="preserve"> </w:t>
      </w:r>
      <w:r>
        <w:rPr>
          <w:rStyle w:val="Suchmarke"/>
        </w:rPr>
        <w:t>#1177#</w:t>
      </w:r>
      <w:bookmarkEnd w:id="1676"/>
    </w:p>
    <w:p>
      <w:r>
        <w:t xml:space="preserve">(1) </w:t>
      </w:r>
      <w:r>
        <w:rPr>
          <w:rStyle w:val="Satznummer"/>
        </w:rPr>
        <w:t>1</w:t>
      </w:r>
      <w:r>
        <w:t xml:space="preserve">Vereinigt sich die Hypothek mit dem Eigentum in einer Person, ohne dass dem Eigentümer auch die Forderung zusteht, so verwandelt sich die Hypothek in eine Grundschuld. </w:t>
      </w:r>
      <w:r>
        <w:rPr>
          <w:rStyle w:val="Satznummer"/>
        </w:rPr>
        <w:t>2</w:t>
      </w:r>
      <w:r>
        <w:t>In Ansehung der Verzinslichkeit, des Zinssatzes, der Zahlungszeit, der Kündigung und des Zahlungsorts bleiben die für die Forderung getroffenen Bestimmungen maßgebend.</w:t>
      </w:r>
    </w:p>
    <w:p>
      <w:r>
        <w:t>(2) Steht dem Eigentümer auch die Forderung zu, so bestimmen sich seine Rechte aus der Hypothek, solange die Vereinigung besteht, nach den für eine Grundschuld des Eigentümers geltenden Vorschriften.</w:t>
      </w:r>
    </w:p>
    <w:p>
      <w:pPr>
        <w:pStyle w:val="Heading4"/>
      </w:pPr>
      <w:bookmarkStart w:id="1677" w:name="b1662"/>
      <w:r>
        <w:t>§ 1178 Hypothek für Nebenleistungen und Kosten</w:t>
      </w:r>
      <w:r>
        <w:t xml:space="preserve"> </w:t>
      </w:r>
      <w:r>
        <w:rPr>
          <w:rStyle w:val="Suchmarke"/>
        </w:rPr>
        <w:t>#1178#</w:t>
      </w:r>
      <w:bookmarkEnd w:id="1677"/>
    </w:p>
    <w:p>
      <w:r>
        <w:t xml:space="preserve">(1) </w:t>
      </w:r>
      <w:r>
        <w:rPr>
          <w:rStyle w:val="Satznummer"/>
        </w:rPr>
        <w:t>1</w:t>
      </w:r>
      <w:r>
        <w:t xml:space="preserve">Die Hypothek für Rückstände von Zinsen und anderen Nebenleistungen sowie für Kosten, die dem Gläubiger zu erstatten sind, erlischt, wenn sie sich mit dem Eigentum in einer Person vereinigt. </w:t>
      </w:r>
      <w:r>
        <w:rPr>
          <w:rStyle w:val="Satznummer"/>
        </w:rPr>
        <w:t>2</w:t>
      </w:r>
      <w:r>
        <w:t>Das Erlöschen tritt nicht ein, solange einem Dritten ein Recht an dem Anspruch auf eine solche Leistung zusteht.</w:t>
      </w:r>
    </w:p>
    <w:p>
      <w:r>
        <w:t xml:space="preserve">(2) </w:t>
      </w:r>
      <w:r>
        <w:rPr>
          <w:rStyle w:val="Satznummer"/>
        </w:rPr>
        <w:t>1</w:t>
      </w:r>
      <w:r>
        <w:t xml:space="preserve">Zum Verzicht auf die Hypothek für die im Absatz 1 bezeichneten Leistungen genügt die Erklärung des Gläubigers gegenüber dem Eigentümer. </w:t>
      </w:r>
      <w:r>
        <w:rPr>
          <w:rStyle w:val="Satznummer"/>
        </w:rPr>
        <w:t>2</w:t>
      </w:r>
      <w:r>
        <w:t xml:space="preserve">Solange einem Dritten ein Recht an dem Anspruch auf eine solche Leistung zusteht, ist die Zustimmung des Dritten erforderlich. </w:t>
      </w:r>
      <w:r>
        <w:rPr>
          <w:rStyle w:val="Satznummer"/>
        </w:rPr>
        <w:t>3</w:t>
      </w:r>
      <w:r>
        <w:t>Die Zustimmung ist demjenigen gegenüber zu erklären, zu dessen Gunsten sie erfolgt; sie ist unwiderruflich.</w:t>
      </w:r>
    </w:p>
    <w:p>
      <w:pPr>
        <w:pStyle w:val="Heading4"/>
      </w:pPr>
      <w:bookmarkStart w:id="1678" w:name="b1663"/>
      <w:r>
        <w:t>§ 1179 Löschungsvormerkung</w:t>
      </w:r>
      <w:r>
        <w:t xml:space="preserve"> </w:t>
      </w:r>
      <w:r>
        <w:rPr>
          <w:rStyle w:val="Suchmarke"/>
        </w:rPr>
        <w:t>#1179#</w:t>
      </w:r>
      <w:bookmarkEnd w:id="1678"/>
    </w:p>
    <w:p>
      <w:r>
        <w:t>Verpflichtet sich der Eigentümer einem anderen gegenüber, die Hypothek löschen zu lassen, wenn sie sich mit dem Eigentum in einer Person vereinigt, so kann zur Sicherung des Anspruchs auf Löschung eine Vormerkung in das Grundbuch eingetragen werden, wenn demjenigen, zu dessen Gunsten die Eintragung vorgenommen werden soll,</w:t>
      </w:r>
    </w:p>
    <w:p>
      <w:pPr>
        <w:tabs>
          <w:tab w:pos="567" w:val="left"/>
        </w:tabs>
        <w:ind w:left="567" w:hanging="567"/>
      </w:pPr>
      <w:r>
        <w:t>1.</w:t>
      </w:r>
      <w:r>
        <w:tab/>
      </w:r>
      <w:r>
        <w:t>ein anderes gleichrangiges oder nachrangiges Recht als eine Hypothek, Grundschuld oder Rentenschuld am Grundstück zusteht oder</w:t>
      </w:r>
    </w:p>
    <w:p>
      <w:pPr>
        <w:tabs>
          <w:tab w:pos="567" w:val="left"/>
        </w:tabs>
        <w:ind w:left="567" w:hanging="567"/>
      </w:pPr>
      <w:r>
        <w:t>2.</w:t>
      </w:r>
      <w:r>
        <w:tab/>
      </w:r>
      <w:r>
        <w:t>ein Anspruch auf Einräumung eines solchen anderen Rechts oder auf Übertragung des Eigentums am Grundstück zusteht; der Anspruch kann auch ein künftiger oder bedingter sein.</w:t>
      </w:r>
    </w:p>
    <w:p>
      <w:pPr>
        <w:pStyle w:val="Heading4"/>
      </w:pPr>
      <w:bookmarkStart w:id="1679" w:name="b1664"/>
      <w:r>
        <w:t>§ 1179a Löschungsanspruch bei fremden Rechten</w:t>
      </w:r>
      <w:r>
        <w:t xml:space="preserve"> </w:t>
      </w:r>
      <w:r>
        <w:rPr>
          <w:rStyle w:val="Suchmarke"/>
        </w:rPr>
        <w:t>#1179a#</w:t>
      </w:r>
      <w:bookmarkEnd w:id="1679"/>
    </w:p>
    <w:p>
      <w:r>
        <w:t xml:space="preserve">(1) </w:t>
      </w:r>
      <w:r>
        <w:rPr>
          <w:rStyle w:val="Satznummer"/>
        </w:rPr>
        <w:t>1</w:t>
      </w:r>
      <w:r>
        <w:t xml:space="preserve">Der Gläubiger einer Hypothek kann von dem Eigentümer verlangen, dass dieser eine vorrangige oder gleichrangige Hypothek löschen lässt, wenn sie im Zeitpunkt der Eintragung der Hypothek des Gläubigers mit dem Eigentum in einer Person vereinigt ist oder eine solche Vereinigung später eintritt. </w:t>
      </w:r>
      <w:r>
        <w:rPr>
          <w:rStyle w:val="Satznummer"/>
        </w:rPr>
        <w:t>2</w:t>
      </w:r>
      <w:r>
        <w:t xml:space="preserve">Ist das Eigentum nach der Eintragung der nach Satz 1 begünstigten Hypothek durch Sondernachfolge auf einen anderen übergegangen, so ist jeder Eigentümer wegen der zur Zeit seines Eigentums bestehenden Vereinigungen zur Löschung verpflichtet. </w:t>
      </w:r>
      <w:r>
        <w:rPr>
          <w:rStyle w:val="Satznummer"/>
        </w:rPr>
        <w:t>3</w:t>
      </w:r>
      <w:r>
        <w:t>Der Löschungsanspruch ist in gleicher Weise gesichert, als wenn zu seiner Sicherung gleichzeitig mit der begünstigten Hypothek eine Vormerkung in das Grundbuch eingetragen worden wäre.</w:t>
      </w:r>
    </w:p>
    <w:p>
      <w:r>
        <w:t xml:space="preserve">(2) </w:t>
      </w:r>
      <w:r>
        <w:rPr>
          <w:rStyle w:val="Satznummer"/>
        </w:rPr>
        <w:t>1</w:t>
      </w:r>
      <w:r>
        <w:t xml:space="preserve">Die Löschung einer Hypothek, die nach </w:t>
      </w:r>
      <w:hyperlink w:anchor="b1647" w:history="1">
        <w:r>
          <w:rPr>
            <w:color w:val="0A3A8C"/>
            <w:u w:val="single"/>
          </w:rPr>
          <w:t xml:space="preserve">§ 1163</w:t>
        </w:r>
      </w:hyperlink>
      <w:r>
        <w:t xml:space="preserve"> Abs. 1 Satz 1 mit dem Eigentum in einer Person vereinigt ist, kann nach Absatz 1 erst verlangt werden, wenn sich ergibt, dass die zu sichernde Forderung nicht mehr entstehen wird; der Löschungsanspruch besteht von diesem Zeitpunkt ab jedoch auch wegen der vorher bestehenden Vereinigungen. </w:t>
      </w:r>
      <w:r>
        <w:rPr>
          <w:rStyle w:val="Satznummer"/>
        </w:rPr>
        <w:t>2</w:t>
      </w:r>
      <w:r>
        <w:t xml:space="preserve">Durch die Vereinigung einer Hypothek mit dem Eigentum nach </w:t>
      </w:r>
      <w:hyperlink w:anchor="b1647" w:history="1">
        <w:r>
          <w:rPr>
            <w:color w:val="0A3A8C"/>
            <w:u w:val="single"/>
          </w:rPr>
          <w:t xml:space="preserve">§ 1163</w:t>
        </w:r>
      </w:hyperlink>
      <w:r>
        <w:t xml:space="preserve"> Abs. 2 wird ein Anspruch nach Absatz 1 nicht begründet.</w:t>
      </w:r>
    </w:p>
    <w:p>
      <w:r>
        <w:t xml:space="preserve">(3) Liegen bei der begünstigten Hypothek die Voraussetzungen des </w:t>
      </w:r>
      <w:hyperlink w:anchor="b1647" w:history="1">
        <w:r>
          <w:rPr>
            <w:color w:val="0A3A8C"/>
            <w:u w:val="single"/>
          </w:rPr>
          <w:t xml:space="preserve">§ 1163</w:t>
        </w:r>
      </w:hyperlink>
      <w:r>
        <w:t xml:space="preserve"> vor, ohne dass das Recht für den Eigentümer oder seinen Rechtsnachfolger im Grundbuch eingetragen ist, so besteht der Löschungsanspruch für den eingetragenen Gläubiger oder seinen Rechtsnachfolger.</w:t>
      </w:r>
    </w:p>
    <w:p>
      <w:r>
        <w:t>(4) Tritt eine Hypothek im Range zurück, so sind auf die Löschung der ihr infolge der Rangänderung vorgehenden oder gleichstehenden Hypothek die Absätze 1 bis 3 mit der Maßgabe entsprechend anzuwenden, dass an die Stelle des Zeitpunkts der Eintragung des zurückgetretenen Rechts der Zeitpunkt der Eintragung der Rangänderung tritt.</w:t>
      </w:r>
    </w:p>
    <w:p>
      <w:r>
        <w:t xml:space="preserve">(5) </w:t>
      </w:r>
      <w:r>
        <w:rPr>
          <w:rStyle w:val="Satznummer"/>
        </w:rPr>
        <w:t>1</w:t>
      </w:r>
      <w:r>
        <w:t xml:space="preserve">Als Inhalt einer Hypothek, deren Gläubiger nach den vorstehenden Vorschriften ein Anspruch auf Löschung zusteht, kann der Ausschluss dieses Anspruchs vereinbart werden; der Ausschluss kann auf einen bestimmten Fall der Vereinigung beschränkt werden. </w:t>
      </w:r>
      <w:r>
        <w:rPr>
          <w:rStyle w:val="Satznummer"/>
        </w:rPr>
        <w:t>2</w:t>
      </w:r>
      <w:r>
        <w:t xml:space="preserve">Der Ausschluss ist unter Bezeichnung der Hypotheken, die dem Löschungsanspruch ganz oder teilweise nicht unterliegen, im Grundbuch anzugeben; ist der Ausschluss nicht für alle Fälle der Vereinigung vereinbart, so kann zur näheren Bezeichnung der erfassten Fälle auf die Eintragungsbewilligung Bezug genommen werden. </w:t>
      </w:r>
      <w:r>
        <w:rPr>
          <w:rStyle w:val="Satznummer"/>
        </w:rPr>
        <w:t>3</w:t>
      </w:r>
      <w:r>
        <w:t>Wird der Ausschluss aufgehoben, so entstehen dadurch nicht Löschungsansprüche für Vereinigungen, die nur vor dieser Aufhebung bestanden haben.</w:t>
      </w:r>
    </w:p>
    <w:p>
      <w:pPr>
        <w:pStyle w:val="Heading4"/>
      </w:pPr>
      <w:bookmarkStart w:id="1680" w:name="b1665"/>
      <w:r>
        <w:t>§ 1179b Löschungsanspruch bei eigenem Recht</w:t>
      </w:r>
      <w:r>
        <w:t xml:space="preserve"> </w:t>
      </w:r>
      <w:r>
        <w:rPr>
          <w:rStyle w:val="Suchmarke"/>
        </w:rPr>
        <w:t>#1179b#</w:t>
      </w:r>
      <w:bookmarkEnd w:id="1680"/>
    </w:p>
    <w:p>
      <w:r>
        <w:t xml:space="preserve">(1) Wer als Gläubiger einer Hypothek im Grundbuch eingetragen oder nach Maßgabe des </w:t>
      </w:r>
      <w:hyperlink w:anchor="b1639" w:history="1">
        <w:r>
          <w:rPr>
            <w:color w:val="0A3A8C"/>
            <w:u w:val="single"/>
          </w:rPr>
          <w:t xml:space="preserve">§ 1155</w:t>
        </w:r>
      </w:hyperlink>
      <w:r>
        <w:t xml:space="preserve"> als Gläubiger ausgewiesen ist, kann von dem Eigentümer die Löschung dieser Hypothek verlangen, wenn sie im Zeitpunkt ihrer Eintragung mit dem Eigentum in einer Person vereinigt ist oder eine solche Vereinigung später eintritt.</w:t>
      </w:r>
    </w:p>
    <w:p>
      <w:r>
        <w:t xml:space="preserve">(2) </w:t>
      </w:r>
      <w:hyperlink w:anchor="b1664" w:history="1">
        <w:r>
          <w:rPr>
            <w:color w:val="0A3A8C"/>
            <w:u w:val="single"/>
          </w:rPr>
          <w:t xml:space="preserve">§ 1179a</w:t>
        </w:r>
      </w:hyperlink>
      <w:r>
        <w:t xml:space="preserve"> Abs. 1 Satz 2, 3, Abs. 2, 5 ist entsprechend anzuwenden.</w:t>
      </w:r>
    </w:p>
    <w:p>
      <w:pPr>
        <w:pStyle w:val="Heading4"/>
      </w:pPr>
      <w:bookmarkStart w:id="1681" w:name="b1666"/>
      <w:r>
        <w:t>§ 1180 Auswechslung der Forderung</w:t>
      </w:r>
      <w:r>
        <w:t xml:space="preserve"> </w:t>
      </w:r>
      <w:r>
        <w:rPr>
          <w:rStyle w:val="Suchmarke"/>
        </w:rPr>
        <w:t>#1180#</w:t>
      </w:r>
      <w:bookmarkEnd w:id="1681"/>
    </w:p>
    <w:p>
      <w:r>
        <w:t xml:space="preserve">(1) </w:t>
      </w:r>
      <w:r>
        <w:rPr>
          <w:rStyle w:val="Satznummer"/>
        </w:rPr>
        <w:t>1</w:t>
      </w:r>
      <w:r>
        <w:t xml:space="preserve">An die Stelle der Forderung, für welche die Hypothek besteht, kann eine andere Forderung gesetzt werden. </w:t>
      </w:r>
      <w:r>
        <w:rPr>
          <w:rStyle w:val="Satznummer"/>
        </w:rPr>
        <w:t>2</w:t>
      </w:r>
      <w:r>
        <w:t xml:space="preserve">Zu der Änderung ist die Einigung des Gläubigers und des Eigentümers sowie die Eintragung in das Grundbuch erforderlich; die Vorschriften des </w:t>
      </w:r>
      <w:hyperlink w:anchor="b1331" w:history="1">
        <w:r>
          <w:rPr>
            <w:color w:val="0A3A8C"/>
            <w:u w:val="single"/>
          </w:rPr>
          <w:t xml:space="preserve">§ 873</w:t>
        </w:r>
      </w:hyperlink>
      <w:r>
        <w:t xml:space="preserve"> Abs. 2 und der </w:t>
      </w:r>
      <w:hyperlink w:anchor="b1334" w:history="1">
        <w:r>
          <w:rPr>
            <w:color w:val="0A3A8C"/>
            <w:u w:val="single"/>
          </w:rPr>
          <w:t xml:space="preserve">§§ 876</w:t>
        </w:r>
      </w:hyperlink>
      <w:r>
        <w:t xml:space="preserve">, </w:t>
      </w:r>
      <w:hyperlink w:anchor="b1336" w:history="1">
        <w:r>
          <w:rPr>
            <w:color w:val="0A3A8C"/>
            <w:u w:val="single"/>
          </w:rPr>
          <w:t xml:space="preserve">878</w:t>
        </w:r>
      </w:hyperlink>
      <w:r>
        <w:t xml:space="preserve"> finden entsprechende Anwendung.</w:t>
      </w:r>
    </w:p>
    <w:p>
      <w:r>
        <w:t xml:space="preserve">(2) </w:t>
      </w:r>
      <w:r>
        <w:rPr>
          <w:rStyle w:val="Satznummer"/>
        </w:rPr>
        <w:t>1</w:t>
      </w:r>
      <w:r>
        <w:t xml:space="preserve">Steht die Forderung, die an die Stelle der bisherigen Forderung treten soll, nicht dem bisherigen Hypothekengläubiger zu, so ist dessen Zustimmung erforderlich; die Zustimmung ist dem Grundbuchamt oder demjenigen gegenüber zu erklären, zu dessen Gunsten sie erfolgt. </w:t>
      </w:r>
      <w:r>
        <w:rPr>
          <w:rStyle w:val="Satznummer"/>
        </w:rPr>
        <w:t>2</w:t>
      </w:r>
      <w:r>
        <w:t xml:space="preserve">Die Vorschriften des </w:t>
      </w:r>
      <w:hyperlink w:anchor="b1333" w:history="1">
        <w:r>
          <w:rPr>
            <w:color w:val="0A3A8C"/>
            <w:u w:val="single"/>
          </w:rPr>
          <w:t xml:space="preserve">§ 875</w:t>
        </w:r>
      </w:hyperlink>
      <w:r>
        <w:t xml:space="preserve"> Abs. 2 und des </w:t>
      </w:r>
      <w:hyperlink w:anchor="b1334" w:history="1">
        <w:r>
          <w:rPr>
            <w:color w:val="0A3A8C"/>
            <w:u w:val="single"/>
          </w:rPr>
          <w:t xml:space="preserve">§ 876</w:t>
        </w:r>
      </w:hyperlink>
      <w:r>
        <w:t xml:space="preserve"> finden entsprechende Anwendung.</w:t>
      </w:r>
    </w:p>
    <w:p>
      <w:pPr>
        <w:pStyle w:val="Heading4"/>
      </w:pPr>
      <w:bookmarkStart w:id="1682" w:name="b1667"/>
      <w:r>
        <w:t>§ 1181 Erlöschen durch Befriedigung aus dem Grundstück</w:t>
      </w:r>
      <w:r>
        <w:t xml:space="preserve"> </w:t>
      </w:r>
      <w:r>
        <w:rPr>
          <w:rStyle w:val="Suchmarke"/>
        </w:rPr>
        <w:t>#1181#</w:t>
      </w:r>
      <w:bookmarkEnd w:id="1682"/>
    </w:p>
    <w:p>
      <w:r>
        <w:t>(1) Wird der Gläubiger aus dem Grundstück befriedigt, so erlischt die Hypothek.</w:t>
      </w:r>
    </w:p>
    <w:p>
      <w:r>
        <w:t>(2) Erfolgt die Befriedigung des Gläubigers aus einem der mit einer Gesamthypothek belasteten Grundstücke, so werden auch die übrigen Grundstücke frei.</w:t>
      </w:r>
    </w:p>
    <w:p>
      <w:r>
        <w:t>(3) Der Befriedigung aus dem Grundstück steht die Befriedigung aus den Gegenständen gleich, auf die sich die Hypothek erstreckt.</w:t>
      </w:r>
    </w:p>
    <w:p>
      <w:pPr>
        <w:pStyle w:val="Heading4"/>
      </w:pPr>
      <w:bookmarkStart w:id="1683" w:name="b1668"/>
      <w:r>
        <w:t>§ 1182 Übergang bei Befriedigung aus der Gesamthypothek</w:t>
      </w:r>
      <w:r>
        <w:t xml:space="preserve"> </w:t>
      </w:r>
      <w:r>
        <w:rPr>
          <w:rStyle w:val="Suchmarke"/>
        </w:rPr>
        <w:t>#1182#</w:t>
      </w:r>
      <w:bookmarkEnd w:id="1683"/>
    </w:p>
    <w:p>
      <w:r>
        <w:rPr>
          <w:rStyle w:val="Satznummer"/>
        </w:rPr>
        <w:t>1</w:t>
      </w:r>
      <w:r>
        <w:t xml:space="preserve">Soweit im Falle einer Gesamthypothek der Eigentümer des Grundstücks, aus dem der Gläubiger befriedigt wird, von dem Eigentümer eines der anderen Grundstücke oder einem Rechtsvorgänger dieses Eigentümers Ersatz verlangen kann, geht die Hypothek an dem Grundstück dieses Eigentümers auf ihn über. </w:t>
      </w:r>
      <w:r>
        <w:rPr>
          <w:rStyle w:val="Satznummer"/>
        </w:rPr>
        <w:t>2</w:t>
      </w:r>
      <w:r>
        <w:t>Die Hypothek kann jedoch, wenn der Gläubiger nur teilweise befriedigt wird, nicht zum Nachteil der dem Gläubiger verbleibenden Hypothek und, wenn das Grundstück mit einem im Range gleich- oder nachstehenden Recht belastet ist, nicht zum Nachteil dieses Rechts geltend gemacht werden.</w:t>
      </w:r>
    </w:p>
    <w:p>
      <w:pPr>
        <w:pStyle w:val="Heading4"/>
      </w:pPr>
      <w:bookmarkStart w:id="1684" w:name="b1669"/>
      <w:r>
        <w:t>§ 1183 Aufhebung der Hypothek</w:t>
      </w:r>
      <w:r>
        <w:t xml:space="preserve"> </w:t>
      </w:r>
      <w:r>
        <w:rPr>
          <w:rStyle w:val="Suchmarke"/>
        </w:rPr>
        <w:t>#1183#</w:t>
      </w:r>
      <w:bookmarkEnd w:id="1684"/>
    </w:p>
    <w:p>
      <w:r>
        <w:rPr>
          <w:rStyle w:val="Satznummer"/>
        </w:rPr>
        <w:t>1</w:t>
      </w:r>
      <w:r>
        <w:t xml:space="preserve">Zur Aufhebung der Hypothek durch Rechtsgeschäft ist die Zustimmung des Eigentümers erforderlich. </w:t>
      </w:r>
      <w:r>
        <w:rPr>
          <w:rStyle w:val="Satznummer"/>
        </w:rPr>
        <w:t>2</w:t>
      </w:r>
      <w:r>
        <w:t>Die Zustimmung ist dem Grundbuchamt oder dem Gläubiger gegenüber zu erklären; sie ist unwiderruflich.</w:t>
      </w:r>
    </w:p>
    <w:p>
      <w:pPr>
        <w:pStyle w:val="Heading4"/>
      </w:pPr>
      <w:bookmarkStart w:id="1685" w:name="b1670"/>
      <w:r>
        <w:t>§ 1184 Sicherungshypothek</w:t>
      </w:r>
      <w:r>
        <w:t xml:space="preserve"> </w:t>
      </w:r>
      <w:r>
        <w:rPr>
          <w:rStyle w:val="Suchmarke"/>
        </w:rPr>
        <w:t>#1184#</w:t>
      </w:r>
      <w:bookmarkEnd w:id="1685"/>
    </w:p>
    <w:p>
      <w:r>
        <w:t>(1) Eine Hypothek kann in der Weise bestellt werden, dass das Recht des Gläubigers aus der Hypothek sich nur nach der Forderung bestimmt und der Gläubiger sich zum Beweis der Forderung nicht auf die Eintragung berufen kann (Sicherungshypothek).</w:t>
      </w:r>
    </w:p>
    <w:p>
      <w:r>
        <w:t>(2) Die Hypothek muss im Grundbuch als Sicherungshypothek bezeichnet werden.</w:t>
      </w:r>
    </w:p>
    <w:p>
      <w:pPr>
        <w:pStyle w:val="Heading4"/>
      </w:pPr>
      <w:bookmarkStart w:id="1686" w:name="b1671"/>
      <w:r>
        <w:t>§ 1185 Buchhypothek; unanwendbare Vorschriften</w:t>
      </w:r>
      <w:r>
        <w:t xml:space="preserve"> </w:t>
      </w:r>
      <w:r>
        <w:rPr>
          <w:rStyle w:val="Suchmarke"/>
        </w:rPr>
        <w:t>#1185#</w:t>
      </w:r>
      <w:bookmarkEnd w:id="1686"/>
    </w:p>
    <w:p>
      <w:r>
        <w:t>(1) Bei der Sicherungshypothek ist die Erteilung des Hypothekenbriefs ausgeschlossen.</w:t>
      </w:r>
    </w:p>
    <w:p>
      <w:r>
        <w:t xml:space="preserve">(2) Die Vorschriften der </w:t>
      </w:r>
      <w:hyperlink w:anchor="b1622" w:history="1">
        <w:r>
          <w:rPr>
            <w:color w:val="0A3A8C"/>
            <w:u w:val="single"/>
          </w:rPr>
          <w:t xml:space="preserve">§§ 1138</w:t>
        </w:r>
      </w:hyperlink>
      <w:r>
        <w:t xml:space="preserve">, </w:t>
      </w:r>
      <w:hyperlink w:anchor="b1623" w:history="1">
        <w:r>
          <w:rPr>
            <w:color w:val="0A3A8C"/>
            <w:u w:val="single"/>
          </w:rPr>
          <w:t xml:space="preserve">1139</w:t>
        </w:r>
      </w:hyperlink>
      <w:r>
        <w:t xml:space="preserve">, </w:t>
      </w:r>
      <w:hyperlink w:anchor="b1625" w:history="1">
        <w:r>
          <w:rPr>
            <w:color w:val="0A3A8C"/>
            <w:u w:val="single"/>
          </w:rPr>
          <w:t xml:space="preserve">1141</w:t>
        </w:r>
      </w:hyperlink>
      <w:r>
        <w:t xml:space="preserve">, </w:t>
      </w:r>
      <w:hyperlink w:anchor="b1640" w:history="1">
        <w:r>
          <w:rPr>
            <w:color w:val="0A3A8C"/>
            <w:u w:val="single"/>
          </w:rPr>
          <w:t xml:space="preserve">1156</w:t>
        </w:r>
      </w:hyperlink>
      <w:r>
        <w:t xml:space="preserve"> finden keine Anwendung.</w:t>
      </w:r>
    </w:p>
    <w:p>
      <w:pPr>
        <w:pStyle w:val="Heading4"/>
      </w:pPr>
      <w:bookmarkStart w:id="1687" w:name="b1672"/>
      <w:r>
        <w:t>§ 1186 Zulässige Umwandlungen</w:t>
      </w:r>
      <w:r>
        <w:t xml:space="preserve"> </w:t>
      </w:r>
      <w:r>
        <w:rPr>
          <w:rStyle w:val="Suchmarke"/>
        </w:rPr>
        <w:t>#1186#</w:t>
      </w:r>
      <w:bookmarkEnd w:id="1687"/>
    </w:p>
    <w:p>
      <w:r>
        <w:rPr>
          <w:rStyle w:val="Satznummer"/>
        </w:rPr>
        <w:t>1</w:t>
      </w:r>
      <w:r>
        <w:t xml:space="preserve">Eine Sicherungshypothek kann in eine gewöhnliche Hypothek, eine gewöhnliche Hypothek kann in eine Sicherungshypothek umgewandelt werden. </w:t>
      </w:r>
      <w:r>
        <w:rPr>
          <w:rStyle w:val="Satznummer"/>
        </w:rPr>
        <w:t>2</w:t>
      </w:r>
      <w:r>
        <w:t>Die Zustimmung der im Range gleich- oder nachstehenden Berechtigten ist nicht erforderlich.</w:t>
      </w:r>
    </w:p>
    <w:p>
      <w:pPr>
        <w:pStyle w:val="Heading4"/>
      </w:pPr>
      <w:bookmarkStart w:id="1688" w:name="b1673"/>
      <w:r>
        <w:t>§ 1187 Sicherungshypothek für Inhaber- und Orderpapiere</w:t>
      </w:r>
      <w:r>
        <w:t xml:space="preserve"> </w:t>
      </w:r>
      <w:r>
        <w:rPr>
          <w:rStyle w:val="Suchmarke"/>
        </w:rPr>
        <w:t>#1187#</w:t>
      </w:r>
      <w:bookmarkEnd w:id="1688"/>
    </w:p>
    <w:p>
      <w:r>
        <w:rPr>
          <w:rStyle w:val="Satznummer"/>
        </w:rPr>
        <w:t>1</w:t>
      </w:r>
      <w:r>
        <w:t xml:space="preserve">Für die Forderung aus einer Schuldverschreibung auf den Inhaber, aus einem Wechsel oder aus einem anderen Papier, das durch Indossament übertragen werden kann, kann nur eine Sicherungshypothek bestellt werden. </w:t>
      </w:r>
      <w:r>
        <w:rPr>
          <w:rStyle w:val="Satznummer"/>
        </w:rPr>
        <w:t>2</w:t>
      </w:r>
      <w:r>
        <w:t xml:space="preserve">Die Hypothek gilt als Sicherungshypothek, auch wenn sie im Grundbuch nicht als solche bezeichnet ist. </w:t>
      </w:r>
      <w:r>
        <w:rPr>
          <w:rStyle w:val="Satznummer"/>
        </w:rPr>
        <w:t>3</w:t>
      </w:r>
      <w:r>
        <w:t xml:space="preserve">Die Vorschrift des </w:t>
      </w:r>
      <w:hyperlink w:anchor="b1638" w:history="1">
        <w:r>
          <w:rPr>
            <w:color w:val="0A3A8C"/>
            <w:u w:val="single"/>
          </w:rPr>
          <w:t xml:space="preserve">§ 1154</w:t>
        </w:r>
      </w:hyperlink>
      <w:r>
        <w:t xml:space="preserve"> Abs. 3 findet keine Anwendung. </w:t>
      </w:r>
      <w:r>
        <w:rPr>
          <w:rStyle w:val="Satznummer"/>
        </w:rPr>
        <w:t>4</w:t>
      </w:r>
      <w:r>
        <w:t xml:space="preserve">Ein Anspruch auf Löschung der Hypothek nach den </w:t>
      </w:r>
      <w:hyperlink w:anchor="b1664" w:history="1">
        <w:r>
          <w:rPr>
            <w:color w:val="0A3A8C"/>
            <w:u w:val="single"/>
          </w:rPr>
          <w:t xml:space="preserve">§§ 1179a</w:t>
        </w:r>
      </w:hyperlink>
      <w:r>
        <w:t xml:space="preserve">, </w:t>
      </w:r>
      <w:hyperlink w:anchor="b1665" w:history="1">
        <w:r>
          <w:rPr>
            <w:color w:val="0A3A8C"/>
            <w:u w:val="single"/>
          </w:rPr>
          <w:t xml:space="preserve">1179b</w:t>
        </w:r>
      </w:hyperlink>
      <w:r>
        <w:t xml:space="preserve"> besteht nicht.</w:t>
      </w:r>
    </w:p>
    <w:p>
      <w:pPr>
        <w:pStyle w:val="Heading4"/>
      </w:pPr>
      <w:bookmarkStart w:id="1689" w:name="b1674"/>
      <w:r>
        <w:t>§ 1188 Sondervorschrift für Schuldverschreibungen auf den Inhaber</w:t>
      </w:r>
      <w:r>
        <w:t xml:space="preserve"> </w:t>
      </w:r>
      <w:r>
        <w:rPr>
          <w:rStyle w:val="Suchmarke"/>
        </w:rPr>
        <w:t>#1188#</w:t>
      </w:r>
      <w:bookmarkEnd w:id="1689"/>
    </w:p>
    <w:p>
      <w:r>
        <w:t xml:space="preserve">(1) Zur Bestellung einer Hypothek für die Forderung aus einer Schuldverschreibung auf den Inhaber genügt die Erklärung des Eigentümers gegenüber dem Grundbuchamt, dass er die Hypothek bestelle, und die Eintragung in das Grundbuch; die Vorschrift des </w:t>
      </w:r>
      <w:hyperlink w:anchor="b1336" w:history="1">
        <w:r>
          <w:rPr>
            <w:color w:val="0A3A8C"/>
            <w:u w:val="single"/>
          </w:rPr>
          <w:t xml:space="preserve">§ 878</w:t>
        </w:r>
      </w:hyperlink>
      <w:r>
        <w:t xml:space="preserve"> findet Anwendung.</w:t>
      </w:r>
    </w:p>
    <w:p>
      <w:r>
        <w:t xml:space="preserve">(2) </w:t>
      </w:r>
      <w:r>
        <w:rPr>
          <w:rStyle w:val="Satznummer"/>
        </w:rPr>
        <w:t>1</w:t>
      </w:r>
      <w:r>
        <w:t xml:space="preserve">Die Ausschließung des Gläubigers mit seinem Recht nach </w:t>
      </w:r>
      <w:hyperlink w:anchor="b1654" w:history="1">
        <w:r>
          <w:rPr>
            <w:color w:val="0A3A8C"/>
            <w:u w:val="single"/>
          </w:rPr>
          <w:t xml:space="preserve">§ 1170</w:t>
        </w:r>
      </w:hyperlink>
      <w:r>
        <w:t xml:space="preserve"> ist nur zulässig, wenn die im </w:t>
      </w:r>
      <w:hyperlink w:anchor="b1252" w:history="1">
        <w:r>
          <w:rPr>
            <w:color w:val="0A3A8C"/>
            <w:u w:val="single"/>
          </w:rPr>
          <w:t xml:space="preserve">§ 801</w:t>
        </w:r>
      </w:hyperlink>
      <w:r>
        <w:t xml:space="preserve"> bezeichnete Vorlegungsfrist verstrichen ist. </w:t>
      </w:r>
      <w:r>
        <w:rPr>
          <w:rStyle w:val="Satznummer"/>
        </w:rPr>
        <w:t>2</w:t>
      </w:r>
      <w:r>
        <w:t>Ist innerhalb der Frist die Schuldverschreibung vorgelegt oder der Anspruch aus der Urkunde gerichtlich geltend gemacht worden, so kann die Ausschließung erst erfolgen, wenn die Verjährung eingetreten ist.</w:t>
      </w:r>
    </w:p>
    <w:p>
      <w:pPr>
        <w:pStyle w:val="Heading4"/>
      </w:pPr>
      <w:bookmarkStart w:id="1690" w:name="b1675"/>
      <w:r>
        <w:t>§ 1189 Bestellung eines Grundbuchvertreters</w:t>
      </w:r>
      <w:r>
        <w:t xml:space="preserve"> </w:t>
      </w:r>
      <w:r>
        <w:rPr>
          <w:rStyle w:val="Suchmarke"/>
        </w:rPr>
        <w:t>#1189#</w:t>
      </w:r>
      <w:bookmarkEnd w:id="1690"/>
    </w:p>
    <w:p>
      <w:r>
        <w:t xml:space="preserve">(1) </w:t>
      </w:r>
      <w:r>
        <w:rPr>
          <w:rStyle w:val="Satznummer"/>
        </w:rPr>
        <w:t>1</w:t>
      </w:r>
      <w:r>
        <w:t xml:space="preserve">Bei einer Hypothek der im </w:t>
      </w:r>
      <w:hyperlink w:anchor="b1673" w:history="1">
        <w:r>
          <w:rPr>
            <w:color w:val="0A3A8C"/>
            <w:u w:val="single"/>
          </w:rPr>
          <w:t xml:space="preserve">§ 1187</w:t>
        </w:r>
      </w:hyperlink>
      <w:r>
        <w:t xml:space="preserve"> bezeichneten Art kann für den jeweiligen Gläubiger ein Vertreter mit der Befugnis bestellt werden, mit Wirkung für und gegen jeden späteren Gläubiger bestimmte Verfügungen über die Hypothek zu treffen und den Gläubiger bei der Geltendmachung der Hypothek zu vertreten. </w:t>
      </w:r>
      <w:r>
        <w:rPr>
          <w:rStyle w:val="Satznummer"/>
        </w:rPr>
        <w:t>2</w:t>
      </w:r>
      <w:r>
        <w:t>Zur Bestellung des Vertreters ist die Eintragung in das Grundbuch erforderlich.</w:t>
      </w:r>
    </w:p>
    <w:p>
      <w:r>
        <w:t>(2) Ist der Eigentümer berechtigt, von dem Gläubiger eine Verfügung zu verlangen, zu welcher der Vertreter befugt ist, so kann er die Vornahme der Verfügung von dem Vertreter verlangen.</w:t>
      </w:r>
    </w:p>
    <w:p>
      <w:pPr>
        <w:pStyle w:val="Heading4"/>
      </w:pPr>
      <w:bookmarkStart w:id="1691" w:name="b1676"/>
      <w:r>
        <w:t>§ 1190 Höchstbetragshypothek</w:t>
      </w:r>
      <w:r>
        <w:t xml:space="preserve"> </w:t>
      </w:r>
      <w:r>
        <w:rPr>
          <w:rStyle w:val="Suchmarke"/>
        </w:rPr>
        <w:t>#1190#</w:t>
      </w:r>
      <w:bookmarkEnd w:id="1691"/>
    </w:p>
    <w:p>
      <w:r>
        <w:t xml:space="preserve">(1) </w:t>
      </w:r>
      <w:r>
        <w:rPr>
          <w:rStyle w:val="Satznummer"/>
        </w:rPr>
        <w:t>1</w:t>
      </w:r>
      <w:r>
        <w:t xml:space="preserve">Eine Hypothek kann in der Weise bestellt werden, dass nur der Höchstbetrag, bis zu dem das Grundstück haften soll, bestimmt, im Übrigen die Feststellung der Forderung vorbehalten wird. </w:t>
      </w:r>
      <w:r>
        <w:rPr>
          <w:rStyle w:val="Satznummer"/>
        </w:rPr>
        <w:t>2</w:t>
      </w:r>
      <w:r>
        <w:t>Der Höchstbetrag muss in das Grundbuch eingetragen werden.</w:t>
      </w:r>
    </w:p>
    <w:p>
      <w:r>
        <w:t>(2) Ist die Forderung verzinslich, so werden die Zinsen in den Höchstbetrag eingerechnet.</w:t>
      </w:r>
    </w:p>
    <w:p>
      <w:r>
        <w:t>(3) Die Hypothek gilt als Sicherungshypothek, auch wenn sie im Grundbuch nicht als solche bezeichnet ist.</w:t>
      </w:r>
    </w:p>
    <w:p>
      <w:r>
        <w:t xml:space="preserve">(4) </w:t>
      </w:r>
      <w:r>
        <w:rPr>
          <w:rStyle w:val="Satznummer"/>
        </w:rPr>
        <w:t>1</w:t>
      </w:r>
      <w:r>
        <w:t xml:space="preserve">Die Forderung kann nach den für die Übertragung von Forderungen geltenden allgemeinen Vorschriften übertragen werden. </w:t>
      </w:r>
      <w:r>
        <w:rPr>
          <w:rStyle w:val="Satznummer"/>
        </w:rPr>
        <w:t>2</w:t>
      </w:r>
      <w:r>
        <w:t>Wird sie nach diesen Vorschriften übertragen, so ist der Übergang der Hypothek ausgeschlossen.</w:t>
      </w:r>
    </w:p>
    <w:p>
      <w:pPr>
        <w:pStyle w:val="Heading3"/>
      </w:pPr>
      <w:bookmarkStart w:id="1692" w:name="b1677"/>
      <w:r>
        <w:t>Titel 2 Grundschuld, Rentenschuld</w:t>
      </w:r>
      <w:bookmarkEnd w:id="1692"/>
    </w:p>
    <w:p>
      <w:pPr>
        <w:pStyle w:val="Heading4"/>
      </w:pPr>
      <w:bookmarkStart w:id="1693" w:name="b1678"/>
      <w:r>
        <w:t>Untertitel 1 Grundschuld</w:t>
      </w:r>
      <w:bookmarkEnd w:id="1693"/>
    </w:p>
    <w:p>
      <w:pPr>
        <w:pStyle w:val="Heading5"/>
      </w:pPr>
      <w:bookmarkStart w:id="1694" w:name="b1679"/>
      <w:r>
        <w:t>§ 1191 Gesetzlicher Inhalt der Grundschuld</w:t>
      </w:r>
      <w:r>
        <w:t xml:space="preserve"> </w:t>
      </w:r>
      <w:r>
        <w:rPr>
          <w:rStyle w:val="Suchmarke"/>
        </w:rPr>
        <w:t>#1191#</w:t>
      </w:r>
      <w:bookmarkEnd w:id="1694"/>
    </w:p>
    <w:p>
      <w:r>
        <w:t>(1) Ein Grundstück kann in der Weise belastet werden, dass an denjenigen, zu dessen Gunsten die Belastung erfolgt, eine bestimmte Geldsumme aus dem Grundstück zu zahlen ist (Grundschuld).</w:t>
      </w:r>
    </w:p>
    <w:p>
      <w:r>
        <w:t>(2) Die Belastung kann auch in der Weise erfolgen, dass Zinsen von der Geldsumme sowie andere Nebenleistungen aus dem Grundstück zu entrichten sind.</w:t>
      </w:r>
    </w:p>
    <w:p>
      <w:pPr>
        <w:pStyle w:val="Heading5"/>
      </w:pPr>
      <w:bookmarkStart w:id="1695" w:name="b1680"/>
      <w:r>
        <w:t>§ 1192 Anwendbare Vorschriften</w:t>
      </w:r>
      <w:r>
        <w:t xml:space="preserve"> </w:t>
      </w:r>
      <w:r>
        <w:rPr>
          <w:rStyle w:val="Suchmarke"/>
        </w:rPr>
        <w:t>#1192#</w:t>
      </w:r>
      <w:bookmarkEnd w:id="1695"/>
    </w:p>
    <w:p>
      <w:r>
        <w:t>(1) Auf die Grundschuld finden die Vorschriften über die Hypothek entsprechende Anwendung, soweit sich nicht daraus ein anderes ergibt, dass die Grundschuld nicht eine Forderung voraussetzt.</w:t>
      </w:r>
    </w:p>
    <w:p>
      <w:r>
        <w:t xml:space="preserve">(1a) </w:t>
      </w:r>
      <w:r>
        <w:rPr>
          <w:rStyle w:val="Satznummer"/>
        </w:rPr>
        <w:t>1</w:t>
      </w:r>
      <w:r>
        <w:t xml:space="preserve">Ist die Grundschuld zur Sicherung eines Anspruchs verschafft worden (Sicherungsgrundschuld), können Einreden, die dem Eigentümer auf Grund des Sicherungsvertrags mit dem bisherigen Gläubiger gegen die Grundschuld zustehen oder sich aus dem Sicherungsvertrag ergeben, auch jedem Erwerber der Grundschuld entgegengesetzt werden; </w:t>
      </w:r>
      <w:hyperlink w:anchor="b1641" w:history="1">
        <w:r>
          <w:rPr>
            <w:color w:val="0A3A8C"/>
            <w:u w:val="single"/>
          </w:rPr>
          <w:t xml:space="preserve">§ 1157</w:t>
        </w:r>
      </w:hyperlink>
      <w:r>
        <w:t xml:space="preserve"> Satz 2 findet insoweit keine Anwendung. </w:t>
      </w:r>
      <w:r>
        <w:rPr>
          <w:rStyle w:val="Satznummer"/>
        </w:rPr>
        <w:t>2</w:t>
      </w:r>
      <w:r>
        <w:t xml:space="preserve">Im Übrigen bleibt </w:t>
      </w:r>
      <w:hyperlink w:anchor="b1641" w:history="1">
        <w:r>
          <w:rPr>
            <w:color w:val="0A3A8C"/>
            <w:u w:val="single"/>
          </w:rPr>
          <w:t xml:space="preserve">§ 1157</w:t>
        </w:r>
      </w:hyperlink>
      <w:r>
        <w:t xml:space="preserve"> unberührt.</w:t>
      </w:r>
    </w:p>
    <w:p>
      <w:r>
        <w:t>(2) Für Zinsen der Grundschuld gelten die Vorschriften über die Zinsen einer Hypothekenforderung.</w:t>
      </w:r>
    </w:p>
    <w:p>
      <w:pPr>
        <w:pStyle w:val="Heading5"/>
      </w:pPr>
      <w:bookmarkStart w:id="1696" w:name="b1681"/>
      <w:r>
        <w:t>§ 1193 Kündigung</w:t>
      </w:r>
      <w:r>
        <w:t xml:space="preserve"> </w:t>
      </w:r>
      <w:r>
        <w:rPr>
          <w:rStyle w:val="Suchmarke"/>
        </w:rPr>
        <w:t>#1193#</w:t>
      </w:r>
      <w:bookmarkEnd w:id="1696"/>
    </w:p>
    <w:p>
      <w:r>
        <w:t xml:space="preserve">(1) </w:t>
      </w:r>
      <w:r>
        <w:rPr>
          <w:rStyle w:val="Satznummer"/>
        </w:rPr>
        <w:t>1</w:t>
      </w:r>
      <w:r>
        <w:t xml:space="preserve">Das Kapital der Grundschuld wird erst nach vorgängiger Kündigung fällig. </w:t>
      </w:r>
      <w:r>
        <w:rPr>
          <w:rStyle w:val="Satznummer"/>
        </w:rPr>
        <w:t>2</w:t>
      </w:r>
      <w:r>
        <w:t xml:space="preserve">Die Kündigung steht sowohl dem Eigentümer als dem Gläubiger zu. </w:t>
      </w:r>
      <w:r>
        <w:rPr>
          <w:rStyle w:val="Satznummer"/>
        </w:rPr>
        <w:t>3</w:t>
      </w:r>
      <w:r>
        <w:t>Die Kündigungsfrist beträgt sechs Monate.</w:t>
      </w:r>
    </w:p>
    <w:p>
      <w:r>
        <w:t xml:space="preserve">(2) </w:t>
      </w:r>
      <w:r>
        <w:rPr>
          <w:rStyle w:val="Satznummer"/>
        </w:rPr>
        <w:t>1</w:t>
      </w:r>
      <w:r>
        <w:t xml:space="preserve">Abweichende Bestimmungen sind zulässig. </w:t>
      </w:r>
      <w:r>
        <w:rPr>
          <w:rStyle w:val="Satznummer"/>
        </w:rPr>
        <w:t>2</w:t>
      </w:r>
      <w:r>
        <w:t>Dient die Grundschuld der Sicherung einer Geldforderung, so ist eine von Absatz 1 abweichende Bestimmung nicht zulässig.</w:t>
      </w:r>
    </w:p>
    <w:p>
      <w:pPr>
        <w:pStyle w:val="Heading5"/>
      </w:pPr>
      <w:bookmarkStart w:id="1697" w:name="b1682"/>
      <w:r>
        <w:t>§ 1194 Zahlungsort</w:t>
      </w:r>
      <w:r>
        <w:t xml:space="preserve"> </w:t>
      </w:r>
      <w:r>
        <w:rPr>
          <w:rStyle w:val="Suchmarke"/>
        </w:rPr>
        <w:t>#1194#</w:t>
      </w:r>
      <w:bookmarkEnd w:id="1697"/>
    </w:p>
    <w:p>
      <w:r>
        <w:t>Die Zahlung des Kapitals sowie der Zinsen und anderen Nebenleistungen hat, soweit nicht ein anderes bestimmt ist, an dem Orte zu erfolgen, an dem das Grundbuchamt seinen Sitz hat.</w:t>
      </w:r>
    </w:p>
    <w:p>
      <w:pPr>
        <w:pStyle w:val="Heading5"/>
      </w:pPr>
      <w:bookmarkStart w:id="1698" w:name="b1683"/>
      <w:r>
        <w:t>§ 1195 Inhabergrundschuld</w:t>
      </w:r>
      <w:r>
        <w:t xml:space="preserve"> </w:t>
      </w:r>
      <w:r>
        <w:rPr>
          <w:rStyle w:val="Suchmarke"/>
        </w:rPr>
        <w:t>#1195#</w:t>
      </w:r>
      <w:bookmarkEnd w:id="1698"/>
    </w:p>
    <w:p>
      <w:r>
        <w:rPr>
          <w:rStyle w:val="Satznummer"/>
        </w:rPr>
        <w:t>1</w:t>
      </w:r>
      <w:r>
        <w:t xml:space="preserve">Eine Grundschuld kann in der Weise bestellt werden, dass der Grundschuldbrief auf den Inhaber ausgestellt wird. </w:t>
      </w:r>
      <w:r>
        <w:rPr>
          <w:rStyle w:val="Satznummer"/>
        </w:rPr>
        <w:t>2</w:t>
      </w:r>
      <w:r>
        <w:t>Auf einen solchen Brief finden die Vorschriften über Schuldverschreibungen auf den Inhaber entsprechende Anwendung.</w:t>
      </w:r>
    </w:p>
    <w:p>
      <w:pPr>
        <w:pStyle w:val="Heading5"/>
      </w:pPr>
      <w:bookmarkStart w:id="1699" w:name="b1684"/>
      <w:r>
        <w:t>§ 1196 Eigentümergrundschuld</w:t>
      </w:r>
      <w:r>
        <w:t xml:space="preserve"> </w:t>
      </w:r>
      <w:r>
        <w:rPr>
          <w:rStyle w:val="Suchmarke"/>
        </w:rPr>
        <w:t>#1196#</w:t>
      </w:r>
      <w:bookmarkEnd w:id="1699"/>
    </w:p>
    <w:p>
      <w:r>
        <w:t>(1) Eine Grundschuld kann auch für den Eigentümer bestellt werden.</w:t>
      </w:r>
    </w:p>
    <w:p>
      <w:r>
        <w:t xml:space="preserve">(2) Zu der Bestellung ist die Erklärung des Eigentümers gegenüber dem Grundbuchamt, dass die Grundschuld für ihn in das Grundbuch eingetragen werden soll, und die Eintragung erforderlich; die Vorschrift des </w:t>
      </w:r>
      <w:hyperlink w:anchor="b1336" w:history="1">
        <w:r>
          <w:rPr>
            <w:color w:val="0A3A8C"/>
            <w:u w:val="single"/>
          </w:rPr>
          <w:t xml:space="preserve">§ 878</w:t>
        </w:r>
      </w:hyperlink>
      <w:r>
        <w:t xml:space="preserve"> findet Anwendung.</w:t>
      </w:r>
    </w:p>
    <w:p>
      <w:r>
        <w:t xml:space="preserve">(3) Ein Anspruch auf Löschung der Grundschuld nach </w:t>
      </w:r>
      <w:hyperlink w:anchor="b1664" w:history="1">
        <w:r>
          <w:rPr>
            <w:color w:val="0A3A8C"/>
            <w:u w:val="single"/>
          </w:rPr>
          <w:t xml:space="preserve">§ 1179a</w:t>
        </w:r>
      </w:hyperlink>
      <w:r>
        <w:t xml:space="preserve"> oder </w:t>
      </w:r>
      <w:hyperlink w:anchor="b1665" w:history="1">
        <w:r>
          <w:rPr>
            <w:color w:val="0A3A8C"/>
            <w:u w:val="single"/>
          </w:rPr>
          <w:t xml:space="preserve">§ 1179b</w:t>
        </w:r>
      </w:hyperlink>
      <w:r>
        <w:t xml:space="preserve"> besteht nur wegen solcher Vereinigungen der Grundschuld mit dem Eigentum in einer Person, die eintreten, nachdem die Grundschuld einem anderen als dem Eigentümer zugestanden hat.</w:t>
      </w:r>
    </w:p>
    <w:p>
      <w:pPr>
        <w:pStyle w:val="Heading5"/>
      </w:pPr>
      <w:bookmarkStart w:id="1700" w:name="b1685"/>
      <w:r>
        <w:t>§ 1197 Abweichungen von der Fremdgrundschuld</w:t>
      </w:r>
      <w:r>
        <w:t xml:space="preserve"> </w:t>
      </w:r>
      <w:r>
        <w:rPr>
          <w:rStyle w:val="Suchmarke"/>
        </w:rPr>
        <w:t>#1197#</w:t>
      </w:r>
      <w:bookmarkEnd w:id="1700"/>
    </w:p>
    <w:p>
      <w:r>
        <w:t>(1) Ist der Eigentümer der Gläubiger, so kann er nicht die Zwangsvollstreckung zum Zwecke seiner Befriedigung betreiben.</w:t>
      </w:r>
    </w:p>
    <w:p>
      <w:r>
        <w:t>(2) Zinsen gebühren dem Eigentümer nur, wenn das Grundstück auf Antrag eines anderen zum Zwecke der Zwangsverwaltung in Beschlag genommen ist, und nur für die Dauer der Zwangsverwaltung.</w:t>
      </w:r>
    </w:p>
    <w:p>
      <w:pPr>
        <w:pStyle w:val="Heading5"/>
      </w:pPr>
      <w:bookmarkStart w:id="1701" w:name="b1686"/>
      <w:r>
        <w:t>§ 1198 Zulässige Umwandlungen</w:t>
      </w:r>
      <w:r>
        <w:t xml:space="preserve"> </w:t>
      </w:r>
      <w:r>
        <w:rPr>
          <w:rStyle w:val="Suchmarke"/>
        </w:rPr>
        <w:t>#1198#</w:t>
      </w:r>
      <w:bookmarkEnd w:id="1701"/>
    </w:p>
    <w:p>
      <w:r>
        <w:rPr>
          <w:rStyle w:val="Satznummer"/>
        </w:rPr>
        <w:t>1</w:t>
      </w:r>
      <w:r>
        <w:t xml:space="preserve">Eine Hypothek kann in eine Grundschuld, eine Grundschuld kann in eine Hypothek umgewandelt werden. </w:t>
      </w:r>
      <w:r>
        <w:rPr>
          <w:rStyle w:val="Satznummer"/>
        </w:rPr>
        <w:t>2</w:t>
      </w:r>
      <w:r>
        <w:t>Die Zustimmung der im Range gleich- oder nachstehenden Berechtigten ist nicht erforderlich.</w:t>
      </w:r>
    </w:p>
    <w:p>
      <w:pPr>
        <w:pStyle w:val="Heading4"/>
      </w:pPr>
      <w:bookmarkStart w:id="1702" w:name="b1687"/>
      <w:r>
        <w:t>Untertitel 2 Rentenschuld</w:t>
      </w:r>
      <w:bookmarkEnd w:id="1702"/>
    </w:p>
    <w:p>
      <w:pPr>
        <w:pStyle w:val="Heading5"/>
      </w:pPr>
      <w:bookmarkStart w:id="1703" w:name="b1688"/>
      <w:r>
        <w:t>§ 1199 Gesetzlicher Inhalt der Rentenschuld</w:t>
      </w:r>
      <w:r>
        <w:t xml:space="preserve"> </w:t>
      </w:r>
      <w:r>
        <w:rPr>
          <w:rStyle w:val="Suchmarke"/>
        </w:rPr>
        <w:t>#1199#</w:t>
      </w:r>
      <w:bookmarkEnd w:id="1703"/>
    </w:p>
    <w:p>
      <w:r>
        <w:t>(1) Eine Grundschuld kann in der Weise bestellt werden, dass in regelmäßig wiederkehrenden Terminen eine bestimmte Geldsumme aus dem Grundstück zu zahlen ist (Rentenschuld).</w:t>
      </w:r>
    </w:p>
    <w:p>
      <w:r>
        <w:t xml:space="preserve">(2) </w:t>
      </w:r>
      <w:r>
        <w:rPr>
          <w:rStyle w:val="Satznummer"/>
        </w:rPr>
        <w:t>1</w:t>
      </w:r>
      <w:r>
        <w:t xml:space="preserve">Bei der Bestellung der Rentenschuld muss der Betrag bestimmt werden, durch dessen Zahlung die Rentenschuld abgelöst werden kann. </w:t>
      </w:r>
      <w:r>
        <w:rPr>
          <w:rStyle w:val="Satznummer"/>
        </w:rPr>
        <w:t>2</w:t>
      </w:r>
      <w:r>
        <w:t>Die Ablösungssumme muss im Grundbuch angegeben werden.</w:t>
      </w:r>
    </w:p>
    <w:p>
      <w:pPr>
        <w:pStyle w:val="Heading5"/>
      </w:pPr>
      <w:bookmarkStart w:id="1704" w:name="b1689"/>
      <w:r>
        <w:t>§ 1200 Anwendbare Vorschriften</w:t>
      </w:r>
      <w:r>
        <w:t xml:space="preserve"> </w:t>
      </w:r>
      <w:r>
        <w:rPr>
          <w:rStyle w:val="Suchmarke"/>
        </w:rPr>
        <w:t>#1200#</w:t>
      </w:r>
      <w:bookmarkEnd w:id="1704"/>
    </w:p>
    <w:p>
      <w:r>
        <w:t>(1) Auf die einzelnen Leistungen finden die für Hypothekenzinsen, auf die Ablösungssumme finden die für ein Grundschuldkapital geltenden Vorschriften entsprechende Anwendung.</w:t>
      </w:r>
    </w:p>
    <w:p>
      <w:r>
        <w:t>(2) Die Zahlung der Ablösungssumme an den Gläubiger hat die gleiche Wirkung wie die Zahlung des Kapitals einer Grundschuld.</w:t>
      </w:r>
    </w:p>
    <w:p>
      <w:pPr>
        <w:pStyle w:val="Heading5"/>
      </w:pPr>
      <w:bookmarkStart w:id="1705" w:name="b1690"/>
      <w:r>
        <w:t>§ 1201 Ablösungsrecht</w:t>
      </w:r>
      <w:r>
        <w:t xml:space="preserve"> </w:t>
      </w:r>
      <w:r>
        <w:rPr>
          <w:rStyle w:val="Suchmarke"/>
        </w:rPr>
        <w:t>#1201#</w:t>
      </w:r>
      <w:bookmarkEnd w:id="1705"/>
    </w:p>
    <w:p>
      <w:r>
        <w:t>(1) Das Recht zur Ablösung steht dem Eigentümer zu.</w:t>
      </w:r>
    </w:p>
    <w:p>
      <w:r>
        <w:t xml:space="preserve">(2) </w:t>
      </w:r>
      <w:r>
        <w:rPr>
          <w:rStyle w:val="Satznummer"/>
        </w:rPr>
        <w:t>1</w:t>
      </w:r>
      <w:r>
        <w:t xml:space="preserve">Dem Gläubiger kann das Recht, die Ablösung zu verlangen, nicht eingeräumt werden. </w:t>
      </w:r>
      <w:r>
        <w:rPr>
          <w:rStyle w:val="Satznummer"/>
        </w:rPr>
        <w:t>2</w:t>
      </w:r>
      <w:r>
        <w:t xml:space="preserve">Im Falle des </w:t>
      </w:r>
      <w:hyperlink w:anchor="b1617" w:history="1">
        <w:r>
          <w:rPr>
            <w:color w:val="0A3A8C"/>
            <w:u w:val="single"/>
          </w:rPr>
          <w:t xml:space="preserve">§ 1133</w:t>
        </w:r>
      </w:hyperlink>
      <w:r>
        <w:t xml:space="preserve"> Satz 2 ist der Gläubiger berechtigt, die Zahlung der Ablösungssumme aus dem Grundstück zu verlangen.</w:t>
      </w:r>
    </w:p>
    <w:p>
      <w:pPr>
        <w:pStyle w:val="Heading5"/>
      </w:pPr>
      <w:bookmarkStart w:id="1706" w:name="b1691"/>
      <w:r>
        <w:t>§ 1202 Kündigung</w:t>
      </w:r>
      <w:r>
        <w:t xml:space="preserve"> </w:t>
      </w:r>
      <w:r>
        <w:rPr>
          <w:rStyle w:val="Suchmarke"/>
        </w:rPr>
        <w:t>#1202#</w:t>
      </w:r>
      <w:bookmarkEnd w:id="1706"/>
    </w:p>
    <w:p>
      <w:r>
        <w:t xml:space="preserve">(1) </w:t>
      </w:r>
      <w:r>
        <w:rPr>
          <w:rStyle w:val="Satznummer"/>
        </w:rPr>
        <w:t>1</w:t>
      </w:r>
      <w:r>
        <w:t xml:space="preserve">Der Eigentümer kann das Ablösungsrecht erst nach vorgängiger Kündigung ausüben. </w:t>
      </w:r>
      <w:r>
        <w:rPr>
          <w:rStyle w:val="Satznummer"/>
        </w:rPr>
        <w:t>2</w:t>
      </w:r>
      <w:r>
        <w:t>Die Kündigungsfrist beträgt sechs Monate, wenn nicht ein anderes bestimmt ist.</w:t>
      </w:r>
    </w:p>
    <w:p>
      <w:r>
        <w:t>(2) Eine Beschränkung des Kündigungsrechts ist nur soweit zulässig, dass der Eigentümer nach 30 Jahren unter Einhaltung der sechsmonatigen Frist kündigen kann.</w:t>
      </w:r>
    </w:p>
    <w:p>
      <w:r>
        <w:t>(3) Hat der Eigentümer gekündigt, so kann der Gläubiger nach dem Ablauf der Kündigungsfrist die Zahlung der Ablösungssumme aus dem Grundstück verlangen.</w:t>
      </w:r>
    </w:p>
    <w:p>
      <w:pPr>
        <w:pStyle w:val="Heading5"/>
      </w:pPr>
      <w:bookmarkStart w:id="1707" w:name="b1692"/>
      <w:r>
        <w:t>§ 1203 Zulässige Umwandlungen</w:t>
      </w:r>
      <w:r>
        <w:t xml:space="preserve"> </w:t>
      </w:r>
      <w:r>
        <w:rPr>
          <w:rStyle w:val="Suchmarke"/>
        </w:rPr>
        <w:t>#1203#</w:t>
      </w:r>
      <w:bookmarkEnd w:id="1707"/>
    </w:p>
    <w:p>
      <w:r>
        <w:rPr>
          <w:rStyle w:val="Satznummer"/>
        </w:rPr>
        <w:t>1</w:t>
      </w:r>
      <w:r>
        <w:t xml:space="preserve">Eine Rentenschuld kann in eine gewöhnliche Grundschuld, eine gewöhnliche Grundschuld kann in eine Rentenschuld umgewandelt werden. </w:t>
      </w:r>
      <w:r>
        <w:rPr>
          <w:rStyle w:val="Satznummer"/>
        </w:rPr>
        <w:t>2</w:t>
      </w:r>
      <w:r>
        <w:t>Die Zustimmung der im Range gleich- oder nachstehenden Berechtigten ist nicht erforderlich.</w:t>
      </w:r>
    </w:p>
    <w:p>
      <w:pPr>
        <w:pStyle w:val="Heading2"/>
      </w:pPr>
      <w:bookmarkStart w:id="1708" w:name="b1693"/>
      <w:r>
        <w:t>Abschnitt 8 Pfandrecht an beweglichen Sachen und an Rechten</w:t>
      </w:r>
      <w:bookmarkEnd w:id="1708"/>
    </w:p>
    <w:p>
      <w:pPr>
        <w:pStyle w:val="Heading3"/>
      </w:pPr>
      <w:bookmarkStart w:id="1709" w:name="b1694"/>
      <w:r>
        <w:t>Titel 1 Pfandrecht an beweglichen Sachen</w:t>
      </w:r>
      <w:bookmarkEnd w:id="1709"/>
    </w:p>
    <w:p>
      <w:pPr>
        <w:pStyle w:val="Heading4"/>
      </w:pPr>
      <w:bookmarkStart w:id="1710" w:name="b1695"/>
      <w:r>
        <w:t>§ 1204 Gesetzlicher Inhalt des Pfandrechts an beweglichen Sachen</w:t>
      </w:r>
      <w:r>
        <w:t xml:space="preserve"> </w:t>
      </w:r>
      <w:r>
        <w:rPr>
          <w:rStyle w:val="Suchmarke"/>
        </w:rPr>
        <w:t>#1204#</w:t>
      </w:r>
      <w:bookmarkEnd w:id="1710"/>
    </w:p>
    <w:p>
      <w:r>
        <w:t>(1) Eine bewegliche Sache kann zur Sicherung einer Forderung in der Weise belastet werden, dass der Gläubiger berechtigt ist, Befriedigung aus der Sache zu suchen (Pfandrecht).</w:t>
      </w:r>
    </w:p>
    <w:p>
      <w:r>
        <w:t>(2) Das Pfandrecht kann auch für eine künftige oder eine bedingte Forderung bestellt werden.</w:t>
      </w:r>
    </w:p>
    <w:p>
      <w:pPr>
        <w:pStyle w:val="Heading4"/>
      </w:pPr>
      <w:bookmarkStart w:id="1711" w:name="b1696"/>
      <w:r>
        <w:t>§ 1205 Bestellung</w:t>
      </w:r>
      <w:r>
        <w:t xml:space="preserve"> </w:t>
      </w:r>
      <w:r>
        <w:rPr>
          <w:rStyle w:val="Suchmarke"/>
        </w:rPr>
        <w:t>#1205#</w:t>
      </w:r>
      <w:bookmarkEnd w:id="1711"/>
    </w:p>
    <w:p>
      <w:r>
        <w:t xml:space="preserve">(1) </w:t>
      </w:r>
      <w:r>
        <w:rPr>
          <w:rStyle w:val="Satznummer"/>
        </w:rPr>
        <w:t>1</w:t>
      </w:r>
      <w:r>
        <w:t xml:space="preserve">Zur Bestellung des Pfandrechts ist erforderlich, dass der Eigentümer die Sache dem Gläubiger übergibt und beide darüber einig sind, dass dem Gläubiger das Pfandrecht zustehen soll. </w:t>
      </w:r>
      <w:r>
        <w:rPr>
          <w:rStyle w:val="Satznummer"/>
        </w:rPr>
        <w:t>2</w:t>
      </w:r>
      <w:r>
        <w:t>Ist der Gläubiger im Besitz der Sache, so genügt die Einigung über die Entstehung des Pfandrechts.</w:t>
      </w:r>
    </w:p>
    <w:p>
      <w:r>
        <w:t>(2) Die Übergabe einer im mittelbaren Besitz des Eigentümers befindlichen Sache kann dadurch ersetzt werden, dass der Eigentümer den mittelbaren Besitz auf den Pfandgläubiger überträgt und die Verpfändung dem Besitzer anzeigt.</w:t>
      </w:r>
    </w:p>
    <w:p>
      <w:pPr>
        <w:pStyle w:val="Heading4"/>
      </w:pPr>
      <w:bookmarkStart w:id="1712" w:name="b1697"/>
      <w:r>
        <w:t>§ 1206 Übergabeersatz durch Einräumung des Mitbesitzes</w:t>
      </w:r>
      <w:r>
        <w:t xml:space="preserve"> </w:t>
      </w:r>
      <w:r>
        <w:rPr>
          <w:rStyle w:val="Suchmarke"/>
        </w:rPr>
        <w:t>#1206#</w:t>
      </w:r>
      <w:bookmarkEnd w:id="1712"/>
    </w:p>
    <w:p>
      <w:r>
        <w:t>Anstelle der Übergabe der Sache genügt die Einräumung des Mitbesitzes, wenn sich die Sache unter dem Mitverschluss des Gläubigers befindet oder, falls sie im Besitz eines Dritten ist, die Herausgabe nur an den Eigentümer und den Gläubiger gemeinschaftlich erfolgen kann.</w:t>
      </w:r>
    </w:p>
    <w:p>
      <w:pPr>
        <w:pStyle w:val="Heading4"/>
      </w:pPr>
      <w:bookmarkStart w:id="1713" w:name="b1698"/>
      <w:r>
        <w:t>§ 1207 Verpfändung durch Nichtberechtigten</w:t>
      </w:r>
      <w:r>
        <w:t xml:space="preserve"> </w:t>
      </w:r>
      <w:r>
        <w:rPr>
          <w:rStyle w:val="Suchmarke"/>
        </w:rPr>
        <w:t>#1207#</w:t>
      </w:r>
      <w:bookmarkEnd w:id="1713"/>
    </w:p>
    <w:p>
      <w:r>
        <w:t xml:space="preserve">Gehört die Sache nicht dem Verpfänder, so finden auf die Verpfändung die für den Erwerb des Eigentums geltenden Vorschriften der </w:t>
      </w:r>
      <w:hyperlink w:anchor="b1397" w:history="1">
        <w:r>
          <w:rPr>
            <w:color w:val="0A3A8C"/>
            <w:u w:val="single"/>
          </w:rPr>
          <w:t xml:space="preserve">§§ 932</w:t>
        </w:r>
      </w:hyperlink>
      <w:r>
        <w:t xml:space="preserve">, </w:t>
      </w:r>
      <w:hyperlink w:anchor="b1400" w:history="1">
        <w:r>
          <w:rPr>
            <w:color w:val="0A3A8C"/>
            <w:u w:val="single"/>
          </w:rPr>
          <w:t xml:space="preserve">934</w:t>
        </w:r>
      </w:hyperlink>
      <w:r>
        <w:t xml:space="preserve">, </w:t>
      </w:r>
      <w:hyperlink w:anchor="b1401" w:history="1">
        <w:r>
          <w:rPr>
            <w:color w:val="0A3A8C"/>
            <w:u w:val="single"/>
          </w:rPr>
          <w:t xml:space="preserve">935</w:t>
        </w:r>
      </w:hyperlink>
      <w:r>
        <w:t xml:space="preserve"> entsprechende Anwendung.</w:t>
      </w:r>
    </w:p>
    <w:p>
      <w:pPr>
        <w:pStyle w:val="Heading4"/>
      </w:pPr>
      <w:bookmarkStart w:id="1714" w:name="b1699"/>
      <w:r>
        <w:t>§ 1208 Gutgläubiger Erwerb des Vorrangs</w:t>
      </w:r>
      <w:r>
        <w:t xml:space="preserve"> </w:t>
      </w:r>
      <w:r>
        <w:rPr>
          <w:rStyle w:val="Suchmarke"/>
        </w:rPr>
        <w:t>#1208#</w:t>
      </w:r>
      <w:bookmarkEnd w:id="1714"/>
    </w:p>
    <w:p>
      <w:r>
        <w:rPr>
          <w:rStyle w:val="Satznummer"/>
        </w:rPr>
        <w:t>1</w:t>
      </w:r>
      <w:r>
        <w:t xml:space="preserve">Ist die Sache mit dem Recht eines Dritten belastet, so geht das Pfandrecht dem Recht vor, es sei denn, dass der Pfandgläubiger zur Zeit des Erwerbs des Pfandrechts in Ansehung des Rechts nicht in gutem Glauben ist. </w:t>
      </w:r>
      <w:r>
        <w:rPr>
          <w:rStyle w:val="Satznummer"/>
        </w:rPr>
        <w:t>2</w:t>
      </w:r>
      <w:r>
        <w:t xml:space="preserve">Die Vorschriften des </w:t>
      </w:r>
      <w:hyperlink w:anchor="b1397" w:history="1">
        <w:r>
          <w:rPr>
            <w:color w:val="0A3A8C"/>
            <w:u w:val="single"/>
          </w:rPr>
          <w:t xml:space="preserve">§ 932</w:t>
        </w:r>
      </w:hyperlink>
      <w:r>
        <w:t xml:space="preserve"> Abs. 1 Satz 2, des </w:t>
      </w:r>
      <w:hyperlink w:anchor="b1401" w:history="1">
        <w:r>
          <w:rPr>
            <w:color w:val="0A3A8C"/>
            <w:u w:val="single"/>
          </w:rPr>
          <w:t xml:space="preserve">§ 935</w:t>
        </w:r>
      </w:hyperlink>
      <w:r>
        <w:t xml:space="preserve"> und des </w:t>
      </w:r>
      <w:hyperlink w:anchor="b1402" w:history="1">
        <w:r>
          <w:rPr>
            <w:color w:val="0A3A8C"/>
            <w:u w:val="single"/>
          </w:rPr>
          <w:t xml:space="preserve">§ 936</w:t>
        </w:r>
      </w:hyperlink>
      <w:r>
        <w:t xml:space="preserve"> Abs. 3 finden entsprechende Anwendung.</w:t>
      </w:r>
    </w:p>
    <w:p>
      <w:pPr>
        <w:pStyle w:val="Heading4"/>
      </w:pPr>
      <w:bookmarkStart w:id="1715" w:name="b1700"/>
      <w:r>
        <w:t>§ 1209 Rang des Pfandrechts</w:t>
      </w:r>
      <w:r>
        <w:t xml:space="preserve"> </w:t>
      </w:r>
      <w:r>
        <w:rPr>
          <w:rStyle w:val="Suchmarke"/>
        </w:rPr>
        <w:t>#1209#</w:t>
      </w:r>
      <w:bookmarkEnd w:id="1715"/>
    </w:p>
    <w:p>
      <w:r>
        <w:t>Für den Rang des Pfandrechts ist die Zeit der Bestellung auch dann maßgebend, wenn es für eine künftige oder eine bedingte Forderung bestellt ist.</w:t>
      </w:r>
    </w:p>
    <w:p>
      <w:pPr>
        <w:pStyle w:val="Heading4"/>
      </w:pPr>
      <w:bookmarkStart w:id="1716" w:name="b1701"/>
      <w:r>
        <w:t>§ 1210 Umfang der Haftung des Pfandes</w:t>
      </w:r>
      <w:r>
        <w:t xml:space="preserve"> </w:t>
      </w:r>
      <w:r>
        <w:rPr>
          <w:rStyle w:val="Suchmarke"/>
        </w:rPr>
        <w:t>#1210#</w:t>
      </w:r>
      <w:bookmarkEnd w:id="1716"/>
    </w:p>
    <w:p>
      <w:r>
        <w:t xml:space="preserve">(1) </w:t>
      </w:r>
      <w:r>
        <w:rPr>
          <w:rStyle w:val="Satznummer"/>
        </w:rPr>
        <w:t>1</w:t>
      </w:r>
      <w:r>
        <w:t xml:space="preserve">Das Pfand haftet für die Forderung in deren jeweiligem Bestand, insbesondere auch für Zinsen und Vertragsstrafen. </w:t>
      </w:r>
      <w:r>
        <w:rPr>
          <w:rStyle w:val="Satznummer"/>
        </w:rPr>
        <w:t>2</w:t>
      </w:r>
      <w:r>
        <w:t>Ist der persönliche Schuldner nicht der Eigentümer des Pfandes, so wird durch ein Rechtsgeschäft, das der Schuldner nach der Verpfändung vornimmt, die Haftung nicht erweitert.</w:t>
      </w:r>
    </w:p>
    <w:p>
      <w:r>
        <w:t>(2) Das Pfand haftet für die Ansprüche des Pfandgläubigers auf Ersatz von Verwendungen, für die dem Pfandgläubiger zu ersetzenden Kosten der Kündigung und der Rechtsverfolgung sowie für die Kosten des Pfandverkaufs.</w:t>
      </w:r>
    </w:p>
    <w:p>
      <w:pPr>
        <w:pStyle w:val="Heading4"/>
      </w:pPr>
      <w:bookmarkStart w:id="1717" w:name="b1702"/>
      <w:r>
        <w:t>§ 1211 Einreden des Verpfänders</w:t>
      </w:r>
      <w:r>
        <w:t xml:space="preserve"> </w:t>
      </w:r>
      <w:r>
        <w:rPr>
          <w:rStyle w:val="Suchmarke"/>
        </w:rPr>
        <w:t>#1211#</w:t>
      </w:r>
      <w:bookmarkEnd w:id="1717"/>
    </w:p>
    <w:p>
      <w:r>
        <w:t xml:space="preserve">(1) </w:t>
      </w:r>
      <w:r>
        <w:rPr>
          <w:rStyle w:val="Satznummer"/>
        </w:rPr>
        <w:t>1</w:t>
      </w:r>
      <w:r>
        <w:t xml:space="preserve">Der Verpfänder kann dem Pfandgläubiger gegenüber die dem persönlichen Schuldner gegen die Forderung sowie die nach </w:t>
      </w:r>
      <w:hyperlink w:anchor="b1217" w:history="1">
        <w:r>
          <w:rPr>
            <w:color w:val="0A3A8C"/>
            <w:u w:val="single"/>
          </w:rPr>
          <w:t xml:space="preserve">§ 770</w:t>
        </w:r>
      </w:hyperlink>
      <w:r>
        <w:t xml:space="preserve"> einem Bürgen zustehenden Einreden geltend machen. </w:t>
      </w:r>
      <w:r>
        <w:rPr>
          <w:rStyle w:val="Satznummer"/>
        </w:rPr>
        <w:t>2</w:t>
      </w:r>
      <w:r>
        <w:t>Stirbt der persönliche Schuldner, so kann sich der Verpfänder nicht darauf berufen, dass der Erbe für die Schuld nur beschränkt haftet.</w:t>
      </w:r>
    </w:p>
    <w:p>
      <w:r>
        <w:t>(2) Ist der Verpfänder nicht der persönliche Schuldner, so verliert er eine Einrede nicht dadurch, dass dieser auf sie verzichtet.</w:t>
      </w:r>
    </w:p>
    <w:p>
      <w:pPr>
        <w:pStyle w:val="Heading4"/>
      </w:pPr>
      <w:bookmarkStart w:id="1718" w:name="b1703"/>
      <w:r>
        <w:t>§ 1212 Erstreckung auf getrennte Erzeugnisse</w:t>
      </w:r>
      <w:r>
        <w:t xml:space="preserve"> </w:t>
      </w:r>
      <w:r>
        <w:rPr>
          <w:rStyle w:val="Suchmarke"/>
        </w:rPr>
        <w:t>#1212#</w:t>
      </w:r>
      <w:bookmarkEnd w:id="1718"/>
    </w:p>
    <w:p>
      <w:r>
        <w:t>Das Pfandrecht erstreckt sich auf die Erzeugnisse, die von dem Pfande getrennt werden.</w:t>
      </w:r>
    </w:p>
    <w:p>
      <w:pPr>
        <w:pStyle w:val="Heading4"/>
      </w:pPr>
      <w:bookmarkStart w:id="1719" w:name="b1704"/>
      <w:r>
        <w:t>§ 1213 Nutzungspfand</w:t>
      </w:r>
      <w:r>
        <w:t xml:space="preserve"> </w:t>
      </w:r>
      <w:r>
        <w:rPr>
          <w:rStyle w:val="Suchmarke"/>
        </w:rPr>
        <w:t>#1213#</w:t>
      </w:r>
      <w:bookmarkEnd w:id="1719"/>
    </w:p>
    <w:p>
      <w:r>
        <w:t>(1) Das Pfandrecht kann in der Weise bestellt werden, dass der Pfandgläubiger berechtigt ist, die Nutzungen des Pfandes zu ziehen.</w:t>
      </w:r>
    </w:p>
    <w:p>
      <w:r>
        <w:t>(2) Ist eine von Natur Frucht tragende Sache dem Pfandgläubiger zum Alleinbesitz übergeben, so ist im Zweifel anzunehmen, dass der Pfandgläubiger zum Fruchtbezug berechtigt sein soll.</w:t>
      </w:r>
    </w:p>
    <w:p>
      <w:pPr>
        <w:pStyle w:val="Heading4"/>
      </w:pPr>
      <w:bookmarkStart w:id="1720" w:name="b1705"/>
      <w:r>
        <w:t>§ 1214 Pflichten des nutzungsberechtigten Pfandgläubigers</w:t>
      </w:r>
      <w:r>
        <w:t xml:space="preserve"> </w:t>
      </w:r>
      <w:r>
        <w:rPr>
          <w:rStyle w:val="Suchmarke"/>
        </w:rPr>
        <w:t>#1214#</w:t>
      </w:r>
      <w:bookmarkEnd w:id="1720"/>
    </w:p>
    <w:p>
      <w:r>
        <w:t>(1) Steht dem Pfandgläubiger das Recht zu, die Nutzungen zu ziehen, so ist er verpflichtet, für die Gewinnung der Nutzungen zu sorgen und Rechenschaft abzulegen.</w:t>
      </w:r>
    </w:p>
    <w:p>
      <w:r>
        <w:t>(2) Der Reinertrag der Nutzungen wird auf die geschuldete Leistung und, wenn Kosten und Zinsen zu entrichten sind, zunächst auf diese angerechnet.</w:t>
      </w:r>
    </w:p>
    <w:p>
      <w:r>
        <w:t>(3) Abweichende Bestimmungen sind zulässig.</w:t>
      </w:r>
    </w:p>
    <w:p>
      <w:pPr>
        <w:pStyle w:val="Heading4"/>
      </w:pPr>
      <w:bookmarkStart w:id="1721" w:name="b1706"/>
      <w:r>
        <w:t>§ 1215 Verwahrungspflicht</w:t>
      </w:r>
      <w:r>
        <w:t xml:space="preserve"> </w:t>
      </w:r>
      <w:r>
        <w:rPr>
          <w:rStyle w:val="Suchmarke"/>
        </w:rPr>
        <w:t>#1215#</w:t>
      </w:r>
      <w:bookmarkEnd w:id="1721"/>
    </w:p>
    <w:p>
      <w:r>
        <w:t>Der Pfandgläubiger ist zur Verwahrung des Pfandes verpflichtet.</w:t>
      </w:r>
    </w:p>
    <w:p>
      <w:pPr>
        <w:pStyle w:val="Heading4"/>
      </w:pPr>
      <w:bookmarkStart w:id="1722" w:name="b1707"/>
      <w:r>
        <w:t>§ 1216 Ersatz von Verwendungen</w:t>
      </w:r>
      <w:r>
        <w:t xml:space="preserve"> </w:t>
      </w:r>
      <w:r>
        <w:rPr>
          <w:rStyle w:val="Suchmarke"/>
        </w:rPr>
        <w:t>#1216#</w:t>
      </w:r>
      <w:bookmarkEnd w:id="1722"/>
    </w:p>
    <w:p>
      <w:r>
        <w:rPr>
          <w:rStyle w:val="Satznummer"/>
        </w:rPr>
        <w:t>1</w:t>
      </w:r>
      <w:r>
        <w:t xml:space="preserve">Macht der Pfandgläubiger Verwendungen auf das Pfand, so bestimmt sich die Ersatzpflicht des Verpfänders nach den Vorschriften über die Geschäftsführung ohne Auftrag. </w:t>
      </w:r>
      <w:r>
        <w:rPr>
          <w:rStyle w:val="Satznummer"/>
        </w:rPr>
        <w:t>2</w:t>
      </w:r>
      <w:r>
        <w:t>Der Pfandgläubiger ist berechtigt, eine Einrichtung, mit der er das Pfand versehen hat, wegzunehmen.</w:t>
      </w:r>
    </w:p>
    <w:p>
      <w:pPr>
        <w:pStyle w:val="Heading4"/>
      </w:pPr>
      <w:bookmarkStart w:id="1723" w:name="b1708"/>
      <w:r>
        <w:t>§ 1217 Rechtsverletzung durch den Pfandgläubiger</w:t>
      </w:r>
      <w:r>
        <w:t xml:space="preserve"> </w:t>
      </w:r>
      <w:r>
        <w:rPr>
          <w:rStyle w:val="Suchmarke"/>
        </w:rPr>
        <w:t>#1217#</w:t>
      </w:r>
      <w:bookmarkEnd w:id="1723"/>
    </w:p>
    <w:p>
      <w:r>
        <w:t>(1) Verletzt der Pfandgläubiger die Rechte des Verpfänders in erheblichem Maße und setzt er das verletzende Verhalten ungeachtet einer Abmahnung des Verpfänders fort, so kann der Verpfänder verlangen, dass das Pfand auf Kosten des Pfandgläubigers hinterlegt oder, wenn es sich nicht zur Hinterlegung eignet, an einen gerichtlich zu bestellenden Verwahrer abgeliefert wird.</w:t>
      </w:r>
    </w:p>
    <w:p>
      <w:r>
        <w:t xml:space="preserve">(2) </w:t>
      </w:r>
      <w:r>
        <w:rPr>
          <w:rStyle w:val="Satznummer"/>
        </w:rPr>
        <w:t>1</w:t>
      </w:r>
      <w:r>
        <w:t xml:space="preserve">Statt der Hinterlegung oder der Ablieferung der Sache an einen Verwahrer kann der Verpfänder die Rückgabe des Pfandes gegen Befriedigung des Gläubigers verlangen. </w:t>
      </w:r>
      <w:r>
        <w:rPr>
          <w:rStyle w:val="Satznummer"/>
        </w:rPr>
        <w:t>2</w:t>
      </w:r>
      <w:r>
        <w:t>Ist die Forderung unverzinslich und noch nicht fällig, so gebührt dem Pfandgläubiger nur die Summe, welche mit Hinzurechnung der gesetzlichen Zinsen für die Zeit von der Zahlung bis zur Fälligkeit dem Betrag der Forderung gleichkommt.</w:t>
      </w:r>
    </w:p>
    <w:p>
      <w:pPr>
        <w:pStyle w:val="Heading4"/>
      </w:pPr>
      <w:bookmarkStart w:id="1724" w:name="b1709"/>
      <w:r>
        <w:t>§ 1218 Rechte des Verpfänders bei drohendem Verderb</w:t>
      </w:r>
      <w:r>
        <w:t xml:space="preserve"> </w:t>
      </w:r>
      <w:r>
        <w:rPr>
          <w:rStyle w:val="Suchmarke"/>
        </w:rPr>
        <w:t>#1218#</w:t>
      </w:r>
      <w:bookmarkEnd w:id="1724"/>
    </w:p>
    <w:p>
      <w:r>
        <w:t>(1) Ist der Verderb des Pfandes oder eine wesentliche Minderung des Wertes zu besorgen, so kann der Verpfänder die Rückgabe des Pfandes gegen anderweitige Sicherheitsleistung verlangen; die Sicherheitsleistung durch Bürgen ist ausgeschlossen.</w:t>
      </w:r>
    </w:p>
    <w:p>
      <w:r>
        <w:t>(2) Der Pfandgläubiger hat dem Verpfänder von dem drohenden Verderb unverzüglich Anzeige zu machen, sofern nicht die Anzeige untunlich ist.</w:t>
      </w:r>
    </w:p>
    <w:p>
      <w:pPr>
        <w:pStyle w:val="Heading4"/>
      </w:pPr>
      <w:bookmarkStart w:id="1725" w:name="b1710"/>
      <w:r>
        <w:t>§ 1219 Rechte des Pfandgläubigers bei drohendem Verderb</w:t>
      </w:r>
      <w:r>
        <w:t xml:space="preserve"> </w:t>
      </w:r>
      <w:r>
        <w:rPr>
          <w:rStyle w:val="Suchmarke"/>
        </w:rPr>
        <w:t>#1219#</w:t>
      </w:r>
      <w:bookmarkEnd w:id="1725"/>
    </w:p>
    <w:p>
      <w:r>
        <w:t>(1) Wird durch den drohenden Verderb des Pfandes oder durch eine zu besorgende wesentliche Minderung des Wertes die Sicherheit des Pfandgläubigers gefährdet, so kann dieser das Pfand öffentlich versteigern lassen.</w:t>
      </w:r>
    </w:p>
    <w:p>
      <w:r>
        <w:t xml:space="preserve">(2) </w:t>
      </w:r>
      <w:r>
        <w:rPr>
          <w:rStyle w:val="Satznummer"/>
        </w:rPr>
        <w:t>1</w:t>
      </w:r>
      <w:r>
        <w:t xml:space="preserve">Der Erlös tritt an die Stelle des Pfandes. </w:t>
      </w:r>
      <w:r>
        <w:rPr>
          <w:rStyle w:val="Satznummer"/>
        </w:rPr>
        <w:t>2</w:t>
      </w:r>
      <w:r>
        <w:t>Auf Verlangen des Verpfänders ist der Erlös zu hinterlegen.</w:t>
      </w:r>
    </w:p>
    <w:p>
      <w:pPr>
        <w:pStyle w:val="Heading4"/>
      </w:pPr>
      <w:bookmarkStart w:id="1726" w:name="b1711"/>
      <w:r>
        <w:t>§ 1220 Androhung der Versteigerung</w:t>
      </w:r>
      <w:r>
        <w:t xml:space="preserve"> </w:t>
      </w:r>
      <w:r>
        <w:rPr>
          <w:rStyle w:val="Suchmarke"/>
        </w:rPr>
        <w:t>#1220#</w:t>
      </w:r>
      <w:bookmarkEnd w:id="1726"/>
    </w:p>
    <w:p>
      <w:r>
        <w:t xml:space="preserve">(1) </w:t>
      </w:r>
      <w:r>
        <w:rPr>
          <w:rStyle w:val="Satznummer"/>
        </w:rPr>
        <w:t>1</w:t>
      </w:r>
      <w:r>
        <w:t xml:space="preserve">Die Versteigerung des Pfandes ist erst zulässig, nachdem sie dem Verpfänder angedroht worden ist; die Androhung darf unterbleiben, wenn das Pfand dem Verderb ausgesetzt und mit dem Aufschub der Versteigerung Gefahr verbunden ist. </w:t>
      </w:r>
      <w:r>
        <w:rPr>
          <w:rStyle w:val="Satznummer"/>
        </w:rPr>
        <w:t>2</w:t>
      </w:r>
      <w:r>
        <w:t>Im Falle der Wertminderung ist außer der Androhung erforderlich, dass der Pfandgläubiger dem Verpfänder zur Leistung anderweitiger Sicherheit eine angemessene Frist bestimmt hat und diese verstrichen ist.</w:t>
      </w:r>
    </w:p>
    <w:p>
      <w:r>
        <w:t>(2) Der Pfandgläubiger hat den Verpfänder von der Versteigerung unverzüglich zu benachrichtigen; im Falle der Unterlassung ist er zum Schadensersatz verpflichtet.</w:t>
      </w:r>
    </w:p>
    <w:p>
      <w:r>
        <w:t>(3) Die Androhung, die Fristbestimmung und die Benachrichtigung dürfen unterbleiben, wenn sie untunlich sind.</w:t>
      </w:r>
    </w:p>
    <w:p>
      <w:pPr>
        <w:pStyle w:val="Heading4"/>
      </w:pPr>
      <w:bookmarkStart w:id="1727" w:name="b1712"/>
      <w:r>
        <w:t>§ 1221 Freihändiger Verkauf</w:t>
      </w:r>
      <w:r>
        <w:t xml:space="preserve"> </w:t>
      </w:r>
      <w:r>
        <w:rPr>
          <w:rStyle w:val="Suchmarke"/>
        </w:rPr>
        <w:t>#1221#</w:t>
      </w:r>
      <w:bookmarkEnd w:id="1727"/>
    </w:p>
    <w:p>
      <w:r>
        <w:t>Hat das Pfand einen Börsen- oder Marktpreis, so kann der Pfandgläubiger den Verkauf aus freier Hand durch einen zu solchen Verkäufen öffentlich ermächtigten Handelsmakler oder durch eine zur öffentlichen Versteigerung befugte Person zum laufenden Preis bewirken.</w:t>
      </w:r>
    </w:p>
    <w:p>
      <w:pPr>
        <w:pStyle w:val="Heading4"/>
      </w:pPr>
      <w:bookmarkStart w:id="1728" w:name="b1713"/>
      <w:r>
        <w:t>§ 1222 Pfandrecht an mehreren Sachen</w:t>
      </w:r>
      <w:r>
        <w:t xml:space="preserve"> </w:t>
      </w:r>
      <w:r>
        <w:rPr>
          <w:rStyle w:val="Suchmarke"/>
        </w:rPr>
        <w:t>#1222#</w:t>
      </w:r>
      <w:bookmarkEnd w:id="1728"/>
    </w:p>
    <w:p>
      <w:r>
        <w:t>Besteht das Pfandrecht an mehreren Sachen, so haftet jede für die ganze Forderung.</w:t>
      </w:r>
    </w:p>
    <w:p>
      <w:pPr>
        <w:pStyle w:val="Heading4"/>
      </w:pPr>
      <w:bookmarkStart w:id="1729" w:name="b1714"/>
      <w:r>
        <w:t>§ 1223 Rückgabepflicht; Einlösungsrecht</w:t>
      </w:r>
      <w:r>
        <w:t xml:space="preserve"> </w:t>
      </w:r>
      <w:r>
        <w:rPr>
          <w:rStyle w:val="Suchmarke"/>
        </w:rPr>
        <w:t>#1223#</w:t>
      </w:r>
      <w:bookmarkEnd w:id="1729"/>
    </w:p>
    <w:p>
      <w:r>
        <w:t>(1) Der Pfandgläubiger ist verpflichtet, das Pfand nach dem Erlöschen des Pfandrechts dem Verpfänder zurückzugeben.</w:t>
      </w:r>
    </w:p>
    <w:p>
      <w:r>
        <w:t>(2) Der Verpfänder kann die Rückgabe des Pfandes gegen Befriedigung des Pfandgläubigers verlangen, sobald der Schuldner zur Leistung berechtigt ist.</w:t>
      </w:r>
    </w:p>
    <w:p>
      <w:pPr>
        <w:pStyle w:val="Heading4"/>
      </w:pPr>
      <w:bookmarkStart w:id="1730" w:name="b1715"/>
      <w:r>
        <w:t>§ 1224 Befriedigung durch Hinterlegung oder Aufrechnung</w:t>
      </w:r>
      <w:r>
        <w:t xml:space="preserve"> </w:t>
      </w:r>
      <w:r>
        <w:rPr>
          <w:rStyle w:val="Suchmarke"/>
        </w:rPr>
        <w:t>#1224#</w:t>
      </w:r>
      <w:bookmarkEnd w:id="1730"/>
    </w:p>
    <w:p>
      <w:r>
        <w:t>Die Befriedigung des Pfandgläubigers durch den Verpfänder kann auch durch Hinterlegung oder durch Aufrechnung erfolgen.</w:t>
      </w:r>
    </w:p>
    <w:p>
      <w:pPr>
        <w:pStyle w:val="Heading4"/>
      </w:pPr>
      <w:bookmarkStart w:id="1731" w:name="b1716"/>
      <w:r>
        <w:t>§ 1225 Forderungsübergang auf den Verpfänder</w:t>
      </w:r>
      <w:r>
        <w:t xml:space="preserve"> </w:t>
      </w:r>
      <w:r>
        <w:rPr>
          <w:rStyle w:val="Suchmarke"/>
        </w:rPr>
        <w:t>#1225#</w:t>
      </w:r>
      <w:bookmarkEnd w:id="1731"/>
    </w:p>
    <w:p>
      <w:r>
        <w:rPr>
          <w:rStyle w:val="Satznummer"/>
        </w:rPr>
        <w:t>1</w:t>
      </w:r>
      <w:r>
        <w:t xml:space="preserve">Ist der Verpfänder nicht der persönliche Schuldner, so geht, soweit er den Pfandgläubiger befriedigt, die Forderung auf ihn über. </w:t>
      </w:r>
      <w:r>
        <w:rPr>
          <w:rStyle w:val="Satznummer"/>
        </w:rPr>
        <w:t>2</w:t>
      </w:r>
      <w:r>
        <w:t xml:space="preserve">Die für einen Bürgen geltenden Vorschrift des </w:t>
      </w:r>
      <w:hyperlink w:anchor="b1221" w:history="1">
        <w:r>
          <w:rPr>
            <w:color w:val="0A3A8C"/>
            <w:u w:val="single"/>
          </w:rPr>
          <w:t xml:space="preserve">§ 774</w:t>
        </w:r>
      </w:hyperlink>
      <w:r>
        <w:t xml:space="preserve"> findet entsprechende Anwendung.</w:t>
      </w:r>
    </w:p>
    <w:p>
      <w:pPr>
        <w:pStyle w:val="Heading4"/>
      </w:pPr>
      <w:bookmarkStart w:id="1732" w:name="b1717"/>
      <w:r>
        <w:t>§ 1226 Verjährung der Ersatzansprüche</w:t>
      </w:r>
      <w:r>
        <w:t xml:space="preserve"> </w:t>
      </w:r>
      <w:r>
        <w:rPr>
          <w:rStyle w:val="Suchmarke"/>
        </w:rPr>
        <w:t>#1226#</w:t>
      </w:r>
      <w:bookmarkEnd w:id="1732"/>
    </w:p>
    <w:p>
      <w:r>
        <w:rPr>
          <w:rStyle w:val="Satznummer"/>
        </w:rPr>
        <w:t>1</w:t>
      </w:r>
      <w:r>
        <w:t xml:space="preserve">Die Ersatzansprüche des Verpfänders wegen Veränderungen oder Verschlechterungen des Pfandes sowie die Ansprüche des Pfandgläubigers auf Ersatz von Verwendungen oder auf Gestattung der Wegnahme einer Einrichtung verjähren in sechs Monaten. </w:t>
      </w:r>
      <w:r>
        <w:rPr>
          <w:rStyle w:val="Satznummer"/>
        </w:rPr>
        <w:t>2</w:t>
      </w:r>
      <w:r>
        <w:t xml:space="preserve">Die Vorschrift des </w:t>
      </w:r>
      <w:hyperlink w:anchor="b730" w:history="1">
        <w:r>
          <w:rPr>
            <w:color w:val="0A3A8C"/>
            <w:u w:val="single"/>
          </w:rPr>
          <w:t xml:space="preserve">§ 548</w:t>
        </w:r>
      </w:hyperlink>
      <w:r>
        <w:t xml:space="preserve"> Abs. 1 Satz 2 und 3, Abs. 2 findet entsprechende Anwendung.</w:t>
      </w:r>
    </w:p>
    <w:p>
      <w:pPr>
        <w:pStyle w:val="Heading4"/>
      </w:pPr>
      <w:bookmarkStart w:id="1733" w:name="b1718"/>
      <w:r>
        <w:t>§ 1227 Schutz des Pfandrechts</w:t>
      </w:r>
      <w:r>
        <w:t xml:space="preserve"> </w:t>
      </w:r>
      <w:r>
        <w:rPr>
          <w:rStyle w:val="Suchmarke"/>
        </w:rPr>
        <w:t>#1227#</w:t>
      </w:r>
      <w:bookmarkEnd w:id="1733"/>
    </w:p>
    <w:p>
      <w:r>
        <w:t>Wird das Recht des Pfandgläubigers beeinträchtigt, so finden auf die Ansprüche des Pfandgläubigers die für die Ansprüche aus dem Eigentum geltenden Vorschriften entsprechende Anwendung.</w:t>
      </w:r>
    </w:p>
    <w:p>
      <w:pPr>
        <w:pStyle w:val="Heading4"/>
      </w:pPr>
      <w:bookmarkStart w:id="1734" w:name="b1719"/>
      <w:r>
        <w:t>§ 1228 Befriedigung durch Pfandverkauf</w:t>
      </w:r>
      <w:r>
        <w:t xml:space="preserve"> </w:t>
      </w:r>
      <w:r>
        <w:rPr>
          <w:rStyle w:val="Suchmarke"/>
        </w:rPr>
        <w:t>#1228#</w:t>
      </w:r>
      <w:bookmarkEnd w:id="1734"/>
    </w:p>
    <w:p>
      <w:r>
        <w:t>(1) Die Befriedigung des Pfandgläubigers aus dem Pfande erfolgt durch Verkauf.</w:t>
      </w:r>
    </w:p>
    <w:p>
      <w:r>
        <w:t xml:space="preserve">(2) </w:t>
      </w:r>
      <w:r>
        <w:rPr>
          <w:rStyle w:val="Satznummer"/>
        </w:rPr>
        <w:t>1</w:t>
      </w:r>
      <w:r>
        <w:t xml:space="preserve">Der Pfandgläubiger ist zum Verkauf berechtigt, sobald die Forderung ganz oder zum Teil fällig ist. </w:t>
      </w:r>
      <w:r>
        <w:rPr>
          <w:rStyle w:val="Satznummer"/>
        </w:rPr>
        <w:t>2</w:t>
      </w:r>
      <w:r>
        <w:t>Besteht der geschuldete Gegenstand nicht in Geld, so ist der Verkauf erst zulässig, wenn die Forderung in eine Geldforderung übergegangen ist.</w:t>
      </w:r>
    </w:p>
    <w:p>
      <w:pPr>
        <w:pStyle w:val="Heading4"/>
      </w:pPr>
      <w:bookmarkStart w:id="1735" w:name="b1720"/>
      <w:r>
        <w:t>§ 1229 Verbot der Verfallvereinbarung</w:t>
      </w:r>
      <w:r>
        <w:t xml:space="preserve"> </w:t>
      </w:r>
      <w:r>
        <w:rPr>
          <w:rStyle w:val="Suchmarke"/>
        </w:rPr>
        <w:t>#1229#</w:t>
      </w:r>
      <w:bookmarkEnd w:id="1735"/>
    </w:p>
    <w:p>
      <w:r>
        <w:t>Eine vor dem Eintritt der Verkaufsberechtigung getroffene Vereinbarung, nach welcher dem Pfandgläubiger, falls er nicht oder nicht rechtzeitig befriedigt wird, das Eigentum an der Sache zufallen oder übertragen werden soll, ist nichtig.</w:t>
      </w:r>
    </w:p>
    <w:p>
      <w:pPr>
        <w:pStyle w:val="Heading4"/>
      </w:pPr>
      <w:bookmarkStart w:id="1736" w:name="b1721"/>
      <w:r>
        <w:t>§ 1230 Auswahl unter mehreren Pfändern</w:t>
      </w:r>
      <w:r>
        <w:t xml:space="preserve"> </w:t>
      </w:r>
      <w:r>
        <w:rPr>
          <w:rStyle w:val="Suchmarke"/>
        </w:rPr>
        <w:t>#1230#</w:t>
      </w:r>
      <w:bookmarkEnd w:id="1736"/>
    </w:p>
    <w:p>
      <w:r>
        <w:rPr>
          <w:rStyle w:val="Satznummer"/>
        </w:rPr>
        <w:t>1</w:t>
      </w:r>
      <w:r>
        <w:t xml:space="preserve">Unter mehreren Pfändern kann der Pfandgläubiger, soweit nicht ein anderes bestimmt ist, diejenigen auswählen, welche verkauft werden sollen. </w:t>
      </w:r>
      <w:r>
        <w:rPr>
          <w:rStyle w:val="Satznummer"/>
        </w:rPr>
        <w:t>2</w:t>
      </w:r>
      <w:r>
        <w:t>Er kann nur so viele Pfänder zum Verkauf bringen, als zu seiner Befriedigung erforderlich sind.</w:t>
      </w:r>
    </w:p>
    <w:p>
      <w:pPr>
        <w:pStyle w:val="Heading4"/>
      </w:pPr>
      <w:bookmarkStart w:id="1737" w:name="b1722"/>
      <w:r>
        <w:t>§ 1231 Herausgabe des Pfandes zum Verkauf</w:t>
      </w:r>
      <w:r>
        <w:t xml:space="preserve"> </w:t>
      </w:r>
      <w:r>
        <w:rPr>
          <w:rStyle w:val="Suchmarke"/>
        </w:rPr>
        <w:t>#1231#</w:t>
      </w:r>
      <w:bookmarkEnd w:id="1737"/>
    </w:p>
    <w:p>
      <w:r>
        <w:rPr>
          <w:rStyle w:val="Satznummer"/>
        </w:rPr>
        <w:t>1</w:t>
      </w:r>
      <w:r>
        <w:t xml:space="preserve">Ist der Pfandgläubiger nicht im Alleinbesitz des Pfandes, so kann er nach dem Eintritt der Verkaufsberechtigung die Herausgabe des Pfandes zum Zwecke des Verkaufs fordern. </w:t>
      </w:r>
      <w:r>
        <w:rPr>
          <w:rStyle w:val="Satznummer"/>
        </w:rPr>
        <w:t>2</w:t>
      </w:r>
      <w:r>
        <w:t>Auf Verlangen des Verpfänders hat anstelle der Herausgabe die Ablieferung an einen gemeinschaftlichen Verwahrer zu erfolgen; der Verwahrer hat sich bei der Ablieferung zu verpflichten, das Pfand zum Verkauf bereitzustellen.</w:t>
      </w:r>
    </w:p>
    <w:p>
      <w:pPr>
        <w:pStyle w:val="Heading4"/>
      </w:pPr>
      <w:bookmarkStart w:id="1738" w:name="b1723"/>
      <w:r>
        <w:t>§ 1232 Nachstehende Pfandgläubiger</w:t>
      </w:r>
      <w:r>
        <w:t xml:space="preserve"> </w:t>
      </w:r>
      <w:r>
        <w:rPr>
          <w:rStyle w:val="Suchmarke"/>
        </w:rPr>
        <w:t>#1232#</w:t>
      </w:r>
      <w:bookmarkEnd w:id="1738"/>
    </w:p>
    <w:p>
      <w:r>
        <w:rPr>
          <w:rStyle w:val="Satznummer"/>
        </w:rPr>
        <w:t>1</w:t>
      </w:r>
      <w:r>
        <w:t xml:space="preserve">Der Pfandgläubiger ist nicht verpflichtet, einem ihm im Range nachstehenden Pfandgläubiger das Pfand zum Zwecke des Verkaufs herauszugeben. </w:t>
      </w:r>
      <w:r>
        <w:rPr>
          <w:rStyle w:val="Satznummer"/>
        </w:rPr>
        <w:t>2</w:t>
      </w:r>
      <w:r>
        <w:t>Ist er nicht im Besitz des Pfandes, so kann er, sofern er nicht selbst den Verkauf betreibt, dem Verkauf durch einen nachstehenden Pfandgläubiger nicht widersprechen.</w:t>
      </w:r>
    </w:p>
    <w:p>
      <w:pPr>
        <w:pStyle w:val="Heading4"/>
      </w:pPr>
      <w:bookmarkStart w:id="1739" w:name="b1724"/>
      <w:r>
        <w:t>§ 1233 Ausführung des Verkaufs</w:t>
      </w:r>
      <w:r>
        <w:t xml:space="preserve"> </w:t>
      </w:r>
      <w:r>
        <w:rPr>
          <w:rStyle w:val="Suchmarke"/>
        </w:rPr>
        <w:t>#1233#</w:t>
      </w:r>
      <w:bookmarkEnd w:id="1739"/>
    </w:p>
    <w:p>
      <w:r>
        <w:t xml:space="preserve">(1) Der Verkauf des Pfandes ist nach den Vorschriften der </w:t>
      </w:r>
      <w:hyperlink w:anchor="b1725" w:history="1">
        <w:r>
          <w:rPr>
            <w:color w:val="0A3A8C"/>
            <w:u w:val="single"/>
          </w:rPr>
          <w:t xml:space="preserve">§§ 1234</w:t>
        </w:r>
      </w:hyperlink>
      <w:r>
        <w:t xml:space="preserve"> bis </w:t>
      </w:r>
      <w:hyperlink w:anchor="b1731" w:history="1">
        <w:r>
          <w:rPr>
            <w:color w:val="0A3A8C"/>
            <w:u w:val="single"/>
          </w:rPr>
          <w:t xml:space="preserve">1240</w:t>
        </w:r>
      </w:hyperlink>
      <w:r>
        <w:t xml:space="preserve"> zu bewirken.</w:t>
      </w:r>
    </w:p>
    <w:p>
      <w:r>
        <w:t>(2) Hat der Pfandgläubiger für sein Recht zum Verkauf einen vollstreckbaren Titel gegen den Eigentümer erlangt, so kann er den Verkauf auch nach den für den Verkauf einer gepfändeten Sache geltenden Vorschriften bewirken lassen.</w:t>
      </w:r>
    </w:p>
    <w:p>
      <w:pPr>
        <w:pStyle w:val="Heading4"/>
      </w:pPr>
      <w:bookmarkStart w:id="1740" w:name="b1725"/>
      <w:r>
        <w:t>§ 1234 Verkaufsandrohung; Wartefrist</w:t>
      </w:r>
      <w:r>
        <w:t xml:space="preserve"> </w:t>
      </w:r>
      <w:r>
        <w:rPr>
          <w:rStyle w:val="Suchmarke"/>
        </w:rPr>
        <w:t>#1234#</w:t>
      </w:r>
      <w:bookmarkEnd w:id="1740"/>
    </w:p>
    <w:p>
      <w:r>
        <w:t xml:space="preserve">(1) </w:t>
      </w:r>
      <w:r>
        <w:rPr>
          <w:rStyle w:val="Satznummer"/>
        </w:rPr>
        <w:t>1</w:t>
      </w:r>
      <w:r>
        <w:t xml:space="preserve">Der Pfandgläubiger hat dem Eigentümer den Verkauf vorher anzudrohen und dabei den Geldbetrag zu bezeichnen, wegen dessen der Verkauf stattfinden soll. </w:t>
      </w:r>
      <w:r>
        <w:rPr>
          <w:rStyle w:val="Satznummer"/>
        </w:rPr>
        <w:t>2</w:t>
      </w:r>
      <w:r>
        <w:t>Die Androhung kann erst nach dem Eintritt der Verkaufsberechtigung erfolgen; sie darf unterbleiben, wenn sie untunlich ist.</w:t>
      </w:r>
    </w:p>
    <w:p>
      <w:r>
        <w:t xml:space="preserve">(2) </w:t>
      </w:r>
      <w:r>
        <w:rPr>
          <w:rStyle w:val="Satznummer"/>
        </w:rPr>
        <w:t>1</w:t>
      </w:r>
      <w:r>
        <w:t xml:space="preserve">Der Verkauf darf nicht vor dem Ablauf eines Monats nach der Androhung erfolgen. </w:t>
      </w:r>
      <w:r>
        <w:rPr>
          <w:rStyle w:val="Satznummer"/>
        </w:rPr>
        <w:t>2</w:t>
      </w:r>
      <w:r>
        <w:t>Ist die Androhung untunlich, so wird der Monat von dem Eintritt der Verkaufsberechtigung an berechnet.</w:t>
      </w:r>
    </w:p>
    <w:p>
      <w:pPr>
        <w:pStyle w:val="Heading4"/>
      </w:pPr>
      <w:bookmarkStart w:id="1741" w:name="b1726"/>
      <w:r>
        <w:t>§ 1235 Öffentliche Versteigerung</w:t>
      </w:r>
      <w:r>
        <w:t xml:space="preserve"> </w:t>
      </w:r>
      <w:r>
        <w:rPr>
          <w:rStyle w:val="Suchmarke"/>
        </w:rPr>
        <w:t>#1235#</w:t>
      </w:r>
      <w:bookmarkEnd w:id="1741"/>
    </w:p>
    <w:p>
      <w:r>
        <w:t>(1) Der Verkauf des Pfandes ist im Wege öffentlicher Versteigerung zu bewirken.</w:t>
      </w:r>
    </w:p>
    <w:p>
      <w:r>
        <w:t>(2) Hat das Pfand einen Börsen- oder Marktpreis, so findet die Vorschrift des § 1221 Anwendung.</w:t>
      </w:r>
    </w:p>
    <w:p>
      <w:pPr>
        <w:pStyle w:val="Heading4"/>
      </w:pPr>
      <w:bookmarkStart w:id="1742" w:name="b1727"/>
      <w:r>
        <w:t>§ 1236 Durchführung der Versteigerung</w:t>
      </w:r>
      <w:r>
        <w:t xml:space="preserve"> </w:t>
      </w:r>
      <w:r>
        <w:rPr>
          <w:rStyle w:val="Suchmarke"/>
        </w:rPr>
        <w:t>#1236#</w:t>
      </w:r>
      <w:bookmarkEnd w:id="1742"/>
    </w:p>
    <w:p>
      <w:r>
        <w:t xml:space="preserve">Für die Durchführung der Versteigerung ist </w:t>
      </w:r>
      <w:hyperlink w:anchor="b503" w:history="1">
        <w:r>
          <w:rPr>
            <w:color w:val="0A3A8C"/>
            <w:u w:val="single"/>
          </w:rPr>
          <w:t xml:space="preserve">§ 383</w:t>
        </w:r>
      </w:hyperlink>
      <w:r>
        <w:t xml:space="preserve"> Absatz 2 Satz 2 und 3 anzuwenden.</w:t>
      </w:r>
    </w:p>
    <w:p>
      <w:pPr>
        <w:pStyle w:val="Heading4"/>
      </w:pPr>
      <w:bookmarkStart w:id="1743" w:name="b1728"/>
      <w:r>
        <w:t>§ 1237 Öffentliche Bekanntmachung</w:t>
      </w:r>
      <w:r>
        <w:t xml:space="preserve"> </w:t>
      </w:r>
      <w:r>
        <w:rPr>
          <w:rStyle w:val="Suchmarke"/>
        </w:rPr>
        <w:t>#1237#</w:t>
      </w:r>
      <w:bookmarkEnd w:id="1743"/>
    </w:p>
    <w:p>
      <w:r>
        <w:rPr>
          <w:rStyle w:val="Satznummer"/>
        </w:rPr>
        <w:t>1</w:t>
      </w:r>
      <w:r>
        <w:t xml:space="preserve">Für die öffentliche Bekanntmachung der Versteigerung ist </w:t>
      </w:r>
      <w:hyperlink w:anchor="b503" w:history="1">
        <w:r>
          <w:rPr>
            <w:color w:val="0A3A8C"/>
            <w:u w:val="single"/>
          </w:rPr>
          <w:t xml:space="preserve">§ 383</w:t>
        </w:r>
      </w:hyperlink>
      <w:r>
        <w:t xml:space="preserve"> Absatz 3 anzuwenden. </w:t>
      </w:r>
      <w:r>
        <w:rPr>
          <w:rStyle w:val="Satznummer"/>
        </w:rPr>
        <w:t>2</w:t>
      </w:r>
      <w:r>
        <w:t>Der Eigentümer und Dritte, denen Rechte an dem Pfande zustehen, sind besonders zu benachrichtigen; die Benachrichtigung darf unterbleiben, wenn sie untunlich ist.</w:t>
      </w:r>
    </w:p>
    <w:p>
      <w:pPr>
        <w:pStyle w:val="Heading4"/>
      </w:pPr>
      <w:bookmarkStart w:id="1744" w:name="b1729"/>
      <w:r>
        <w:t>§ 1238 Verkaufsbedingungen</w:t>
      </w:r>
      <w:r>
        <w:t xml:space="preserve"> </w:t>
      </w:r>
      <w:r>
        <w:rPr>
          <w:rStyle w:val="Suchmarke"/>
        </w:rPr>
        <w:t>#1238#</w:t>
      </w:r>
      <w:bookmarkEnd w:id="1744"/>
    </w:p>
    <w:p>
      <w:r>
        <w:t>(1) Das Pfand darf nur mit der Bestimmung verkauft werden, dass der Käufer den Kaufpreis sofort zu entrichten hat und seiner Rechte verlustig sein soll, wenn dies nicht geschieht.</w:t>
      </w:r>
    </w:p>
    <w:p>
      <w:r>
        <w:t xml:space="preserve">(2) </w:t>
      </w:r>
      <w:r>
        <w:rPr>
          <w:rStyle w:val="Satznummer"/>
        </w:rPr>
        <w:t>1</w:t>
      </w:r>
      <w:r>
        <w:t xml:space="preserve">Erfolgt der Verkauf ohne diese Bestimmung, so ist der Kaufpreis als von dem Pfandgläubiger empfangen anzusehen; die Rechte des Pfandgläubigers gegen den Ersteher bleiben unberührt. </w:t>
      </w:r>
      <w:r>
        <w:rPr>
          <w:rStyle w:val="Satznummer"/>
        </w:rPr>
        <w:t>2</w:t>
      </w:r>
      <w:r>
        <w:t>Unterbleibt die sofortige Entrichtung des Kaufpreises, so gilt das Gleiche, wenn nicht vor dem Schluss des Versteigerungstermins von dem Vorbehalt der Rechtsverwirkung Gebrauch gemacht wird.</w:t>
      </w:r>
    </w:p>
    <w:p>
      <w:pPr>
        <w:pStyle w:val="Heading4"/>
      </w:pPr>
      <w:bookmarkStart w:id="1745" w:name="b1730"/>
      <w:r>
        <w:t>§ 1239 Mitbieten durch Gläubiger und Eigentümer</w:t>
      </w:r>
      <w:r>
        <w:t xml:space="preserve"> </w:t>
      </w:r>
      <w:r>
        <w:rPr>
          <w:rStyle w:val="Suchmarke"/>
        </w:rPr>
        <w:t>#1239#</w:t>
      </w:r>
      <w:bookmarkEnd w:id="1745"/>
    </w:p>
    <w:p>
      <w:r>
        <w:t xml:space="preserve">(1) </w:t>
      </w:r>
      <w:r>
        <w:rPr>
          <w:rStyle w:val="Satznummer"/>
        </w:rPr>
        <w:t>1</w:t>
      </w:r>
      <w:r>
        <w:t xml:space="preserve">Der Pfandgläubiger und der Eigentümer können bei der Versteigerung mitbieten. </w:t>
      </w:r>
      <w:r>
        <w:rPr>
          <w:rStyle w:val="Satznummer"/>
        </w:rPr>
        <w:t>2</w:t>
      </w:r>
      <w:r>
        <w:t>Erhält der Pfandgläubiger den Zuschlag, so ist der Kaufpreis als von ihm empfangen anzusehen.</w:t>
      </w:r>
    </w:p>
    <w:p>
      <w:r>
        <w:t xml:space="preserve">(2) </w:t>
      </w:r>
      <w:r>
        <w:rPr>
          <w:rStyle w:val="Satznummer"/>
        </w:rPr>
        <w:t>1</w:t>
      </w:r>
      <w:r>
        <w:t xml:space="preserve">Das Gebot des Eigentümers darf zurückgewiesen werden, wenn nicht der Betrag mit dem Gebot zur Verfügung gestellt wird. </w:t>
      </w:r>
      <w:r>
        <w:rPr>
          <w:rStyle w:val="Satznummer"/>
        </w:rPr>
        <w:t>2</w:t>
      </w:r>
      <w:r>
        <w:t>Das Gleiche gilt von dem Gebot des Schuldners, wenn das Pfand für eine fremde Schuld haftet.</w:t>
      </w:r>
    </w:p>
    <w:p>
      <w:pPr>
        <w:pStyle w:val="Heading4"/>
      </w:pPr>
      <w:bookmarkStart w:id="1746" w:name="b1731"/>
      <w:r>
        <w:t>§ 1240 Gold- und Silbersachen</w:t>
      </w:r>
      <w:r>
        <w:t xml:space="preserve"> </w:t>
      </w:r>
      <w:r>
        <w:rPr>
          <w:rStyle w:val="Suchmarke"/>
        </w:rPr>
        <w:t>#1240#</w:t>
      </w:r>
      <w:bookmarkEnd w:id="1746"/>
    </w:p>
    <w:p>
      <w:r>
        <w:t>(1) Gold- und Silbersachen dürfen nicht unter dem Gold- oder Silberwert zugeschlagen werden.</w:t>
      </w:r>
    </w:p>
    <w:p>
      <w:r>
        <w:t>(2) Wird ein genügendes Gebot nicht abgegeben, so kann der Verkauf durch eine zur öffentlichen Versteigerung befugte Person aus freier Hand zu einem den Gold- oder Silberwert erreichenden Preis erfolgen.</w:t>
      </w:r>
    </w:p>
    <w:p>
      <w:pPr>
        <w:pStyle w:val="Heading4"/>
      </w:pPr>
      <w:bookmarkStart w:id="1747" w:name="b1732"/>
      <w:r>
        <w:t>§ 1241 Benachrichtigung des Eigentümers</w:t>
      </w:r>
      <w:r>
        <w:t xml:space="preserve"> </w:t>
      </w:r>
      <w:r>
        <w:rPr>
          <w:rStyle w:val="Suchmarke"/>
        </w:rPr>
        <w:t>#1241#</w:t>
      </w:r>
      <w:bookmarkEnd w:id="1747"/>
    </w:p>
    <w:p>
      <w:r>
        <w:t>Der Pfandgläubiger hat den Eigentümer von dem Verkauf des Pfandes und dem Ergebnis unverzüglich zu benachrichtigen, sofern nicht die Benachrichtigung untunlich ist.</w:t>
      </w:r>
    </w:p>
    <w:p>
      <w:pPr>
        <w:pStyle w:val="Heading4"/>
      </w:pPr>
      <w:bookmarkStart w:id="1748" w:name="b1733"/>
      <w:r>
        <w:t>§ 1242 Wirkungen der rechtmäßigen Veräußerung</w:t>
      </w:r>
      <w:r>
        <w:t xml:space="preserve"> </w:t>
      </w:r>
      <w:r>
        <w:rPr>
          <w:rStyle w:val="Suchmarke"/>
        </w:rPr>
        <w:t>#1242#</w:t>
      </w:r>
      <w:bookmarkEnd w:id="1748"/>
    </w:p>
    <w:p>
      <w:r>
        <w:t xml:space="preserve">(1) </w:t>
      </w:r>
      <w:r>
        <w:rPr>
          <w:rStyle w:val="Satznummer"/>
        </w:rPr>
        <w:t>1</w:t>
      </w:r>
      <w:r>
        <w:t xml:space="preserve">Durch die rechtmäßige Veräußerung des Pfandes erlangt der Erwerber die gleichen Rechte, wie wenn er die Sache von dem Eigentümer erworben hätte. </w:t>
      </w:r>
      <w:r>
        <w:rPr>
          <w:rStyle w:val="Satznummer"/>
        </w:rPr>
        <w:t>2</w:t>
      </w:r>
      <w:r>
        <w:t>Dies gilt auch dann, wenn dem Pfandgläubiger der Zuschlag erteilt wird.</w:t>
      </w:r>
    </w:p>
    <w:p>
      <w:r>
        <w:t xml:space="preserve">(2) </w:t>
      </w:r>
      <w:r>
        <w:rPr>
          <w:rStyle w:val="Satznummer"/>
        </w:rPr>
        <w:t>1</w:t>
      </w:r>
      <w:r>
        <w:t xml:space="preserve">Pfandrechte an der Sache erlöschen, auch wenn sie dem Erwerber bekannt waren. </w:t>
      </w:r>
      <w:r>
        <w:rPr>
          <w:rStyle w:val="Satznummer"/>
        </w:rPr>
        <w:t>2</w:t>
      </w:r>
      <w:r>
        <w:t>Das Gleiche gilt von einem Nießbrauch, es sei denn, dass er allen Pfandrechten im Range vorgeht.</w:t>
      </w:r>
    </w:p>
    <w:p>
      <w:pPr>
        <w:pStyle w:val="Heading4"/>
      </w:pPr>
      <w:bookmarkStart w:id="1749" w:name="b1734"/>
      <w:r>
        <w:t>§ 1243 Rechtswidrige Veräußerung</w:t>
      </w:r>
      <w:r>
        <w:t xml:space="preserve"> </w:t>
      </w:r>
      <w:r>
        <w:rPr>
          <w:rStyle w:val="Suchmarke"/>
        </w:rPr>
        <w:t>#1243#</w:t>
      </w:r>
      <w:bookmarkEnd w:id="1749"/>
    </w:p>
    <w:p>
      <w:r>
        <w:t xml:space="preserve">(1) Die Veräußerung des Pfandes ist nicht rechtmäßig, wenn gegen die Vorschriften des </w:t>
      </w:r>
      <w:hyperlink w:anchor="b1719" w:history="1">
        <w:r>
          <w:rPr>
            <w:color w:val="0A3A8C"/>
            <w:u w:val="single"/>
          </w:rPr>
          <w:t xml:space="preserve">§ 1228</w:t>
        </w:r>
      </w:hyperlink>
      <w:r>
        <w:t xml:space="preserve"> Abs. 2, des </w:t>
      </w:r>
      <w:hyperlink w:anchor="b1721" w:history="1">
        <w:r>
          <w:rPr>
            <w:color w:val="0A3A8C"/>
            <w:u w:val="single"/>
          </w:rPr>
          <w:t xml:space="preserve">§ 1230</w:t>
        </w:r>
      </w:hyperlink>
      <w:r>
        <w:t xml:space="preserve"> Satz 2, des </w:t>
      </w:r>
      <w:hyperlink w:anchor="b1726" w:history="1">
        <w:r>
          <w:rPr>
            <w:color w:val="0A3A8C"/>
            <w:u w:val="single"/>
          </w:rPr>
          <w:t xml:space="preserve">§ 1235</w:t>
        </w:r>
      </w:hyperlink>
      <w:r>
        <w:t xml:space="preserve">, des </w:t>
      </w:r>
      <w:hyperlink w:anchor="b1728" w:history="1">
        <w:r>
          <w:rPr>
            <w:color w:val="0A3A8C"/>
            <w:u w:val="single"/>
          </w:rPr>
          <w:t xml:space="preserve">§ 1237</w:t>
        </w:r>
      </w:hyperlink>
      <w:r>
        <w:t xml:space="preserve"> Satz 1 oder des </w:t>
      </w:r>
      <w:hyperlink w:anchor="b1731" w:history="1">
        <w:r>
          <w:rPr>
            <w:color w:val="0A3A8C"/>
            <w:u w:val="single"/>
          </w:rPr>
          <w:t xml:space="preserve">§ 1240</w:t>
        </w:r>
      </w:hyperlink>
      <w:r>
        <w:t xml:space="preserve"> verstoßen wird.</w:t>
      </w:r>
    </w:p>
    <w:p>
      <w:r>
        <w:t>(2) Verletzt der Pfandgläubiger eine andere für den Verkauf geltende Vorschrift, so ist er zum Schadensersatz verpflichtet, wenn ihm ein Verschulden zur Last fällt.</w:t>
      </w:r>
    </w:p>
    <w:p>
      <w:pPr>
        <w:pStyle w:val="Heading4"/>
      </w:pPr>
      <w:bookmarkStart w:id="1750" w:name="b1735"/>
      <w:r>
        <w:t>§ 1244 Gutgläubiger Erwerb</w:t>
      </w:r>
      <w:r>
        <w:t xml:space="preserve"> </w:t>
      </w:r>
      <w:r>
        <w:rPr>
          <w:rStyle w:val="Suchmarke"/>
        </w:rPr>
        <w:t>#1244#</w:t>
      </w:r>
      <w:bookmarkEnd w:id="1750"/>
    </w:p>
    <w:p>
      <w:r>
        <w:t xml:space="preserve">Wird eine Sache als Pfand veräußert, ohne dass dem Veräußerer ein Pfandrecht zusteht oder den Erfordernissen genügt wird, von denen die Rechtmäßigkeit der Veräußerung abhängt, so finden die Vorschriften der </w:t>
      </w:r>
      <w:hyperlink w:anchor="b1397" w:history="1">
        <w:r>
          <w:rPr>
            <w:color w:val="0A3A8C"/>
            <w:u w:val="single"/>
          </w:rPr>
          <w:t xml:space="preserve">§§ 932</w:t>
        </w:r>
      </w:hyperlink>
      <w:r>
        <w:t xml:space="preserve"> bis </w:t>
      </w:r>
      <w:hyperlink w:anchor="b1400" w:history="1">
        <w:r>
          <w:rPr>
            <w:color w:val="0A3A8C"/>
            <w:u w:val="single"/>
          </w:rPr>
          <w:t xml:space="preserve">934</w:t>
        </w:r>
      </w:hyperlink>
      <w:r>
        <w:t xml:space="preserve">, </w:t>
      </w:r>
      <w:hyperlink w:anchor="b1402" w:history="1">
        <w:r>
          <w:rPr>
            <w:color w:val="0A3A8C"/>
            <w:u w:val="single"/>
          </w:rPr>
          <w:t xml:space="preserve">936</w:t>
        </w:r>
      </w:hyperlink>
      <w:r>
        <w:t xml:space="preserve"> entsprechende Anwendung, wenn die Veräußerung nach </w:t>
      </w:r>
      <w:hyperlink w:anchor="b1724" w:history="1">
        <w:r>
          <w:rPr>
            <w:color w:val="0A3A8C"/>
            <w:u w:val="single"/>
          </w:rPr>
          <w:t xml:space="preserve">§ 1233</w:t>
        </w:r>
      </w:hyperlink>
      <w:r>
        <w:t xml:space="preserve"> Abs. 2 erfolgt ist oder die Vorschriften des </w:t>
      </w:r>
      <w:hyperlink w:anchor="b1726" w:history="1">
        <w:r>
          <w:rPr>
            <w:color w:val="0A3A8C"/>
            <w:u w:val="single"/>
          </w:rPr>
          <w:t xml:space="preserve">§ 1235</w:t>
        </w:r>
      </w:hyperlink>
      <w:r>
        <w:t xml:space="preserve"> oder des </w:t>
      </w:r>
      <w:hyperlink w:anchor="b1731" w:history="1">
        <w:r>
          <w:rPr>
            <w:color w:val="0A3A8C"/>
            <w:u w:val="single"/>
          </w:rPr>
          <w:t xml:space="preserve">§ 1240</w:t>
        </w:r>
      </w:hyperlink>
      <w:r>
        <w:t xml:space="preserve"> Abs. 2 beobachtet worden sind.</w:t>
      </w:r>
    </w:p>
    <w:p>
      <w:pPr>
        <w:pStyle w:val="Heading4"/>
      </w:pPr>
      <w:bookmarkStart w:id="1751" w:name="b1736"/>
      <w:r>
        <w:t>§ 1245 Abweichende Vereinbarungen</w:t>
      </w:r>
      <w:r>
        <w:t xml:space="preserve"> </w:t>
      </w:r>
      <w:r>
        <w:rPr>
          <w:rStyle w:val="Suchmarke"/>
        </w:rPr>
        <w:t>#1245#</w:t>
      </w:r>
      <w:bookmarkEnd w:id="1751"/>
    </w:p>
    <w:p>
      <w:r>
        <w:t xml:space="preserve">(1) </w:t>
      </w:r>
      <w:r>
        <w:rPr>
          <w:rStyle w:val="Satznummer"/>
        </w:rPr>
        <w:t>1</w:t>
      </w:r>
      <w:r>
        <w:t xml:space="preserve">Der Eigentümer und der Pfandgläubiger können eine von den Vorschriften der </w:t>
      </w:r>
      <w:hyperlink w:anchor="b1725" w:history="1">
        <w:r>
          <w:rPr>
            <w:color w:val="0A3A8C"/>
            <w:u w:val="single"/>
          </w:rPr>
          <w:t xml:space="preserve">§§ 1234</w:t>
        </w:r>
      </w:hyperlink>
      <w:r>
        <w:t xml:space="preserve"> bis </w:t>
      </w:r>
      <w:hyperlink w:anchor="b1731" w:history="1">
        <w:r>
          <w:rPr>
            <w:color w:val="0A3A8C"/>
            <w:u w:val="single"/>
          </w:rPr>
          <w:t xml:space="preserve">1240</w:t>
        </w:r>
      </w:hyperlink>
      <w:r>
        <w:t xml:space="preserve"> abweichende Art des Pfandverkaufs vereinbaren. </w:t>
      </w:r>
      <w:r>
        <w:rPr>
          <w:rStyle w:val="Satznummer"/>
        </w:rPr>
        <w:t>2</w:t>
      </w:r>
      <w:r>
        <w:t xml:space="preserve">Steht einem Dritten an dem Pfande ein Recht zu, das durch die Veräußerung erlischt, so ist die Zustimmung des Dritten erforderlich. </w:t>
      </w:r>
      <w:r>
        <w:rPr>
          <w:rStyle w:val="Satznummer"/>
        </w:rPr>
        <w:t>3</w:t>
      </w:r>
      <w:r>
        <w:t>Die Zustimmung ist demjenigen gegenüber zu erklären, zu dessen Gunsten sie erfolgt; sie ist unwiderruflich.</w:t>
      </w:r>
    </w:p>
    <w:p>
      <w:r>
        <w:t xml:space="preserve">(2) Auf die Beobachtung der Vorschriften des </w:t>
      </w:r>
      <w:hyperlink w:anchor="b1726" w:history="1">
        <w:r>
          <w:rPr>
            <w:color w:val="0A3A8C"/>
            <w:u w:val="single"/>
          </w:rPr>
          <w:t xml:space="preserve">§ 1235</w:t>
        </w:r>
      </w:hyperlink>
      <w:r>
        <w:t xml:space="preserve">, des </w:t>
      </w:r>
      <w:hyperlink w:anchor="b1728" w:history="1">
        <w:r>
          <w:rPr>
            <w:color w:val="0A3A8C"/>
            <w:u w:val="single"/>
          </w:rPr>
          <w:t xml:space="preserve">§ 1237</w:t>
        </w:r>
      </w:hyperlink>
      <w:r>
        <w:t xml:space="preserve"> Satz 1 und des </w:t>
      </w:r>
      <w:hyperlink w:anchor="b1731" w:history="1">
        <w:r>
          <w:rPr>
            <w:color w:val="0A3A8C"/>
            <w:u w:val="single"/>
          </w:rPr>
          <w:t xml:space="preserve">§ 1240</w:t>
        </w:r>
      </w:hyperlink>
      <w:r>
        <w:t xml:space="preserve"> kann nicht vor dem Eintritt der Verkaufsberechtigung verzichtet werden.</w:t>
      </w:r>
    </w:p>
    <w:p>
      <w:pPr>
        <w:pStyle w:val="Heading4"/>
      </w:pPr>
      <w:bookmarkStart w:id="1752" w:name="b1737"/>
      <w:r>
        <w:t>§ 1246 Abweichung aus Billigkeitsgründen</w:t>
      </w:r>
      <w:r>
        <w:t xml:space="preserve"> </w:t>
      </w:r>
      <w:r>
        <w:rPr>
          <w:rStyle w:val="Suchmarke"/>
        </w:rPr>
        <w:t>#1246#</w:t>
      </w:r>
      <w:bookmarkEnd w:id="1752"/>
    </w:p>
    <w:p>
      <w:r>
        <w:t xml:space="preserve">(1) Entspricht eine von den Vorschriften der </w:t>
      </w:r>
      <w:hyperlink w:anchor="b1726" w:history="1">
        <w:r>
          <w:rPr>
            <w:color w:val="0A3A8C"/>
            <w:u w:val="single"/>
          </w:rPr>
          <w:t xml:space="preserve">§§ 1235</w:t>
        </w:r>
      </w:hyperlink>
      <w:r>
        <w:t xml:space="preserve"> bis </w:t>
      </w:r>
      <w:hyperlink w:anchor="b1731" w:history="1">
        <w:r>
          <w:rPr>
            <w:color w:val="0A3A8C"/>
            <w:u w:val="single"/>
          </w:rPr>
          <w:t xml:space="preserve">1240</w:t>
        </w:r>
      </w:hyperlink>
      <w:r>
        <w:t xml:space="preserve"> abweichende Art des Pfandverkaufs nach billigem Ermessen den Interessen der Beteiligten, so kann jeder von ihnen verlangen, dass der Verkauf in dieser Art erfolgt.</w:t>
      </w:r>
    </w:p>
    <w:p>
      <w:r>
        <w:t>(2) Kommt eine Einigung nicht zustande, so entscheidet das Gericht.</w:t>
      </w:r>
    </w:p>
    <w:p>
      <w:pPr>
        <w:pStyle w:val="Heading4"/>
      </w:pPr>
      <w:bookmarkStart w:id="1753" w:name="b1738"/>
      <w:r>
        <w:t>§ 1247 Erlös aus dem Pfande</w:t>
      </w:r>
      <w:r>
        <w:t xml:space="preserve"> </w:t>
      </w:r>
      <w:r>
        <w:rPr>
          <w:rStyle w:val="Suchmarke"/>
        </w:rPr>
        <w:t>#1247#</w:t>
      </w:r>
      <w:bookmarkEnd w:id="1753"/>
    </w:p>
    <w:p>
      <w:r>
        <w:rPr>
          <w:rStyle w:val="Satznummer"/>
        </w:rPr>
        <w:t>1</w:t>
      </w:r>
      <w:r>
        <w:t xml:space="preserve">Soweit der Erlös aus dem Pfande dem Pfandgläubiger zu seiner Befriedigung gebührt, gilt die Forderung als von dem Eigentümer berichtigt. </w:t>
      </w:r>
      <w:r>
        <w:rPr>
          <w:rStyle w:val="Satznummer"/>
        </w:rPr>
        <w:t>2</w:t>
      </w:r>
      <w:r>
        <w:t>Im Übrigen tritt der Erlös an die Stelle des Pfandes.</w:t>
      </w:r>
    </w:p>
    <w:p>
      <w:pPr>
        <w:pStyle w:val="Heading4"/>
      </w:pPr>
      <w:bookmarkStart w:id="1754" w:name="b1739"/>
      <w:r>
        <w:t>§ 1248 Eigentumsvermutung</w:t>
      </w:r>
      <w:r>
        <w:t xml:space="preserve"> </w:t>
      </w:r>
      <w:r>
        <w:rPr>
          <w:rStyle w:val="Suchmarke"/>
        </w:rPr>
        <w:t>#1248#</w:t>
      </w:r>
      <w:bookmarkEnd w:id="1754"/>
    </w:p>
    <w:p>
      <w:r>
        <w:t>Bei dem Verkauf des Pfandes gilt zugunsten des Pfandgläubigers der Verpfänder als der Eigentümer, es sei denn, dass der Pfandgläubiger weiß, dass der Verpfänder nicht der Eigentümer ist.</w:t>
      </w:r>
    </w:p>
    <w:p>
      <w:pPr>
        <w:pStyle w:val="Heading4"/>
      </w:pPr>
      <w:bookmarkStart w:id="1755" w:name="b1740"/>
      <w:r>
        <w:t>§ 1249 Ablösungsrecht</w:t>
      </w:r>
      <w:r>
        <w:t xml:space="preserve"> </w:t>
      </w:r>
      <w:r>
        <w:rPr>
          <w:rStyle w:val="Suchmarke"/>
        </w:rPr>
        <w:t>#1249#</w:t>
      </w:r>
      <w:bookmarkEnd w:id="1755"/>
    </w:p>
    <w:p>
      <w:r>
        <w:rPr>
          <w:rStyle w:val="Satznummer"/>
        </w:rPr>
        <w:t>1</w:t>
      </w:r>
      <w:r>
        <w:t xml:space="preserve">Wer durch die Veräußerung des Pfandes ein Recht an dem Pfande verlieren würde, kann den Pfandgläubiger befriedigen, sobald der Schuldner zur Leistung berechtigt ist. </w:t>
      </w:r>
      <w:r>
        <w:rPr>
          <w:rStyle w:val="Satznummer"/>
        </w:rPr>
        <w:t>2</w:t>
      </w:r>
      <w:r>
        <w:t xml:space="preserve">Die Vorschrift des </w:t>
      </w:r>
      <w:hyperlink w:anchor="b310" w:history="1">
        <w:r>
          <w:rPr>
            <w:color w:val="0A3A8C"/>
            <w:u w:val="single"/>
          </w:rPr>
          <w:t xml:space="preserve">§ 268</w:t>
        </w:r>
      </w:hyperlink>
      <w:r>
        <w:t xml:space="preserve"> Abs. 2, 3 findet entsprechende Anwendung.</w:t>
      </w:r>
    </w:p>
    <w:p>
      <w:pPr>
        <w:pStyle w:val="Heading4"/>
      </w:pPr>
      <w:bookmarkStart w:id="1756" w:name="b1741"/>
      <w:r>
        <w:t>§ 1250 Übertragung der Forderung</w:t>
      </w:r>
      <w:r>
        <w:t xml:space="preserve"> </w:t>
      </w:r>
      <w:r>
        <w:rPr>
          <w:rStyle w:val="Suchmarke"/>
        </w:rPr>
        <w:t>#1250#</w:t>
      </w:r>
      <w:bookmarkEnd w:id="1756"/>
    </w:p>
    <w:p>
      <w:r>
        <w:t xml:space="preserve">(1) </w:t>
      </w:r>
      <w:r>
        <w:rPr>
          <w:rStyle w:val="Satznummer"/>
        </w:rPr>
        <w:t>1</w:t>
      </w:r>
      <w:r>
        <w:t xml:space="preserve">Mit der Übertragung der Forderung geht das Pfandrecht auf den neuen Gläubiger über. </w:t>
      </w:r>
      <w:r>
        <w:rPr>
          <w:rStyle w:val="Satznummer"/>
        </w:rPr>
        <w:t>2</w:t>
      </w:r>
      <w:r>
        <w:t>Das Pfandrecht kann nicht ohne die Forderung übertragen werden.</w:t>
      </w:r>
    </w:p>
    <w:p>
      <w:r>
        <w:t>(2) Wird bei der Übertragung der Forderung der Übergang des Pfandrechts ausgeschlossen, so erlischt das Pfandrecht.</w:t>
      </w:r>
    </w:p>
    <w:p>
      <w:pPr>
        <w:pStyle w:val="Heading4"/>
      </w:pPr>
      <w:bookmarkStart w:id="1757" w:name="b1742"/>
      <w:r>
        <w:t>§ 1251 Wirkung des Pfandrechtsübergangs</w:t>
      </w:r>
      <w:r>
        <w:t xml:space="preserve"> </w:t>
      </w:r>
      <w:r>
        <w:rPr>
          <w:rStyle w:val="Suchmarke"/>
        </w:rPr>
        <w:t>#1251#</w:t>
      </w:r>
      <w:bookmarkEnd w:id="1757"/>
    </w:p>
    <w:p>
      <w:r>
        <w:t>(1) Der neue Pfandgläubiger kann von dem bisherigen Pfandgläubiger die Herausgabe des Pfandes verlangen.</w:t>
      </w:r>
    </w:p>
    <w:p>
      <w:r>
        <w:t xml:space="preserve">(2) </w:t>
      </w:r>
      <w:r>
        <w:rPr>
          <w:rStyle w:val="Satznummer"/>
        </w:rPr>
        <w:t>1</w:t>
      </w:r>
      <w:r>
        <w:t xml:space="preserve">Mit der Erlangung des Besitzes tritt der neue Pfandgläubiger anstelle des bisherigen Pfandgläubigers in die mit dem Pfandrecht verbundenen Verpflichtungen gegen den Verpfänder ein. </w:t>
      </w:r>
      <w:r>
        <w:rPr>
          <w:rStyle w:val="Satznummer"/>
        </w:rPr>
        <w:t>2</w:t>
      </w:r>
      <w:r>
        <w:t xml:space="preserve">Erfüllt er die Verpflichtungen nicht, so haftet für den von ihm zu ersetzenden Schaden der bisherige Pfandgläubiger wie ein Bürge, der auf die Einrede der Vorausklage verzichtet hat. </w:t>
      </w:r>
      <w:r>
        <w:rPr>
          <w:rStyle w:val="Satznummer"/>
        </w:rPr>
        <w:t>3</w:t>
      </w:r>
      <w:r>
        <w:t>Die Haftung des bisherigen Pfandgläubigers tritt nicht ein, wenn die Forderung kraft Gesetzes auf den neuen Pfandgläubiger übergeht oder ihm auf Grund einer gesetzlichen Verpflichtung abgetreten wird.</w:t>
      </w:r>
    </w:p>
    <w:p>
      <w:pPr>
        <w:pStyle w:val="Heading4"/>
      </w:pPr>
      <w:bookmarkStart w:id="1758" w:name="b1743"/>
      <w:r>
        <w:t>§ 1252 Erlöschen mit der Forderung</w:t>
      </w:r>
      <w:r>
        <w:t xml:space="preserve"> </w:t>
      </w:r>
      <w:r>
        <w:rPr>
          <w:rStyle w:val="Suchmarke"/>
        </w:rPr>
        <w:t>#1252#</w:t>
      </w:r>
      <w:bookmarkEnd w:id="1758"/>
    </w:p>
    <w:p>
      <w:r>
        <w:t>Das Pfandrecht erlischt mit der Forderung, für die es besteht.</w:t>
      </w:r>
    </w:p>
    <w:p>
      <w:pPr>
        <w:pStyle w:val="Heading4"/>
      </w:pPr>
      <w:bookmarkStart w:id="1759" w:name="b1744"/>
      <w:r>
        <w:t>§ 1253 Erlöschen durch Rückgabe</w:t>
      </w:r>
      <w:r>
        <w:t xml:space="preserve"> </w:t>
      </w:r>
      <w:r>
        <w:rPr>
          <w:rStyle w:val="Suchmarke"/>
        </w:rPr>
        <w:t>#1253#</w:t>
      </w:r>
      <w:bookmarkEnd w:id="1759"/>
    </w:p>
    <w:p>
      <w:r>
        <w:t xml:space="preserve">(1) </w:t>
      </w:r>
      <w:r>
        <w:rPr>
          <w:rStyle w:val="Satznummer"/>
        </w:rPr>
        <w:t>1</w:t>
      </w:r>
      <w:r>
        <w:t xml:space="preserve">Das Pfandrecht erlischt, wenn der Pfandgläubiger das Pfand dem Verpfänder oder dem Eigentümer zurückgibt. </w:t>
      </w:r>
      <w:r>
        <w:rPr>
          <w:rStyle w:val="Satznummer"/>
        </w:rPr>
        <w:t>2</w:t>
      </w:r>
      <w:r>
        <w:t>Der Vorbehalt der Fortdauer des Pfandrechts ist unwirksam.</w:t>
      </w:r>
    </w:p>
    <w:p>
      <w:r>
        <w:t xml:space="preserve">(2) </w:t>
      </w:r>
      <w:r>
        <w:rPr>
          <w:rStyle w:val="Satznummer"/>
        </w:rPr>
        <w:t>1</w:t>
      </w:r>
      <w:r>
        <w:t xml:space="preserve">Ist das Pfand im Besitz des Verpfänders oder des Eigentümers, so wird vermutet, dass das Pfand ihm von dem Pfandgläubiger zurückgegeben worden sei. </w:t>
      </w:r>
      <w:r>
        <w:rPr>
          <w:rStyle w:val="Satznummer"/>
        </w:rPr>
        <w:t>2</w:t>
      </w:r>
      <w:r>
        <w:t>Diese Vermutung gilt auch dann, wenn sich das Pfand im Besitz eines Dritten befindet, der den Besitz nach der Entstehung des Pfandrechts von dem Verpfänder oder dem Eigentümer erlangt hat.</w:t>
      </w:r>
    </w:p>
    <w:p>
      <w:pPr>
        <w:pStyle w:val="Heading4"/>
      </w:pPr>
      <w:bookmarkStart w:id="1760" w:name="b1745"/>
      <w:r>
        <w:t>§ 1254 Anspruch auf Rückgabe</w:t>
      </w:r>
      <w:r>
        <w:t xml:space="preserve"> </w:t>
      </w:r>
      <w:r>
        <w:rPr>
          <w:rStyle w:val="Suchmarke"/>
        </w:rPr>
        <w:t>#1254#</w:t>
      </w:r>
      <w:bookmarkEnd w:id="1760"/>
    </w:p>
    <w:p>
      <w:r>
        <w:rPr>
          <w:rStyle w:val="Satznummer"/>
        </w:rPr>
        <w:t>1</w:t>
      </w:r>
      <w:r>
        <w:t xml:space="preserve">Steht dem Pfandrecht eine Einrede entgegen, durch welche die Geltendmachung des Pfandrechts dauernd ausgeschlossen wird, so kann der Verpfänder die Rückgabe des Pfandes verlangen. </w:t>
      </w:r>
      <w:r>
        <w:rPr>
          <w:rStyle w:val="Satznummer"/>
        </w:rPr>
        <w:t>2</w:t>
      </w:r>
      <w:r>
        <w:t>Das gleiche Recht hat der Eigentümer.</w:t>
      </w:r>
    </w:p>
    <w:p>
      <w:pPr>
        <w:pStyle w:val="Heading4"/>
      </w:pPr>
      <w:bookmarkStart w:id="1761" w:name="b1746"/>
      <w:r>
        <w:t>§ 1255 Aufhebung des Pfandrechts</w:t>
      </w:r>
      <w:r>
        <w:t xml:space="preserve"> </w:t>
      </w:r>
      <w:r>
        <w:rPr>
          <w:rStyle w:val="Suchmarke"/>
        </w:rPr>
        <w:t>#1255#</w:t>
      </w:r>
      <w:bookmarkEnd w:id="1761"/>
    </w:p>
    <w:p>
      <w:r>
        <w:t>(1) Zur Aufhebung des Pfandrechts durch Rechtsgeschäft genügt die Erklärung des Pfandgläubigers gegenüber dem Verpfänder oder dem Eigentümer, dass er das Pfandrecht aufgebe.</w:t>
      </w:r>
    </w:p>
    <w:p>
      <w:r>
        <w:t xml:space="preserve">(2) </w:t>
      </w:r>
      <w:r>
        <w:rPr>
          <w:rStyle w:val="Satznummer"/>
        </w:rPr>
        <w:t>1</w:t>
      </w:r>
      <w:r>
        <w:t xml:space="preserve">Ist das Pfandrecht mit dem Recht eines Dritten belastet, so ist die Zustimmung des Dritten erforderlich. </w:t>
      </w:r>
      <w:r>
        <w:rPr>
          <w:rStyle w:val="Satznummer"/>
        </w:rPr>
        <w:t>2</w:t>
      </w:r>
      <w:r>
        <w:t>Die Zustimmung ist demjenigen gegenüber zu erklären, zu dessen Gunsten sie erfolgt; sie ist unwiderruflich.</w:t>
      </w:r>
    </w:p>
    <w:p>
      <w:pPr>
        <w:pStyle w:val="Heading4"/>
      </w:pPr>
      <w:bookmarkStart w:id="1762" w:name="b1747"/>
      <w:r>
        <w:t>§ 1256 Zusammentreffen von Pfandrecht und Eigentum</w:t>
      </w:r>
      <w:r>
        <w:t xml:space="preserve"> </w:t>
      </w:r>
      <w:r>
        <w:rPr>
          <w:rStyle w:val="Suchmarke"/>
        </w:rPr>
        <w:t>#1256#</w:t>
      </w:r>
      <w:bookmarkEnd w:id="1762"/>
    </w:p>
    <w:p>
      <w:r>
        <w:t xml:space="preserve">(1) </w:t>
      </w:r>
      <w:r>
        <w:rPr>
          <w:rStyle w:val="Satznummer"/>
        </w:rPr>
        <w:t>1</w:t>
      </w:r>
      <w:r>
        <w:t xml:space="preserve">Das Pfandrecht erlischt, wenn es mit dem Eigentum in derselben Person zusammentrifft. </w:t>
      </w:r>
      <w:r>
        <w:rPr>
          <w:rStyle w:val="Satznummer"/>
        </w:rPr>
        <w:t>2</w:t>
      </w:r>
      <w:r>
        <w:t>Das Erlöschen tritt nicht ein, solange die Forderung, für welche das Pfandrecht besteht, mit dem Recht eines Dritten belastet ist.</w:t>
      </w:r>
    </w:p>
    <w:p>
      <w:r>
        <w:t>(2) Das Pfandrecht gilt als nicht erloschen, soweit der Eigentümer ein rechtliches Interesse an dem Fortbestehen des Pfandrechts hat.</w:t>
      </w:r>
    </w:p>
    <w:p>
      <w:pPr>
        <w:pStyle w:val="Heading4"/>
      </w:pPr>
      <w:bookmarkStart w:id="1763" w:name="b1748"/>
      <w:r>
        <w:t>§ 1257 Gesetzliches Pfandrecht</w:t>
      </w:r>
      <w:r>
        <w:t xml:space="preserve"> </w:t>
      </w:r>
      <w:r>
        <w:rPr>
          <w:rStyle w:val="Suchmarke"/>
        </w:rPr>
        <w:t>#1257#</w:t>
      </w:r>
      <w:bookmarkEnd w:id="1763"/>
    </w:p>
    <w:p>
      <w:r>
        <w:t>Die Vorschriften über das durch Rechtsgeschäft bestellte Pfandrecht finden auf ein kraft Gesetzes entstandenes Pfandrecht entsprechende Anwendung.</w:t>
      </w:r>
    </w:p>
    <w:p>
      <w:pPr>
        <w:pStyle w:val="Heading4"/>
      </w:pPr>
      <w:bookmarkStart w:id="1764" w:name="b1749"/>
      <w:r>
        <w:t>§ 1258 Pfandrecht am Anteil eines Miteigentümers</w:t>
      </w:r>
      <w:r>
        <w:t xml:space="preserve"> </w:t>
      </w:r>
      <w:r>
        <w:rPr>
          <w:rStyle w:val="Suchmarke"/>
        </w:rPr>
        <w:t>#1258#</w:t>
      </w:r>
      <w:bookmarkEnd w:id="1764"/>
    </w:p>
    <w:p>
      <w:r>
        <w:t>(1) Besteht ein Pfandrecht an dem Anteil eines Miteigentümers, so übt der Pfandgläubiger die Rechte aus, die sich aus der Gemeinschaft der Miteigentümer in Ansehung der Verwaltung der Sache und der Art ihrer Benutzung ergeben.</w:t>
      </w:r>
    </w:p>
    <w:p>
      <w:r>
        <w:t xml:space="preserve">(2) </w:t>
      </w:r>
      <w:r>
        <w:rPr>
          <w:rStyle w:val="Satznummer"/>
        </w:rPr>
        <w:t>1</w:t>
      </w:r>
      <w:r>
        <w:t xml:space="preserve">Die Aufhebung der Gemeinschaft kann vor dem Eintritt der Verkaufsberechtigung des Pfandgläubigers nur von dem Miteigentümer und dem Pfandgläubiger gemeinschaftlich verlangt werden. </w:t>
      </w:r>
      <w:r>
        <w:rPr>
          <w:rStyle w:val="Satznummer"/>
        </w:rPr>
        <w:t>2</w:t>
      </w:r>
      <w:r>
        <w:t>Nach dem Eintritt der Verkaufsberechtigung kann der Pfandgläubiger die Aufhebung der Gemeinschaft verlangen, ohne dass es der Zustimmung des Miteigentümers bedarf; er ist nicht an eine Vereinbarung gebunden, durch welche die Miteigentümer das Recht, die Aufhebung der Gemeinschaft zu verlangen, für immer oder auf Zeit ausgeschlossen oder eine Kündigungsfrist bestimmt haben.</w:t>
      </w:r>
    </w:p>
    <w:p>
      <w:r>
        <w:t>(3) Wird die Gemeinschaft aufgehoben, so gebührt dem Pfandgläubiger das Pfandrecht an den Gegenständen, welche an die Stelle des Anteils treten.</w:t>
      </w:r>
    </w:p>
    <w:p>
      <w:r>
        <w:t>(4) Das Recht des Pfandgläubigers zum Verkauf des Anteils bleibt unberührt.</w:t>
      </w:r>
    </w:p>
    <w:p>
      <w:pPr>
        <w:pStyle w:val="Heading4"/>
      </w:pPr>
      <w:bookmarkStart w:id="1765" w:name="b1750"/>
      <w:r>
        <w:t>§ 1259 Verwertung des gewerblichen Pfandes</w:t>
      </w:r>
      <w:r>
        <w:t xml:space="preserve"> </w:t>
      </w:r>
      <w:r>
        <w:rPr>
          <w:rStyle w:val="Suchmarke"/>
        </w:rPr>
        <w:t>#1259#</w:t>
      </w:r>
      <w:bookmarkEnd w:id="1765"/>
    </w:p>
    <w:p>
      <w:r>
        <w:rPr>
          <w:rStyle w:val="Satznummer"/>
        </w:rPr>
        <w:t>1</w:t>
      </w:r>
      <w:r>
        <w:t xml:space="preserve">Sind Eigentümer und Pfandgläubiger Unternehmer, juristische Personen des öffentlichen Rechts oder öffentlich-rechtliche Sondervermögen, können sie für die Verwertung des Pfandes, das einen Börsen- oder Marktpreis hat, schon bei der Verpfändung vereinbaren, dass der Pfandgläubiger den Verkauf aus freier Hand zum laufenden Preis selbst oder durch Dritte vornehmen kann oder dem Pfandgläubiger das Eigentum an der Sache bei Fälligkeit der Forderung zufallen soll. </w:t>
      </w:r>
      <w:r>
        <w:rPr>
          <w:rStyle w:val="Satznummer"/>
        </w:rPr>
        <w:t>2</w:t>
      </w:r>
      <w:r>
        <w:t xml:space="preserve">In diesem Fall gilt die Forderung in Höhe des am Tag der Fälligkeit geltenden Börsen- oder Marktpreises als von dem Eigentümer berichtigt. </w:t>
      </w:r>
      <w:r>
        <w:rPr>
          <w:rStyle w:val="Satznummer"/>
        </w:rPr>
        <w:t>3</w:t>
      </w:r>
      <w:r>
        <w:t xml:space="preserve">Die </w:t>
      </w:r>
      <w:hyperlink w:anchor="b1720" w:history="1">
        <w:r>
          <w:rPr>
            <w:color w:val="0A3A8C"/>
            <w:u w:val="single"/>
          </w:rPr>
          <w:t xml:space="preserve">§§ 1229</w:t>
        </w:r>
      </w:hyperlink>
      <w:r>
        <w:t xml:space="preserve"> und </w:t>
      </w:r>
      <w:hyperlink w:anchor="b1724" w:history="1">
        <w:r>
          <w:rPr>
            <w:color w:val="0A3A8C"/>
            <w:u w:val="single"/>
          </w:rPr>
          <w:t xml:space="preserve">1233</w:t>
        </w:r>
      </w:hyperlink>
      <w:r>
        <w:t xml:space="preserve"> bis </w:t>
      </w:r>
      <w:hyperlink w:anchor="b1730" w:history="1">
        <w:r>
          <w:rPr>
            <w:color w:val="0A3A8C"/>
            <w:u w:val="single"/>
          </w:rPr>
          <w:t xml:space="preserve">1239</w:t>
        </w:r>
      </w:hyperlink>
      <w:r>
        <w:t xml:space="preserve"> finden keine Anwendung.</w:t>
      </w:r>
    </w:p>
    <w:p>
      <w:pPr>
        <w:pStyle w:val="Heading4"/>
      </w:pPr>
      <w:bookmarkStart w:id="1766" w:name="b1751"/>
      <w:r>
        <w:t>§§ 1260 bis 1272 (weggefallen)</w:t>
      </w:r>
      <w:bookmarkEnd w:id="1766"/>
    </w:p>
    <w:p>
      <w:pPr>
        <w:pStyle w:val="Heading3"/>
      </w:pPr>
      <w:bookmarkStart w:id="1767" w:name="b1752"/>
      <w:r>
        <w:t>Titel 2 Pfandrecht an Rechten</w:t>
      </w:r>
      <w:bookmarkEnd w:id="1767"/>
    </w:p>
    <w:p>
      <w:pPr>
        <w:pStyle w:val="Heading4"/>
      </w:pPr>
      <w:bookmarkStart w:id="1768" w:name="b1753"/>
      <w:r>
        <w:t>§ 1273 Gesetzlicher Inhalt des Pfandrechts an Rechten</w:t>
      </w:r>
      <w:r>
        <w:t xml:space="preserve"> </w:t>
      </w:r>
      <w:r>
        <w:rPr>
          <w:rStyle w:val="Suchmarke"/>
        </w:rPr>
        <w:t>#1273#</w:t>
      </w:r>
      <w:bookmarkEnd w:id="1768"/>
    </w:p>
    <w:p>
      <w:r>
        <w:t>(1) Gegenstand des Pfandrechts kann auch ein Recht sein.</w:t>
      </w:r>
    </w:p>
    <w:p>
      <w:r>
        <w:t xml:space="preserve">(2) </w:t>
      </w:r>
      <w:r>
        <w:rPr>
          <w:rStyle w:val="Satznummer"/>
        </w:rPr>
        <w:t>1</w:t>
      </w:r>
      <w:r>
        <w:t xml:space="preserve">Auf das Pfandrecht an Rechten finden die Vorschriften über das Pfandrecht an beweglichen Sachen entsprechende Anwendung, soweit sich nicht aus den </w:t>
      </w:r>
      <w:hyperlink w:anchor="b1754" w:history="1">
        <w:r>
          <w:rPr>
            <w:color w:val="0A3A8C"/>
            <w:u w:val="single"/>
          </w:rPr>
          <w:t xml:space="preserve">§§ 1274</w:t>
        </w:r>
      </w:hyperlink>
      <w:r>
        <w:t xml:space="preserve"> bis </w:t>
      </w:r>
      <w:hyperlink w:anchor="b1776" w:history="1">
        <w:r>
          <w:rPr>
            <w:color w:val="0A3A8C"/>
            <w:u w:val="single"/>
          </w:rPr>
          <w:t xml:space="preserve">1296</w:t>
        </w:r>
      </w:hyperlink>
      <w:r>
        <w:t xml:space="preserve"> ein anderes ergibt. </w:t>
      </w:r>
      <w:r>
        <w:rPr>
          <w:rStyle w:val="Satznummer"/>
        </w:rPr>
        <w:t>2</w:t>
      </w:r>
      <w:r>
        <w:t xml:space="preserve">Die Anwendung der Vorschriften des </w:t>
      </w:r>
      <w:hyperlink w:anchor="b1699" w:history="1">
        <w:r>
          <w:rPr>
            <w:color w:val="0A3A8C"/>
            <w:u w:val="single"/>
          </w:rPr>
          <w:t xml:space="preserve">§ 1208</w:t>
        </w:r>
      </w:hyperlink>
      <w:r>
        <w:t xml:space="preserve"> und des </w:t>
      </w:r>
      <w:hyperlink w:anchor="b1704" w:history="1">
        <w:r>
          <w:rPr>
            <w:color w:val="0A3A8C"/>
            <w:u w:val="single"/>
          </w:rPr>
          <w:t xml:space="preserve">§ 1213</w:t>
        </w:r>
      </w:hyperlink>
      <w:r>
        <w:t xml:space="preserve"> Abs. 2 ist ausgeschlossen.</w:t>
      </w:r>
    </w:p>
    <w:p>
      <w:pPr>
        <w:pStyle w:val="Heading4"/>
      </w:pPr>
      <w:bookmarkStart w:id="1769" w:name="b1754"/>
      <w:r>
        <w:t>§ 1274 Bestellung</w:t>
      </w:r>
      <w:r>
        <w:t xml:space="preserve"> </w:t>
      </w:r>
      <w:r>
        <w:rPr>
          <w:rStyle w:val="Suchmarke"/>
        </w:rPr>
        <w:t>#1274#</w:t>
      </w:r>
      <w:bookmarkEnd w:id="1769"/>
    </w:p>
    <w:p>
      <w:r>
        <w:t xml:space="preserve">(1) </w:t>
      </w:r>
      <w:r>
        <w:rPr>
          <w:rStyle w:val="Satznummer"/>
        </w:rPr>
        <w:t>1</w:t>
      </w:r>
      <w:r>
        <w:t xml:space="preserve">Die Bestellung des Pfandrechts an einem Recht erfolgt nach den für die Übertragung des Rechts geltenden Vorschriften. </w:t>
      </w:r>
      <w:r>
        <w:rPr>
          <w:rStyle w:val="Satznummer"/>
        </w:rPr>
        <w:t>2</w:t>
      </w:r>
      <w:r>
        <w:t>Ist zur Übertragung des Rechts die Übergabe einer Sache erforderlich, so finden die Vorschriften der §§ 1205, 1206 Anwendung.</w:t>
      </w:r>
    </w:p>
    <w:p>
      <w:r>
        <w:t>(2) Soweit ein Recht nicht übertragbar ist, kann ein Pfandrecht an dem Recht nicht bestellt werden.</w:t>
      </w:r>
    </w:p>
    <w:p>
      <w:pPr>
        <w:pStyle w:val="Heading4"/>
      </w:pPr>
      <w:bookmarkStart w:id="1770" w:name="b1755"/>
      <w:r>
        <w:t>§ 1275 Pfandrecht an Recht auf Leistung</w:t>
      </w:r>
      <w:r>
        <w:t xml:space="preserve"> </w:t>
      </w:r>
      <w:r>
        <w:rPr>
          <w:rStyle w:val="Suchmarke"/>
        </w:rPr>
        <w:t>#1275#</w:t>
      </w:r>
      <w:bookmarkEnd w:id="1770"/>
    </w:p>
    <w:p>
      <w:r>
        <w:t xml:space="preserve">Ist ein Recht, kraft dessen eine Leistung gefordert werden kann, Gegenstand des Pfandrechts, so finden auf das Rechtsverhältnis zwischen dem Pfandgläubiger und dem Verpflichteten die Vorschriften, welche im Falle der Übertragung des Rechts für das Rechtsverhältnis zwischen dem Erwerber und dem Verpflichteten gelten, und im Falle einer nach </w:t>
      </w:r>
      <w:hyperlink w:anchor="b1708" w:history="1">
        <w:r>
          <w:rPr>
            <w:color w:val="0A3A8C"/>
            <w:u w:val="single"/>
          </w:rPr>
          <w:t xml:space="preserve">§ 1217</w:t>
        </w:r>
      </w:hyperlink>
      <w:r>
        <w:t xml:space="preserve"> Abs. 1 getroffenen gerichtlichen Anordnung die Vorschrift des </w:t>
      </w:r>
      <w:hyperlink w:anchor="b1548" w:history="1">
        <w:r>
          <w:rPr>
            <w:color w:val="0A3A8C"/>
            <w:u w:val="single"/>
          </w:rPr>
          <w:t xml:space="preserve">§ 1070</w:t>
        </w:r>
      </w:hyperlink>
      <w:r>
        <w:t xml:space="preserve"> Abs. 2 entsprechende Anwendung.</w:t>
      </w:r>
    </w:p>
    <w:p>
      <w:pPr>
        <w:pStyle w:val="Heading4"/>
      </w:pPr>
      <w:bookmarkStart w:id="1771" w:name="b1756"/>
      <w:r>
        <w:t>§ 1276 Aufhebung oder Änderung des verpfändeten Rechts</w:t>
      </w:r>
      <w:r>
        <w:t xml:space="preserve"> </w:t>
      </w:r>
      <w:r>
        <w:rPr>
          <w:rStyle w:val="Suchmarke"/>
        </w:rPr>
        <w:t>#1276#</w:t>
      </w:r>
      <w:bookmarkEnd w:id="1771"/>
    </w:p>
    <w:p>
      <w:r>
        <w:t xml:space="preserve">(1) </w:t>
      </w:r>
      <w:r>
        <w:rPr>
          <w:rStyle w:val="Satznummer"/>
        </w:rPr>
        <w:t>1</w:t>
      </w:r>
      <w:r>
        <w:t xml:space="preserve">Ein verpfändetes Recht kann durch Rechtsgeschäft nur mit Zustimmung des Pfandgläubigers aufgehoben werden. </w:t>
      </w:r>
      <w:r>
        <w:rPr>
          <w:rStyle w:val="Satznummer"/>
        </w:rPr>
        <w:t>2</w:t>
      </w:r>
      <w:r>
        <w:t xml:space="preserve">Die Zustimmung ist demjenigen gegenüber zu erklären, zu dessen Gunsten sie erfolgt; sie ist unwiderruflich. </w:t>
      </w:r>
      <w:r>
        <w:rPr>
          <w:rStyle w:val="Satznummer"/>
        </w:rPr>
        <w:t>3</w:t>
      </w:r>
      <w:r>
        <w:t xml:space="preserve">Die Vorschrift des </w:t>
      </w:r>
      <w:hyperlink w:anchor="b1334" w:history="1">
        <w:r>
          <w:rPr>
            <w:color w:val="0A3A8C"/>
            <w:u w:val="single"/>
          </w:rPr>
          <w:t xml:space="preserve">§ 876</w:t>
        </w:r>
      </w:hyperlink>
      <w:r>
        <w:t xml:space="preserve"> Satz 3 bleibt unberührt.</w:t>
      </w:r>
    </w:p>
    <w:p>
      <w:r>
        <w:t>(2) Das Gleiche gilt im Falle einer Änderung des Rechts, sofern sie das Pfandrecht beeinträchtigt.</w:t>
      </w:r>
    </w:p>
    <w:p>
      <w:pPr>
        <w:pStyle w:val="Heading4"/>
      </w:pPr>
      <w:bookmarkStart w:id="1772" w:name="b1757"/>
      <w:r>
        <w:t>§ 1277 Befriedigung durch Zwangsvollstreckung</w:t>
      </w:r>
      <w:r>
        <w:t xml:space="preserve"> </w:t>
      </w:r>
      <w:r>
        <w:rPr>
          <w:rStyle w:val="Suchmarke"/>
        </w:rPr>
        <w:t>#1277#</w:t>
      </w:r>
      <w:bookmarkEnd w:id="1772"/>
    </w:p>
    <w:p>
      <w:r>
        <w:rPr>
          <w:rStyle w:val="Satznummer"/>
        </w:rPr>
        <w:t>1</w:t>
      </w:r>
      <w:r>
        <w:t xml:space="preserve">Der Pfandgläubiger kann seine Befriedigung aus dem Recht nur auf Grund eines vollstreckbaren Titels nach den für die Zwangsvollstreckung geltenden Vorschriften suchen, sofern nicht ein anderes bestimmt ist. </w:t>
      </w:r>
      <w:r>
        <w:rPr>
          <w:rStyle w:val="Satznummer"/>
        </w:rPr>
        <w:t>2</w:t>
      </w:r>
      <w:r>
        <w:t xml:space="preserve">Die Vorschriften des </w:t>
      </w:r>
      <w:hyperlink w:anchor="b1720" w:history="1">
        <w:r>
          <w:rPr>
            <w:color w:val="0A3A8C"/>
            <w:u w:val="single"/>
          </w:rPr>
          <w:t xml:space="preserve">§ 1229</w:t>
        </w:r>
      </w:hyperlink>
      <w:r>
        <w:t xml:space="preserve"> und des </w:t>
      </w:r>
      <w:hyperlink w:anchor="b1736" w:history="1">
        <w:r>
          <w:rPr>
            <w:color w:val="0A3A8C"/>
            <w:u w:val="single"/>
          </w:rPr>
          <w:t xml:space="preserve">§ 1245</w:t>
        </w:r>
      </w:hyperlink>
      <w:r>
        <w:t xml:space="preserve"> Abs. 2 bleiben unberührt.</w:t>
      </w:r>
    </w:p>
    <w:p>
      <w:pPr>
        <w:pStyle w:val="Heading4"/>
      </w:pPr>
      <w:bookmarkStart w:id="1773" w:name="b1758"/>
      <w:r>
        <w:t>§ 1278 Erlöschen durch Rückgabe</w:t>
      </w:r>
      <w:r>
        <w:t xml:space="preserve"> </w:t>
      </w:r>
      <w:r>
        <w:rPr>
          <w:rStyle w:val="Suchmarke"/>
        </w:rPr>
        <w:t>#1278#</w:t>
      </w:r>
      <w:bookmarkEnd w:id="1773"/>
    </w:p>
    <w:p>
      <w:r>
        <w:t xml:space="preserve">Ist ein Recht, zu dessen Verpfändung die Übergabe einer Sache erforderlich ist, Gegenstand des Pfandrechts, so findet auf das Erlöschen des Pfandrechts durch die Rückgabe der Sache die Vorschrift des </w:t>
      </w:r>
      <w:hyperlink w:anchor="b1744" w:history="1">
        <w:r>
          <w:rPr>
            <w:color w:val="0A3A8C"/>
            <w:u w:val="single"/>
          </w:rPr>
          <w:t xml:space="preserve">§ 1253</w:t>
        </w:r>
      </w:hyperlink>
      <w:r>
        <w:t xml:space="preserve"> entsprechende Anwendung.</w:t>
      </w:r>
    </w:p>
    <w:p>
      <w:pPr>
        <w:pStyle w:val="Heading4"/>
      </w:pPr>
      <w:bookmarkStart w:id="1774" w:name="b1759"/>
      <w:r>
        <w:t>§ 1279 Pfandrecht an einer Forderung</w:t>
      </w:r>
      <w:r>
        <w:t xml:space="preserve"> </w:t>
      </w:r>
      <w:r>
        <w:rPr>
          <w:rStyle w:val="Suchmarke"/>
        </w:rPr>
        <w:t>#1279#</w:t>
      </w:r>
      <w:bookmarkEnd w:id="1774"/>
    </w:p>
    <w:p>
      <w:r>
        <w:rPr>
          <w:rStyle w:val="Satznummer"/>
        </w:rPr>
        <w:t>1</w:t>
      </w:r>
      <w:r>
        <w:t xml:space="preserve">Für das Pfandrecht an einer Forderung gelten die besonderen Vorschriften der </w:t>
      </w:r>
      <w:hyperlink w:anchor="b1760" w:history="1">
        <w:r>
          <w:rPr>
            <w:color w:val="0A3A8C"/>
            <w:u w:val="single"/>
          </w:rPr>
          <w:t xml:space="preserve">§§ 1280</w:t>
        </w:r>
      </w:hyperlink>
      <w:r>
        <w:t xml:space="preserve"> bis </w:t>
      </w:r>
      <w:hyperlink w:anchor="b1770" w:history="1">
        <w:r>
          <w:rPr>
            <w:color w:val="0A3A8C"/>
            <w:u w:val="single"/>
          </w:rPr>
          <w:t xml:space="preserve">1290</w:t>
        </w:r>
      </w:hyperlink>
      <w:r>
        <w:t xml:space="preserve">. </w:t>
      </w:r>
      <w:r>
        <w:rPr>
          <w:rStyle w:val="Satznummer"/>
        </w:rPr>
        <w:t>2</w:t>
      </w:r>
      <w:r>
        <w:t xml:space="preserve">Soweit eine Forderung einen Börsen- oder Marktpreis hat, findet </w:t>
      </w:r>
      <w:hyperlink w:anchor="b1750" w:history="1">
        <w:r>
          <w:rPr>
            <w:color w:val="0A3A8C"/>
            <w:u w:val="single"/>
          </w:rPr>
          <w:t xml:space="preserve">§ 1259</w:t>
        </w:r>
      </w:hyperlink>
      <w:r>
        <w:t xml:space="preserve"> entsprechende Anwendung.</w:t>
      </w:r>
    </w:p>
    <w:p>
      <w:pPr>
        <w:pStyle w:val="Heading4"/>
      </w:pPr>
      <w:bookmarkStart w:id="1775" w:name="b1760"/>
      <w:r>
        <w:t>§ 1280 Anzeige an den Schuldner</w:t>
      </w:r>
      <w:r>
        <w:t xml:space="preserve"> </w:t>
      </w:r>
      <w:r>
        <w:rPr>
          <w:rStyle w:val="Suchmarke"/>
        </w:rPr>
        <w:t>#1280#</w:t>
      </w:r>
      <w:bookmarkEnd w:id="1775"/>
    </w:p>
    <w:p>
      <w:r>
        <w:t>Die Verpfändung einer Forderung, zu deren Übertragung der Abtretungsvertrag genügt, ist nur wirksam, wenn der Gläubiger sie dem Schuldner anzeigt.</w:t>
      </w:r>
    </w:p>
    <w:p>
      <w:pPr>
        <w:pStyle w:val="Heading4"/>
      </w:pPr>
      <w:bookmarkStart w:id="1776" w:name="b1761"/>
      <w:r>
        <w:t>§ 1281 Leistung vor Fälligkeit</w:t>
      </w:r>
      <w:r>
        <w:t xml:space="preserve"> </w:t>
      </w:r>
      <w:r>
        <w:rPr>
          <w:rStyle w:val="Suchmarke"/>
        </w:rPr>
        <w:t>#1281#</w:t>
      </w:r>
      <w:bookmarkEnd w:id="1776"/>
    </w:p>
    <w:p>
      <w:r>
        <w:rPr>
          <w:rStyle w:val="Satznummer"/>
        </w:rPr>
        <w:t>1</w:t>
      </w:r>
      <w:r>
        <w:t xml:space="preserve">Der Schuldner kann nur an den Pfandgläubiger und den Gläubiger gemeinschaftlich leisten. </w:t>
      </w:r>
      <w:r>
        <w:rPr>
          <w:rStyle w:val="Satznummer"/>
        </w:rPr>
        <w:t>2</w:t>
      </w:r>
      <w:r>
        <w:t>Jeder von beiden kann verlangen, dass an sie gemeinschaftlich geleistet wird; jeder kann statt der Leistung verlangen, dass die geschuldete Sache für beide hinterlegt oder, wenn sie sich nicht zur Hinterlegung eignet, an einen gerichtlich zu bestellenden Verwahrer abgeliefert wird.</w:t>
      </w:r>
    </w:p>
    <w:p>
      <w:pPr>
        <w:pStyle w:val="Heading4"/>
      </w:pPr>
      <w:bookmarkStart w:id="1777" w:name="b1762"/>
      <w:r>
        <w:t>§ 1282 Leistung nach Fälligkeit</w:t>
      </w:r>
      <w:r>
        <w:t xml:space="preserve"> </w:t>
      </w:r>
      <w:r>
        <w:rPr>
          <w:rStyle w:val="Suchmarke"/>
        </w:rPr>
        <w:t>#1282#</w:t>
      </w:r>
      <w:bookmarkEnd w:id="1777"/>
    </w:p>
    <w:p>
      <w:r>
        <w:t xml:space="preserve">(1) </w:t>
      </w:r>
      <w:r>
        <w:rPr>
          <w:rStyle w:val="Satznummer"/>
        </w:rPr>
        <w:t>1</w:t>
      </w:r>
      <w:r>
        <w:t xml:space="preserve">Sind die Voraussetzungen des </w:t>
      </w:r>
      <w:hyperlink w:anchor="b1719" w:history="1">
        <w:r>
          <w:rPr>
            <w:color w:val="0A3A8C"/>
            <w:u w:val="single"/>
          </w:rPr>
          <w:t xml:space="preserve">§ 1228</w:t>
        </w:r>
      </w:hyperlink>
      <w:r>
        <w:t xml:space="preserve"> Abs. 2 eingetreten, so ist der Pfandgläubiger zur Einziehung der Forderung berechtigt und kann der Schuldner nur an ihn leisten. </w:t>
      </w:r>
      <w:r>
        <w:rPr>
          <w:rStyle w:val="Satznummer"/>
        </w:rPr>
        <w:t>2</w:t>
      </w:r>
      <w:r>
        <w:t xml:space="preserve">Die Einziehung einer Geldforderung steht dem Pfandgläubiger nur insoweit zu, als sie zu seiner Befriedigung erforderlich ist. </w:t>
      </w:r>
      <w:r>
        <w:rPr>
          <w:rStyle w:val="Satznummer"/>
        </w:rPr>
        <w:t>3</w:t>
      </w:r>
      <w:r>
        <w:t>Soweit er zur Einziehung berechtigt ist, kann er auch verlangen, dass ihm die Geldforderung an Zahlungs statt abgetreten wird.</w:t>
      </w:r>
    </w:p>
    <w:p>
      <w:r>
        <w:t xml:space="preserve">(2) Zu anderen Verfügungen über die Forderung ist der Pfandgläubiger nicht berechtigt; das Recht, die Befriedigung aus der Forderung nach </w:t>
      </w:r>
      <w:hyperlink w:anchor="b1757" w:history="1">
        <w:r>
          <w:rPr>
            <w:color w:val="0A3A8C"/>
            <w:u w:val="single"/>
          </w:rPr>
          <w:t xml:space="preserve">§ 1277</w:t>
        </w:r>
      </w:hyperlink>
      <w:r>
        <w:t xml:space="preserve"> zu suchen, bleibt unberührt.</w:t>
      </w:r>
    </w:p>
    <w:p>
      <w:pPr>
        <w:pStyle w:val="Heading4"/>
      </w:pPr>
      <w:bookmarkStart w:id="1778" w:name="b1763"/>
      <w:r>
        <w:t>§ 1283 Kündigung</w:t>
      </w:r>
      <w:r>
        <w:t xml:space="preserve"> </w:t>
      </w:r>
      <w:r>
        <w:rPr>
          <w:rStyle w:val="Suchmarke"/>
        </w:rPr>
        <w:t>#1283#</w:t>
      </w:r>
      <w:bookmarkEnd w:id="1778"/>
    </w:p>
    <w:p>
      <w:r>
        <w:t>(1) Hängt die Fälligkeit der verpfändeten Forderung von einer Kündigung ab, so bedarf der Gläubiger zur Kündigung der Zustimmung des Pfandgläubigers nur, wenn dieser berechtigt ist, die Nutzungen zu ziehen.</w:t>
      </w:r>
    </w:p>
    <w:p>
      <w:r>
        <w:t>(2) Die Kündigung des Schuldners ist nur wirksam, wenn sie dem Pfandgläubiger und dem Gläubiger erklärt wird.</w:t>
      </w:r>
    </w:p>
    <w:p>
      <w:r>
        <w:t xml:space="preserve">(3) Sind die Voraussetzungen des </w:t>
      </w:r>
      <w:hyperlink w:anchor="b1719" w:history="1">
        <w:r>
          <w:rPr>
            <w:color w:val="0A3A8C"/>
            <w:u w:val="single"/>
          </w:rPr>
          <w:t xml:space="preserve">§ 1228</w:t>
        </w:r>
      </w:hyperlink>
      <w:r>
        <w:t xml:space="preserve"> Abs. 2 eingetreten, so ist auch der Pfandgläubiger zur Kündigung berechtigt; für die Kündigung des Schuldners genügt die Erklärung gegenüber dem Pfandgläubiger.</w:t>
      </w:r>
    </w:p>
    <w:p>
      <w:pPr>
        <w:pStyle w:val="Heading4"/>
      </w:pPr>
      <w:bookmarkStart w:id="1779" w:name="b1764"/>
      <w:r>
        <w:t>§ 1284 Abweichende Vereinbarungen</w:t>
      </w:r>
      <w:r>
        <w:t xml:space="preserve"> </w:t>
      </w:r>
      <w:r>
        <w:rPr>
          <w:rStyle w:val="Suchmarke"/>
        </w:rPr>
        <w:t>#1284#</w:t>
      </w:r>
      <w:bookmarkEnd w:id="1779"/>
    </w:p>
    <w:p>
      <w:r>
        <w:t xml:space="preserve">Die Vorschriften der </w:t>
      </w:r>
      <w:hyperlink w:anchor="b1761" w:history="1">
        <w:r>
          <w:rPr>
            <w:color w:val="0A3A8C"/>
            <w:u w:val="single"/>
          </w:rPr>
          <w:t xml:space="preserve">§§ 1281</w:t>
        </w:r>
      </w:hyperlink>
      <w:r>
        <w:t xml:space="preserve"> bis </w:t>
      </w:r>
      <w:hyperlink w:anchor="b1763" w:history="1">
        <w:r>
          <w:rPr>
            <w:color w:val="0A3A8C"/>
            <w:u w:val="single"/>
          </w:rPr>
          <w:t xml:space="preserve">1283</w:t>
        </w:r>
      </w:hyperlink>
      <w:r>
        <w:t xml:space="preserve"> finden keine Anwendung, soweit der Pfandgläubiger und der Gläubiger ein anderes vereinbaren.</w:t>
      </w:r>
    </w:p>
    <w:p>
      <w:pPr>
        <w:pStyle w:val="Heading4"/>
      </w:pPr>
      <w:bookmarkStart w:id="1780" w:name="b1765"/>
      <w:r>
        <w:t>§ 1285 Mitwirkung zur Einziehung</w:t>
      </w:r>
      <w:r>
        <w:t xml:space="preserve"> </w:t>
      </w:r>
      <w:r>
        <w:rPr>
          <w:rStyle w:val="Suchmarke"/>
        </w:rPr>
        <w:t>#1285#</w:t>
      </w:r>
      <w:bookmarkEnd w:id="1780"/>
    </w:p>
    <w:p>
      <w:r>
        <w:t>(1) Hat die Leistung an den Pfandgläubiger und den Gläubiger gemeinschaftlich zu erfolgen, so sind beide einander verpflichtet, zur Einziehung mitzuwirken, wenn die Forderung fällig ist.</w:t>
      </w:r>
    </w:p>
    <w:p>
      <w:r>
        <w:t xml:space="preserve">(2) </w:t>
      </w:r>
      <w:r>
        <w:rPr>
          <w:rStyle w:val="Satznummer"/>
        </w:rPr>
        <w:t>1</w:t>
      </w:r>
      <w:r>
        <w:t xml:space="preserve">Soweit der Pfandgläubiger berechtigt ist, die Forderung ohne Mitwirkung des Gläubigers einzuziehen, hat er für die ordnungsmäßige Einziehung zu sorgen. </w:t>
      </w:r>
      <w:r>
        <w:rPr>
          <w:rStyle w:val="Satznummer"/>
        </w:rPr>
        <w:t>2</w:t>
      </w:r>
      <w:r>
        <w:t>Von der Einziehung hat er den Gläubiger unverzüglich zu benachrichtigen, sofern nicht die Benachrichtigung untunlich ist.</w:t>
      </w:r>
    </w:p>
    <w:p>
      <w:pPr>
        <w:pStyle w:val="Heading4"/>
      </w:pPr>
      <w:bookmarkStart w:id="1781" w:name="b1766"/>
      <w:r>
        <w:t>§ 1286 Kündigungspflicht bei Gefährdung</w:t>
      </w:r>
      <w:r>
        <w:t xml:space="preserve"> </w:t>
      </w:r>
      <w:r>
        <w:rPr>
          <w:rStyle w:val="Suchmarke"/>
        </w:rPr>
        <w:t>#1286#</w:t>
      </w:r>
      <w:bookmarkEnd w:id="1781"/>
    </w:p>
    <w:p>
      <w:r>
        <w:rPr>
          <w:rStyle w:val="Satznummer"/>
        </w:rPr>
        <w:t>1</w:t>
      </w:r>
      <w:r>
        <w:t xml:space="preserve">Hängt die Fälligkeit der verpfändeten Forderung von einer Kündigung ab, so kann der Pfandgläubiger, sofern nicht das Kündigungsrecht ihm zusteht, von dem Gläubiger die Kündigung verlangen, wenn die Einziehung der Forderung wegen Gefährdung ihrer Sicherheit nach den Regeln einer ordnungsmäßigen Vermögensverwaltung geboten ist. </w:t>
      </w:r>
      <w:r>
        <w:rPr>
          <w:rStyle w:val="Satznummer"/>
        </w:rPr>
        <w:t>2</w:t>
      </w:r>
      <w:r>
        <w:t>Unter der gleichen Voraussetzung kann der Gläubiger von dem Pfandgläubiger die Zustimmung zur Kündigung verlangen, sofern die Zustimmung erforderlich ist.</w:t>
      </w:r>
    </w:p>
    <w:p>
      <w:pPr>
        <w:pStyle w:val="Heading4"/>
      </w:pPr>
      <w:bookmarkStart w:id="1782" w:name="b1767"/>
      <w:r>
        <w:t>§ 1287 Wirkung der Leistung</w:t>
      </w:r>
      <w:r>
        <w:t xml:space="preserve"> </w:t>
      </w:r>
      <w:r>
        <w:rPr>
          <w:rStyle w:val="Suchmarke"/>
        </w:rPr>
        <w:t>#1287#</w:t>
      </w:r>
      <w:bookmarkEnd w:id="1782"/>
    </w:p>
    <w:p>
      <w:r>
        <w:rPr>
          <w:rStyle w:val="Satznummer"/>
        </w:rPr>
        <w:t>1</w:t>
      </w:r>
      <w:r>
        <w:t xml:space="preserve">Leistet der Schuldner in Gemäßheit der </w:t>
      </w:r>
      <w:hyperlink w:anchor="b1761" w:history="1">
        <w:r>
          <w:rPr>
            <w:color w:val="0A3A8C"/>
            <w:u w:val="single"/>
          </w:rPr>
          <w:t xml:space="preserve">§§ 1281</w:t>
        </w:r>
      </w:hyperlink>
      <w:r>
        <w:t xml:space="preserve">, </w:t>
      </w:r>
      <w:hyperlink w:anchor="b1762" w:history="1">
        <w:r>
          <w:rPr>
            <w:color w:val="0A3A8C"/>
            <w:u w:val="single"/>
          </w:rPr>
          <w:t xml:space="preserve">1282</w:t>
        </w:r>
      </w:hyperlink>
      <w:r>
        <w:t xml:space="preserve">, so erwirbt mit der Leistung der Gläubiger den geleisteten Gegenstand und der Pfandgläubiger ein Pfandrecht an dem Gegenstand. </w:t>
      </w:r>
      <w:r>
        <w:rPr>
          <w:rStyle w:val="Satznummer"/>
        </w:rPr>
        <w:t>2</w:t>
      </w:r>
      <w:r>
        <w:t>Besteht die Leistung in der Übertragung des Eigentums an einem Grundstück, so erwirbt der Pfandgläubiger eine Sicherungshypothek; besteht sie in der Übertragung des Eigentums an einem eingetragenen Schiff oder Schiffsbauwerk, so erwirbt der Pfandgläubiger eine Schiffshypothek.</w:t>
      </w:r>
    </w:p>
    <w:p>
      <w:pPr>
        <w:pStyle w:val="Heading4"/>
      </w:pPr>
      <w:bookmarkStart w:id="1783" w:name="b1768"/>
      <w:r>
        <w:t>§ 1288 Anlegung eingezogenen Geldes</w:t>
      </w:r>
      <w:r>
        <w:t xml:space="preserve"> </w:t>
      </w:r>
      <w:r>
        <w:rPr>
          <w:rStyle w:val="Suchmarke"/>
        </w:rPr>
        <w:t>#1288#</w:t>
      </w:r>
      <w:bookmarkEnd w:id="1783"/>
    </w:p>
    <w:p>
      <w:r>
        <w:t xml:space="preserve">(1) </w:t>
      </w:r>
      <w:r>
        <w:rPr>
          <w:rStyle w:val="Satznummer"/>
        </w:rPr>
        <w:t>1</w:t>
      </w:r>
      <w:r>
        <w:t xml:space="preserve">Wird eine Geldforderung in Gemäßheit des </w:t>
      </w:r>
      <w:hyperlink w:anchor="b1761" w:history="1">
        <w:r>
          <w:rPr>
            <w:color w:val="0A3A8C"/>
            <w:u w:val="single"/>
          </w:rPr>
          <w:t xml:space="preserve">§ 1281</w:t>
        </w:r>
      </w:hyperlink>
      <w:r>
        <w:t xml:space="preserve"> eingezogen, so sind der Pfandgläubiger und der Gläubiger einander verpflichtet, dazu mitzuwirken, dass der eingezogene Betrag, soweit es ohne Beeinträchtigung des Interesses des Pfandgläubigers tunlich ist, der Rechtsverordnung nach </w:t>
      </w:r>
      <w:hyperlink w:anchor="b278" w:history="1">
        <w:r>
          <w:rPr>
            <w:color w:val="0A3A8C"/>
            <w:u w:val="single"/>
          </w:rPr>
          <w:t xml:space="preserve">§ 240a</w:t>
        </w:r>
      </w:hyperlink>
      <w:r>
        <w:t xml:space="preserve"> entsprechend angelegt und gleichzeitig dem Pfandgläubiger das Pfandrecht bestellt wird. </w:t>
      </w:r>
      <w:r>
        <w:rPr>
          <w:rStyle w:val="Satznummer"/>
        </w:rPr>
        <w:t>2</w:t>
      </w:r>
      <w:r>
        <w:t>Die Art der Anlegung bestimmt der Gläubiger.</w:t>
      </w:r>
    </w:p>
    <w:p>
      <w:r>
        <w:t xml:space="preserve">(2) Erfolgt die Einziehung in Gemäßheit des </w:t>
      </w:r>
      <w:hyperlink w:anchor="b1762" w:history="1">
        <w:r>
          <w:rPr>
            <w:color w:val="0A3A8C"/>
            <w:u w:val="single"/>
          </w:rPr>
          <w:t xml:space="preserve">§ 1282</w:t>
        </w:r>
      </w:hyperlink>
      <w:r>
        <w:t>, so gilt die Forderung des Pfandgläubigers, soweit ihm der eingezogene Betrag zu seiner Befriedigung gebührt, als von dem Gläubiger berichtigt.</w:t>
      </w:r>
    </w:p>
    <w:p>
      <w:pPr>
        <w:pStyle w:val="Heading4"/>
      </w:pPr>
      <w:bookmarkStart w:id="1784" w:name="b1769"/>
      <w:r>
        <w:t>§ 1289 Erstreckung auf die Zinsen</w:t>
      </w:r>
      <w:r>
        <w:t xml:space="preserve"> </w:t>
      </w:r>
      <w:r>
        <w:rPr>
          <w:rStyle w:val="Suchmarke"/>
        </w:rPr>
        <w:t>#1289#</w:t>
      </w:r>
      <w:bookmarkEnd w:id="1784"/>
    </w:p>
    <w:p>
      <w:r>
        <w:rPr>
          <w:rStyle w:val="Satznummer"/>
        </w:rPr>
        <w:t>1</w:t>
      </w:r>
      <w:r>
        <w:t xml:space="preserve">Das Pfandrecht an einer Forderung erstreckt sich auf die Zinsen der Forderung. </w:t>
      </w:r>
      <w:r>
        <w:rPr>
          <w:rStyle w:val="Satznummer"/>
        </w:rPr>
        <w:t>2</w:t>
      </w:r>
      <w:r>
        <w:t xml:space="preserve">Die Vorschriften des </w:t>
      </w:r>
      <w:hyperlink w:anchor="b1607" w:history="1">
        <w:r>
          <w:rPr>
            <w:color w:val="0A3A8C"/>
            <w:u w:val="single"/>
          </w:rPr>
          <w:t xml:space="preserve">§ 1123</w:t>
        </w:r>
      </w:hyperlink>
      <w:r>
        <w:t xml:space="preserve"> Abs. 2 und der </w:t>
      </w:r>
      <w:hyperlink w:anchor="b1608" w:history="1">
        <w:r>
          <w:rPr>
            <w:color w:val="0A3A8C"/>
            <w:u w:val="single"/>
          </w:rPr>
          <w:t xml:space="preserve">§§ 1124</w:t>
        </w:r>
      </w:hyperlink>
      <w:r>
        <w:t xml:space="preserve">, </w:t>
      </w:r>
      <w:hyperlink w:anchor="b1609" w:history="1">
        <w:r>
          <w:rPr>
            <w:color w:val="0A3A8C"/>
            <w:u w:val="single"/>
          </w:rPr>
          <w:t xml:space="preserve">1125</w:t>
        </w:r>
      </w:hyperlink>
      <w:r>
        <w:t xml:space="preserve"> finden entsprechende Anwendung; an die Stelle der Beschlagnahme tritt die Anzeige des Pfandgläubigers an den Schuldner, dass er von dem Einziehungsrecht Gebrauch mache.</w:t>
      </w:r>
    </w:p>
    <w:p>
      <w:pPr>
        <w:pStyle w:val="Heading4"/>
      </w:pPr>
      <w:bookmarkStart w:id="1785" w:name="b1770"/>
      <w:r>
        <w:t>§ 1290 Einziehung bei mehrfacher Verpfändung</w:t>
      </w:r>
      <w:r>
        <w:t xml:space="preserve"> </w:t>
      </w:r>
      <w:r>
        <w:rPr>
          <w:rStyle w:val="Suchmarke"/>
        </w:rPr>
        <w:t>#1290#</w:t>
      </w:r>
      <w:bookmarkEnd w:id="1785"/>
    </w:p>
    <w:p>
      <w:r>
        <w:t>Bestehen mehrere Pfandrechte an einer Forderung, so ist zur Einziehung nur derjenige Pfandgläubiger berechtigt, dessen Pfandrecht den übrigen Pfandrechten vorgeht.</w:t>
      </w:r>
    </w:p>
    <w:p>
      <w:pPr>
        <w:pStyle w:val="Heading4"/>
      </w:pPr>
      <w:bookmarkStart w:id="1786" w:name="b1771"/>
      <w:r>
        <w:t>§ 1291 Pfandrecht an Grund- oder Rentenschuld</w:t>
      </w:r>
      <w:r>
        <w:t xml:space="preserve"> </w:t>
      </w:r>
      <w:r>
        <w:rPr>
          <w:rStyle w:val="Suchmarke"/>
        </w:rPr>
        <w:t>#1291#</w:t>
      </w:r>
      <w:bookmarkEnd w:id="1786"/>
    </w:p>
    <w:p>
      <w:r>
        <w:t>Die Vorschriften über das Pfandrecht an einer Forderung gelten auch für das Pfandrecht an einer Grundschuld und an einer Rentenschuld.</w:t>
      </w:r>
    </w:p>
    <w:p>
      <w:pPr>
        <w:pStyle w:val="Heading4"/>
      </w:pPr>
      <w:bookmarkStart w:id="1787" w:name="b1772"/>
      <w:r>
        <w:t>§ 1292 Verpfändung von Orderpapieren</w:t>
      </w:r>
      <w:r>
        <w:t xml:space="preserve"> </w:t>
      </w:r>
      <w:r>
        <w:rPr>
          <w:rStyle w:val="Suchmarke"/>
        </w:rPr>
        <w:t>#1292#</w:t>
      </w:r>
      <w:bookmarkEnd w:id="1787"/>
    </w:p>
    <w:p>
      <w:r>
        <w:t>Zur Verpfändung eines Wechsels oder eines anderen Papiers, das durch Indossament übertragen werden kann, genügt die Einigung des Gläubigers und des Pfandgläubigers und die Übergabe des indossierten Papiers.</w:t>
      </w:r>
    </w:p>
    <w:p>
      <w:pPr>
        <w:pStyle w:val="Heading4"/>
      </w:pPr>
      <w:bookmarkStart w:id="1788" w:name="b1773"/>
      <w:r>
        <w:t>§ 1293 Pfandrecht an Inhaberpapieren</w:t>
      </w:r>
      <w:r>
        <w:t xml:space="preserve"> </w:t>
      </w:r>
      <w:r>
        <w:rPr>
          <w:rStyle w:val="Suchmarke"/>
        </w:rPr>
        <w:t>#1293#</w:t>
      </w:r>
      <w:bookmarkEnd w:id="1788"/>
    </w:p>
    <w:p>
      <w:r>
        <w:t>Für das Pfandrecht an einem Inhaberpapier gelten die Vorschriften über das Pfandrecht an beweglichen Sachen.</w:t>
      </w:r>
    </w:p>
    <w:p>
      <w:pPr>
        <w:pStyle w:val="Heading4"/>
      </w:pPr>
      <w:bookmarkStart w:id="1789" w:name="b1774"/>
      <w:r>
        <w:t>§ 1294 Einziehung und Kündigung</w:t>
      </w:r>
      <w:r>
        <w:t xml:space="preserve"> </w:t>
      </w:r>
      <w:r>
        <w:rPr>
          <w:rStyle w:val="Suchmarke"/>
        </w:rPr>
        <w:t>#1294#</w:t>
      </w:r>
      <w:bookmarkEnd w:id="1789"/>
    </w:p>
    <w:p>
      <w:r>
        <w:t xml:space="preserve">Ist ein Wechsel, ein anderes Papier, das durch Indossament übertragen werden kann, oder ein Inhaberpapier Gegenstand des Pfandrechts, so ist, auch wenn die Voraussetzungen des </w:t>
      </w:r>
      <w:hyperlink w:anchor="b1719" w:history="1">
        <w:r>
          <w:rPr>
            <w:color w:val="0A3A8C"/>
            <w:u w:val="single"/>
          </w:rPr>
          <w:t xml:space="preserve">§ 1228</w:t>
        </w:r>
      </w:hyperlink>
      <w:r>
        <w:t xml:space="preserve"> Abs. 2 noch nicht eingetreten sind, der Pfandgläubiger zur Einziehung und, falls Kündigung erforderlich ist, zur Kündigung berechtigt und kann der Schuldner nur an ihn leisten.</w:t>
      </w:r>
    </w:p>
    <w:p>
      <w:pPr>
        <w:pStyle w:val="Heading4"/>
      </w:pPr>
      <w:bookmarkStart w:id="1790" w:name="b1775"/>
      <w:r>
        <w:t>§ 1295 Freihändiger Verkauf von Orderpapieren</w:t>
      </w:r>
      <w:r>
        <w:t xml:space="preserve"> </w:t>
      </w:r>
      <w:r>
        <w:rPr>
          <w:rStyle w:val="Suchmarke"/>
        </w:rPr>
        <w:t>#1295#</w:t>
      </w:r>
      <w:bookmarkEnd w:id="1790"/>
    </w:p>
    <w:p>
      <w:r>
        <w:rPr>
          <w:rStyle w:val="Satznummer"/>
        </w:rPr>
        <w:t>1</w:t>
      </w:r>
      <w:r>
        <w:t xml:space="preserve">Hat ein verpfändetes Papier, das durch Indossament übertragen werden kann, einen Börsen- oder Marktpreis, so ist der Gläubiger nach dem Eintritt der Voraussetzungen des </w:t>
      </w:r>
      <w:hyperlink w:anchor="b1719" w:history="1">
        <w:r>
          <w:rPr>
            <w:color w:val="0A3A8C"/>
            <w:u w:val="single"/>
          </w:rPr>
          <w:t xml:space="preserve">§ 1228</w:t>
        </w:r>
      </w:hyperlink>
      <w:r>
        <w:t xml:space="preserve"> Abs. 2 berechtigt, das Papier nach </w:t>
      </w:r>
      <w:hyperlink w:anchor="b1712" w:history="1">
        <w:r>
          <w:rPr>
            <w:color w:val="0A3A8C"/>
            <w:u w:val="single"/>
          </w:rPr>
          <w:t xml:space="preserve">§ 1221</w:t>
        </w:r>
      </w:hyperlink>
      <w:r>
        <w:t xml:space="preserve"> verkaufen zu lassen. </w:t>
      </w:r>
      <w:r>
        <w:rPr>
          <w:rStyle w:val="Satznummer"/>
        </w:rPr>
        <w:t>2</w:t>
      </w:r>
      <w:hyperlink w:anchor="b1750" w:history="1">
        <w:r>
          <w:rPr>
            <w:color w:val="0A3A8C"/>
            <w:u w:val="single"/>
          </w:rPr>
          <w:t xml:space="preserve">§ 1259</w:t>
        </w:r>
      </w:hyperlink>
      <w:r>
        <w:t xml:space="preserve"> findet entsprechende Anwendung.</w:t>
      </w:r>
    </w:p>
    <w:p>
      <w:pPr>
        <w:pStyle w:val="Heading4"/>
      </w:pPr>
      <w:bookmarkStart w:id="1791" w:name="b1776"/>
      <w:r>
        <w:t>§ 1296 Erstreckung auf Zinsscheine</w:t>
      </w:r>
      <w:r>
        <w:t xml:space="preserve"> </w:t>
      </w:r>
      <w:r>
        <w:rPr>
          <w:rStyle w:val="Suchmarke"/>
        </w:rPr>
        <w:t>#1296#</w:t>
      </w:r>
      <w:bookmarkEnd w:id="1791"/>
    </w:p>
    <w:p>
      <w:r>
        <w:rPr>
          <w:rStyle w:val="Satznummer"/>
        </w:rPr>
        <w:t>1</w:t>
      </w:r>
      <w:r>
        <w:t xml:space="preserve">Das Pfandrecht an einem Wertpapier erstreckt sich auf die zu dem Papier gehörenden Zins-, Renten- oder Gewinnanteilscheine nur dann, wenn sie dem Pfandgläubiger übergeben sind. </w:t>
      </w:r>
      <w:r>
        <w:rPr>
          <w:rStyle w:val="Satznummer"/>
        </w:rPr>
        <w:t>2</w:t>
      </w:r>
      <w:r>
        <w:t xml:space="preserve">Der Verpfänder kann, sofern nicht ein anderes bestimmt ist, die Herausgabe der Scheine verlangen, soweit sie vor dem Eintritt der Voraussetzungen des </w:t>
      </w:r>
      <w:hyperlink w:anchor="b1719" w:history="1">
        <w:r>
          <w:rPr>
            <w:color w:val="0A3A8C"/>
            <w:u w:val="single"/>
          </w:rPr>
          <w:t xml:space="preserve">§ 1228</w:t>
        </w:r>
      </w:hyperlink>
      <w:r>
        <w:t xml:space="preserve"> Abs. 2 fällig werden.</w:t>
      </w:r>
    </w:p>
    <w:p>
      <w:pPr>
        <w:pStyle w:val="Heading1"/>
      </w:pPr>
      <w:bookmarkStart w:id="1792" w:name="b1777"/>
      <w:r>
        <w:t>Buch 4 Familienrecht</w:t>
      </w:r>
      <w:bookmarkEnd w:id="1792"/>
    </w:p>
    <w:p>
      <w:pPr>
        <w:pStyle w:val="Heading2"/>
      </w:pPr>
      <w:bookmarkStart w:id="1793" w:name="b1778"/>
      <w:r>
        <w:t>Abschnitt 1 Bürgerliche Ehe</w:t>
      </w:r>
      <w:bookmarkEnd w:id="1793"/>
    </w:p>
    <w:p>
      <w:pPr>
        <w:pStyle w:val="Heading3"/>
      </w:pPr>
      <w:bookmarkStart w:id="1794" w:name="b1779"/>
      <w:r>
        <w:t>Titel 1 Verlöbnis</w:t>
      </w:r>
      <w:bookmarkEnd w:id="1794"/>
    </w:p>
    <w:p>
      <w:pPr>
        <w:pStyle w:val="Heading4"/>
      </w:pPr>
      <w:bookmarkStart w:id="1795" w:name="b1780"/>
      <w:r>
        <w:t>§ 1297 Kein Antrag auf Eingehung der Ehe, Nichtigkeit eines Strafversprechens</w:t>
      </w:r>
      <w:r>
        <w:t xml:space="preserve"> </w:t>
      </w:r>
      <w:r>
        <w:rPr>
          <w:rStyle w:val="Suchmarke"/>
        </w:rPr>
        <w:t>#1297#</w:t>
      </w:r>
      <w:bookmarkEnd w:id="1795"/>
    </w:p>
    <w:p>
      <w:r>
        <w:t>(1) Aus einem Verlöbnis kann kein Antrag auf Eingehung der Ehe gestellt werden.</w:t>
      </w:r>
    </w:p>
    <w:p>
      <w:r>
        <w:t>(2) Das Versprechen einer Strafe für den Fall, dass die Eingehung der Ehe unterbleibt, ist nichtig.</w:t>
      </w:r>
    </w:p>
    <w:p>
      <w:pPr>
        <w:pStyle w:val="Heading4"/>
      </w:pPr>
      <w:bookmarkStart w:id="1796" w:name="b1781"/>
      <w:r>
        <w:t>§ 1298 Ersatzpflicht bei Rücktritt</w:t>
      </w:r>
      <w:r>
        <w:t xml:space="preserve"> </w:t>
      </w:r>
      <w:r>
        <w:rPr>
          <w:rStyle w:val="Suchmarke"/>
        </w:rPr>
        <w:t>#1298#</w:t>
      </w:r>
      <w:bookmarkEnd w:id="1796"/>
    </w:p>
    <w:p>
      <w:r>
        <w:t xml:space="preserve">(1) </w:t>
      </w:r>
      <w:r>
        <w:rPr>
          <w:rStyle w:val="Satznummer"/>
        </w:rPr>
        <w:t>1</w:t>
      </w:r>
      <w:r>
        <w:t xml:space="preserve">Tritt ein Verlobter von dem Verlöbnis zurück, so hat er dem anderen Verlobten und dessen Eltern sowie dritten Personen, welche anstelle der Eltern gehandelt haben, den Schaden zu ersetzen, der daraus entstanden ist, dass sie in Erwartung der Ehe Aufwendungen gemacht haben oder Verbindlichkeiten eingegangen sind. </w:t>
      </w:r>
      <w:r>
        <w:rPr>
          <w:rStyle w:val="Satznummer"/>
        </w:rPr>
        <w:t>2</w:t>
      </w:r>
      <w:r>
        <w:t>Dem anderen Verlobten hat er auch den Schaden zu ersetzen, den dieser dadurch erleidet, dass er in Erwartung der Ehe sonstige sein Vermögen oder seine Erwerbsstellung berührende Maßnahmen getroffen hat.</w:t>
      </w:r>
    </w:p>
    <w:p>
      <w:r>
        <w:t>(2) Der Schaden ist nur insoweit zu ersetzen, als die Aufwendungen, die Eingehung der Verbindlichkeiten und die sonstigen Maßnahmen den Umständen nach angemessen waren.</w:t>
      </w:r>
    </w:p>
    <w:p>
      <w:r>
        <w:t>(3) Die Ersatzpflicht tritt nicht ein, wenn ein wichtiger Grund für den Rücktritt vorliegt.</w:t>
      </w:r>
    </w:p>
    <w:p>
      <w:pPr>
        <w:pStyle w:val="Heading4"/>
      </w:pPr>
      <w:bookmarkStart w:id="1797" w:name="b1782"/>
      <w:r>
        <w:t>§ 1299 Rücktritt aus Verschulden des anderen Teils</w:t>
      </w:r>
      <w:r>
        <w:t xml:space="preserve"> </w:t>
      </w:r>
      <w:r>
        <w:rPr>
          <w:rStyle w:val="Suchmarke"/>
        </w:rPr>
        <w:t>#1299#</w:t>
      </w:r>
      <w:bookmarkEnd w:id="1797"/>
    </w:p>
    <w:p>
      <w:r>
        <w:t>Veranlasst ein Verlobter den Rücktritt des anderen durch ein Verschulden, das einen wichtigen Grund für den Rücktritt bildet, so ist er nach Maßgabe des § 1298 Abs. 1, 2 zum Schadensersatz verpflichtet.</w:t>
      </w:r>
    </w:p>
    <w:p>
      <w:pPr>
        <w:pStyle w:val="Heading4"/>
      </w:pPr>
      <w:bookmarkStart w:id="1798" w:name="b1783"/>
      <w:r>
        <w:t>§ 1300</w:t>
      </w:r>
      <w:r>
        <w:t xml:space="preserve"> </w:t>
      </w:r>
      <w:r>
        <w:rPr>
          <w:rStyle w:val="Suchmarke"/>
        </w:rPr>
        <w:t>#1300#</w:t>
      </w:r>
      <w:bookmarkEnd w:id="1798"/>
    </w:p>
    <w:p>
      <w:r>
        <w:t>(weggefallen)</w:t>
      </w:r>
    </w:p>
    <w:p>
      <w:pPr>
        <w:pStyle w:val="Heading4"/>
      </w:pPr>
      <w:bookmarkStart w:id="1799" w:name="b1784"/>
      <w:r>
        <w:t>§ 1301 Rückgabe der Geschenke</w:t>
      </w:r>
      <w:r>
        <w:t xml:space="preserve"> </w:t>
      </w:r>
      <w:r>
        <w:rPr>
          <w:rStyle w:val="Suchmarke"/>
        </w:rPr>
        <w:t>#1301#</w:t>
      </w:r>
      <w:bookmarkEnd w:id="1799"/>
    </w:p>
    <w:p>
      <w:r>
        <w:rPr>
          <w:rStyle w:val="Satznummer"/>
        </w:rPr>
        <w:t>1</w:t>
      </w:r>
      <w:r>
        <w:t xml:space="preserve">Unterbleibt die Eheschließung, so kann jeder Verlobte von dem anderen die Herausgabe desjenigen, was er ihm geschenkt oder zum Zeichen des Verlöbnisses gegeben hat, nach den Vorschriften über die Herausgabe einer ungerechtfertigten Bereicherung fordern. </w:t>
      </w:r>
      <w:r>
        <w:rPr>
          <w:rStyle w:val="Satznummer"/>
        </w:rPr>
        <w:t>2</w:t>
      </w:r>
      <w:r>
        <w:t>Im Zweifel ist anzunehmen, dass die Rückforderung ausgeschlossen sein soll, wenn das Verlöbnis durch den Tod eines der Verlobten aufgelöst wird.</w:t>
      </w:r>
    </w:p>
    <w:p>
      <w:pPr>
        <w:pStyle w:val="Heading4"/>
      </w:pPr>
      <w:bookmarkStart w:id="1800" w:name="b1785"/>
      <w:r>
        <w:t>§ 1302 Verjährung</w:t>
      </w:r>
      <w:r>
        <w:t xml:space="preserve"> </w:t>
      </w:r>
      <w:r>
        <w:rPr>
          <w:rStyle w:val="Suchmarke"/>
        </w:rPr>
        <w:t>#1302#</w:t>
      </w:r>
      <w:bookmarkEnd w:id="1800"/>
    </w:p>
    <w:p>
      <w:r>
        <w:t xml:space="preserve">Die Verjährungsfrist der in den </w:t>
      </w:r>
      <w:hyperlink w:anchor="b1781" w:history="1">
        <w:r>
          <w:rPr>
            <w:color w:val="0A3A8C"/>
            <w:u w:val="single"/>
          </w:rPr>
          <w:t xml:space="preserve">§§ 1298</w:t>
        </w:r>
      </w:hyperlink>
      <w:r>
        <w:t xml:space="preserve"> bis </w:t>
      </w:r>
      <w:hyperlink w:anchor="b1784" w:history="1">
        <w:r>
          <w:rPr>
            <w:color w:val="0A3A8C"/>
            <w:u w:val="single"/>
          </w:rPr>
          <w:t xml:space="preserve">1301</w:t>
        </w:r>
      </w:hyperlink>
      <w:r>
        <w:t xml:space="preserve"> bestimmten Ansprüche beginnt mit der Auflösung des Verlöbnisses.</w:t>
      </w:r>
    </w:p>
    <w:p>
      <w:pPr>
        <w:pStyle w:val="Heading3"/>
      </w:pPr>
      <w:bookmarkStart w:id="1801" w:name="b1786"/>
      <w:r>
        <w:t>Titel 2 Eingehung der Ehe</w:t>
      </w:r>
      <w:bookmarkEnd w:id="1801"/>
    </w:p>
    <w:p>
      <w:pPr>
        <w:pStyle w:val="Heading4"/>
      </w:pPr>
      <w:bookmarkStart w:id="1802" w:name="b1787"/>
      <w:r>
        <w:t>Untertitel 1 Ehefähigkeit</w:t>
      </w:r>
      <w:bookmarkEnd w:id="1802"/>
    </w:p>
    <w:p>
      <w:pPr>
        <w:pStyle w:val="Heading5"/>
      </w:pPr>
      <w:bookmarkStart w:id="1803" w:name="b1788"/>
      <w:r>
        <w:t>§ 1303 Ehemündigkeit</w:t>
      </w:r>
      <w:r>
        <w:t xml:space="preserve"> </w:t>
      </w:r>
      <w:r>
        <w:rPr>
          <w:rStyle w:val="Suchmarke"/>
        </w:rPr>
        <w:t>#1303#</w:t>
      </w:r>
      <w:bookmarkEnd w:id="1803"/>
    </w:p>
    <w:p>
      <w:r>
        <w:rPr>
          <w:rStyle w:val="Satznummer"/>
        </w:rPr>
        <w:t>1</w:t>
      </w:r>
      <w:r>
        <w:t xml:space="preserve">Eine Ehe darf nicht vor Eintritt der Volljährigkeit eingegangen werden. </w:t>
      </w:r>
      <w:r>
        <w:rPr>
          <w:rStyle w:val="Satznummer"/>
        </w:rPr>
        <w:t>2</w:t>
      </w:r>
      <w:r>
        <w:t>Mit einer Person, die das 16. Lebensjahr nicht vollendet hat, kann eine Ehe nicht wirksam eingegangen werden.</w:t>
      </w:r>
    </w:p>
    <w:p>
      <w:pPr>
        <w:pStyle w:val="Heading5"/>
      </w:pPr>
      <w:bookmarkStart w:id="1804" w:name="b1789"/>
      <w:r>
        <w:t>§ 1304 Geschäftsunfähigkeit</w:t>
      </w:r>
      <w:r>
        <w:t xml:space="preserve"> </w:t>
      </w:r>
      <w:r>
        <w:rPr>
          <w:rStyle w:val="Suchmarke"/>
        </w:rPr>
        <w:t>#1304#</w:t>
      </w:r>
      <w:bookmarkEnd w:id="1804"/>
    </w:p>
    <w:p>
      <w:r>
        <w:t>Wer geschäftsunfähig ist, kann eine Ehe nicht eingehen.</w:t>
      </w:r>
    </w:p>
    <w:p>
      <w:pPr>
        <w:pStyle w:val="Heading5"/>
      </w:pPr>
      <w:bookmarkStart w:id="1805" w:name="b1790"/>
      <w:r>
        <w:t>§ 1305 Folgen und Heilung unwirksamer Minderjährigenehen</w:t>
      </w:r>
      <w:r>
        <w:t xml:space="preserve"> </w:t>
      </w:r>
      <w:r>
        <w:rPr>
          <w:rStyle w:val="Suchmarke"/>
        </w:rPr>
        <w:t>#1305#</w:t>
      </w:r>
      <w:bookmarkEnd w:id="1805"/>
    </w:p>
    <w:p>
      <w:r>
        <w:t xml:space="preserve">(1) </w:t>
      </w:r>
      <w:r>
        <w:rPr>
          <w:rStyle w:val="Satznummer"/>
        </w:rPr>
        <w:t>1</w:t>
      </w:r>
      <w:r>
        <w:t>Auf eine im Ausland geschlossene und nach § 1303 Satz 2 oder Artikel 13 Absatz 3 Nummer 1 des Einführungsgesetzes zum Bürgerlichen Gesetzbuche unwirksame Ehe werden zugunsten der bei Eheschließung noch nicht 16-jährigen Person folgende Vorschriften entsprechend angewendet:</w:t>
      </w:r>
    </w:p>
    <w:p>
      <w:pPr>
        <w:tabs>
          <w:tab w:pos="567" w:val="left"/>
        </w:tabs>
        <w:ind w:left="567" w:hanging="567"/>
      </w:pPr>
      <w:r>
        <w:t>1.</w:t>
      </w:r>
      <w:r>
        <w:tab/>
      </w:r>
      <w:r>
        <w:t xml:space="preserve">die </w:t>
      </w:r>
      <w:hyperlink w:anchor="b1822" w:history="1">
        <w:r>
          <w:rPr>
            <w:color w:val="0A3A8C"/>
            <w:u w:val="single"/>
          </w:rPr>
          <w:t xml:space="preserve">§§ 1360</w:t>
        </w:r>
      </w:hyperlink>
      <w:r>
        <w:t xml:space="preserve"> bis </w:t>
      </w:r>
      <w:hyperlink w:anchor="b1824" w:history="1">
        <w:r>
          <w:rPr>
            <w:color w:val="0A3A8C"/>
            <w:u w:val="single"/>
          </w:rPr>
          <w:t xml:space="preserve">1360b</w:t>
        </w:r>
      </w:hyperlink>
      <w:r>
        <w:t>, wenn die nicht wirksam Verheirateten wie in einer ehelichen Lebensgemeinschaft zusammenleben,</w:t>
      </w:r>
    </w:p>
    <w:p>
      <w:pPr>
        <w:tabs>
          <w:tab w:pos="567" w:val="left"/>
        </w:tabs>
        <w:ind w:left="567" w:hanging="567"/>
      </w:pPr>
      <w:r>
        <w:t>2.</w:t>
      </w:r>
      <w:r>
        <w:tab/>
      </w:r>
      <w:r>
        <w:t xml:space="preserve">die </w:t>
      </w:r>
      <w:hyperlink w:anchor="b1825" w:history="1">
        <w:r>
          <w:rPr>
            <w:color w:val="0A3A8C"/>
            <w:u w:val="single"/>
          </w:rPr>
          <w:t xml:space="preserve">§§ 1361</w:t>
        </w:r>
      </w:hyperlink>
      <w:r>
        <w:t xml:space="preserve"> und </w:t>
      </w:r>
      <w:hyperlink w:anchor="b2022" w:history="1">
        <w:r>
          <w:rPr>
            <w:color w:val="0A3A8C"/>
            <w:u w:val="single"/>
          </w:rPr>
          <w:t xml:space="preserve">1586</w:t>
        </w:r>
      </w:hyperlink>
      <w:r>
        <w:t>, wenn die nicht wirksam Verheirateten seit weniger als drei Jahren getrennt leben, und</w:t>
      </w:r>
    </w:p>
    <w:p>
      <w:pPr>
        <w:tabs>
          <w:tab w:pos="567" w:val="left"/>
        </w:tabs>
        <w:ind w:left="567" w:hanging="567"/>
      </w:pPr>
      <w:r>
        <w:t>3.</w:t>
      </w:r>
      <w:r>
        <w:tab/>
      </w:r>
      <w:r>
        <w:t xml:space="preserve">die </w:t>
      </w:r>
      <w:hyperlink w:anchor="b1996" w:history="1">
        <w:r>
          <w:rPr>
            <w:color w:val="0A3A8C"/>
            <w:u w:val="single"/>
          </w:rPr>
          <w:t xml:space="preserve">§§ 1569</w:t>
        </w:r>
      </w:hyperlink>
      <w:r>
        <w:t xml:space="preserve"> bis </w:t>
      </w:r>
      <w:hyperlink w:anchor="b2014" w:history="1">
        <w:r>
          <w:rPr>
            <w:color w:val="0A3A8C"/>
            <w:u w:val="single"/>
          </w:rPr>
          <w:t xml:space="preserve">1583</w:t>
        </w:r>
      </w:hyperlink>
      <w:r>
        <w:t xml:space="preserve"> sowie </w:t>
      </w:r>
      <w:hyperlink w:anchor="b2017" w:history="1">
        <w:r>
          <w:rPr>
            <w:color w:val="0A3A8C"/>
            <w:u w:val="single"/>
          </w:rPr>
          <w:t xml:space="preserve">1585</w:t>
        </w:r>
      </w:hyperlink>
      <w:r>
        <w:t xml:space="preserve"> bis </w:t>
      </w:r>
      <w:hyperlink w:anchor="b2024" w:history="1">
        <w:r>
          <w:rPr>
            <w:color w:val="0A3A8C"/>
            <w:u w:val="single"/>
          </w:rPr>
          <w:t xml:space="preserve">1586b</w:t>
        </w:r>
      </w:hyperlink>
      <w:r>
        <w:t>, wenn die nicht wirksam Verheirateten seit mindestens drei Jahren getrennt leben oder die Unwirksamkeit der Ehe gerichtlich festgestellt wurde.</w:t>
      </w:r>
    </w:p>
    <w:p>
      <w:r>
        <w:rPr>
          <w:rStyle w:val="Satznummer"/>
        </w:rPr>
        <w:t>2</w:t>
      </w:r>
      <w:r>
        <w:t xml:space="preserve">Die Vorschriften sind mit der Maßgabe anzuwenden, dass der Zeitpunkt der Trennung dem Eintritt der Rechtshängigkeit des Scheidungsantrags gleichsteht und der Ablauf des Trennungszeitraums von drei Jahren beziehungsweise die gerichtliche Feststellung der Unwirksamkeit dem Zeitpunkt der Scheidung gleichsteht. </w:t>
      </w:r>
      <w:r>
        <w:rPr>
          <w:rStyle w:val="Satznummer"/>
        </w:rPr>
        <w:t>3</w:t>
      </w:r>
      <w:r>
        <w:t xml:space="preserve">Im Fall des Todes des Unterhaltsverpflichteten gilt </w:t>
      </w:r>
      <w:hyperlink w:anchor="b2024" w:history="1">
        <w:r>
          <w:rPr>
            <w:color w:val="0A3A8C"/>
            <w:u w:val="single"/>
          </w:rPr>
          <w:t xml:space="preserve">§ 1586b</w:t>
        </w:r>
      </w:hyperlink>
      <w:r>
        <w:t xml:space="preserve"> auch in den Fällen des Satzes 1 Nummer 1 und 2; </w:t>
      </w:r>
      <w:hyperlink w:anchor="b2070" w:history="1">
        <w:r>
          <w:rPr>
            <w:color w:val="0A3A8C"/>
            <w:u w:val="single"/>
          </w:rPr>
          <w:t xml:space="preserve">§ 1615</w:t>
        </w:r>
      </w:hyperlink>
      <w:r>
        <w:t xml:space="preserve"> findet keine Anwendung. </w:t>
      </w:r>
      <w:r>
        <w:rPr>
          <w:rStyle w:val="Satznummer"/>
        </w:rPr>
        <w:t>4</w:t>
      </w:r>
      <w:r>
        <w:t xml:space="preserve">Hinsichtlich der Haftungsrangfolgen gelten in den Fällen des Satzes 1 Nummer 1 und 2 die </w:t>
      </w:r>
      <w:hyperlink w:anchor="b2059" w:history="1">
        <w:r>
          <w:rPr>
            <w:color w:val="0A3A8C"/>
            <w:u w:val="single"/>
          </w:rPr>
          <w:t xml:space="preserve">§§ 1608</w:t>
        </w:r>
      </w:hyperlink>
      <w:r>
        <w:t xml:space="preserve"> sowie </w:t>
      </w:r>
      <w:hyperlink w:anchor="b2060" w:history="1">
        <w:r>
          <w:rPr>
            <w:color w:val="0A3A8C"/>
            <w:u w:val="single"/>
          </w:rPr>
          <w:t xml:space="preserve">1609</w:t>
        </w:r>
      </w:hyperlink>
      <w:r>
        <w:t xml:space="preserve"> und im Fall des Satzes 1 Nummer 3 </w:t>
      </w:r>
      <w:hyperlink w:anchor="b2015" w:history="1">
        <w:r>
          <w:rPr>
            <w:color w:val="0A3A8C"/>
            <w:u w:val="single"/>
          </w:rPr>
          <w:t xml:space="preserve">§ 1584</w:t>
        </w:r>
      </w:hyperlink>
      <w:r>
        <w:t xml:space="preserve"> entsprechend. </w:t>
      </w:r>
      <w:r>
        <w:rPr>
          <w:rStyle w:val="Satznummer"/>
        </w:rPr>
        <w:t>5</w:t>
      </w:r>
      <w:r>
        <w:t>Satz 1 findet keine Anwendung, wenn beide Personen bei Eheschließung noch nicht 16 Jahre alt waren.</w:t>
      </w:r>
    </w:p>
    <w:p>
      <w:r>
        <w:t xml:space="preserve">(2) </w:t>
      </w:r>
      <w:r>
        <w:rPr>
          <w:rStyle w:val="Satznummer"/>
        </w:rPr>
        <w:t>1</w:t>
      </w:r>
      <w:r>
        <w:t xml:space="preserve">Die nicht wirksam Verheirateten können ihre im Ausland geschlossene und nach § 1303 Satz 2 oder Artikel 13 Absatz 3 Nummer 1 des Einführungsgesetzes zum Bürgerlichen Gesetzbuche unwirksame Ehe heilen, indem sie die Ehe im Inland erneut schließen, nachdem die bei der Eheschließung noch nicht 16-jährige Person das 18. Lebensjahr vollendet hat. </w:t>
      </w:r>
      <w:r>
        <w:rPr>
          <w:rStyle w:val="Satznummer"/>
        </w:rPr>
        <w:t>2</w:t>
      </w:r>
      <w:r>
        <w:t xml:space="preserve">Sie sind vom Erfordernis der Beibringung eines Ehefähigkeitszeugnisses befreit. </w:t>
      </w:r>
      <w:r>
        <w:rPr>
          <w:rStyle w:val="Satznummer"/>
        </w:rPr>
        <w:t>3</w:t>
      </w:r>
      <w:r>
        <w:t xml:space="preserve">Nach der erneuten Eheschließung ist für Rechtsfolgen der Ehe der Tag der unwirksamen Eheschließung maßgeblich. </w:t>
      </w:r>
      <w:r>
        <w:rPr>
          <w:rStyle w:val="Satznummer"/>
        </w:rPr>
        <w:t>4</w:t>
      </w:r>
      <w:r>
        <w:t>Satz 3 gilt nicht, wenn</w:t>
      </w:r>
    </w:p>
    <w:p>
      <w:pPr>
        <w:tabs>
          <w:tab w:pos="567" w:val="left"/>
        </w:tabs>
        <w:ind w:left="567" w:hanging="567"/>
      </w:pPr>
      <w:r>
        <w:t>1.</w:t>
      </w:r>
      <w:r>
        <w:tab/>
      </w:r>
      <w:r>
        <w:t>einer der nicht wirksam Verheirateten zwischenzeitlich mit einer dritten Person eine Ehe geschlossen hat, auch wenn diese Ehe nicht mehr besteht, oder</w:t>
      </w:r>
    </w:p>
    <w:p>
      <w:pPr>
        <w:tabs>
          <w:tab w:pos="567" w:val="left"/>
        </w:tabs>
        <w:ind w:left="567" w:hanging="567"/>
      </w:pPr>
      <w:r>
        <w:t>2.</w:t>
      </w:r>
      <w:r>
        <w:tab/>
      </w:r>
      <w:r>
        <w:t>die Unwirksamkeit der Ehe gerichtlich festgestellt wurde.</w:t>
      </w:r>
    </w:p>
    <w:p>
      <w:r>
        <w:t xml:space="preserve">(3) Die Vaterschaft nach </w:t>
      </w:r>
      <w:hyperlink w:anchor="b2035" w:history="1">
        <w:r>
          <w:rPr>
            <w:color w:val="0A3A8C"/>
            <w:u w:val="single"/>
          </w:rPr>
          <w:t xml:space="preserve">§ 1592</w:t>
        </w:r>
      </w:hyperlink>
      <w:r>
        <w:t xml:space="preserve"> Nummer 1 aufgrund einer nach Absatz 2 rückwirkend geheilten Ehe tritt nicht ein, wenn</w:t>
      </w:r>
    </w:p>
    <w:p>
      <w:pPr>
        <w:tabs>
          <w:tab w:pos="567" w:val="left"/>
        </w:tabs>
        <w:ind w:left="567" w:hanging="567"/>
      </w:pPr>
      <w:r>
        <w:t>1.</w:t>
      </w:r>
      <w:r>
        <w:tab/>
      </w:r>
      <w:r>
        <w:t>dieses Kind betreffend bereits eine gerichtliche Entscheidung über die Feststellung der Vaterschaft oder über die Annahme als Kind rechtskräftig geworden ist oder</w:t>
      </w:r>
    </w:p>
    <w:p>
      <w:pPr>
        <w:tabs>
          <w:tab w:pos="567" w:val="left"/>
        </w:tabs>
        <w:ind w:left="567" w:hanging="567"/>
      </w:pPr>
      <w:r>
        <w:t>2.</w:t>
      </w:r>
      <w:r>
        <w:tab/>
      </w:r>
      <w:r>
        <w:t>für dieses Kind bereits die Anerkennung der Vaterschaft wirksam geworden ist.</w:t>
      </w:r>
    </w:p>
    <w:p>
      <w:r>
        <w:t>(4) Die Absätze 1 bis 3 gelten nicht, wenn die Ehe auch aus anderem Grund unwirksam ist.</w:t>
      </w:r>
    </w:p>
    <w:p>
      <w:pPr>
        <w:pStyle w:val="Heading4"/>
      </w:pPr>
      <w:bookmarkStart w:id="1806" w:name="b1791"/>
      <w:r>
        <w:t>Untertitel 2 Eheverbote</w:t>
      </w:r>
      <w:bookmarkEnd w:id="1806"/>
    </w:p>
    <w:p>
      <w:pPr>
        <w:pStyle w:val="Heading5"/>
      </w:pPr>
      <w:bookmarkStart w:id="1807" w:name="b1792"/>
      <w:r>
        <w:t>§ 1306 Bestehende Ehe oder Lebenspartnerschaft</w:t>
      </w:r>
      <w:r>
        <w:t xml:space="preserve"> </w:t>
      </w:r>
      <w:r>
        <w:rPr>
          <w:rStyle w:val="Suchmarke"/>
        </w:rPr>
        <w:t>#1306#</w:t>
      </w:r>
      <w:bookmarkEnd w:id="1807"/>
    </w:p>
    <w:p>
      <w:r>
        <w:t>Eine Ehe darf nicht geschlossen werden, wenn zwischen einer der Personen, die die Ehe miteinander eingehen wollen, und einer dritten Person eine Ehe oder eine Lebenspartnerschaft besteht.</w:t>
      </w:r>
    </w:p>
    <w:p>
      <w:pPr>
        <w:pStyle w:val="Heading5"/>
      </w:pPr>
      <w:bookmarkStart w:id="1808" w:name="b1793"/>
      <w:r>
        <w:t>§ 1307 Verwandtschaft</w:t>
      </w:r>
      <w:r>
        <w:t xml:space="preserve"> </w:t>
      </w:r>
      <w:r>
        <w:rPr>
          <w:rStyle w:val="Suchmarke"/>
        </w:rPr>
        <w:t>#1307#</w:t>
      </w:r>
      <w:bookmarkEnd w:id="1808"/>
    </w:p>
    <w:p>
      <w:r>
        <w:rPr>
          <w:rStyle w:val="Satznummer"/>
        </w:rPr>
        <w:t>1</w:t>
      </w:r>
      <w:r>
        <w:t xml:space="preserve">Eine Ehe darf nicht geschlossen werden zwischen Verwandten in gerader Linie sowie zwischen vollbürtigen und halbbürtigen Geschwistern. </w:t>
      </w:r>
      <w:r>
        <w:rPr>
          <w:rStyle w:val="Satznummer"/>
        </w:rPr>
        <w:t>2</w:t>
      </w:r>
      <w:r>
        <w:t>Dies gilt auch, wenn das Verwandtschaftsverhältnis durch Annahme als Kind erloschen ist.</w:t>
      </w:r>
    </w:p>
    <w:p>
      <w:pPr>
        <w:pStyle w:val="Heading5"/>
      </w:pPr>
      <w:bookmarkStart w:id="1809" w:name="b1794"/>
      <w:r>
        <w:t>§ 1308 Annahme als Kind</w:t>
      </w:r>
      <w:r>
        <w:t xml:space="preserve"> </w:t>
      </w:r>
      <w:r>
        <w:rPr>
          <w:rStyle w:val="Suchmarke"/>
        </w:rPr>
        <w:t>#1308#</w:t>
      </w:r>
      <w:bookmarkEnd w:id="1809"/>
    </w:p>
    <w:p>
      <w:r>
        <w:t xml:space="preserve">(1) </w:t>
      </w:r>
      <w:r>
        <w:rPr>
          <w:rStyle w:val="Satznummer"/>
        </w:rPr>
        <w:t>1</w:t>
      </w:r>
      <w:r>
        <w:t xml:space="preserve">Eine Ehe soll nicht geschlossen werden zwischen Personen, deren Verwandtschaft im Sinne des </w:t>
      </w:r>
      <w:hyperlink w:anchor="b1793" w:history="1">
        <w:r>
          <w:rPr>
            <w:color w:val="0A3A8C"/>
            <w:u w:val="single"/>
          </w:rPr>
          <w:t xml:space="preserve">§ 1307</w:t>
        </w:r>
      </w:hyperlink>
      <w:r>
        <w:t xml:space="preserve"> durch Annahme als Kind begründet worden ist. </w:t>
      </w:r>
      <w:r>
        <w:rPr>
          <w:rStyle w:val="Satznummer"/>
        </w:rPr>
        <w:t>2</w:t>
      </w:r>
      <w:r>
        <w:t>Dies gilt nicht, wenn das Annahmeverhältnis aufgelöst worden ist.</w:t>
      </w:r>
    </w:p>
    <w:p>
      <w:r>
        <w:t xml:space="preserve">(2) </w:t>
      </w:r>
      <w:r>
        <w:rPr>
          <w:rStyle w:val="Satznummer"/>
        </w:rPr>
        <w:t>1</w:t>
      </w:r>
      <w:r>
        <w:t xml:space="preserve">Das Familiengericht kann auf Antrag von dieser Vorschrift Befreiung erteilen, wenn zwischen dem Antragsteller und seinem künftigen Ehegatten durch die Annahme als Kind eine Verwandtschaft in der Seitenlinie begründet worden ist. </w:t>
      </w:r>
      <w:r>
        <w:rPr>
          <w:rStyle w:val="Satznummer"/>
        </w:rPr>
        <w:t>2</w:t>
      </w:r>
      <w:r>
        <w:t>Die Befreiung soll versagt werden, wenn wichtige Gründe der Eingehung der Ehe entgegenstehen.</w:t>
      </w:r>
    </w:p>
    <w:p>
      <w:pPr>
        <w:pStyle w:val="Heading4"/>
      </w:pPr>
      <w:bookmarkStart w:id="1810" w:name="b1795"/>
      <w:r>
        <w:t>Untertitel 3 Ehefähigkeitszeugnis</w:t>
      </w:r>
      <w:bookmarkEnd w:id="1810"/>
    </w:p>
    <w:p>
      <w:pPr>
        <w:pStyle w:val="Heading5"/>
      </w:pPr>
      <w:bookmarkStart w:id="1811" w:name="b1796"/>
      <w:r>
        <w:t>§ 1309 Ehefähigkeitszeugnis für Ausländer</w:t>
      </w:r>
      <w:r>
        <w:t xml:space="preserve"> </w:t>
      </w:r>
      <w:r>
        <w:rPr>
          <w:rStyle w:val="Suchmarke"/>
        </w:rPr>
        <w:t>#1309#</w:t>
      </w:r>
      <w:bookmarkEnd w:id="1811"/>
    </w:p>
    <w:p>
      <w:r>
        <w:t xml:space="preserve">(1) </w:t>
      </w:r>
      <w:r>
        <w:rPr>
          <w:rStyle w:val="Satznummer"/>
        </w:rPr>
        <w:t>1</w:t>
      </w:r>
      <w:r>
        <w:t xml:space="preserve">Wer hinsichtlich der Voraussetzungen der Eheschließung vorbehaltlich des Artikels 13 Abs. 2 des Einführungsgesetzes zum Bürgerlichen Gesetzbuche ausländischem Recht unterliegt, soll eine Ehe nicht eingehen, bevor er ein Zeugnis der inneren Behörde seines Heimatstaats darüber beigebracht hat, dass der Eheschließung nach dem Recht dieses Staates kein Ehehindernis entgegensteht. </w:t>
      </w:r>
      <w:r>
        <w:rPr>
          <w:rStyle w:val="Satznummer"/>
        </w:rPr>
        <w:t>2</w:t>
      </w:r>
      <w:r>
        <w:t xml:space="preserve">Als Zeugnis der inneren Behörde gilt auch eine Urkunde im Sinne von Artikel 3 Nummer 1 Buchstabe e der Verordnung (EU) 2016/1191 des Europäischen Parlaments und des Rates vom 6. Juli 2016 zur Förderung der Freizügigkeit von Bürgern durch die Vereinfachung der Anforderungen an die Vorlage bestimmter öffentlicher Urkunden innerhalb der Europäischen Union und zur Änderung der Verordnung (EU) Nr. 1024/2012 (ABl. L 200 vom 26.7.2016, S. 1) sowie eine Bescheinigung, die von einer anderen Stelle nach Maßgabe eines mit dem Heimatstaat des Betroffenen geschlossenen Vertrags erteilt ist. </w:t>
      </w:r>
      <w:r>
        <w:rPr>
          <w:rStyle w:val="Satznummer"/>
        </w:rPr>
        <w:t>3</w:t>
      </w:r>
      <w:r>
        <w:t>Das Zeugnis verliert seine Kraft, wenn die Ehe nicht binnen sechs Monaten seit der Ausstellung geschlossen wird; ist in dem Zeugnis eine kürzere Geltungsdauer angegeben, ist diese maßgebend.</w:t>
      </w:r>
    </w:p>
    <w:p>
      <w:r>
        <w:t xml:space="preserve">(2) </w:t>
      </w:r>
      <w:r>
        <w:rPr>
          <w:rStyle w:val="Satznummer"/>
        </w:rPr>
        <w:t>1</w:t>
      </w:r>
      <w:r>
        <w:t xml:space="preserve">Von dem Erfordernis nach Absatz 1 Satz 1 kann der Präsident des Oberlandesgerichts, in dessen Bezirk das Standesamt, bei dem die Eheschließung angemeldet worden ist, seinen Sitz hat, Befreiung erteilen. </w:t>
      </w:r>
      <w:r>
        <w:rPr>
          <w:rStyle w:val="Satznummer"/>
        </w:rPr>
        <w:t>2</w:t>
      </w:r>
      <w:r>
        <w:t xml:space="preserve">Die Befreiung soll nur Staatenlosen mit gewöhnlichem Aufenthalt im Ausland und Angehörigen solcher Staaten erteilt werden, deren Behörden keine Ehefähigkeitszeugnisse im Sinne des Absatzes 1 ausstellen. </w:t>
      </w:r>
      <w:r>
        <w:rPr>
          <w:rStyle w:val="Satznummer"/>
        </w:rPr>
        <w:t>3</w:t>
      </w:r>
      <w:r>
        <w:t xml:space="preserve">In besonderen Fällen darf sie auch Angehörigen anderer Staaten erteilt werden. </w:t>
      </w:r>
      <w:r>
        <w:rPr>
          <w:rStyle w:val="Satznummer"/>
        </w:rPr>
        <w:t>4</w:t>
      </w:r>
      <w:r>
        <w:t>Die Befreiung gilt nur für die Dauer von sechs Monaten.</w:t>
      </w:r>
    </w:p>
    <w:p>
      <w:r>
        <w:t>(3) (weggefallen)</w:t>
      </w:r>
    </w:p>
    <w:p>
      <w:pPr>
        <w:pStyle w:val="Heading4"/>
      </w:pPr>
      <w:bookmarkStart w:id="1812" w:name="b1797"/>
      <w:r>
        <w:t>Untertitel 4 Eheschließung</w:t>
      </w:r>
      <w:bookmarkEnd w:id="1812"/>
    </w:p>
    <w:p>
      <w:pPr>
        <w:pStyle w:val="Heading5"/>
      </w:pPr>
      <w:bookmarkStart w:id="1813" w:name="b1798"/>
      <w:r>
        <w:t>§ 1310 Zuständigkeit des Standesbeamten, Heilung fehlerhafter Ehen</w:t>
      </w:r>
      <w:r>
        <w:t xml:space="preserve"> </w:t>
      </w:r>
      <w:r>
        <w:rPr>
          <w:rStyle w:val="Suchmarke"/>
        </w:rPr>
        <w:t>#1310#</w:t>
      </w:r>
      <w:bookmarkEnd w:id="1813"/>
    </w:p>
    <w:p>
      <w:r>
        <w:t xml:space="preserve">(1) </w:t>
      </w:r>
      <w:r>
        <w:rPr>
          <w:rStyle w:val="Satznummer"/>
        </w:rPr>
        <w:t>1</w:t>
      </w:r>
      <w:r>
        <w:t xml:space="preserve">Die Ehe wird nur dadurch geschlossen, dass die Eheschließenden vor dem Standesbeamten erklären, die Ehe miteinander eingehen zu wollen. </w:t>
      </w:r>
      <w:r>
        <w:rPr>
          <w:rStyle w:val="Satznummer"/>
        </w:rPr>
        <w:t>2</w:t>
      </w:r>
      <w:r>
        <w:t xml:space="preserve">Der Standesbeamte darf seine Mitwirkung an der Eheschließung nicht verweigern, wenn die Voraussetzungen der Eheschließung vorliegen. </w:t>
      </w:r>
      <w:r>
        <w:rPr>
          <w:rStyle w:val="Satznummer"/>
        </w:rPr>
        <w:t>3</w:t>
      </w:r>
      <w:r>
        <w:t>Der Standesbeamte muss seine Mitwirkung verweigern, wenn</w:t>
      </w:r>
    </w:p>
    <w:p>
      <w:pPr>
        <w:tabs>
          <w:tab w:pos="567" w:val="left"/>
        </w:tabs>
        <w:ind w:left="567" w:hanging="567"/>
      </w:pPr>
      <w:r>
        <w:t>1.</w:t>
      </w:r>
      <w:r>
        <w:tab/>
      </w:r>
      <w:r>
        <w:t xml:space="preserve">offenkundig ist, dass die Ehe nach </w:t>
      </w:r>
      <w:hyperlink w:anchor="b1803" w:history="1">
        <w:r>
          <w:rPr>
            <w:color w:val="0A3A8C"/>
            <w:u w:val="single"/>
          </w:rPr>
          <w:t xml:space="preserve">§ 1314</w:t>
        </w:r>
      </w:hyperlink>
      <w:r>
        <w:t xml:space="preserve"> Absatz 2 aufhebbar wäre, oder</w:t>
      </w:r>
    </w:p>
    <w:p>
      <w:pPr>
        <w:tabs>
          <w:tab w:pos="567" w:val="left"/>
        </w:tabs>
        <w:ind w:left="567" w:hanging="567"/>
      </w:pPr>
      <w:r>
        <w:t>2.</w:t>
      </w:r>
      <w:r>
        <w:tab/>
      </w:r>
      <w:r>
        <w:t>nach Artikel 13 Absatz 3 des Einführungsgesetzes zum Bürgerlichen Gesetzbuche die beabsichtigte Ehe unwirksam wäre oder die Aufhebung der Ehe in Betracht kommt.</w:t>
      </w:r>
    </w:p>
    <w:p>
      <w:r>
        <w:t>(2) Als Standesbeamter gilt auch, wer, ohne Standesbeamter zu sein, das Amt eines Standesbeamten öffentlich ausgeübt und die Ehe in das Eheregister eingetragen hat.</w:t>
      </w:r>
    </w:p>
    <w:p>
      <w:r>
        <w:t>(3) Eine Ehe gilt auch dann als geschlossen, wenn die Ehegatten erklärt haben, die Ehe miteinander eingehen zu wollen, und</w:t>
      </w:r>
    </w:p>
    <w:p>
      <w:pPr>
        <w:tabs>
          <w:tab w:pos="567" w:val="left"/>
        </w:tabs>
        <w:ind w:left="567" w:hanging="567"/>
      </w:pPr>
      <w:r>
        <w:t>1.</w:t>
      </w:r>
      <w:r>
        <w:tab/>
      </w:r>
      <w:r>
        <w:t>der Standesbeamte die Ehe in das Eheregister eingetragen hat,</w:t>
      </w:r>
    </w:p>
    <w:p>
      <w:pPr>
        <w:tabs>
          <w:tab w:pos="567" w:val="left"/>
        </w:tabs>
        <w:ind w:left="567" w:hanging="567"/>
      </w:pPr>
      <w:r>
        <w:t>2.</w:t>
      </w:r>
      <w:r>
        <w:tab/>
      </w:r>
      <w:r>
        <w:t>der Standesbeamte im Zusammenhang mit der Beurkundung der Geburt eines gemeinsamen Kindes der Ehegatten einen Hinweis auf die Eheschließung in das Geburtenregister eingetragen hat oder</w:t>
      </w:r>
    </w:p>
    <w:p>
      <w:pPr>
        <w:tabs>
          <w:tab w:pos="567" w:val="left"/>
        </w:tabs>
        <w:ind w:left="567" w:hanging="567"/>
      </w:pPr>
      <w:r>
        <w:t>3.</w:t>
      </w:r>
      <w:r>
        <w:tab/>
      </w:r>
      <w:r>
        <w:t>der Standesbeamte von den Ehegatten eine familienrechtliche Erklärung, die zu ihrer Wirksamkeit eine bestehende Ehe voraussetzt, entgegengenommen hat und den Ehegatten hierüber eine in Rechtsvorschriften vorgesehene Bescheinigung erteilt worden ist</w:t>
      </w:r>
    </w:p>
    <w:p>
      <w:r>
        <w:t>und die Ehegatten seitdem zehn Jahre oder bis zum Tode eines der Ehegatten, mindestens jedoch fünf Jahre, als Ehegatten miteinander gelebt haben.</w:t>
      </w:r>
    </w:p>
    <w:p>
      <w:pPr>
        <w:pStyle w:val="Heading5"/>
      </w:pPr>
      <w:bookmarkStart w:id="1814" w:name="b1799"/>
      <w:r>
        <w:t>§ 1311 Persönliche Erklärung</w:t>
      </w:r>
      <w:r>
        <w:t xml:space="preserve"> </w:t>
      </w:r>
      <w:r>
        <w:rPr>
          <w:rStyle w:val="Suchmarke"/>
        </w:rPr>
        <w:t>#1311#</w:t>
      </w:r>
      <w:bookmarkEnd w:id="1814"/>
    </w:p>
    <w:p>
      <w:r>
        <w:rPr>
          <w:rStyle w:val="Satznummer"/>
        </w:rPr>
        <w:t>1</w:t>
      </w:r>
      <w:r>
        <w:t xml:space="preserve">Die Eheschließenden müssen die Erklärungen nach </w:t>
      </w:r>
      <w:hyperlink w:anchor="b1798" w:history="1">
        <w:r>
          <w:rPr>
            <w:color w:val="0A3A8C"/>
            <w:u w:val="single"/>
          </w:rPr>
          <w:t xml:space="preserve">§ 1310</w:t>
        </w:r>
      </w:hyperlink>
      <w:r>
        <w:t xml:space="preserve"> Abs. 1 persönlich und bei gleichzeitiger Anwesenheit abgeben. </w:t>
      </w:r>
      <w:r>
        <w:rPr>
          <w:rStyle w:val="Satznummer"/>
        </w:rPr>
        <w:t>2</w:t>
      </w:r>
      <w:r>
        <w:t>Die Erklärungen können nicht unter einer Bedingung oder Zeitbestimmung abgegeben werden.</w:t>
      </w:r>
    </w:p>
    <w:p>
      <w:pPr>
        <w:pStyle w:val="Heading5"/>
      </w:pPr>
      <w:bookmarkStart w:id="1815" w:name="b1800"/>
      <w:r>
        <w:t>§ 1312 Trauung</w:t>
      </w:r>
      <w:r>
        <w:t xml:space="preserve"> </w:t>
      </w:r>
      <w:r>
        <w:rPr>
          <w:rStyle w:val="Suchmarke"/>
        </w:rPr>
        <w:t>#1312#</w:t>
      </w:r>
      <w:bookmarkEnd w:id="1815"/>
    </w:p>
    <w:p>
      <w:r>
        <w:rPr>
          <w:rStyle w:val="Satznummer"/>
        </w:rPr>
        <w:t>1</w:t>
      </w:r>
      <w:r>
        <w:t xml:space="preserve">Der Standesbeamte soll bei der Eheschließung die Eheschließenden einzeln befragen, ob sie die Ehe miteinander eingehen wollen, und, nachdem die Eheschließenden diese Frage bejaht haben, aussprechen, dass sie nunmehr kraft Gesetzes rechtmäßig verbundene Eheleute sind. </w:t>
      </w:r>
      <w:r>
        <w:rPr>
          <w:rStyle w:val="Satznummer"/>
        </w:rPr>
        <w:t>2</w:t>
      </w:r>
      <w:r>
        <w:t>Die Eheschließung kann in Gegenwart von einem oder zwei Zeugen erfolgen, sofern die Eheschließenden dies wünschen.</w:t>
      </w:r>
    </w:p>
    <w:p>
      <w:pPr>
        <w:pStyle w:val="Heading3"/>
      </w:pPr>
      <w:bookmarkStart w:id="1816" w:name="b1801"/>
      <w:r>
        <w:t>Titel 3 Aufhebung der Ehe</w:t>
      </w:r>
      <w:bookmarkEnd w:id="1816"/>
    </w:p>
    <w:p>
      <w:pPr>
        <w:pStyle w:val="Heading4"/>
      </w:pPr>
      <w:bookmarkStart w:id="1817" w:name="b1802"/>
      <w:r>
        <w:t>§ 1313 Aufhebung durch richterliche Entscheidung</w:t>
      </w:r>
      <w:r>
        <w:t xml:space="preserve"> </w:t>
      </w:r>
      <w:r>
        <w:rPr>
          <w:rStyle w:val="Suchmarke"/>
        </w:rPr>
        <w:t>#1313#</w:t>
      </w:r>
      <w:bookmarkEnd w:id="1817"/>
    </w:p>
    <w:p>
      <w:r>
        <w:rPr>
          <w:rStyle w:val="Satznummer"/>
        </w:rPr>
        <w:t>1</w:t>
      </w:r>
      <w:r>
        <w:t xml:space="preserve">Eine Ehe kann nur durch richterliche Entscheidung auf Antrag aufgehoben werden. </w:t>
      </w:r>
      <w:r>
        <w:rPr>
          <w:rStyle w:val="Satznummer"/>
        </w:rPr>
        <w:t>2</w:t>
      </w:r>
      <w:r>
        <w:t xml:space="preserve">Die Ehe ist mit der Rechtskraft der Entscheidung aufgelöst. </w:t>
      </w:r>
      <w:r>
        <w:rPr>
          <w:rStyle w:val="Satznummer"/>
        </w:rPr>
        <w:t>3</w:t>
      </w:r>
      <w:r>
        <w:t>Die Voraussetzungen, unter denen die Aufhebung begehrt werden kann, ergeben sich aus den folgenden Vorschriften.</w:t>
      </w:r>
    </w:p>
    <w:p>
      <w:pPr>
        <w:pStyle w:val="Heading4"/>
      </w:pPr>
      <w:bookmarkStart w:id="1818" w:name="b1803"/>
      <w:r>
        <w:t>§ 1314 Aufhebungsgründe</w:t>
      </w:r>
      <w:r>
        <w:t xml:space="preserve"> </w:t>
      </w:r>
      <w:r>
        <w:rPr>
          <w:rStyle w:val="Suchmarke"/>
        </w:rPr>
        <w:t>#1314#</w:t>
      </w:r>
      <w:bookmarkEnd w:id="1818"/>
    </w:p>
    <w:p>
      <w:r>
        <w:t>(1) Eine Ehe kann aufgehoben werden, wenn sie</w:t>
      </w:r>
    </w:p>
    <w:p>
      <w:pPr>
        <w:tabs>
          <w:tab w:pos="567" w:val="left"/>
        </w:tabs>
        <w:ind w:left="567" w:hanging="567"/>
      </w:pPr>
      <w:r>
        <w:t>1.</w:t>
      </w:r>
      <w:r>
        <w:tab/>
      </w:r>
      <w:r>
        <w:t xml:space="preserve">entgegen </w:t>
      </w:r>
      <w:hyperlink w:anchor="b1788" w:history="1">
        <w:r>
          <w:rPr>
            <w:color w:val="0A3A8C"/>
            <w:u w:val="single"/>
          </w:rPr>
          <w:t xml:space="preserve">§ 1303</w:t>
        </w:r>
      </w:hyperlink>
      <w:r>
        <w:t xml:space="preserve"> Satz 1 mit einem Minderjährigen geschlossen worden ist, der im Zeitpunkt der Eheschließung das 16. Lebensjahr vollendet hatte, oder</w:t>
      </w:r>
    </w:p>
    <w:p>
      <w:pPr>
        <w:tabs>
          <w:tab w:pos="567" w:val="left"/>
        </w:tabs>
        <w:ind w:left="567" w:hanging="567"/>
      </w:pPr>
      <w:r>
        <w:t>2.</w:t>
      </w:r>
      <w:r>
        <w:tab/>
      </w:r>
      <w:r>
        <w:t xml:space="preserve">entgegen den </w:t>
      </w:r>
      <w:hyperlink w:anchor="b1789" w:history="1">
        <w:r>
          <w:rPr>
            <w:color w:val="0A3A8C"/>
            <w:u w:val="single"/>
          </w:rPr>
          <w:t xml:space="preserve">§§ 1304</w:t>
        </w:r>
      </w:hyperlink>
      <w:r>
        <w:t xml:space="preserve">, </w:t>
      </w:r>
      <w:hyperlink w:anchor="b1792" w:history="1">
        <w:r>
          <w:rPr>
            <w:color w:val="0A3A8C"/>
            <w:u w:val="single"/>
          </w:rPr>
          <w:t xml:space="preserve">1306</w:t>
        </w:r>
      </w:hyperlink>
      <w:r>
        <w:t xml:space="preserve">, </w:t>
      </w:r>
      <w:hyperlink w:anchor="b1793" w:history="1">
        <w:r>
          <w:rPr>
            <w:color w:val="0A3A8C"/>
            <w:u w:val="single"/>
          </w:rPr>
          <w:t xml:space="preserve">1307</w:t>
        </w:r>
      </w:hyperlink>
      <w:r>
        <w:t xml:space="preserve">, </w:t>
      </w:r>
      <w:hyperlink w:anchor="b1799" w:history="1">
        <w:r>
          <w:rPr>
            <w:color w:val="0A3A8C"/>
            <w:u w:val="single"/>
          </w:rPr>
          <w:t xml:space="preserve">1311</w:t>
        </w:r>
      </w:hyperlink>
      <w:r>
        <w:t xml:space="preserve"> geschlossen worden ist.</w:t>
      </w:r>
    </w:p>
    <w:p>
      <w:r>
        <w:t>(2) Eine Ehe kann ferner aufgehoben werden, wenn</w:t>
      </w:r>
    </w:p>
    <w:p>
      <w:pPr>
        <w:tabs>
          <w:tab w:pos="567" w:val="left"/>
        </w:tabs>
        <w:ind w:left="567" w:hanging="567"/>
      </w:pPr>
      <w:r>
        <w:t>1.</w:t>
      </w:r>
      <w:r>
        <w:tab/>
      </w:r>
      <w:r>
        <w:t>ein Ehegatte sich bei der Eheschließung im Zustand der Bewusstlosigkeit oder vorübergehender Störung der Geistestätigkeit befand;</w:t>
      </w:r>
    </w:p>
    <w:p>
      <w:pPr>
        <w:tabs>
          <w:tab w:pos="567" w:val="left"/>
        </w:tabs>
        <w:ind w:left="567" w:hanging="567"/>
      </w:pPr>
      <w:r>
        <w:t>2.</w:t>
      </w:r>
      <w:r>
        <w:tab/>
      </w:r>
      <w:r>
        <w:t>ein Ehegatte bei der Eheschließung nicht gewusst hat, dass es sich um eine Eheschließung handelt;</w:t>
      </w:r>
    </w:p>
    <w:p>
      <w:pPr>
        <w:tabs>
          <w:tab w:pos="567" w:val="left"/>
        </w:tabs>
        <w:ind w:left="567" w:hanging="567"/>
      </w:pPr>
      <w:r>
        <w:t>3.</w:t>
      </w:r>
      <w:r>
        <w:tab/>
      </w:r>
      <w:r>
        <w:t>ein Ehegatte zur Eingehung der Ehe durch arglistige Täuschung über solche Umstände bestimmt worden ist, die ihn bei Kenntnis der Sachlage und bei richtiger Würdigung des Wesens der Ehe von der Eingehung der Ehe abgehalten hätten; dies gilt nicht, wenn die Täuschung Vermögensverhältnisse betrifft oder von einem Dritten ohne Wissen des anderen Ehegatten verübt worden ist;</w:t>
      </w:r>
    </w:p>
    <w:p>
      <w:pPr>
        <w:tabs>
          <w:tab w:pos="567" w:val="left"/>
        </w:tabs>
        <w:ind w:left="567" w:hanging="567"/>
      </w:pPr>
      <w:r>
        <w:t>4.</w:t>
      </w:r>
      <w:r>
        <w:tab/>
      </w:r>
      <w:r>
        <w:t>ein Ehegatte zur Eingehung der Ehe widerrechtlich durch Drohung bestimmt worden ist;</w:t>
      </w:r>
    </w:p>
    <w:p>
      <w:pPr>
        <w:tabs>
          <w:tab w:pos="567" w:val="left"/>
        </w:tabs>
        <w:ind w:left="567" w:hanging="567"/>
      </w:pPr>
      <w:r>
        <w:t>5.</w:t>
      </w:r>
      <w:r>
        <w:tab/>
      </w:r>
      <w:r>
        <w:t xml:space="preserve">beide Ehegatten sich bei der Eheschließung darüber einig waren, dass sie keine Verpflichtung gemäß </w:t>
      </w:r>
      <w:hyperlink w:anchor="b1813" w:history="1">
        <w:r>
          <w:rPr>
            <w:color w:val="0A3A8C"/>
            <w:u w:val="single"/>
          </w:rPr>
          <w:t xml:space="preserve">§ 1353</w:t>
        </w:r>
      </w:hyperlink>
      <w:r>
        <w:t xml:space="preserve"> Abs. 1 begründen wollen.</w:t>
      </w:r>
    </w:p>
    <w:p>
      <w:pPr>
        <w:pStyle w:val="Heading4"/>
      </w:pPr>
      <w:bookmarkStart w:id="1819" w:name="b1804"/>
      <w:r>
        <w:t>§ 1315 Ausschluss der Aufhebung</w:t>
      </w:r>
      <w:r>
        <w:t xml:space="preserve"> </w:t>
      </w:r>
      <w:r>
        <w:rPr>
          <w:rStyle w:val="Suchmarke"/>
        </w:rPr>
        <w:t>#1315#</w:t>
      </w:r>
      <w:bookmarkEnd w:id="1819"/>
    </w:p>
    <w:p>
      <w:r>
        <w:t xml:space="preserve">(1) </w:t>
      </w:r>
      <w:r>
        <w:rPr>
          <w:rStyle w:val="Satznummer"/>
        </w:rPr>
        <w:t>1</w:t>
      </w:r>
      <w:r>
        <w:t>Eine Aufhebung der Ehe ist ausgeschlossen</w:t>
      </w:r>
    </w:p>
    <w:p>
      <w:pPr>
        <w:tabs>
          <w:tab w:pos="567" w:val="left"/>
        </w:tabs>
        <w:ind w:left="567" w:hanging="567"/>
      </w:pPr>
      <w:r>
        <w:t>1.</w:t>
      </w:r>
      <w:r>
        <w:tab/>
      </w:r>
      <w:r>
        <w:t xml:space="preserve">bei Verstoß gegen </w:t>
      </w:r>
      <w:hyperlink w:anchor="b1788" w:history="1">
        <w:r>
          <w:rPr>
            <w:color w:val="0A3A8C"/>
            <w:u w:val="single"/>
          </w:rPr>
          <w:t xml:space="preserve">§ 1303</w:t>
        </w:r>
      </w:hyperlink>
      <w:r>
        <w:t xml:space="preserve"> Satz 1, wenn</w:t>
      </w:r>
    </w:p>
    <w:p>
      <w:pPr>
        <w:tabs>
          <w:tab w:pos="1134" w:val="left"/>
        </w:tabs>
        <w:ind w:left="1134" w:hanging="567"/>
      </w:pPr>
      <w:r>
        <w:t>a)</w:t>
      </w:r>
      <w:r>
        <w:tab/>
      </w:r>
      <w:r>
        <w:t>der minderjährige Ehegatte, nachdem er volljährig geworden ist, zu erkennen gegeben hat, dass er die Ehe fortsetzen will (Bestätigung), oder</w:t>
      </w:r>
    </w:p>
    <w:p>
      <w:pPr>
        <w:tabs>
          <w:tab w:pos="1134" w:val="left"/>
        </w:tabs>
        <w:ind w:left="1134" w:hanging="567"/>
      </w:pPr>
      <w:r>
        <w:t>b)</w:t>
      </w:r>
      <w:r>
        <w:tab/>
      </w:r>
      <w:r>
        <w:t>auf Grund außergewöhnlicher Umstände die Aufhebung der Ehe eine so schwere Härte für den minderjährigen Ehegatten darstellen würde, dass die Aufrechterhaltung der Ehe ausnahmsweise geboten erscheint;</w:t>
      </w:r>
    </w:p>
    <w:p>
      <w:pPr>
        <w:tabs>
          <w:tab w:pos="567" w:val="left"/>
        </w:tabs>
        <w:ind w:left="567" w:hanging="567"/>
      </w:pPr>
      <w:r>
        <w:t>2.</w:t>
      </w:r>
      <w:r>
        <w:tab/>
      </w:r>
      <w:r>
        <w:t xml:space="preserve">bei Verstoß gegen </w:t>
      </w:r>
      <w:hyperlink w:anchor="b1789" w:history="1">
        <w:r>
          <w:rPr>
            <w:color w:val="0A3A8C"/>
            <w:u w:val="single"/>
          </w:rPr>
          <w:t xml:space="preserve">§ 1304</w:t>
        </w:r>
      </w:hyperlink>
      <w:r>
        <w:t>, wenn der Ehegatte nach Wegfall der Geschäftsunfähigkeit zu erkennen gegeben hat, dass er die Ehe fortsetzen will (Bestätigung),</w:t>
      </w:r>
    </w:p>
    <w:p>
      <w:pPr>
        <w:tabs>
          <w:tab w:pos="567" w:val="left"/>
        </w:tabs>
        <w:ind w:left="567" w:hanging="567"/>
      </w:pPr>
      <w:r>
        <w:t>3.</w:t>
      </w:r>
      <w:r>
        <w:tab/>
      </w:r>
      <w:r>
        <w:t xml:space="preserve">im Falle des </w:t>
      </w:r>
      <w:hyperlink w:anchor="b1803" w:history="1">
        <w:r>
          <w:rPr>
            <w:color w:val="0A3A8C"/>
            <w:u w:val="single"/>
          </w:rPr>
          <w:t xml:space="preserve">§ 1314</w:t>
        </w:r>
      </w:hyperlink>
      <w:r>
        <w:t xml:space="preserve"> Abs. 2 Nr. 1, wenn der Ehegatte nach Wegfall der Bewusstlosigkeit oder der Störung der Geistestätigkeit zu erkennen gegeben hat, dass er die Ehe fortsetzen will (Bestätigung),</w:t>
      </w:r>
    </w:p>
    <w:p>
      <w:pPr>
        <w:tabs>
          <w:tab w:pos="567" w:val="left"/>
        </w:tabs>
        <w:ind w:left="567" w:hanging="567"/>
      </w:pPr>
      <w:r>
        <w:t>4.</w:t>
      </w:r>
      <w:r>
        <w:tab/>
      </w:r>
      <w:r>
        <w:t xml:space="preserve">in den Fällen des </w:t>
      </w:r>
      <w:hyperlink w:anchor="b1803" w:history="1">
        <w:r>
          <w:rPr>
            <w:color w:val="0A3A8C"/>
            <w:u w:val="single"/>
          </w:rPr>
          <w:t xml:space="preserve">§ 1314</w:t>
        </w:r>
      </w:hyperlink>
      <w:r>
        <w:t xml:space="preserve"> Abs. 2 Nr. 2 bis 4, wenn der Ehegatte nach Entdeckung des Irrtums oder der Täuschung oder nach Aufhören der Zwangslage zu erkennen gegeben hat, dass er die Ehe fortsetzen will (Bestätigung),</w:t>
      </w:r>
    </w:p>
    <w:p>
      <w:pPr>
        <w:tabs>
          <w:tab w:pos="567" w:val="left"/>
        </w:tabs>
        <w:ind w:left="567" w:hanging="567"/>
      </w:pPr>
      <w:r>
        <w:t>5.</w:t>
      </w:r>
      <w:r>
        <w:tab/>
      </w:r>
      <w:r>
        <w:t xml:space="preserve">in den Fällen des </w:t>
      </w:r>
      <w:hyperlink w:anchor="b1803" w:history="1">
        <w:r>
          <w:rPr>
            <w:color w:val="0A3A8C"/>
            <w:u w:val="single"/>
          </w:rPr>
          <w:t xml:space="preserve">§ 1314</w:t>
        </w:r>
      </w:hyperlink>
      <w:r>
        <w:t xml:space="preserve"> Abs. 2 Nr. 5, wenn die Ehegatten nach der Eheschließung als Ehegatten miteinander gelebt haben.</w:t>
      </w:r>
    </w:p>
    <w:p>
      <w:r>
        <w:rPr>
          <w:rStyle w:val="Satznummer"/>
        </w:rPr>
        <w:t>2</w:t>
      </w:r>
      <w:r>
        <w:t>Die Bestätigung eines Geschäftsunfähigen ist unwirksam.</w:t>
      </w:r>
    </w:p>
    <w:p>
      <w:r>
        <w:t>(2) Eine Aufhebung der Ehe ist ferner ausgeschlossen</w:t>
      </w:r>
    </w:p>
    <w:p>
      <w:pPr>
        <w:tabs>
          <w:tab w:pos="567" w:val="left"/>
        </w:tabs>
        <w:ind w:left="567" w:hanging="567"/>
      </w:pPr>
      <w:r>
        <w:t>1.</w:t>
      </w:r>
      <w:r>
        <w:tab/>
      </w:r>
      <w:r>
        <w:t xml:space="preserve">bei Verstoß gegen </w:t>
      </w:r>
      <w:hyperlink w:anchor="b1792" w:history="1">
        <w:r>
          <w:rPr>
            <w:color w:val="0A3A8C"/>
            <w:u w:val="single"/>
          </w:rPr>
          <w:t xml:space="preserve">§ 1306</w:t>
        </w:r>
      </w:hyperlink>
      <w:r>
        <w:t>, wenn vor der Schließung der neuen Ehe die Scheidung oder Aufhebung der früheren Ehe oder die Aufhebung der Lebenspartnerschaft ausgesprochen ist und dieser Ausspruch nach der Schließung der neuen Ehe rechtskräftig wird;</w:t>
      </w:r>
    </w:p>
    <w:p>
      <w:pPr>
        <w:tabs>
          <w:tab w:pos="567" w:val="left"/>
        </w:tabs>
        <w:ind w:left="567" w:hanging="567"/>
      </w:pPr>
      <w:r>
        <w:t>2.</w:t>
      </w:r>
      <w:r>
        <w:tab/>
      </w:r>
      <w:r>
        <w:t xml:space="preserve">bei Verstoß gegen </w:t>
      </w:r>
      <w:hyperlink w:anchor="b1799" w:history="1">
        <w:r>
          <w:rPr>
            <w:color w:val="0A3A8C"/>
            <w:u w:val="single"/>
          </w:rPr>
          <w:t xml:space="preserve">§ 1311</w:t>
        </w:r>
      </w:hyperlink>
      <w:r>
        <w:t>, wenn die Ehegatten nach der Eheschließung fünf Jahre oder, falls einer von ihnen vorher verstorben ist, bis zu dessen Tode, jedoch mindestens drei Jahre als Ehegatten miteinander gelebt haben, es sei denn, dass bei Ablauf der fünf Jahre oder zur Zeit des Todes die Aufhebung beantragt ist.</w:t>
      </w:r>
    </w:p>
    <w:p>
      <w:pPr>
        <w:pStyle w:val="Heading4"/>
      </w:pPr>
      <w:bookmarkStart w:id="1820" w:name="b1805"/>
      <w:r>
        <w:t>§ 1316 Antragsberechtigung</w:t>
      </w:r>
      <w:r>
        <w:t xml:space="preserve"> </w:t>
      </w:r>
      <w:r>
        <w:rPr>
          <w:rStyle w:val="Suchmarke"/>
        </w:rPr>
        <w:t>#1316#</w:t>
      </w:r>
      <w:bookmarkEnd w:id="1820"/>
    </w:p>
    <w:p>
      <w:r>
        <w:t>(1) Antragsberechtigt</w:t>
      </w:r>
    </w:p>
    <w:p>
      <w:pPr>
        <w:tabs>
          <w:tab w:pos="567" w:val="left"/>
        </w:tabs>
        <w:ind w:left="567" w:hanging="567"/>
      </w:pPr>
      <w:r>
        <w:t>1.</w:t>
      </w:r>
      <w:r>
        <w:tab/>
      </w:r>
      <w:r>
        <w:t xml:space="preserve">sind bei Verstoß gegen </w:t>
      </w:r>
      <w:hyperlink w:anchor="b1788" w:history="1">
        <w:r>
          <w:rPr>
            <w:color w:val="0A3A8C"/>
            <w:u w:val="single"/>
          </w:rPr>
          <w:t xml:space="preserve">§ 1303</w:t>
        </w:r>
      </w:hyperlink>
      <w:r>
        <w:t xml:space="preserve"> Satz 1, die </w:t>
      </w:r>
      <w:hyperlink w:anchor="b1789" w:history="1">
        <w:r>
          <w:rPr>
            <w:color w:val="0A3A8C"/>
            <w:u w:val="single"/>
          </w:rPr>
          <w:t xml:space="preserve">§§ 1304</w:t>
        </w:r>
      </w:hyperlink>
      <w:r>
        <w:t xml:space="preserve">, </w:t>
      </w:r>
      <w:hyperlink w:anchor="b1792" w:history="1">
        <w:r>
          <w:rPr>
            <w:color w:val="0A3A8C"/>
            <w:u w:val="single"/>
          </w:rPr>
          <w:t xml:space="preserve">1306</w:t>
        </w:r>
      </w:hyperlink>
      <w:r>
        <w:t xml:space="preserve">, </w:t>
      </w:r>
      <w:hyperlink w:anchor="b1793" w:history="1">
        <w:r>
          <w:rPr>
            <w:color w:val="0A3A8C"/>
            <w:u w:val="single"/>
          </w:rPr>
          <w:t xml:space="preserve">1307</w:t>
        </w:r>
      </w:hyperlink>
      <w:r>
        <w:t xml:space="preserve">, </w:t>
      </w:r>
      <w:hyperlink w:anchor="b1799" w:history="1">
        <w:r>
          <w:rPr>
            <w:color w:val="0A3A8C"/>
            <w:u w:val="single"/>
          </w:rPr>
          <w:t xml:space="preserve">1311</w:t>
        </w:r>
      </w:hyperlink>
      <w:r>
        <w:t xml:space="preserve"> sowie in den Fällen des </w:t>
      </w:r>
      <w:hyperlink w:anchor="b1803" w:history="1">
        <w:r>
          <w:rPr>
            <w:color w:val="0A3A8C"/>
            <w:u w:val="single"/>
          </w:rPr>
          <w:t xml:space="preserve">§ 1314</w:t>
        </w:r>
      </w:hyperlink>
      <w:r>
        <w:t xml:space="preserve"> Abs. 2 Nr. 1 und 5 jeder Ehegatte, die zuständige Verwaltungsbehörde und in den Fällen des </w:t>
      </w:r>
      <w:hyperlink w:anchor="b1792" w:history="1">
        <w:r>
          <w:rPr>
            <w:color w:val="0A3A8C"/>
            <w:u w:val="single"/>
          </w:rPr>
          <w:t xml:space="preserve">§ 1306</w:t>
        </w:r>
      </w:hyperlink>
      <w:r>
        <w:t xml:space="preserve"> auch die dritte Person. </w:t>
      </w:r>
      <w:r>
        <w:rPr>
          <w:rStyle w:val="Satznummer"/>
        </w:rPr>
        <w:t>2</w:t>
      </w:r>
      <w:r>
        <w:t xml:space="preserve">Die zuständige Verwaltungsbehörde wird durch Rechtsverordnung der Landesregierungen bestimmt. </w:t>
      </w:r>
      <w:r>
        <w:rPr>
          <w:rStyle w:val="Satznummer"/>
        </w:rPr>
        <w:t>3</w:t>
      </w:r>
      <w:r>
        <w:t>Die Landesregierungen können die Ermächtigung nach Satz 2 durch Rechtsverordnung auf die zuständigen obersten Landesbehörden übertragen;</w:t>
      </w:r>
    </w:p>
    <w:p>
      <w:pPr>
        <w:tabs>
          <w:tab w:pos="567" w:val="left"/>
        </w:tabs>
        <w:ind w:left="567" w:hanging="567"/>
      </w:pPr>
      <w:r>
        <w:t>2.</w:t>
      </w:r>
      <w:r>
        <w:tab/>
      </w:r>
      <w:r>
        <w:t>ist in den Fällen des § 1314 Abs. 2 Nr. 2 bis 4 der dort genannte Ehegatte.</w:t>
      </w:r>
    </w:p>
    <w:p>
      <w:r>
        <w:t xml:space="preserve">(2) </w:t>
      </w:r>
      <w:r>
        <w:rPr>
          <w:rStyle w:val="Satznummer"/>
        </w:rPr>
        <w:t>1</w:t>
      </w:r>
      <w:r>
        <w:t xml:space="preserve">Der Antrag kann für einen geschäftsunfähigen Ehegatten nur von seinem gesetzlichen Vertreter gestellt werden. </w:t>
      </w:r>
      <w:r>
        <w:rPr>
          <w:rStyle w:val="Satznummer"/>
        </w:rPr>
        <w:t>2</w:t>
      </w:r>
      <w:r>
        <w:t xml:space="preserve">Bei einem Verstoß gegen </w:t>
      </w:r>
      <w:hyperlink w:anchor="b1788" w:history="1">
        <w:r>
          <w:rPr>
            <w:color w:val="0A3A8C"/>
            <w:u w:val="single"/>
          </w:rPr>
          <w:t xml:space="preserve">§ 1303</w:t>
        </w:r>
      </w:hyperlink>
      <w:r>
        <w:t xml:space="preserve"> Satz 1 kann ein minderjähriger Ehegatte den Antrag nur selbst stellen; er bedarf dazu nicht der Zustimmung seines gesetzlichen Vertreters.</w:t>
      </w:r>
    </w:p>
    <w:p>
      <w:r>
        <w:t xml:space="preserve">(3) </w:t>
      </w:r>
      <w:r>
        <w:rPr>
          <w:rStyle w:val="Satznummer"/>
        </w:rPr>
        <w:t>1</w:t>
      </w:r>
      <w:r>
        <w:t xml:space="preserve">Bei Verstoß gegen die </w:t>
      </w:r>
      <w:hyperlink w:anchor="b1789" w:history="1">
        <w:r>
          <w:rPr>
            <w:color w:val="0A3A8C"/>
            <w:u w:val="single"/>
          </w:rPr>
          <w:t xml:space="preserve">§§ 1304</w:t>
        </w:r>
      </w:hyperlink>
      <w:r>
        <w:t xml:space="preserve">, </w:t>
      </w:r>
      <w:hyperlink w:anchor="b1792" w:history="1">
        <w:r>
          <w:rPr>
            <w:color w:val="0A3A8C"/>
            <w:u w:val="single"/>
          </w:rPr>
          <w:t xml:space="preserve">1306</w:t>
        </w:r>
      </w:hyperlink>
      <w:r>
        <w:t xml:space="preserve">, </w:t>
      </w:r>
      <w:hyperlink w:anchor="b1793" w:history="1">
        <w:r>
          <w:rPr>
            <w:color w:val="0A3A8C"/>
            <w:u w:val="single"/>
          </w:rPr>
          <w:t xml:space="preserve">1307</w:t>
        </w:r>
      </w:hyperlink>
      <w:r>
        <w:t xml:space="preserve"> sowie in den Fällen des </w:t>
      </w:r>
      <w:hyperlink w:anchor="b1803" w:history="1">
        <w:r>
          <w:rPr>
            <w:color w:val="0A3A8C"/>
            <w:u w:val="single"/>
          </w:rPr>
          <w:t xml:space="preserve">§ 1314</w:t>
        </w:r>
      </w:hyperlink>
      <w:r>
        <w:t xml:space="preserve"> Abs. 2 Nr. 1 und 5 soll die zuständige Verwaltungsbehörde den Antrag stellen, wenn nicht die Aufhebung der Ehe für einen Ehegatten oder für die aus der Ehe hervorgegangenen Kinder eine so schwere Härte darstellen würde, dass die Aufrechterhaltung der Ehe ausnahmsweise geboten erscheint. </w:t>
      </w:r>
      <w:r>
        <w:rPr>
          <w:rStyle w:val="Satznummer"/>
        </w:rPr>
        <w:t>2</w:t>
      </w:r>
      <w:r>
        <w:t xml:space="preserve">Bei einem Verstoß gegen </w:t>
      </w:r>
      <w:hyperlink w:anchor="b1788" w:history="1">
        <w:r>
          <w:rPr>
            <w:color w:val="0A3A8C"/>
            <w:u w:val="single"/>
          </w:rPr>
          <w:t xml:space="preserve">§ 1303</w:t>
        </w:r>
      </w:hyperlink>
      <w:r>
        <w:t xml:space="preserve"> Satz 1 muss die zuständige Behörde den Antrag stellen, es sei denn, der minderjährige Ehegatte ist zwischenzeitlich volljährig geworden und hat zu erkennen gegeben, dass er die Ehe fortsetzen will.</w:t>
      </w:r>
    </w:p>
    <w:p>
      <w:pPr>
        <w:pStyle w:val="Heading4"/>
      </w:pPr>
      <w:bookmarkStart w:id="1821" w:name="b1806"/>
      <w:r>
        <w:t>§ 1317 Antragsfrist</w:t>
      </w:r>
      <w:r>
        <w:t xml:space="preserve"> </w:t>
      </w:r>
      <w:r>
        <w:rPr>
          <w:rStyle w:val="Suchmarke"/>
        </w:rPr>
        <w:t>#1317#</w:t>
      </w:r>
      <w:bookmarkEnd w:id="1821"/>
    </w:p>
    <w:p>
      <w:r>
        <w:t xml:space="preserve">(1) </w:t>
      </w:r>
      <w:r>
        <w:rPr>
          <w:rStyle w:val="Satznummer"/>
        </w:rPr>
        <w:t>1</w:t>
      </w:r>
      <w:r>
        <w:t xml:space="preserve">Der Antrag kann in den Fällen des </w:t>
      </w:r>
      <w:hyperlink w:anchor="b1803" w:history="1">
        <w:r>
          <w:rPr>
            <w:color w:val="0A3A8C"/>
            <w:u w:val="single"/>
          </w:rPr>
          <w:t xml:space="preserve">§ 1314</w:t>
        </w:r>
      </w:hyperlink>
      <w:r>
        <w:t xml:space="preserve"> Absatz 2 Nummer 2 und 3 nur binnen eines Jahres, im Falle des </w:t>
      </w:r>
      <w:hyperlink w:anchor="b1803" w:history="1">
        <w:r>
          <w:rPr>
            <w:color w:val="0A3A8C"/>
            <w:u w:val="single"/>
          </w:rPr>
          <w:t xml:space="preserve">§ 1314</w:t>
        </w:r>
      </w:hyperlink>
      <w:r>
        <w:t xml:space="preserve"> Absatz 2 Nummer 4 nur binnen drei Jahren gestellt werden. </w:t>
      </w:r>
      <w:r>
        <w:rPr>
          <w:rStyle w:val="Satznummer"/>
        </w:rPr>
        <w:t>2</w:t>
      </w:r>
      <w:r>
        <w:t xml:space="preserve">Die Frist beginnt mit der Entdeckung des Irrtums oder der Täuschung oder mit dem Aufhören der Zwangslage; für den gesetzlichen Vertreter eines geschäftsunfähigen Ehegatten beginnt die Frist jedoch nicht vor dem Zeitpunkt, in welchem ihm die den Fristbeginn begründenden Umstände bekannt werden. </w:t>
      </w:r>
      <w:r>
        <w:rPr>
          <w:rStyle w:val="Satznummer"/>
        </w:rPr>
        <w:t>3</w:t>
      </w:r>
      <w:r>
        <w:t xml:space="preserve">Auf den Lauf der Frist sind die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Abs. 1 Satz 1 entsprechend anzuwenden.</w:t>
      </w:r>
    </w:p>
    <w:p>
      <w:r>
        <w:t>(2) Hat der gesetzliche Vertreter eines geschäftsunfähigen Ehegatten den Antrag nicht rechtzeitig gestellt, so kann der Ehegatte selbst innerhalb von sechs Monaten nach dem Wegfall der Geschäftsunfähigkeit den Antrag stellen.</w:t>
      </w:r>
    </w:p>
    <w:p>
      <w:r>
        <w:t>(3) Ist die Ehe bereits aufgelöst, so kann der Antrag nicht mehr gestellt werden.</w:t>
      </w:r>
    </w:p>
    <w:p>
      <w:pPr>
        <w:pStyle w:val="Heading4"/>
      </w:pPr>
      <w:bookmarkStart w:id="1822" w:name="b1807"/>
      <w:r>
        <w:t>§ 1318 Folgen der Aufhebung</w:t>
      </w:r>
      <w:r>
        <w:t xml:space="preserve"> </w:t>
      </w:r>
      <w:r>
        <w:rPr>
          <w:rStyle w:val="Suchmarke"/>
        </w:rPr>
        <w:t>#1318#</w:t>
      </w:r>
      <w:bookmarkEnd w:id="1822"/>
    </w:p>
    <w:p>
      <w:r>
        <w:t>(1) Die Folgen der Aufhebung einer Ehe bestimmen sich nur in den nachfolgend genannten Fällen nach den Vorschriften über die Scheidung.</w:t>
      </w:r>
    </w:p>
    <w:p>
      <w:r>
        <w:t xml:space="preserve">(2) </w:t>
      </w:r>
      <w:r>
        <w:rPr>
          <w:rStyle w:val="Satznummer"/>
        </w:rPr>
        <w:t>1</w:t>
      </w:r>
      <w:r>
        <w:t xml:space="preserve">Die </w:t>
      </w:r>
      <w:hyperlink w:anchor="b1996" w:history="1">
        <w:r>
          <w:rPr>
            <w:color w:val="0A3A8C"/>
            <w:u w:val="single"/>
          </w:rPr>
          <w:t xml:space="preserve">§§ 1569</w:t>
        </w:r>
      </w:hyperlink>
      <w:r>
        <w:t xml:space="preserve"> bis </w:t>
      </w:r>
      <w:hyperlink w:anchor="b2024" w:history="1">
        <w:r>
          <w:rPr>
            <w:color w:val="0A3A8C"/>
            <w:u w:val="single"/>
          </w:rPr>
          <w:t xml:space="preserve">1586b</w:t>
        </w:r>
      </w:hyperlink>
      <w:r>
        <w:t xml:space="preserve"> finden entsprechende Anwendung</w:t>
      </w:r>
    </w:p>
    <w:p>
      <w:pPr>
        <w:tabs>
          <w:tab w:pos="567" w:val="left"/>
        </w:tabs>
        <w:ind w:left="567" w:hanging="567"/>
      </w:pPr>
      <w:r>
        <w:t>1.</w:t>
      </w:r>
      <w:r>
        <w:tab/>
      </w:r>
      <w:r>
        <w:t xml:space="preserve">zugunsten eines Ehegatten, der bei Verstoß gegen die </w:t>
      </w:r>
      <w:hyperlink w:anchor="b1788" w:history="1">
        <w:r>
          <w:rPr>
            <w:color w:val="0A3A8C"/>
            <w:u w:val="single"/>
          </w:rPr>
          <w:t xml:space="preserve">§§ 1303</w:t>
        </w:r>
      </w:hyperlink>
      <w:r>
        <w:t xml:space="preserve">, </w:t>
      </w:r>
      <w:hyperlink w:anchor="b1789" w:history="1">
        <w:r>
          <w:rPr>
            <w:color w:val="0A3A8C"/>
            <w:u w:val="single"/>
          </w:rPr>
          <w:t xml:space="preserve">1304</w:t>
        </w:r>
      </w:hyperlink>
      <w:r>
        <w:t xml:space="preserve">, </w:t>
      </w:r>
      <w:hyperlink w:anchor="b1792" w:history="1">
        <w:r>
          <w:rPr>
            <w:color w:val="0A3A8C"/>
            <w:u w:val="single"/>
          </w:rPr>
          <w:t xml:space="preserve">1306</w:t>
        </w:r>
      </w:hyperlink>
      <w:r>
        <w:t xml:space="preserve">, </w:t>
      </w:r>
      <w:hyperlink w:anchor="b1793" w:history="1">
        <w:r>
          <w:rPr>
            <w:color w:val="0A3A8C"/>
            <w:u w:val="single"/>
          </w:rPr>
          <w:t xml:space="preserve">1307</w:t>
        </w:r>
      </w:hyperlink>
      <w:r>
        <w:t xml:space="preserve"> oder </w:t>
      </w:r>
      <w:hyperlink w:anchor="b1799" w:history="1">
        <w:r>
          <w:rPr>
            <w:color w:val="0A3A8C"/>
            <w:u w:val="single"/>
          </w:rPr>
          <w:t xml:space="preserve">§ 1311</w:t>
        </w:r>
      </w:hyperlink>
      <w:r>
        <w:t xml:space="preserve"> oder in den Fällen des </w:t>
      </w:r>
      <w:hyperlink w:anchor="b1803" w:history="1">
        <w:r>
          <w:rPr>
            <w:color w:val="0A3A8C"/>
            <w:u w:val="single"/>
          </w:rPr>
          <w:t xml:space="preserve">§ 1314</w:t>
        </w:r>
      </w:hyperlink>
      <w:r>
        <w:t xml:space="preserve"> Abs. 2 Nr. 1 oder 2 die Aufhebbarkeit der Ehe bei der Eheschließung nicht gekannt hat oder der in den Fällen des § 1314 Abs. 2 Nr. 3 oder 4 von dem anderen Ehegatten oder mit dessen Wissen getäuscht oder bedroht worden ist;</w:t>
      </w:r>
    </w:p>
    <w:p>
      <w:pPr>
        <w:tabs>
          <w:tab w:pos="567" w:val="left"/>
        </w:tabs>
        <w:ind w:left="567" w:hanging="567"/>
      </w:pPr>
      <w:r>
        <w:t>2.</w:t>
      </w:r>
      <w:r>
        <w:tab/>
      </w:r>
      <w:r>
        <w:t xml:space="preserve">zugunsten beider Ehegatten bei Verstoß gegen die </w:t>
      </w:r>
      <w:hyperlink w:anchor="b1792" w:history="1">
        <w:r>
          <w:rPr>
            <w:color w:val="0A3A8C"/>
            <w:u w:val="single"/>
          </w:rPr>
          <w:t xml:space="preserve">§§ 1306</w:t>
        </w:r>
      </w:hyperlink>
      <w:r>
        <w:t xml:space="preserve">, </w:t>
      </w:r>
      <w:hyperlink w:anchor="b1793" w:history="1">
        <w:r>
          <w:rPr>
            <w:color w:val="0A3A8C"/>
            <w:u w:val="single"/>
          </w:rPr>
          <w:t xml:space="preserve">1307</w:t>
        </w:r>
      </w:hyperlink>
      <w:r>
        <w:t xml:space="preserve"> oder </w:t>
      </w:r>
      <w:hyperlink w:anchor="b1799" w:history="1">
        <w:r>
          <w:rPr>
            <w:color w:val="0A3A8C"/>
            <w:u w:val="single"/>
          </w:rPr>
          <w:t xml:space="preserve">§ 1311</w:t>
        </w:r>
      </w:hyperlink>
      <w:r>
        <w:t xml:space="preserve">, wenn beide Ehegatten die Aufhebbarkeit kannten; dies gilt nicht bei Verstoß gegen </w:t>
      </w:r>
      <w:hyperlink w:anchor="b1792" w:history="1">
        <w:r>
          <w:rPr>
            <w:color w:val="0A3A8C"/>
            <w:u w:val="single"/>
          </w:rPr>
          <w:t xml:space="preserve">§ 1306</w:t>
        </w:r>
      </w:hyperlink>
      <w:r>
        <w:t>, soweit der Anspruch eines Ehegatten auf Unterhalt einen entsprechenden Anspruch der dritten Person beeinträchtigen würde.</w:t>
      </w:r>
    </w:p>
    <w:p>
      <w:r>
        <w:rPr>
          <w:rStyle w:val="Satznummer"/>
        </w:rPr>
        <w:t>2</w:t>
      </w:r>
      <w:r>
        <w:t>Die Vorschriften über den Unterhalt wegen der Pflege oder Erziehung eines gemeinschaftlichen Kindes finden auch insoweit entsprechende Anwendung, als eine Versagung des Unterhalts im Hinblick auf die Belange des Kindes grob unbillig wäre.</w:t>
      </w:r>
    </w:p>
    <w:p>
      <w:r>
        <w:t xml:space="preserve">(3) Die </w:t>
      </w:r>
      <w:hyperlink w:anchor="b1831" w:history="1">
        <w:r>
          <w:rPr>
            <w:color w:val="0A3A8C"/>
            <w:u w:val="single"/>
          </w:rPr>
          <w:t xml:space="preserve">§§ 1363</w:t>
        </w:r>
      </w:hyperlink>
      <w:r>
        <w:t xml:space="preserve"> bis </w:t>
      </w:r>
      <w:hyperlink w:anchor="b1858" w:history="1">
        <w:r>
          <w:rPr>
            <w:color w:val="0A3A8C"/>
            <w:u w:val="single"/>
          </w:rPr>
          <w:t xml:space="preserve">1390</w:t>
        </w:r>
      </w:hyperlink>
      <w:r>
        <w:t xml:space="preserve"> und </w:t>
      </w:r>
      <w:hyperlink w:anchor="b2026" w:history="1">
        <w:r>
          <w:rPr>
            <w:color w:val="0A3A8C"/>
            <w:u w:val="single"/>
          </w:rPr>
          <w:t xml:space="preserve">1587</w:t>
        </w:r>
      </w:hyperlink>
      <w:r>
        <w:t xml:space="preserve"> finden entsprechende Anwendung, soweit dies nicht im Hinblick auf die Umstände bei der Eheschließung oder bei Verstoß gegen § 1306 im Hinblick auf die Belange der dritten Person grob unbillig wäre.</w:t>
      </w:r>
    </w:p>
    <w:p>
      <w:r>
        <w:t xml:space="preserve">(4) Die </w:t>
      </w:r>
      <w:hyperlink w:anchor="b1992" w:history="1">
        <w:r>
          <w:rPr>
            <w:color w:val="0A3A8C"/>
            <w:u w:val="single"/>
          </w:rPr>
          <w:t xml:space="preserve">§§ 1568a</w:t>
        </w:r>
      </w:hyperlink>
      <w:r>
        <w:t xml:space="preserve"> und </w:t>
      </w:r>
      <w:hyperlink w:anchor="b1993" w:history="1">
        <w:r>
          <w:rPr>
            <w:color w:val="0A3A8C"/>
            <w:u w:val="single"/>
          </w:rPr>
          <w:t xml:space="preserve">1568b</w:t>
        </w:r>
      </w:hyperlink>
      <w:r>
        <w:t xml:space="preserve"> finden entsprechende Anwendung; dabei sind die Umstände bei der Eheschließung und bei Verstoß gegen </w:t>
      </w:r>
      <w:hyperlink w:anchor="b1792" w:history="1">
        <w:r>
          <w:rPr>
            <w:color w:val="0A3A8C"/>
            <w:u w:val="single"/>
          </w:rPr>
          <w:t xml:space="preserve">§ 1306</w:t>
        </w:r>
      </w:hyperlink>
      <w:r>
        <w:t xml:space="preserve"> die Belange der dritten Person besonders zu berücksichtigen.</w:t>
      </w:r>
    </w:p>
    <w:p>
      <w:r>
        <w:t xml:space="preserve">(5) </w:t>
      </w:r>
      <w:hyperlink w:anchor="b2370" w:history="1">
        <w:r>
          <w:rPr>
            <w:color w:val="0A3A8C"/>
            <w:u w:val="single"/>
          </w:rPr>
          <w:t xml:space="preserve">§ 1931</w:t>
        </w:r>
      </w:hyperlink>
      <w:r>
        <w:t xml:space="preserve"> findet zugunsten eines Ehegatten, der bei Verstoß gegen die </w:t>
      </w:r>
      <w:hyperlink w:anchor="b1789" w:history="1">
        <w:r>
          <w:rPr>
            <w:color w:val="0A3A8C"/>
            <w:u w:val="single"/>
          </w:rPr>
          <w:t xml:space="preserve">§§ 1304</w:t>
        </w:r>
      </w:hyperlink>
      <w:r>
        <w:t xml:space="preserve">, </w:t>
      </w:r>
      <w:hyperlink w:anchor="b1792" w:history="1">
        <w:r>
          <w:rPr>
            <w:color w:val="0A3A8C"/>
            <w:u w:val="single"/>
          </w:rPr>
          <w:t xml:space="preserve">1306</w:t>
        </w:r>
      </w:hyperlink>
      <w:r>
        <w:t xml:space="preserve">, </w:t>
      </w:r>
      <w:hyperlink w:anchor="b1793" w:history="1">
        <w:r>
          <w:rPr>
            <w:color w:val="0A3A8C"/>
            <w:u w:val="single"/>
          </w:rPr>
          <w:t xml:space="preserve">1307</w:t>
        </w:r>
      </w:hyperlink>
      <w:r>
        <w:t xml:space="preserve"> oder </w:t>
      </w:r>
      <w:hyperlink w:anchor="b1799" w:history="1">
        <w:r>
          <w:rPr>
            <w:color w:val="0A3A8C"/>
            <w:u w:val="single"/>
          </w:rPr>
          <w:t xml:space="preserve">§ 1311</w:t>
        </w:r>
      </w:hyperlink>
      <w:r>
        <w:t xml:space="preserve"> oder im Falle des </w:t>
      </w:r>
      <w:hyperlink w:anchor="b1803" w:history="1">
        <w:r>
          <w:rPr>
            <w:color w:val="0A3A8C"/>
            <w:u w:val="single"/>
          </w:rPr>
          <w:t xml:space="preserve">§ 1314</w:t>
        </w:r>
      </w:hyperlink>
      <w:r>
        <w:t xml:space="preserve"> Abs. 2 Nr. 1 die Aufhebbarkeit der Ehe bei der Eheschließung gekannt hat, keine Anwendung.</w:t>
      </w:r>
    </w:p>
    <w:p>
      <w:pPr>
        <w:pStyle w:val="Heading3"/>
      </w:pPr>
      <w:bookmarkStart w:id="1823" w:name="b1808"/>
      <w:r>
        <w:t>Titel 4 Wiederverheiratung nach Todeserklärung</w:t>
      </w:r>
      <w:bookmarkEnd w:id="1823"/>
    </w:p>
    <w:p>
      <w:pPr>
        <w:pStyle w:val="Heading4"/>
      </w:pPr>
      <w:bookmarkStart w:id="1824" w:name="b1809"/>
      <w:r>
        <w:t>§ 1319 Aufhebung der bisherigen Ehe</w:t>
      </w:r>
      <w:r>
        <w:t xml:space="preserve"> </w:t>
      </w:r>
      <w:r>
        <w:rPr>
          <w:rStyle w:val="Suchmarke"/>
        </w:rPr>
        <w:t>#1319#</w:t>
      </w:r>
      <w:bookmarkEnd w:id="1824"/>
    </w:p>
    <w:p>
      <w:r>
        <w:t xml:space="preserve">(1) Geht ein Ehegatte, nachdem der andere Ehegatte für tot erklärt worden ist, eine neue Ehe ein, so kann, wenn der für tot erklärte Ehegatte noch lebt, die neue Ehe nur dann wegen Verstoßes gegen </w:t>
      </w:r>
      <w:hyperlink w:anchor="b1792" w:history="1">
        <w:r>
          <w:rPr>
            <w:color w:val="0A3A8C"/>
            <w:u w:val="single"/>
          </w:rPr>
          <w:t xml:space="preserve">§ 1306</w:t>
        </w:r>
      </w:hyperlink>
      <w:r>
        <w:t xml:space="preserve"> aufgehoben werden, wenn beide Ehegatten bei der Eheschließung wussten, dass der für tot erklärte Ehegatte im Zeitpunkt der Todeserklärung noch lebte.</w:t>
      </w:r>
    </w:p>
    <w:p>
      <w:r>
        <w:t xml:space="preserve">(2) </w:t>
      </w:r>
      <w:r>
        <w:rPr>
          <w:rStyle w:val="Satznummer"/>
        </w:rPr>
        <w:t>1</w:t>
      </w:r>
      <w:r>
        <w:t xml:space="preserve">Mit der Schließung der neuen Ehe wird die frühere Ehe aufgelöst, es sei denn, dass beide Ehegatten der neuen Ehe bei der Eheschließung wussten, dass der für tot erklärte Ehegatte im Zeitpunkt der Todeserklärung noch lebte. </w:t>
      </w:r>
      <w:r>
        <w:rPr>
          <w:rStyle w:val="Satznummer"/>
        </w:rPr>
        <w:t>2</w:t>
      </w:r>
      <w:r>
        <w:t>Sie bleibt auch dann aufgelöst, wenn die Todeserklärung aufgehoben wird.</w:t>
      </w:r>
    </w:p>
    <w:p>
      <w:pPr>
        <w:pStyle w:val="Heading4"/>
      </w:pPr>
      <w:bookmarkStart w:id="1825" w:name="b1810"/>
      <w:r>
        <w:t>§ 1320 Aufhebung der neuen Ehe</w:t>
      </w:r>
      <w:r>
        <w:t xml:space="preserve"> </w:t>
      </w:r>
      <w:r>
        <w:rPr>
          <w:rStyle w:val="Suchmarke"/>
        </w:rPr>
        <w:t>#1320#</w:t>
      </w:r>
      <w:bookmarkEnd w:id="1825"/>
    </w:p>
    <w:p>
      <w:r>
        <w:t xml:space="preserve">(1) </w:t>
      </w:r>
      <w:r>
        <w:rPr>
          <w:rStyle w:val="Satznummer"/>
        </w:rPr>
        <w:t>1</w:t>
      </w:r>
      <w:r>
        <w:t xml:space="preserve">Lebt der für tot erklärte Ehegatte noch, so kann unbeschadet des </w:t>
      </w:r>
      <w:hyperlink w:anchor="b1809" w:history="1">
        <w:r>
          <w:rPr>
            <w:color w:val="0A3A8C"/>
            <w:u w:val="single"/>
          </w:rPr>
          <w:t xml:space="preserve">§ 1319</w:t>
        </w:r>
      </w:hyperlink>
      <w:r>
        <w:t xml:space="preserve"> sein früherer Ehegatte die Aufhebung der neuen Ehe begehren, es sei denn, dass er bei der Eheschließung wusste, dass der für tot erklärte Ehegatte zum Zeitpunkt der Todeserklärung noch gelebt hat. </w:t>
      </w:r>
      <w:r>
        <w:rPr>
          <w:rStyle w:val="Satznummer"/>
        </w:rPr>
        <w:t>2</w:t>
      </w:r>
      <w:r>
        <w:t xml:space="preserve">Die Aufhebung kann nur binnen eines Jahres begehrt werden. </w:t>
      </w:r>
      <w:r>
        <w:rPr>
          <w:rStyle w:val="Satznummer"/>
        </w:rPr>
        <w:t>3</w:t>
      </w:r>
      <w:r>
        <w:t xml:space="preserve">Die Frist beginnt mit dem Zeitpunkt, in dem der Ehegatte aus der früheren Ehe Kenntnis davon erlangt hat, dass der für tot erklärte Ehegatte noch lebt. </w:t>
      </w:r>
      <w:r>
        <w:rPr>
          <w:rStyle w:val="Satznummer"/>
        </w:rPr>
        <w:t>4</w:t>
      </w:r>
      <w:hyperlink w:anchor="b1806" w:history="1">
        <w:r>
          <w:rPr>
            <w:color w:val="0A3A8C"/>
            <w:u w:val="single"/>
          </w:rPr>
          <w:t xml:space="preserve">§ 1317</w:t>
        </w:r>
      </w:hyperlink>
      <w:r>
        <w:t xml:space="preserve"> Abs. 1 Satz 3, Abs. 2 gilt entsprechend.</w:t>
      </w:r>
    </w:p>
    <w:p>
      <w:r>
        <w:t xml:space="preserve">(2) Für die Folgen der Aufhebung gilt </w:t>
      </w:r>
      <w:hyperlink w:anchor="b1807" w:history="1">
        <w:r>
          <w:rPr>
            <w:color w:val="0A3A8C"/>
            <w:u w:val="single"/>
          </w:rPr>
          <w:t xml:space="preserve">§ 1318</w:t>
        </w:r>
      </w:hyperlink>
      <w:r>
        <w:t xml:space="preserve"> entsprechend.</w:t>
      </w:r>
    </w:p>
    <w:p>
      <w:pPr>
        <w:pStyle w:val="Heading4"/>
      </w:pPr>
      <w:bookmarkStart w:id="1826" w:name="b1811"/>
      <w:r>
        <w:t>§§ 1321 bis 1352 (weggefallen)</w:t>
      </w:r>
      <w:bookmarkEnd w:id="1826"/>
    </w:p>
    <w:p>
      <w:pPr>
        <w:pStyle w:val="Heading3"/>
      </w:pPr>
      <w:bookmarkStart w:id="1827" w:name="b1812"/>
      <w:r>
        <w:t>Titel 5 Wirkungen der Ehe im Allgemeinen</w:t>
      </w:r>
      <w:bookmarkEnd w:id="1827"/>
    </w:p>
    <w:p>
      <w:pPr>
        <w:pStyle w:val="Heading4"/>
      </w:pPr>
      <w:bookmarkStart w:id="1828" w:name="b1813"/>
      <w:r>
        <w:t>§ 1353 Eheliche Lebensgemeinschaft</w:t>
      </w:r>
      <w:r>
        <w:t xml:space="preserve"> </w:t>
      </w:r>
      <w:r>
        <w:rPr>
          <w:rStyle w:val="Suchmarke"/>
        </w:rPr>
        <w:t>#1353#</w:t>
      </w:r>
      <w:bookmarkEnd w:id="1828"/>
    </w:p>
    <w:p>
      <w:r>
        <w:t xml:space="preserve">(1) </w:t>
      </w:r>
      <w:r>
        <w:rPr>
          <w:rStyle w:val="Satznummer"/>
        </w:rPr>
        <w:t>1</w:t>
      </w:r>
      <w:r>
        <w:t xml:space="preserve">Die Ehe wird von zwei Personen verschiedenen oder gleichen Geschlechts auf Lebenszeit geschlossen. </w:t>
      </w:r>
      <w:r>
        <w:rPr>
          <w:rStyle w:val="Satznummer"/>
        </w:rPr>
        <w:t>2</w:t>
      </w:r>
      <w:r>
        <w:t>Die Ehegatten sind einander zur ehelichen Lebensgemeinschaft verpflichtet; sie tragen füreinander Verantwortung.</w:t>
      </w:r>
    </w:p>
    <w:p>
      <w:r>
        <w:t>(2) Ein Ehegatte ist nicht verpflichtet, dem Verlangen des anderen Ehegatten nach Herstellung der Gemeinschaft Folge zu leisten, wenn sich das Verlangen als Missbrauch seines Rechts darstellt oder wenn die Ehe gescheitert ist.</w:t>
      </w:r>
    </w:p>
    <w:p>
      <w:pPr>
        <w:pStyle w:val="Heading4"/>
      </w:pPr>
      <w:bookmarkStart w:id="1829" w:name="b1814"/>
      <w:r>
        <w:t>§ 1354</w:t>
      </w:r>
      <w:r>
        <w:t xml:space="preserve"> </w:t>
      </w:r>
      <w:r>
        <w:rPr>
          <w:rStyle w:val="Suchmarke"/>
        </w:rPr>
        <w:t>#1354#</w:t>
      </w:r>
      <w:bookmarkEnd w:id="1829"/>
    </w:p>
    <w:p>
      <w:r>
        <w:t>(weggefallen)</w:t>
      </w:r>
    </w:p>
    <w:p>
      <w:pPr>
        <w:pStyle w:val="Heading4"/>
      </w:pPr>
      <w:bookmarkStart w:id="1830" w:name="b1815"/>
      <w:r>
        <w:t>§ 1355 Ehename</w:t>
      </w:r>
      <w:r>
        <w:t xml:space="preserve"> </w:t>
      </w:r>
      <w:r>
        <w:rPr>
          <w:rStyle w:val="Suchmarke"/>
        </w:rPr>
        <w:t>#1355#</w:t>
      </w:r>
      <w:bookmarkEnd w:id="1830"/>
    </w:p>
    <w:p>
      <w:r>
        <w:t xml:space="preserve">(1) </w:t>
      </w:r>
      <w:r>
        <w:rPr>
          <w:rStyle w:val="Satznummer"/>
        </w:rPr>
        <w:t>1</w:t>
      </w:r>
      <w:r>
        <w:t xml:space="preserve">Die Ehegatten können einen gemeinsamen Familiennamen (Ehenamen) bestimmen. </w:t>
      </w:r>
      <w:r>
        <w:rPr>
          <w:rStyle w:val="Satznummer"/>
        </w:rPr>
        <w:t>2</w:t>
      </w:r>
      <w:r>
        <w:t xml:space="preserve">Die Ehegatten führen den von ihnen bestimmten Ehenamen. </w:t>
      </w:r>
      <w:r>
        <w:rPr>
          <w:rStyle w:val="Satznummer"/>
        </w:rPr>
        <w:t>3</w:t>
      </w:r>
      <w:r>
        <w:t>Bestimmen die Ehegatten keinen Ehenamen, so führen sie ihre zur Zeit der Eheschließung geführten Namen auch nach der Eheschließung.</w:t>
      </w:r>
    </w:p>
    <w:p>
      <w:r>
        <w:t xml:space="preserve">(2) </w:t>
      </w:r>
      <w:r>
        <w:rPr>
          <w:rStyle w:val="Satznummer"/>
        </w:rPr>
        <w:t>1</w:t>
      </w:r>
      <w:r>
        <w:t>Zum Ehenamen können die Ehegatten durch Erklärung gegenüber dem Standesamt bestimmen:</w:t>
      </w:r>
    </w:p>
    <w:p>
      <w:pPr>
        <w:tabs>
          <w:tab w:pos="567" w:val="left"/>
        </w:tabs>
        <w:ind w:left="567" w:hanging="567"/>
      </w:pPr>
      <w:r>
        <w:t>1.</w:t>
      </w:r>
      <w:r>
        <w:tab/>
      </w:r>
      <w:r>
        <w:t>den Geburtsnamen (Absatz 6) eines Ehegatten,</w:t>
      </w:r>
    </w:p>
    <w:p>
      <w:pPr>
        <w:tabs>
          <w:tab w:pos="567" w:val="left"/>
        </w:tabs>
        <w:ind w:left="567" w:hanging="567"/>
      </w:pPr>
      <w:r>
        <w:t>2.</w:t>
      </w:r>
      <w:r>
        <w:tab/>
      </w:r>
      <w:r>
        <w:t>den zur Zeit der Erklärung geführten Familiennamen eines Ehegatten oder</w:t>
      </w:r>
    </w:p>
    <w:p>
      <w:pPr>
        <w:tabs>
          <w:tab w:pos="567" w:val="left"/>
        </w:tabs>
        <w:ind w:left="567" w:hanging="567"/>
      </w:pPr>
      <w:r>
        <w:t>3.</w:t>
      </w:r>
      <w:r>
        <w:tab/>
      </w:r>
      <w:r>
        <w:t>einen aus den Namen (Nummer 1 oder 2) beider Ehegatten gebildeten Doppelnamen.</w:t>
      </w:r>
    </w:p>
    <w:p>
      <w:r>
        <w:rPr>
          <w:rStyle w:val="Satznummer"/>
        </w:rPr>
        <w:t>2</w:t>
      </w:r>
      <w:r>
        <w:t>Im Fall des Satzes 1 Nummer 3 werden die für den Doppelnamen herangezogenen Namen durch einen Bindestrich verbunden, es sei denn, die Ehegatten bestimmen mit der Erklärung nach Satz 1, dass die Namen nicht durch einen Bindestrich verbunden werden.</w:t>
      </w:r>
    </w:p>
    <w:p>
      <w:r>
        <w:t>(3) Besteht der Name, der nach Absatz 2 allein oder als einer der Namen eines Doppelnamens zum Ehenamen bestimmt werden soll, aus mehreren Namen, so gilt zusätzlich:</w:t>
      </w:r>
    </w:p>
    <w:p>
      <w:pPr>
        <w:tabs>
          <w:tab w:pos="567" w:val="left"/>
        </w:tabs>
        <w:ind w:left="567" w:hanging="567"/>
      </w:pPr>
      <w:r>
        <w:t>1.</w:t>
      </w:r>
      <w:r>
        <w:tab/>
      </w:r>
      <w:r>
        <w:t>im Fall des Absatzes 2 Satz 1 Nummer 1 oder 2 können anstelle des gesamten Namens auch nur einer oder einige der Namen, aus denen der Name besteht, zum Ehenamen bestimmt werden,</w:t>
      </w:r>
    </w:p>
    <w:p>
      <w:pPr>
        <w:tabs>
          <w:tab w:pos="567" w:val="left"/>
        </w:tabs>
        <w:ind w:left="567" w:hanging="567"/>
      </w:pPr>
      <w:r>
        <w:t>2.</w:t>
      </w:r>
      <w:r>
        <w:tab/>
      </w:r>
      <w:r>
        <w:t>im Fall des Absatzes 2 Satz 1 Nummer 3 darf nur einer der Namen, aus denen der Name besteht, für die Bildung des Doppelnamens herangezogen werden.</w:t>
      </w:r>
    </w:p>
    <w:p>
      <w:r>
        <w:t xml:space="preserve">(4) </w:t>
      </w:r>
      <w:r>
        <w:rPr>
          <w:rStyle w:val="Satznummer"/>
        </w:rPr>
        <w:t>1</w:t>
      </w:r>
      <w:r>
        <w:t xml:space="preserve">Die Bestimmung des Ehenamens soll bei der Eheschließung erfolgen. </w:t>
      </w:r>
      <w:r>
        <w:rPr>
          <w:rStyle w:val="Satznummer"/>
        </w:rPr>
        <w:t>2</w:t>
      </w:r>
      <w:r>
        <w:t>Wird die Erklärung später abgegeben, so muss sie öffentlich beglaubigt werden.</w:t>
      </w:r>
    </w:p>
    <w:p>
      <w:r>
        <w:t xml:space="preserve">(5) </w:t>
      </w:r>
      <w:r>
        <w:rPr>
          <w:rStyle w:val="Satznummer"/>
        </w:rPr>
        <w:t>1</w:t>
      </w:r>
      <w:r>
        <w:t xml:space="preserve">Der verwitwete oder geschiedene Ehegatte behält den Ehenamen. </w:t>
      </w:r>
      <w:r>
        <w:rPr>
          <w:rStyle w:val="Satznummer"/>
        </w:rPr>
        <w:t>2</w:t>
      </w:r>
      <w:r>
        <w:t>Er kann durch Erklärung gegenüber dem Standesamt, die öffentlich beglaubigt werden muss,</w:t>
      </w:r>
    </w:p>
    <w:p>
      <w:pPr>
        <w:tabs>
          <w:tab w:pos="567" w:val="left"/>
        </w:tabs>
        <w:ind w:left="567" w:hanging="567"/>
      </w:pPr>
      <w:r>
        <w:t>1.</w:t>
      </w:r>
      <w:r>
        <w:tab/>
      </w:r>
      <w:r>
        <w:t>seinen Geburtsnamen (Absatz 6) wieder annehmen,</w:t>
      </w:r>
    </w:p>
    <w:p>
      <w:pPr>
        <w:tabs>
          <w:tab w:pos="567" w:val="left"/>
        </w:tabs>
        <w:ind w:left="567" w:hanging="567"/>
      </w:pPr>
      <w:r>
        <w:t>2.</w:t>
      </w:r>
      <w:r>
        <w:tab/>
      </w:r>
      <w:r>
        <w:t>den Namen wieder annehmen, den er bis zur Bestimmung des Ehenamens geführt hat, oder</w:t>
      </w:r>
    </w:p>
    <w:p>
      <w:pPr>
        <w:tabs>
          <w:tab w:pos="567" w:val="left"/>
        </w:tabs>
        <w:ind w:left="567" w:hanging="567"/>
      </w:pPr>
      <w:r>
        <w:t>3.</w:t>
      </w:r>
      <w:r>
        <w:tab/>
      </w:r>
      <w:r>
        <w:t>dem Ehenamen einen Begleitnamen (</w:t>
      </w:r>
      <w:hyperlink w:anchor="b1816" w:history="1">
        <w:r>
          <w:rPr>
            <w:color w:val="0A3A8C"/>
            <w:u w:val="single"/>
          </w:rPr>
          <w:t xml:space="preserve">§ 1355a</w:t>
        </w:r>
      </w:hyperlink>
      <w:r>
        <w:t xml:space="preserve">) voranstellen oder anfügen; </w:t>
      </w:r>
      <w:hyperlink w:anchor="b1816" w:history="1">
        <w:r>
          <w:rPr>
            <w:color w:val="0A3A8C"/>
            <w:u w:val="single"/>
          </w:rPr>
          <w:t xml:space="preserve">§ 1355a</w:t>
        </w:r>
      </w:hyperlink>
      <w:r>
        <w:t xml:space="preserve"> gilt entsprechend.</w:t>
      </w:r>
    </w:p>
    <w:p>
      <w:r>
        <w:t>(6) Geburtsname ist der Familienname, der in die Geburtsurkunde eines Ehegatten zum Zeitpunkt der Erklärung nach Absatz 2 Satz 1 einzutragen ist.</w:t>
      </w:r>
    </w:p>
    <w:p>
      <w:pPr>
        <w:pStyle w:val="Heading4"/>
      </w:pPr>
      <w:bookmarkStart w:id="1831" w:name="b1816"/>
      <w:r>
        <w:t>§ 1355a Begleitname</w:t>
      </w:r>
      <w:r>
        <w:t xml:space="preserve"> </w:t>
      </w:r>
      <w:r>
        <w:rPr>
          <w:rStyle w:val="Suchmarke"/>
        </w:rPr>
        <w:t>#1355a#</w:t>
      </w:r>
      <w:bookmarkEnd w:id="1831"/>
    </w:p>
    <w:p>
      <w:r>
        <w:t xml:space="preserve">(1) </w:t>
      </w:r>
      <w:r>
        <w:rPr>
          <w:rStyle w:val="Satznummer"/>
        </w:rPr>
        <w:t>1</w:t>
      </w:r>
      <w:r>
        <w:t xml:space="preserve">Der Ehegatte, dessen Name nicht Ehename wird, kann durch Erklärung gegenüber dem Standesamt dem Ehenamen einen Begleitnamen voranstellen oder anfügen. </w:t>
      </w:r>
      <w:r>
        <w:rPr>
          <w:rStyle w:val="Satznummer"/>
        </w:rPr>
        <w:t>2</w:t>
      </w:r>
      <w:r>
        <w:t>Begleitname kann sein:</w:t>
      </w:r>
    </w:p>
    <w:p>
      <w:pPr>
        <w:tabs>
          <w:tab w:pos="567" w:val="left"/>
        </w:tabs>
        <w:ind w:left="567" w:hanging="567"/>
      </w:pPr>
      <w:r>
        <w:t>1.</w:t>
      </w:r>
      <w:r>
        <w:tab/>
      </w:r>
      <w:r>
        <w:t>der Geburtsname dieses Ehegatten oder</w:t>
      </w:r>
    </w:p>
    <w:p>
      <w:pPr>
        <w:tabs>
          <w:tab w:pos="567" w:val="left"/>
        </w:tabs>
        <w:ind w:left="567" w:hanging="567"/>
      </w:pPr>
      <w:r>
        <w:t>2.</w:t>
      </w:r>
      <w:r>
        <w:tab/>
      </w:r>
      <w:r>
        <w:t>der zur Zeit der Erklärung über die Bestimmung des Ehenamens geführte Familienname dieses Ehegatten.</w:t>
      </w:r>
    </w:p>
    <w:p>
      <w:r>
        <w:rPr>
          <w:rStyle w:val="Satznummer"/>
        </w:rPr>
        <w:t>3</w:t>
      </w:r>
      <w:r>
        <w:t xml:space="preserve">Besteht der Name, der Begleitname werden soll, aus mehreren Namen, kann nur einer dieser Namen Begleitname sein. </w:t>
      </w:r>
      <w:r>
        <w:rPr>
          <w:rStyle w:val="Satznummer"/>
        </w:rPr>
        <w:t>4</w:t>
      </w:r>
      <w:r>
        <w:t>Mit der Erklärung nach Satz 1 kann der Ehegatte auch bestimmen, dass der Ehename und der Begleitname durch einen Bindestrich verbunden werden.</w:t>
      </w:r>
    </w:p>
    <w:p>
      <w:r>
        <w:t>(2) Absatz 1 gilt nicht, wenn der Ehename aus mehreren Namen besteht.</w:t>
      </w:r>
    </w:p>
    <w:p>
      <w:r>
        <w:t>(3) Wird die Erklärung nach Absatz 1 Satz 1 nicht bei der Eheschließung abgegeben, so muss sie öffentlich beglaubigt werden.</w:t>
      </w:r>
    </w:p>
    <w:p>
      <w:r>
        <w:t xml:space="preserve">(4) </w:t>
      </w:r>
      <w:r>
        <w:rPr>
          <w:rStyle w:val="Satznummer"/>
        </w:rPr>
        <w:t>1</w:t>
      </w:r>
      <w:r>
        <w:t xml:space="preserve">Die Erklärung nach Absatz 1 Satz 1 kann gegenüber dem Standesamt widerrufen werden. </w:t>
      </w:r>
      <w:r>
        <w:rPr>
          <w:rStyle w:val="Satznummer"/>
        </w:rPr>
        <w:t>2</w:t>
      </w:r>
      <w:r>
        <w:t xml:space="preserve">Der Widerruf muss öffentlich beglaubigt werden. </w:t>
      </w:r>
      <w:r>
        <w:rPr>
          <w:rStyle w:val="Satznummer"/>
        </w:rPr>
        <w:t>3</w:t>
      </w:r>
      <w:r>
        <w:t>Im Fall des Widerrufs ist eine erneute Erklärung nach Absatz 1 Satz 1 nicht zulässig.</w:t>
      </w:r>
    </w:p>
    <w:p>
      <w:pPr>
        <w:pStyle w:val="Heading4"/>
      </w:pPr>
      <w:bookmarkStart w:id="1832" w:name="b1817"/>
      <w:r>
        <w:t>§ 1355b Geschlechtsangepasste Form des Ehenamens nach sorbischer Tradition und ausländischen Rechtsordnungen</w:t>
      </w:r>
      <w:r>
        <w:t xml:space="preserve"> </w:t>
      </w:r>
      <w:r>
        <w:rPr>
          <w:rStyle w:val="Suchmarke"/>
        </w:rPr>
        <w:t>#1355b#</w:t>
      </w:r>
      <w:bookmarkEnd w:id="1832"/>
    </w:p>
    <w:p>
      <w:r>
        <w:t>(1) Jeder Ehegatte kann durch Erklärung gegenüber dem Standesamt bestimmen, dass er den Ehenamen in einer seinem Geschlecht angepassten Form führt, wenn</w:t>
      </w:r>
    </w:p>
    <w:p>
      <w:pPr>
        <w:tabs>
          <w:tab w:pos="567" w:val="left"/>
        </w:tabs>
        <w:ind w:left="567" w:hanging="567"/>
      </w:pPr>
      <w:r>
        <w:t>1.</w:t>
      </w:r>
      <w:r>
        <w:tab/>
      </w:r>
      <w:r>
        <w:t>die Form der sorbischen Tradition entspricht und der Ehegatte dem sorbischen Volk angehört,</w:t>
      </w:r>
    </w:p>
    <w:p>
      <w:pPr>
        <w:tabs>
          <w:tab w:pos="567" w:val="left"/>
        </w:tabs>
        <w:ind w:left="567" w:hanging="567"/>
      </w:pPr>
      <w:r>
        <w:t>2.</w:t>
      </w:r>
      <w:r>
        <w:tab/>
      </w:r>
      <w:r>
        <w:t>die Anpassung in der Rechtsordnung eines anderen Staates vorgesehen ist und der Herkunft des Ehegatten entspricht oder</w:t>
      </w:r>
    </w:p>
    <w:p>
      <w:pPr>
        <w:tabs>
          <w:tab w:pos="567" w:val="left"/>
        </w:tabs>
        <w:ind w:left="567" w:hanging="567"/>
      </w:pPr>
      <w:r>
        <w:t>3.</w:t>
      </w:r>
      <w:r>
        <w:tab/>
      </w:r>
      <w:r>
        <w:t>die Anpassung in der Rechtsordnung eines anderen Staates vorgesehen ist und der Name traditionell aus dem dortigen Sprachraum stammt.</w:t>
      </w:r>
    </w:p>
    <w:p>
      <w:r>
        <w:t>(2) Wird eine Erklärung nach Absatz 1 nicht bei der Eheschließung abgegeben, so muss sie öffentlich beglaubigt werden.</w:t>
      </w:r>
    </w:p>
    <w:p>
      <w:r>
        <w:t xml:space="preserve">(3) </w:t>
      </w:r>
      <w:r>
        <w:rPr>
          <w:rStyle w:val="Satznummer"/>
        </w:rPr>
        <w:t>1</w:t>
      </w:r>
      <w:r>
        <w:t xml:space="preserve">Die Erklärung nach Absatz 1 kann gegenüber dem Standesamt widerrufen werden. </w:t>
      </w:r>
      <w:r>
        <w:rPr>
          <w:rStyle w:val="Satznummer"/>
        </w:rPr>
        <w:t>2</w:t>
      </w:r>
      <w:r>
        <w:t xml:space="preserve">Der Widerruf muss öffentlich beglaubigt werden. </w:t>
      </w:r>
      <w:r>
        <w:rPr>
          <w:rStyle w:val="Satznummer"/>
        </w:rPr>
        <w:t>3</w:t>
      </w:r>
      <w:r>
        <w:t>Im Fall des Widerrufs ist eine erneute Erklärung nach Absatz 1 nicht zulässig.</w:t>
      </w:r>
    </w:p>
    <w:p>
      <w:pPr>
        <w:pStyle w:val="Heading4"/>
      </w:pPr>
      <w:bookmarkStart w:id="1833" w:name="b1818"/>
      <w:r>
        <w:t>§ 1356 Haushaltsführung, Erwerbstätigkeit</w:t>
      </w:r>
      <w:r>
        <w:t xml:space="preserve"> </w:t>
      </w:r>
      <w:r>
        <w:rPr>
          <w:rStyle w:val="Suchmarke"/>
        </w:rPr>
        <w:t>#1356#</w:t>
      </w:r>
      <w:bookmarkEnd w:id="1833"/>
    </w:p>
    <w:p>
      <w:r>
        <w:t xml:space="preserve">(1) </w:t>
      </w:r>
      <w:r>
        <w:rPr>
          <w:rStyle w:val="Satznummer"/>
        </w:rPr>
        <w:t>1</w:t>
      </w:r>
      <w:r>
        <w:t xml:space="preserve">Die Ehegatten regeln die Haushaltsführung im gegenseitigen Einvernehmen. </w:t>
      </w:r>
      <w:r>
        <w:rPr>
          <w:rStyle w:val="Satznummer"/>
        </w:rPr>
        <w:t>2</w:t>
      </w:r>
      <w:r>
        <w:t>Ist die Haushaltsführung einem der Ehegatten überlassen, so leitet dieser den Haushalt in eigener Verantwortung.</w:t>
      </w:r>
    </w:p>
    <w:p>
      <w:r>
        <w:t xml:space="preserve">(2) </w:t>
      </w:r>
      <w:r>
        <w:rPr>
          <w:rStyle w:val="Satznummer"/>
        </w:rPr>
        <w:t>1</w:t>
      </w:r>
      <w:r>
        <w:t xml:space="preserve">Beide Ehegatten sind berechtigt, erwerbstätig zu sein. </w:t>
      </w:r>
      <w:r>
        <w:rPr>
          <w:rStyle w:val="Satznummer"/>
        </w:rPr>
        <w:t>2</w:t>
      </w:r>
      <w:r>
        <w:t>Bei der Wahl und Ausübung einer Erwerbstätigkeit haben sie auf die Belange des anderen Ehegatten und der Familie die gebotene Rücksicht zu nehmen.</w:t>
      </w:r>
    </w:p>
    <w:p>
      <w:pPr>
        <w:pStyle w:val="Heading4"/>
      </w:pPr>
      <w:bookmarkStart w:id="1834" w:name="b1819"/>
      <w:r>
        <w:t>§ 1357 Geschäfte zur Deckung des Lebensbedarfs</w:t>
      </w:r>
      <w:r>
        <w:t xml:space="preserve"> </w:t>
      </w:r>
      <w:r>
        <w:rPr>
          <w:rStyle w:val="Suchmarke"/>
        </w:rPr>
        <w:t>#1357#</w:t>
      </w:r>
      <w:bookmarkEnd w:id="1834"/>
    </w:p>
    <w:p>
      <w:r>
        <w:t xml:space="preserve">(1) </w:t>
      </w:r>
      <w:r>
        <w:rPr>
          <w:rStyle w:val="Satznummer"/>
        </w:rPr>
        <w:t>1</w:t>
      </w:r>
      <w:r>
        <w:t xml:space="preserve">Jeder Ehegatte ist berechtigt, Geschäfte zur angemessenen Deckung des Lebensbedarfs der Familie mit Wirkung auch für den anderen Ehegatten zu besorgen. </w:t>
      </w:r>
      <w:r>
        <w:rPr>
          <w:rStyle w:val="Satznummer"/>
        </w:rPr>
        <w:t>2</w:t>
      </w:r>
      <w:r>
        <w:t>Durch solche Geschäfte werden beide Ehegatten berechtigt und verpflichtet, es sei denn, dass sich aus den Umständen etwas anderes ergibt.</w:t>
      </w:r>
    </w:p>
    <w:p>
      <w:r>
        <w:t xml:space="preserve">(2) </w:t>
      </w:r>
      <w:r>
        <w:rPr>
          <w:rStyle w:val="Satznummer"/>
        </w:rPr>
        <w:t>1</w:t>
      </w:r>
      <w:r>
        <w:t xml:space="preserve">Ein Ehegatte kann die Berechtigung des anderen Ehegatten, Geschäfte mit Wirkung für ihn zu besorgen, beschränken oder ausschließen; besteht für die Beschränkung oder Ausschließung kein ausreichender Grund, so hat das Familiengericht sie auf Antrag aufzuheben. </w:t>
      </w:r>
      <w:r>
        <w:rPr>
          <w:rStyle w:val="Satznummer"/>
        </w:rPr>
        <w:t>2</w:t>
      </w:r>
      <w:r>
        <w:t xml:space="preserve">Dritten gegenüber wirkt die Beschränkung oder Ausschließung nur nach Maßgabe des </w:t>
      </w:r>
      <w:hyperlink w:anchor="b1866" w:history="1">
        <w:r>
          <w:rPr>
            <w:color w:val="0A3A8C"/>
            <w:u w:val="single"/>
          </w:rPr>
          <w:t xml:space="preserve">§ 1412</w:t>
        </w:r>
      </w:hyperlink>
      <w:r>
        <w:t>.</w:t>
      </w:r>
    </w:p>
    <w:p>
      <w:r>
        <w:t>(3) Absatz 1 gilt nicht, wenn die Ehegatten getrennt leben.</w:t>
      </w:r>
    </w:p>
    <w:p>
      <w:pPr>
        <w:pStyle w:val="Heading4"/>
      </w:pPr>
      <w:bookmarkStart w:id="1835" w:name="b1820"/>
      <w:r>
        <w:t>§ 1358 Gegenseitige Vertretung von Ehegatten in Angelegenheiten der Gesundheitssorge</w:t>
      </w:r>
      <w:r>
        <w:t xml:space="preserve"> </w:t>
      </w:r>
      <w:r>
        <w:rPr>
          <w:rStyle w:val="Suchmarke"/>
        </w:rPr>
        <w:t>#1358#</w:t>
      </w:r>
      <w:bookmarkEnd w:id="1835"/>
    </w:p>
    <w:p>
      <w:r>
        <w:t>(1) Kann ein Ehegatte aufgrund von Bewusstlosigkeit oder Krankheit seine Angelegenheiten der Gesundheitssorge rechtlich nicht besorgen (vertretener Ehegatte), ist der andere Ehegatte (vertretender Ehegatte) berechtigt, für den vertretenen Ehegatten</w:t>
      </w:r>
    </w:p>
    <w:p>
      <w:pPr>
        <w:tabs>
          <w:tab w:pos="567" w:val="left"/>
        </w:tabs>
        <w:ind w:left="567" w:hanging="567"/>
      </w:pPr>
      <w:r>
        <w:t>1.</w:t>
      </w:r>
      <w:r>
        <w:tab/>
      </w:r>
      <w:r>
        <w:t>in Untersuchungen des Gesundheitszustandes, Heilbehandlungen oder ärztliche Eingriffe einzuwilligen oder sie zu untersagen sowie ärztliche Aufklärungen entgegenzunehmen,</w:t>
      </w:r>
    </w:p>
    <w:p>
      <w:pPr>
        <w:tabs>
          <w:tab w:pos="567" w:val="left"/>
        </w:tabs>
        <w:ind w:left="567" w:hanging="567"/>
      </w:pPr>
      <w:r>
        <w:t>2.</w:t>
      </w:r>
      <w:r>
        <w:tab/>
      </w:r>
      <w:r>
        <w:t>Behandlungsverträge, Krankenhausverträge oder Verträge über eilige Maßnahmen der Rehabilitation und der Pflege abzuschließen und durchzusetzen,</w:t>
      </w:r>
    </w:p>
    <w:p>
      <w:pPr>
        <w:tabs>
          <w:tab w:pos="567" w:val="left"/>
        </w:tabs>
        <w:ind w:left="567" w:hanging="567"/>
      </w:pPr>
      <w:r>
        <w:t>3.</w:t>
      </w:r>
      <w:r>
        <w:tab/>
      </w:r>
      <w:r>
        <w:t xml:space="preserve">über Maßnahmen nach </w:t>
      </w:r>
      <w:hyperlink w:anchor="b2289" w:history="1">
        <w:r>
          <w:rPr>
            <w:color w:val="0A3A8C"/>
            <w:u w:val="single"/>
          </w:rPr>
          <w:t xml:space="preserve">§ 1831</w:t>
        </w:r>
      </w:hyperlink>
      <w:r>
        <w:t xml:space="preserve"> Absatz 4 zu entscheiden, sofern die Dauer der Maßnahme im Einzelfall sechs Wochen nicht überschreitet, und</w:t>
      </w:r>
    </w:p>
    <w:p>
      <w:pPr>
        <w:tabs>
          <w:tab w:pos="567" w:val="left"/>
        </w:tabs>
        <w:ind w:left="567" w:hanging="567"/>
      </w:pPr>
      <w:r>
        <w:t>4.</w:t>
      </w:r>
      <w:r>
        <w:tab/>
      </w:r>
      <w:r>
        <w:t>Ansprüche, die dem vertretenen Ehegatten aus Anlass der Erkrankung gegenüber Dritten zustehen, geltend zu machen und an die Leistungserbringer aus den Verträgen nach Nummer 2 abzutreten oder Zahlung an diese zu verlangen.</w:t>
      </w:r>
    </w:p>
    <w:p>
      <w:r>
        <w:t xml:space="preserve">(2) </w:t>
      </w:r>
      <w:r>
        <w:rPr>
          <w:rStyle w:val="Satznummer"/>
        </w:rPr>
        <w:t>1</w:t>
      </w:r>
      <w:r>
        <w:t xml:space="preserve">Unter den Voraussetzungen des Absatzes 1 und hinsichtlich der in Absatz 1 Nummer 1 bis 4 genannten Angelegenheiten sind behandelnde Ärzte gegenüber dem vertretenden Ehegatten von ihrer Schweigepflicht entbunden. </w:t>
      </w:r>
      <w:r>
        <w:rPr>
          <w:rStyle w:val="Satznummer"/>
        </w:rPr>
        <w:t>2</w:t>
      </w:r>
      <w:r>
        <w:t>Dieser darf die diese Angelegenheiten betreffenden Krankenunterlagen einsehen und ihre Weitergabe an Dritte bewilligen.</w:t>
      </w:r>
    </w:p>
    <w:p>
      <w:r>
        <w:t>(3) Die Berechtigungen nach den Absätzen 1 und 2 bestehen nicht, wenn</w:t>
      </w:r>
    </w:p>
    <w:p>
      <w:pPr>
        <w:tabs>
          <w:tab w:pos="567" w:val="left"/>
        </w:tabs>
        <w:ind w:left="567" w:hanging="567"/>
      </w:pPr>
      <w:r>
        <w:t>1.</w:t>
      </w:r>
      <w:r>
        <w:tab/>
      </w:r>
      <w:r>
        <w:t>die Ehegatten getrennt leben,</w:t>
      </w:r>
    </w:p>
    <w:p>
      <w:pPr>
        <w:tabs>
          <w:tab w:pos="567" w:val="left"/>
        </w:tabs>
        <w:ind w:left="567" w:hanging="567"/>
      </w:pPr>
      <w:r>
        <w:t>2.</w:t>
      </w:r>
      <w:r>
        <w:tab/>
      </w:r>
      <w:r>
        <w:t>dem vertretenden Ehegatten oder dem behandelnden Arzt bekannt ist, dass der vertretene Ehegatte</w:t>
      </w:r>
    </w:p>
    <w:p>
      <w:pPr>
        <w:tabs>
          <w:tab w:pos="1134" w:val="left"/>
        </w:tabs>
        <w:ind w:left="1134" w:hanging="567"/>
      </w:pPr>
      <w:r>
        <w:t>a)</w:t>
      </w:r>
      <w:r>
        <w:tab/>
      </w:r>
      <w:r>
        <w:t>eine Vertretung durch ihn in den in Absatz 1 Nummer 1 bis 4 genannten Angelegenheiten ablehnt oder</w:t>
      </w:r>
    </w:p>
    <w:p>
      <w:pPr>
        <w:tabs>
          <w:tab w:pos="1134" w:val="left"/>
        </w:tabs>
        <w:ind w:left="1134" w:hanging="567"/>
      </w:pPr>
      <w:r>
        <w:t>b)</w:t>
      </w:r>
      <w:r>
        <w:tab/>
      </w:r>
      <w:r>
        <w:t>jemanden zur Wahrnehmung seiner Angelegenheiten bevollmächtigt hat, soweit diese Vollmacht die in Absatz 1 Nummer 1 bis 4 bezeichneten Angelegenheiten umfasst,</w:t>
      </w:r>
    </w:p>
    <w:p>
      <w:pPr>
        <w:tabs>
          <w:tab w:pos="567" w:val="left"/>
        </w:tabs>
        <w:ind w:left="567" w:hanging="567"/>
      </w:pPr>
      <w:r>
        <w:t>3.</w:t>
      </w:r>
      <w:r>
        <w:tab/>
      </w:r>
      <w:r>
        <w:t>für den vertretenen Ehegatten ein Betreuer bestellt ist, soweit dessen Aufgabenkreis die in Absatz 1 Nummer 1 bis 4 bezeichneten Angelegenheiten umfasst, oder</w:t>
      </w:r>
    </w:p>
    <w:p>
      <w:pPr>
        <w:tabs>
          <w:tab w:pos="567" w:val="left"/>
        </w:tabs>
        <w:ind w:left="567" w:hanging="567"/>
      </w:pPr>
      <w:r>
        <w:t>4.</w:t>
      </w:r>
      <w:r>
        <w:tab/>
      </w:r>
      <w:r>
        <w:t>die Voraussetzungen des Absatzes 1 nicht mehr vorliegen oder mehr als sechs Monate seit dem durch den Arzt nach Absatz 4 Satz 1 Nummer 1 festgestellten Zeitpunkt vergangen sind.</w:t>
      </w:r>
    </w:p>
    <w:p>
      <w:r>
        <w:t xml:space="preserve">(4) </w:t>
      </w:r>
      <w:r>
        <w:rPr>
          <w:rStyle w:val="Satznummer"/>
        </w:rPr>
        <w:t>1</w:t>
      </w:r>
      <w:r>
        <w:t>Der Arzt, gegenüber dem das Vertretungsrecht ausgeübt wird, hat</w:t>
      </w:r>
    </w:p>
    <w:p>
      <w:pPr>
        <w:tabs>
          <w:tab w:pos="567" w:val="left"/>
        </w:tabs>
        <w:ind w:left="567" w:hanging="567"/>
      </w:pPr>
      <w:r>
        <w:t>1.</w:t>
      </w:r>
      <w:r>
        <w:tab/>
      </w:r>
      <w:r>
        <w:t>das Vorliegen der Voraussetzungen des Absatzes 1 und den Zeitpunkt, zu dem diese spätestens eingetreten sind, schriftlich zu bestätigen,</w:t>
      </w:r>
    </w:p>
    <w:p>
      <w:pPr>
        <w:tabs>
          <w:tab w:pos="567" w:val="left"/>
        </w:tabs>
        <w:ind w:left="567" w:hanging="567"/>
      </w:pPr>
      <w:r>
        <w:t>2.</w:t>
      </w:r>
      <w:r>
        <w:tab/>
      </w:r>
      <w:r>
        <w:t>dem vertretenden Ehegatten die Bestätigung nach Nummer 1 mit einer schriftlichen Erklärung über das Vorliegen der Voraussetzungen des Absatzes 1 und das Nichtvorliegen der Ausschlussgründe des Absatzes 3 vorzulegen und</w:t>
      </w:r>
    </w:p>
    <w:p>
      <w:pPr>
        <w:tabs>
          <w:tab w:pos="567" w:val="left"/>
        </w:tabs>
        <w:ind w:left="567" w:hanging="567"/>
      </w:pPr>
      <w:r>
        <w:t>3.</w:t>
      </w:r>
      <w:r>
        <w:tab/>
      </w:r>
      <w:r>
        <w:t>sich von dem vertretenden Ehegatten schriftlich versichern zu lassen, dass</w:t>
      </w:r>
    </w:p>
    <w:p>
      <w:pPr>
        <w:tabs>
          <w:tab w:pos="1134" w:val="left"/>
        </w:tabs>
        <w:ind w:left="1134" w:hanging="567"/>
      </w:pPr>
      <w:r>
        <w:t>a)</w:t>
      </w:r>
      <w:r>
        <w:tab/>
      </w:r>
      <w:r>
        <w:t>das Vertretungsrecht wegen der Bewusstlosigkeit oder Krankheit, aufgrund derer der Ehegatte seine Angelegenheiten der Gesundheitssorge rechtlich nicht besorgen kann, bisher nicht ausgeübt wurde und</w:t>
      </w:r>
    </w:p>
    <w:p>
      <w:pPr>
        <w:tabs>
          <w:tab w:pos="1134" w:val="left"/>
        </w:tabs>
        <w:ind w:left="1134" w:hanging="567"/>
      </w:pPr>
      <w:r>
        <w:t>b)</w:t>
      </w:r>
      <w:r>
        <w:tab/>
      </w:r>
      <w:r>
        <w:t>kein Ausschlussgrund des Absatzes 3 vorliegt.</w:t>
      </w:r>
    </w:p>
    <w:p>
      <w:r>
        <w:rPr>
          <w:rStyle w:val="Satznummer"/>
        </w:rPr>
        <w:t>2</w:t>
      </w:r>
      <w:r>
        <w:t>Das Dokument mit der Bestätigung nach Satz 1 Nummer 1 und der Versicherung nach Satz 1 Nummer 3 ist dem vertretenden Ehegatten für die weitere Ausübung des Vertretungsrechts auszuhändigen.</w:t>
      </w:r>
    </w:p>
    <w:p>
      <w:r>
        <w:t>(5) Das Vertretungsrecht darf ab der Bestellung eines Betreuers, dessen Aufgabenkreis die in Absatz 1 Nummer 1 bis 4 bezeichneten Angelegenheiten umfasst, nicht mehr ausgeübt werden.</w:t>
      </w:r>
    </w:p>
    <w:p>
      <w:r>
        <w:t xml:space="preserve">(6) </w:t>
      </w:r>
      <w:hyperlink w:anchor="b2278" w:history="1">
        <w:r>
          <w:rPr>
            <w:color w:val="0A3A8C"/>
            <w:u w:val="single"/>
          </w:rPr>
          <w:t xml:space="preserve">§ 1821</w:t>
        </w:r>
      </w:hyperlink>
      <w:r>
        <w:t xml:space="preserve"> Absatz 2 bis 4, </w:t>
      </w:r>
      <w:hyperlink w:anchor="b2285" w:history="1">
        <w:r>
          <w:rPr>
            <w:color w:val="0A3A8C"/>
            <w:u w:val="single"/>
          </w:rPr>
          <w:t xml:space="preserve">§ 1827</w:t>
        </w:r>
      </w:hyperlink>
      <w:r>
        <w:t xml:space="preserve"> Absatz 1 bis 3, </w:t>
      </w:r>
      <w:hyperlink w:anchor="b2286" w:history="1">
        <w:r>
          <w:rPr>
            <w:color w:val="0A3A8C"/>
            <w:u w:val="single"/>
          </w:rPr>
          <w:t xml:space="preserve">§ 1828</w:t>
        </w:r>
      </w:hyperlink>
      <w:r>
        <w:t xml:space="preserve"> Absatz 1 und 2, </w:t>
      </w:r>
      <w:hyperlink w:anchor="b2287" w:history="1">
        <w:r>
          <w:rPr>
            <w:color w:val="0A3A8C"/>
            <w:u w:val="single"/>
          </w:rPr>
          <w:t xml:space="preserve">§ 1829</w:t>
        </w:r>
      </w:hyperlink>
      <w:r>
        <w:t xml:space="preserve"> Absatz 1 bis 4 sowie </w:t>
      </w:r>
      <w:hyperlink w:anchor="b2289" w:history="1">
        <w:r>
          <w:rPr>
            <w:color w:val="0A3A8C"/>
            <w:u w:val="single"/>
          </w:rPr>
          <w:t xml:space="preserve">§ 1831</w:t>
        </w:r>
      </w:hyperlink>
      <w:r>
        <w:t xml:space="preserve"> Absatz 4 in Verbindung mit Absatz 2 gelten entsprechend.</w:t>
      </w:r>
    </w:p>
    <w:p>
      <w:pPr>
        <w:pStyle w:val="Heading4"/>
      </w:pPr>
      <w:bookmarkStart w:id="1836" w:name="b1821"/>
      <w:r>
        <w:t>§ 1359 Umfang der Sorgfaltspflicht</w:t>
      </w:r>
      <w:r>
        <w:t xml:space="preserve"> </w:t>
      </w:r>
      <w:r>
        <w:rPr>
          <w:rStyle w:val="Suchmarke"/>
        </w:rPr>
        <w:t>#1359#</w:t>
      </w:r>
      <w:bookmarkEnd w:id="1836"/>
    </w:p>
    <w:p>
      <w:r>
        <w:t>Die Ehegatten haben bei der Erfüllung der sich aus dem ehelichen Verhältnis ergebenden Verpflichtungen einander nur für diejenige Sorgfalt einzustehen, welche sie in eigenen Angelegenheiten anzuwenden pflegen.</w:t>
      </w:r>
    </w:p>
    <w:p>
      <w:pPr>
        <w:pStyle w:val="Heading4"/>
      </w:pPr>
      <w:bookmarkStart w:id="1837" w:name="b1822"/>
      <w:r>
        <w:t>§ 1360 Verpflichtung zum Familienunterhalt</w:t>
      </w:r>
      <w:r>
        <w:t xml:space="preserve"> </w:t>
      </w:r>
      <w:r>
        <w:rPr>
          <w:rStyle w:val="Suchmarke"/>
        </w:rPr>
        <w:t>#1360#</w:t>
      </w:r>
      <w:bookmarkEnd w:id="1837"/>
    </w:p>
    <w:p>
      <w:r>
        <w:rPr>
          <w:rStyle w:val="Satznummer"/>
        </w:rPr>
        <w:t>1</w:t>
      </w:r>
      <w:r>
        <w:t xml:space="preserve">Die Ehegatten sind einander verpflichtet, durch ihre Arbeit und mit ihrem Vermögen die Familie angemessen zu unterhalten. </w:t>
      </w:r>
      <w:r>
        <w:rPr>
          <w:rStyle w:val="Satznummer"/>
        </w:rPr>
        <w:t>2</w:t>
      </w:r>
      <w:r>
        <w:t>Ist einem Ehegatten die Haushaltsführung überlassen, so erfüllt er seine Verpflichtung, durch Arbeit zum Unterhalt der Familie beizutragen, in der Regel durch die Führung des Haushalts.</w:t>
      </w:r>
    </w:p>
    <w:p>
      <w:pPr>
        <w:pStyle w:val="Heading4"/>
      </w:pPr>
      <w:bookmarkStart w:id="1838" w:name="b1823"/>
      <w:r>
        <w:t>§ 1360a Umfang der Unterhaltspflicht</w:t>
      </w:r>
      <w:r>
        <w:t xml:space="preserve"> </w:t>
      </w:r>
      <w:r>
        <w:rPr>
          <w:rStyle w:val="Suchmarke"/>
        </w:rPr>
        <w:t>#1360a#</w:t>
      </w:r>
      <w:bookmarkEnd w:id="1838"/>
    </w:p>
    <w:p>
      <w:r>
        <w:t>(1) Der angemessene Unterhalt der Familie umfasst alles, was nach den Verhältnissen der Ehegatten erforderlich ist, um die Kosten des Haushalts zu bestreiten und die persönlichen Bedürfnisse der Ehegatten und den Lebensbedarf der gemeinsamen unterhaltsberechtigten Kinder zu befriedigen.</w:t>
      </w:r>
    </w:p>
    <w:p>
      <w:r>
        <w:t xml:space="preserve">(2) </w:t>
      </w:r>
      <w:r>
        <w:rPr>
          <w:rStyle w:val="Satznummer"/>
        </w:rPr>
        <w:t>1</w:t>
      </w:r>
      <w:r>
        <w:t xml:space="preserve">Der Unterhalt ist in der Weise zu leisten, die durch die eheliche Lebensgemeinschaft geboten ist. </w:t>
      </w:r>
      <w:r>
        <w:rPr>
          <w:rStyle w:val="Satznummer"/>
        </w:rPr>
        <w:t>2</w:t>
      </w:r>
      <w:r>
        <w:t>Die Ehegatten sind einander verpflichtet, die zum gemeinsamen Unterhalt der Familie erforderlichen Mittel für einen angemessenen Zeitraum im Voraus zur Verfügung zu stellen.</w:t>
      </w:r>
    </w:p>
    <w:p>
      <w:r>
        <w:t xml:space="preserve">(3) Die für die Unterhaltspflicht der Verwandten geltenden Vorschriften der </w:t>
      </w:r>
      <w:hyperlink w:anchor="b2068" w:history="1">
        <w:r>
          <w:rPr>
            <w:color w:val="0A3A8C"/>
            <w:u w:val="single"/>
          </w:rPr>
          <w:t xml:space="preserve">§§ 1613</w:t>
        </w:r>
      </w:hyperlink>
      <w:r>
        <w:t xml:space="preserve"> bis </w:t>
      </w:r>
      <w:hyperlink w:anchor="b2070" w:history="1">
        <w:r>
          <w:rPr>
            <w:color w:val="0A3A8C"/>
            <w:u w:val="single"/>
          </w:rPr>
          <w:t xml:space="preserve">1615</w:t>
        </w:r>
      </w:hyperlink>
      <w:r>
        <w:t xml:space="preserve"> sind entsprechend anzuwenden.</w:t>
      </w:r>
    </w:p>
    <w:p>
      <w:r>
        <w:t xml:space="preserve">(4) </w:t>
      </w:r>
      <w:r>
        <w:rPr>
          <w:rStyle w:val="Satznummer"/>
        </w:rPr>
        <w:t>1</w:t>
      </w:r>
      <w:r>
        <w:t xml:space="preserve">Ist ein Ehegatte nicht in der Lage, die Kosten eines Rechtsstreits zu tragen, der eine persönliche Angelegenheit betrifft, so ist der andere Ehegatte verpflichtet, ihm diese Kosten vorzuschießen, soweit dies der Billigkeit entspricht. </w:t>
      </w:r>
      <w:r>
        <w:rPr>
          <w:rStyle w:val="Satznummer"/>
        </w:rPr>
        <w:t>2</w:t>
      </w:r>
      <w:r>
        <w:t>Das Gleiche gilt für die Kosten der Verteidigung in einem Strafverfahren, das gegen einen Ehegatten gerichtet ist.</w:t>
      </w:r>
    </w:p>
    <w:p>
      <w:pPr>
        <w:pStyle w:val="Heading4"/>
      </w:pPr>
      <w:bookmarkStart w:id="1839" w:name="b1824"/>
      <w:r>
        <w:t>§ 1360b Zuvielleistung</w:t>
      </w:r>
      <w:r>
        <w:t xml:space="preserve"> </w:t>
      </w:r>
      <w:r>
        <w:rPr>
          <w:rStyle w:val="Suchmarke"/>
        </w:rPr>
        <w:t>#1360b#</w:t>
      </w:r>
      <w:bookmarkEnd w:id="1839"/>
    </w:p>
    <w:p>
      <w:r>
        <w:t>Leistet ein Ehegatte zum Unterhalt der Familie einen höheren Beitrag als ihm obliegt, so ist im Zweifel anzunehmen, dass er nicht beabsichtigt, von dem anderen Ehegatten Ersatz zu verlangen.</w:t>
      </w:r>
    </w:p>
    <w:p>
      <w:pPr>
        <w:pStyle w:val="Heading4"/>
      </w:pPr>
      <w:bookmarkStart w:id="1840" w:name="b1825"/>
      <w:r>
        <w:t>§ 1361 Unterhalt bei Getrenntleben</w:t>
      </w:r>
      <w:r>
        <w:t xml:space="preserve"> </w:t>
      </w:r>
      <w:r>
        <w:rPr>
          <w:rStyle w:val="Suchmarke"/>
        </w:rPr>
        <w:t>#1361#</w:t>
      </w:r>
      <w:bookmarkEnd w:id="1840"/>
    </w:p>
    <w:p>
      <w:r>
        <w:t xml:space="preserve">(1) </w:t>
      </w:r>
      <w:r>
        <w:rPr>
          <w:rStyle w:val="Satznummer"/>
        </w:rPr>
        <w:t>1</w:t>
      </w:r>
      <w:r>
        <w:t xml:space="preserve">Leben die Ehegatten getrennt, so kann ein Ehegatte von dem anderen den nach den Lebensverhältnissen und den Erwerbs- und Vermögensverhältnissen der Ehegatten angemessenen Unterhalt verlangen; für Aufwendungen infolge eines Körper- oder Gesundheitsschadens gilt </w:t>
      </w:r>
      <w:hyperlink w:anchor="b2062" w:history="1">
        <w:r>
          <w:rPr>
            <w:color w:val="0A3A8C"/>
            <w:u w:val="single"/>
          </w:rPr>
          <w:t xml:space="preserve">§ 1610a</w:t>
        </w:r>
      </w:hyperlink>
      <w:r>
        <w:t xml:space="preserve">. </w:t>
      </w:r>
      <w:r>
        <w:rPr>
          <w:rStyle w:val="Satznummer"/>
        </w:rPr>
        <w:t>2</w:t>
      </w:r>
      <w:r>
        <w:t>Ist zwischen den getrennt lebenden Ehegatten ein Scheidungsverfahren rechtshängig, so gehören zum Unterhalt vom Eintritt der Rechtshängigkeit an auch die Kosten einer angemessenen Versicherung für den Fall des Alters sowie der verminderten Erwerbsfähigkeit.</w:t>
      </w:r>
    </w:p>
    <w:p>
      <w:r>
        <w:t>(2) Der nicht erwerbstätige Ehegatte kann nur dann darauf verwiesen werden, seinen Unterhalt durch eine Erwerbstätigkeit selbst zu verdienen, wenn dies von ihm nach seinen persönlichen Verhältnissen, insbesondere wegen einer früheren Erwerbstätigkeit unter Berücksichtigung der Dauer der Ehe, und nach den wirtschaftlichen Verhältnissen beider Ehegatten erwartet werden kann.</w:t>
      </w:r>
    </w:p>
    <w:p>
      <w:r>
        <w:t xml:space="preserve">(3) Die Vorschrift des </w:t>
      </w:r>
      <w:hyperlink w:anchor="b2009" w:history="1">
        <w:r>
          <w:rPr>
            <w:color w:val="0A3A8C"/>
            <w:u w:val="single"/>
          </w:rPr>
          <w:t xml:space="preserve">§ 1579</w:t>
        </w:r>
      </w:hyperlink>
      <w:r>
        <w:t xml:space="preserve"> Nr. 2 bis 8 über die Beschränkung oder Versagung des Unterhalts wegen grober Unbilligkeit ist entsprechend anzuwenden.</w:t>
      </w:r>
    </w:p>
    <w:p>
      <w:r>
        <w:t xml:space="preserve">(4) </w:t>
      </w:r>
      <w:r>
        <w:rPr>
          <w:rStyle w:val="Satznummer"/>
        </w:rPr>
        <w:t>1</w:t>
      </w:r>
      <w:r>
        <w:t xml:space="preserve">Der laufende Unterhalt ist durch Zahlung einer Geldrente zu gewähren. </w:t>
      </w:r>
      <w:r>
        <w:rPr>
          <w:rStyle w:val="Satznummer"/>
        </w:rPr>
        <w:t>2</w:t>
      </w:r>
      <w:r>
        <w:t xml:space="preserve">Die Rente ist monatlich im Voraus zu zahlen. </w:t>
      </w:r>
      <w:r>
        <w:rPr>
          <w:rStyle w:val="Satznummer"/>
        </w:rPr>
        <w:t>3</w:t>
      </w:r>
      <w:r>
        <w:t xml:space="preserve">Der Verpflichtete schuldet den vollen Monatsbetrag auch dann, wenn der Berechtigte im Laufe des Monats stirbt. </w:t>
      </w:r>
      <w:r>
        <w:rPr>
          <w:rStyle w:val="Satznummer"/>
        </w:rPr>
        <w:t>4</w:t>
      </w:r>
      <w:hyperlink w:anchor="b1823" w:history="1">
        <w:r>
          <w:rPr>
            <w:color w:val="0A3A8C"/>
            <w:u w:val="single"/>
          </w:rPr>
          <w:t xml:space="preserve">§ 1360a</w:t>
        </w:r>
      </w:hyperlink>
      <w:r>
        <w:t xml:space="preserve"> Abs. 3, 4 und die </w:t>
      </w:r>
      <w:hyperlink w:anchor="b1824" w:history="1">
        <w:r>
          <w:rPr>
            <w:color w:val="0A3A8C"/>
            <w:u w:val="single"/>
          </w:rPr>
          <w:t xml:space="preserve">§§ 1360b</w:t>
        </w:r>
      </w:hyperlink>
      <w:r>
        <w:t xml:space="preserve">, </w:t>
      </w:r>
      <w:hyperlink w:anchor="b2056" w:history="1">
        <w:r>
          <w:rPr>
            <w:color w:val="0A3A8C"/>
            <w:u w:val="single"/>
          </w:rPr>
          <w:t xml:space="preserve">1605</w:t>
        </w:r>
      </w:hyperlink>
      <w:r>
        <w:t xml:space="preserve"> sind entsprechend anzuwenden.</w:t>
      </w:r>
    </w:p>
    <w:p>
      <w:pPr>
        <w:pStyle w:val="Heading4"/>
      </w:pPr>
      <w:bookmarkStart w:id="1841" w:name="b1826"/>
      <w:r>
        <w:t>§ 1361a Verteilung der Haushaltsgegenstände bei Getrenntleben</w:t>
      </w:r>
      <w:r>
        <w:t xml:space="preserve"> </w:t>
      </w:r>
      <w:r>
        <w:rPr>
          <w:rStyle w:val="Suchmarke"/>
        </w:rPr>
        <w:t>#1361a#</w:t>
      </w:r>
      <w:bookmarkEnd w:id="1841"/>
    </w:p>
    <w:p>
      <w:r>
        <w:t xml:space="preserve">(1) </w:t>
      </w:r>
      <w:r>
        <w:rPr>
          <w:rStyle w:val="Satznummer"/>
        </w:rPr>
        <w:t>1</w:t>
      </w:r>
      <w:r>
        <w:t xml:space="preserve">Leben die Ehegatten getrennt, so kann jeder von ihnen die ihm gehörenden Haushaltsgegenstände von dem anderen Ehegatten herausverlangen. </w:t>
      </w:r>
      <w:r>
        <w:rPr>
          <w:rStyle w:val="Satznummer"/>
        </w:rPr>
        <w:t>2</w:t>
      </w:r>
      <w:r>
        <w:t>Er ist jedoch verpflichtet, sie dem anderen Ehegatten zum Gebrauch zu überlassen, soweit dieser sie zur Führung eines abgesonderten Haushalts benötigt und die Überlassung nach den Umständen des Falles der Billigkeit entspricht.</w:t>
      </w:r>
    </w:p>
    <w:p>
      <w:r>
        <w:t>(2) Haushaltsgegenstände, die den Ehegatten gemeinsam gehören, werden zwischen ihnen nach den Grundsätzen der Billigkeit verteilt.</w:t>
      </w:r>
    </w:p>
    <w:p>
      <w:r>
        <w:t xml:space="preserve">(3) </w:t>
      </w:r>
      <w:r>
        <w:rPr>
          <w:rStyle w:val="Satznummer"/>
        </w:rPr>
        <w:t>1</w:t>
      </w:r>
      <w:r>
        <w:t xml:space="preserve">Können sich die Ehegatten nicht einigen, so entscheidet das zuständige Gericht. </w:t>
      </w:r>
      <w:r>
        <w:rPr>
          <w:rStyle w:val="Satznummer"/>
        </w:rPr>
        <w:t>2</w:t>
      </w:r>
      <w:r>
        <w:t>Dieses kann eine angemessene Vergütung für die Benutzung der Haushaltsgegenstände festsetzen.</w:t>
      </w:r>
    </w:p>
    <w:p>
      <w:r>
        <w:t>(4) Die Eigentumsverhältnisse bleiben unberührt, sofern die Ehegatten nichts anderes vereinbaren.</w:t>
      </w:r>
    </w:p>
    <w:p>
      <w:pPr>
        <w:pStyle w:val="Heading4"/>
      </w:pPr>
      <w:bookmarkStart w:id="1842" w:name="b1827"/>
      <w:r>
        <w:t>§ 1361b Ehewohnung bei Getrenntleben</w:t>
      </w:r>
      <w:r>
        <w:t xml:space="preserve"> </w:t>
      </w:r>
      <w:r>
        <w:rPr>
          <w:rStyle w:val="Suchmarke"/>
        </w:rPr>
        <w:t>#1361b#</w:t>
      </w:r>
      <w:bookmarkEnd w:id="1842"/>
    </w:p>
    <w:p>
      <w:r>
        <w:t xml:space="preserve">(1) </w:t>
      </w:r>
      <w:r>
        <w:rPr>
          <w:rStyle w:val="Satznummer"/>
        </w:rPr>
        <w:t>1</w:t>
      </w:r>
      <w:r>
        <w:t xml:space="preserve">Leben die Ehegatten voneinander getrennt oder will einer von ihnen getrennt leben, so kann ein Ehegatte verlangen, dass ihm der andere die Ehewohnung oder einen Teil zur alleinigen Benutzung überlässt, soweit dies auch unter Berücksichtigung der Belange des anderen Ehegatten notwendig ist, um eine unbillige Härte zu vermeiden. </w:t>
      </w:r>
      <w:r>
        <w:rPr>
          <w:rStyle w:val="Satznummer"/>
        </w:rPr>
        <w:t>2</w:t>
      </w:r>
      <w:r>
        <w:t xml:space="preserve">Eine unbillige Härte kann auch dann gegeben sein, wenn das Wohl von im Haushalt lebenden Kindern beeinträchtigt ist. </w:t>
      </w:r>
      <w:r>
        <w:rPr>
          <w:rStyle w:val="Satznummer"/>
        </w:rPr>
        <w:t>3</w:t>
      </w:r>
      <w:r>
        <w:t>Steht einem Ehegatten allein oder gemeinsam mit einem Dritten das Eigentum, das Erbbaurecht oder der Nießbrauch an dem Grundstück zu, auf dem sich die Ehewohnung befindet, so ist dies besonders zu berücksichtigen; Entsprechendes gilt für das Wohnungseigentum, das Dauerwohnrecht und das dingliche Wohnrecht.</w:t>
      </w:r>
    </w:p>
    <w:p>
      <w:r>
        <w:t xml:space="preserve">(2) </w:t>
      </w:r>
      <w:r>
        <w:rPr>
          <w:rStyle w:val="Satznummer"/>
        </w:rPr>
        <w:t>1</w:t>
      </w:r>
      <w:r>
        <w:t xml:space="preserve">Hat der Ehegatte, gegen den sich der Antrag richtet, den anderen Ehegatten widerrechtlich und vorsätzlich am Körper, an der Gesundheit, der Freiheit oder der sexuellen Selbstbestimmung verletzt oder mit einer solchen Verletzung oder der Verletzung des Lebens widerrechtlich gedroht, ist in der Regel die gesamte Wohnung zur alleinigen Benutzung zu überlassen. </w:t>
      </w:r>
      <w:r>
        <w:rPr>
          <w:rStyle w:val="Satznummer"/>
        </w:rPr>
        <w:t>2</w:t>
      </w:r>
      <w:r>
        <w:t>Der Anspruch auf Wohnungsüberlassung ist nur dann ausgeschlossen, wenn keine weiteren Verletzungen und widerrechtlichen Drohungen zu besorgen sind, es sei denn, dass dem verletzten Ehegatten das weitere Zusammenleben mit dem anderen wegen der Schwere der Tat nicht zuzumuten ist.</w:t>
      </w:r>
    </w:p>
    <w:p>
      <w:r>
        <w:t xml:space="preserve">(3) </w:t>
      </w:r>
      <w:r>
        <w:rPr>
          <w:rStyle w:val="Satznummer"/>
        </w:rPr>
        <w:t>1</w:t>
      </w:r>
      <w:r>
        <w:t xml:space="preserve">Wurde einem Ehegatten die Ehewohnung ganz oder zum Teil überlassen, so hat der andere alles zu unterlassen, was geeignet ist, die Ausübung dieses Nutzungsrechts zu erschweren oder zu vereiteln. </w:t>
      </w:r>
      <w:r>
        <w:rPr>
          <w:rStyle w:val="Satznummer"/>
        </w:rPr>
        <w:t>2</w:t>
      </w:r>
      <w:r>
        <w:t>Er kann von dem nutzungsberechtigten Ehegatten eine Vergütung für die Nutzung verlangen, soweit dies der Billigkeit entspricht.</w:t>
      </w:r>
    </w:p>
    <w:p>
      <w:r>
        <w:t xml:space="preserve">(4) Ist nach der Trennung der Ehegatten im Sinne des </w:t>
      </w:r>
      <w:hyperlink w:anchor="b1989" w:history="1">
        <w:r>
          <w:rPr>
            <w:color w:val="0A3A8C"/>
            <w:u w:val="single"/>
          </w:rPr>
          <w:t xml:space="preserve">§ 1567</w:t>
        </w:r>
      </w:hyperlink>
      <w:r>
        <w:t xml:space="preserve"> Abs. 1 ein Ehegatte aus der Ehewohnung ausgezogen und hat er binnen sechs Monaten nach seinem Auszug eine ernstliche Rückkehrabsicht dem anderen Ehegatten gegenüber nicht bekundet, so wird unwiderleglich vermutet, dass er dem in der Ehewohnung verbliebenen Ehegatten das alleinige Nutzungsrecht überlassen hat.</w:t>
      </w:r>
    </w:p>
    <w:p>
      <w:pPr>
        <w:pStyle w:val="Heading4"/>
      </w:pPr>
      <w:bookmarkStart w:id="1843" w:name="b1828"/>
      <w:r>
        <w:t>§ 1362 Eigentumsvermutung</w:t>
      </w:r>
      <w:r>
        <w:t xml:space="preserve"> </w:t>
      </w:r>
      <w:r>
        <w:rPr>
          <w:rStyle w:val="Suchmarke"/>
        </w:rPr>
        <w:t>#1362#</w:t>
      </w:r>
      <w:bookmarkEnd w:id="1843"/>
    </w:p>
    <w:p>
      <w:r>
        <w:t xml:space="preserve">(1) </w:t>
      </w:r>
      <w:r>
        <w:rPr>
          <w:rStyle w:val="Satznummer"/>
        </w:rPr>
        <w:t>1</w:t>
      </w:r>
      <w:r>
        <w:t xml:space="preserve">Zugunsten der Gläubiger eines der Ehegatten wird vermutet, dass die im Besitz eines oder beider Ehegatten befindlichen beweglichen Sachen dem Schuldner gehören. </w:t>
      </w:r>
      <w:r>
        <w:rPr>
          <w:rStyle w:val="Satznummer"/>
        </w:rPr>
        <w:t>2</w:t>
      </w:r>
      <w:r>
        <w:t xml:space="preserve">Diese Vermutung gilt nicht, wenn die Ehegatten getrennt leben und sich die Sachen im Besitz des Ehegatten befinden, der nicht Schuldner ist. </w:t>
      </w:r>
      <w:r>
        <w:rPr>
          <w:rStyle w:val="Satznummer"/>
        </w:rPr>
        <w:t>3</w:t>
      </w:r>
      <w:r>
        <w:t>Inhaberpapiere und Orderpapiere, die mit Blankoindossament versehen sind, stehen den beweglichen Sachen gleich.</w:t>
      </w:r>
    </w:p>
    <w:p>
      <w:r>
        <w:t>(2) Für die ausschließlich zum persönlichen Gebrauch eines Ehegatten bestimmten Sachen wird im Verhältnis der Ehegatten zueinander und zu den Gläubigern vermutet, dass sie dem Ehegatten gehören, für dessen Gebrauch sie bestimmt sind.</w:t>
      </w:r>
    </w:p>
    <w:p>
      <w:pPr>
        <w:pStyle w:val="Heading3"/>
      </w:pPr>
      <w:bookmarkStart w:id="1844" w:name="b1829"/>
      <w:r>
        <w:t>Titel 6 Eheliches Güterrecht</w:t>
      </w:r>
      <w:bookmarkEnd w:id="1844"/>
    </w:p>
    <w:p>
      <w:pPr>
        <w:pStyle w:val="Heading4"/>
      </w:pPr>
      <w:bookmarkStart w:id="1845" w:name="b1830"/>
      <w:r>
        <w:t>Untertitel 1 Gesetzliches Güterrecht</w:t>
      </w:r>
      <w:bookmarkEnd w:id="1845"/>
    </w:p>
    <w:p>
      <w:pPr>
        <w:pStyle w:val="Heading5"/>
      </w:pPr>
      <w:bookmarkStart w:id="1846" w:name="b1831"/>
      <w:r>
        <w:t>§ 1363 Zugewinngemeinschaft</w:t>
      </w:r>
      <w:r>
        <w:t xml:space="preserve"> </w:t>
      </w:r>
      <w:r>
        <w:rPr>
          <w:rStyle w:val="Suchmarke"/>
        </w:rPr>
        <w:t>#1363#</w:t>
      </w:r>
      <w:bookmarkEnd w:id="1846"/>
    </w:p>
    <w:p>
      <w:r>
        <w:t>(1) Die Ehegatten leben im Güterstand der Zugewinngemeinschaft, wenn sie nicht durch Ehevertrag etwas anderes vereinbaren.</w:t>
      </w:r>
    </w:p>
    <w:p>
      <w:r>
        <w:t xml:space="preserve">(2) </w:t>
      </w:r>
      <w:r>
        <w:rPr>
          <w:rStyle w:val="Satznummer"/>
        </w:rPr>
        <w:t>1</w:t>
      </w:r>
      <w:r>
        <w:t xml:space="preserve">Das jeweilige Vermögen der Ehegatten wird nicht deren gemeinschaftliches Vermögen; dies gilt auch für Vermögen, das ein Ehegatte nach der Eheschließung erwirbt. </w:t>
      </w:r>
      <w:r>
        <w:rPr>
          <w:rStyle w:val="Satznummer"/>
        </w:rPr>
        <w:t>2</w:t>
      </w:r>
      <w:r>
        <w:t>Der Zugewinn, den die Ehegatten in der Ehe erzielen, wird jedoch ausgeglichen, wenn die Zugewinngemeinschaft endet.</w:t>
      </w:r>
    </w:p>
    <w:p>
      <w:pPr>
        <w:pStyle w:val="Heading5"/>
      </w:pPr>
      <w:bookmarkStart w:id="1847" w:name="b1832"/>
      <w:r>
        <w:t>§ 1364 Vermögensverwaltung</w:t>
      </w:r>
      <w:r>
        <w:t xml:space="preserve"> </w:t>
      </w:r>
      <w:r>
        <w:rPr>
          <w:rStyle w:val="Suchmarke"/>
        </w:rPr>
        <w:t>#1364#</w:t>
      </w:r>
      <w:bookmarkEnd w:id="1847"/>
    </w:p>
    <w:p>
      <w:r>
        <w:t>Jeder Ehegatte verwaltet sein Vermögen selbständig; er ist jedoch in der Verwaltung seines Vermögens nach Maßgabe der folgenden Vorschriften beschränkt.</w:t>
      </w:r>
    </w:p>
    <w:p>
      <w:pPr>
        <w:pStyle w:val="Heading5"/>
      </w:pPr>
      <w:bookmarkStart w:id="1848" w:name="b1833"/>
      <w:r>
        <w:t>§ 1365 Verfügung über Vermögen im Ganzen</w:t>
      </w:r>
      <w:r>
        <w:t xml:space="preserve"> </w:t>
      </w:r>
      <w:r>
        <w:rPr>
          <w:rStyle w:val="Suchmarke"/>
        </w:rPr>
        <w:t>#1365#</w:t>
      </w:r>
      <w:bookmarkEnd w:id="1848"/>
    </w:p>
    <w:p>
      <w:r>
        <w:t xml:space="preserve">(1) </w:t>
      </w:r>
      <w:r>
        <w:rPr>
          <w:rStyle w:val="Satznummer"/>
        </w:rPr>
        <w:t>1</w:t>
      </w:r>
      <w:r>
        <w:t xml:space="preserve">Ein Ehegatte kann sich nur mit Einwilligung des anderen Ehegatten verpflichten, über sein Vermögen im Ganzen zu verfügen. </w:t>
      </w:r>
      <w:r>
        <w:rPr>
          <w:rStyle w:val="Satznummer"/>
        </w:rPr>
        <w:t>2</w:t>
      </w:r>
      <w:r>
        <w:t>Hat er sich ohne Zustimmung des anderen Ehegatten verpflichtet, so kann er die Verpflichtung nur erfüllen, wenn der andere Ehegatte einwilligt.</w:t>
      </w:r>
    </w:p>
    <w:p>
      <w:r>
        <w:t>(2) Entspricht das Rechtsgeschäft den Grundsätzen einer ordnungsmäßigen Verwaltung, so kann das Familiengericht auf Antrag des Ehegatten die Zustimmung des anderen Ehegatten ersetzen, wenn dieser sie ohne ausreichenden Grund verweigert oder durch Krankheit oder Abwesenheit an der Abgabe einer Erklärung verhindert und mit dem Aufschub Gefahr verbunden ist.</w:t>
      </w:r>
    </w:p>
    <w:p>
      <w:pPr>
        <w:pStyle w:val="Heading5"/>
      </w:pPr>
      <w:bookmarkStart w:id="1849" w:name="b1834"/>
      <w:r>
        <w:t>§ 1366 Genehmigung von Verträgen</w:t>
      </w:r>
      <w:r>
        <w:t xml:space="preserve"> </w:t>
      </w:r>
      <w:r>
        <w:rPr>
          <w:rStyle w:val="Suchmarke"/>
        </w:rPr>
        <w:t>#1366#</w:t>
      </w:r>
      <w:bookmarkEnd w:id="1849"/>
    </w:p>
    <w:p>
      <w:r>
        <w:t>(1) Ein Vertrag, den ein Ehegatte ohne die erforderliche Einwilligung des anderen Ehegatten schließt, ist wirksam, wenn dieser ihn genehmigt.</w:t>
      </w:r>
    </w:p>
    <w:p>
      <w:r>
        <w:t xml:space="preserve">(2) </w:t>
      </w:r>
      <w:r>
        <w:rPr>
          <w:rStyle w:val="Satznummer"/>
        </w:rPr>
        <w:t>1</w:t>
      </w:r>
      <w:r>
        <w:t xml:space="preserve">Bis zur Genehmigung kann der Dritte den Vertrag widerrufen. </w:t>
      </w:r>
      <w:r>
        <w:rPr>
          <w:rStyle w:val="Satznummer"/>
        </w:rPr>
        <w:t>2</w:t>
      </w:r>
      <w:r>
        <w:t>Hat er gewusst, dass der vertragsschließende Ehegatte verheiratet ist, so kann er nur widerrufen, wenn der Ehegatte wahrheitswidrig behauptet hat, der andere Ehegatte habe eingewilligt; er kann auch in diesem Fall nicht widerrufen, wenn ihm beim Abschluss des Vertrags bekannt war, dass der andere Ehegatte nicht eingewilligt hatte.</w:t>
      </w:r>
    </w:p>
    <w:p>
      <w:r>
        <w:t xml:space="preserve">(3) </w:t>
      </w:r>
      <w:r>
        <w:rPr>
          <w:rStyle w:val="Satznummer"/>
        </w:rPr>
        <w:t>1</w:t>
      </w:r>
      <w:r>
        <w:t xml:space="preserve">Fordert der Dritte den Ehegatten auf, die erforderliche Genehmigung des anderen Ehegatten zu beschaffen, so kann dieser sich nur dem Dritten gegenüber über die Genehmigung erklären; hat er sich bereits vor der Aufforderung seinem Ehegatten gegenüber erklärt, so wird die Erklärung unwirksam. </w:t>
      </w:r>
      <w:r>
        <w:rPr>
          <w:rStyle w:val="Satznummer"/>
        </w:rPr>
        <w:t>2</w:t>
      </w:r>
      <w:r>
        <w:t xml:space="preserve">Die Genehmigung kann nur innerhalb von zwei Wochen seit dem Empfang der Aufforderung erklärt werden; wird sie nicht erklärt, so gilt sie als verweigert. </w:t>
      </w:r>
      <w:r>
        <w:rPr>
          <w:rStyle w:val="Satznummer"/>
        </w:rPr>
        <w:t>3</w:t>
      </w:r>
      <w:r>
        <w:t>Ersetzt das Familiengericht die Genehmigung, so ist sein Beschluss nur wirksam, wenn der Ehegatte ihn dem Dritten innerhalb der zweiwöchigen Frist mitteilt; andernfalls gilt die Genehmigung als verweigert.</w:t>
      </w:r>
    </w:p>
    <w:p>
      <w:r>
        <w:t>(4) Wird die Genehmigung verweigert, so ist der Vertrag unwirksam.</w:t>
      </w:r>
    </w:p>
    <w:p>
      <w:pPr>
        <w:pStyle w:val="Heading5"/>
      </w:pPr>
      <w:bookmarkStart w:id="1850" w:name="b1835"/>
      <w:r>
        <w:t>§ 1367 Einseitige Rechtsgeschäfte</w:t>
      </w:r>
      <w:r>
        <w:t xml:space="preserve"> </w:t>
      </w:r>
      <w:r>
        <w:rPr>
          <w:rStyle w:val="Suchmarke"/>
        </w:rPr>
        <w:t>#1367#</w:t>
      </w:r>
      <w:bookmarkEnd w:id="1850"/>
    </w:p>
    <w:p>
      <w:r>
        <w:t>Ein einseitiges Rechtsgeschäft, das ohne die erforderliche Einwilligung vorgenommen wird, ist unwirksam.</w:t>
      </w:r>
    </w:p>
    <w:p>
      <w:pPr>
        <w:pStyle w:val="Heading5"/>
      </w:pPr>
      <w:bookmarkStart w:id="1851" w:name="b1836"/>
      <w:r>
        <w:t>§ 1368 Geltendmachung der Unwirksamkeit</w:t>
      </w:r>
      <w:r>
        <w:t xml:space="preserve"> </w:t>
      </w:r>
      <w:r>
        <w:rPr>
          <w:rStyle w:val="Suchmarke"/>
        </w:rPr>
        <w:t>#1368#</w:t>
      </w:r>
      <w:bookmarkEnd w:id="1851"/>
    </w:p>
    <w:p>
      <w:r>
        <w:t>Verfügt ein Ehegatte ohne die erforderliche Zustimmung des anderen Ehegatten über sein Vermögen, so ist auch der andere Ehegatte berechtigt, die sich aus der Unwirksamkeit der Verfügung ergebenden Rechte gegen den Dritten gerichtlich geltend zu machen.</w:t>
      </w:r>
    </w:p>
    <w:p>
      <w:pPr>
        <w:pStyle w:val="Heading5"/>
      </w:pPr>
      <w:bookmarkStart w:id="1852" w:name="b1837"/>
      <w:r>
        <w:t>§ 1369 Verfügungen über Haushaltsgegenstände</w:t>
      </w:r>
      <w:r>
        <w:t xml:space="preserve"> </w:t>
      </w:r>
      <w:r>
        <w:rPr>
          <w:rStyle w:val="Suchmarke"/>
        </w:rPr>
        <w:t>#1369#</w:t>
      </w:r>
      <w:bookmarkEnd w:id="1852"/>
    </w:p>
    <w:p>
      <w:r>
        <w:t>(1) Ein Ehegatte kann über ihm gehörende Gegenstände des ehelichen Haushalts nur verfügen und sich zu einer solchen Verfügung auch nur verpflichten, wenn der andere Ehegatte einwilligt.</w:t>
      </w:r>
    </w:p>
    <w:p>
      <w:r>
        <w:t>(2) Das Familiengericht kann auf Antrag des Ehegatten die Zustimmung des anderen Ehegatten ersetzen, wenn dieser sie ohne ausreichenden Grund verweigert oder durch Krankheit oder Abwesenheit verhindert ist, eine Erklärung abzugeben.</w:t>
      </w:r>
    </w:p>
    <w:p>
      <w:r>
        <w:t xml:space="preserve">(3) Die Vorschriften der </w:t>
      </w:r>
      <w:hyperlink w:anchor="b1834" w:history="1">
        <w:r>
          <w:rPr>
            <w:color w:val="0A3A8C"/>
            <w:u w:val="single"/>
          </w:rPr>
          <w:t xml:space="preserve">§§ 1366</w:t>
        </w:r>
      </w:hyperlink>
      <w:r>
        <w:t xml:space="preserve"> bis </w:t>
      </w:r>
      <w:hyperlink w:anchor="b1836" w:history="1">
        <w:r>
          <w:rPr>
            <w:color w:val="0A3A8C"/>
            <w:u w:val="single"/>
          </w:rPr>
          <w:t xml:space="preserve">1368</w:t>
        </w:r>
      </w:hyperlink>
      <w:r>
        <w:t xml:space="preserve"> gelten entsprechend.</w:t>
      </w:r>
    </w:p>
    <w:p>
      <w:pPr>
        <w:pStyle w:val="Heading5"/>
      </w:pPr>
      <w:bookmarkStart w:id="1853" w:name="b1838"/>
      <w:r>
        <w:t>§ 1370 (weggefallen)</w:t>
      </w:r>
      <w:r>
        <w:t xml:space="preserve"> </w:t>
      </w:r>
      <w:r>
        <w:rPr>
          <w:rStyle w:val="Suchmarke"/>
        </w:rPr>
        <w:t>#1370#</w:t>
      </w:r>
      <w:bookmarkEnd w:id="1853"/>
    </w:p>
    <w:p>
      <w:r>
        <w:t>-</w:t>
      </w:r>
    </w:p>
    <w:p>
      <w:pPr>
        <w:pStyle w:val="Heading5"/>
      </w:pPr>
      <w:bookmarkStart w:id="1854" w:name="b1839"/>
      <w:r>
        <w:t>§ 1371 Zugewinnausgleich im Todesfall</w:t>
      </w:r>
      <w:r>
        <w:t xml:space="preserve"> </w:t>
      </w:r>
      <w:r>
        <w:rPr>
          <w:rStyle w:val="Suchmarke"/>
        </w:rPr>
        <w:t>#1371#</w:t>
      </w:r>
      <w:bookmarkEnd w:id="1854"/>
    </w:p>
    <w:p>
      <w:r>
        <w:t>(1) Wird der Güterstand durch den Tod eines Ehegatten beendet, so wird der Ausgleich des Zugewinns dadurch verwirklicht, dass sich der gesetzliche Erbteil des überlebenden Ehegatten um ein Viertel der Erbschaft erhöht; hierbei ist unerheblich, ob die Ehegatten im einzelnen Falle einen Zugewinn erzielt haben.</w:t>
      </w:r>
    </w:p>
    <w:p>
      <w:r>
        <w:t xml:space="preserve">(2) Wird der überlebende Ehegatte nicht Erbe und steht ihm auch kein Vermächtnis zu, so kann er Ausgleich des Zugewinns nach den Vorschriften der </w:t>
      </w:r>
      <w:hyperlink w:anchor="b1841" w:history="1">
        <w:r>
          <w:rPr>
            <w:color w:val="0A3A8C"/>
            <w:u w:val="single"/>
          </w:rPr>
          <w:t xml:space="preserve">§§ 1373</w:t>
        </w:r>
      </w:hyperlink>
      <w:r>
        <w:t xml:space="preserve"> bis </w:t>
      </w:r>
      <w:hyperlink w:anchor="b1851" w:history="1">
        <w:r>
          <w:rPr>
            <w:color w:val="0A3A8C"/>
            <w:u w:val="single"/>
          </w:rPr>
          <w:t xml:space="preserve">1383</w:t>
        </w:r>
      </w:hyperlink>
      <w:r>
        <w:t xml:space="preserve">, </w:t>
      </w:r>
      <w:hyperlink w:anchor="b1858" w:history="1">
        <w:r>
          <w:rPr>
            <w:color w:val="0A3A8C"/>
            <w:u w:val="single"/>
          </w:rPr>
          <w:t xml:space="preserve">1390</w:t>
        </w:r>
      </w:hyperlink>
      <w:r>
        <w:t xml:space="preserve"> verlangen; der Pflichtteil des überlebenden Ehegatten oder eines anderen Pflichtteilsberechtigten bestimmt sich in diesem Falle nach dem nicht erhöhten gesetzlichen Erbteil des Ehegatten.</w:t>
      </w:r>
    </w:p>
    <w:p>
      <w:r>
        <w:t>(3) Schlägt der überlebende Ehegatte die Erbschaft aus, so kann er neben dem Ausgleich des Zugewinns den Pflichtteil auch dann verlangen, wenn dieser ihm nach den erbrechtlichen Bestimmungen nicht zustünde; dies gilt nicht, wenn er durch Vertrag mit seinem Ehegatten auf sein gesetzliches Erbrecht oder sein Pflichtteilsrecht verzichtet hat.</w:t>
      </w:r>
    </w:p>
    <w:p>
      <w:r>
        <w:t>(4) Sind erbberechtigte Abkömmlinge des verstorbenen Ehegatten, welche nicht aus der durch den Tod dieses Ehegatten aufgelösten Ehe stammen, vorhanden, so ist der überlebende Ehegatte verpflichtet, diesen Abkömmlingen, wenn und soweit sie dessen bedürfen, die Mittel zu einer angemessenen Ausbildung aus dem nach Absatz 1 zusätzlich gewährten Viertel zu gewähren.</w:t>
      </w:r>
    </w:p>
    <w:p>
      <w:pPr>
        <w:pStyle w:val="Heading5"/>
      </w:pPr>
      <w:bookmarkStart w:id="1855" w:name="b1840"/>
      <w:r>
        <w:t>§ 1372 Zugewinnausgleich in anderen Fällen</w:t>
      </w:r>
      <w:r>
        <w:t xml:space="preserve"> </w:t>
      </w:r>
      <w:r>
        <w:rPr>
          <w:rStyle w:val="Suchmarke"/>
        </w:rPr>
        <w:t>#1372#</w:t>
      </w:r>
      <w:bookmarkEnd w:id="1855"/>
    </w:p>
    <w:p>
      <w:r>
        <w:t xml:space="preserve">Wird der Güterstand auf andere Weise als durch den Tod eines Ehegatten beendet, so wird der Zugewinn nach den Vorschriften der </w:t>
      </w:r>
      <w:hyperlink w:anchor="b1841" w:history="1">
        <w:r>
          <w:rPr>
            <w:color w:val="0A3A8C"/>
            <w:u w:val="single"/>
          </w:rPr>
          <w:t xml:space="preserve">§§ 1373</w:t>
        </w:r>
      </w:hyperlink>
      <w:r>
        <w:t xml:space="preserve"> bis </w:t>
      </w:r>
      <w:hyperlink w:anchor="b1858" w:history="1">
        <w:r>
          <w:rPr>
            <w:color w:val="0A3A8C"/>
            <w:u w:val="single"/>
          </w:rPr>
          <w:t xml:space="preserve">1390</w:t>
        </w:r>
      </w:hyperlink>
      <w:r>
        <w:t xml:space="preserve"> ausgeglichen.</w:t>
      </w:r>
    </w:p>
    <w:p>
      <w:pPr>
        <w:pStyle w:val="Heading5"/>
      </w:pPr>
      <w:bookmarkStart w:id="1856" w:name="b1841"/>
      <w:r>
        <w:t>§ 1373 Zugewinn</w:t>
      </w:r>
      <w:r>
        <w:t xml:space="preserve"> </w:t>
      </w:r>
      <w:r>
        <w:rPr>
          <w:rStyle w:val="Suchmarke"/>
        </w:rPr>
        <w:t>#1373#</w:t>
      </w:r>
      <w:bookmarkEnd w:id="1856"/>
    </w:p>
    <w:p>
      <w:r>
        <w:t>Zugewinn ist der Betrag, um den das Endvermögen eines Ehegatten das Anfangsvermögen übersteigt.</w:t>
      </w:r>
    </w:p>
    <w:p>
      <w:pPr>
        <w:pStyle w:val="Heading5"/>
      </w:pPr>
      <w:bookmarkStart w:id="1857" w:name="b1842"/>
      <w:r>
        <w:t>§ 1374 Anfangsvermögen</w:t>
      </w:r>
      <w:r>
        <w:t xml:space="preserve"> </w:t>
      </w:r>
      <w:r>
        <w:rPr>
          <w:rStyle w:val="Suchmarke"/>
        </w:rPr>
        <w:t>#1374#</w:t>
      </w:r>
      <w:bookmarkEnd w:id="1857"/>
    </w:p>
    <w:p>
      <w:r>
        <w:t>(1) Anfangsvermögen ist das Vermögen, das einem Ehegatten nach Abzug der Verbindlichkeiten beim Eintritt des Güterstands gehört.</w:t>
      </w:r>
    </w:p>
    <w:p>
      <w:r>
        <w:t>(2) Vermögen, das ein Ehegatte nach Eintritt des Güterstands von Todes wegen oder mit Rücksicht auf ein künftiges Erbrecht, durch Schenkung oder als Ausstattung erwirbt, wird nach Abzug der Verbindlichkeiten dem Anfangsvermögen hinzugerechnet, soweit es nicht den Umständen nach zu den Einkünften zu rechnen ist.</w:t>
      </w:r>
    </w:p>
    <w:p>
      <w:r>
        <w:t>(3) Verbindlichkeiten sind über die Höhe des Vermögens hinaus abzuziehen.</w:t>
      </w:r>
    </w:p>
    <w:p>
      <w:pPr>
        <w:pStyle w:val="Heading5"/>
      </w:pPr>
      <w:bookmarkStart w:id="1858" w:name="b1843"/>
      <w:r>
        <w:t>§ 1375 Endvermögen</w:t>
      </w:r>
      <w:r>
        <w:t xml:space="preserve"> </w:t>
      </w:r>
      <w:r>
        <w:rPr>
          <w:rStyle w:val="Suchmarke"/>
        </w:rPr>
        <w:t>#1375#</w:t>
      </w:r>
      <w:bookmarkEnd w:id="1858"/>
    </w:p>
    <w:p>
      <w:r>
        <w:t xml:space="preserve">(1) </w:t>
      </w:r>
      <w:r>
        <w:rPr>
          <w:rStyle w:val="Satznummer"/>
        </w:rPr>
        <w:t>1</w:t>
      </w:r>
      <w:r>
        <w:t xml:space="preserve">Endvermögen ist das Vermögen, das einem Ehegatten nach Abzug der Verbindlichkeiten bei der Beendigung des Güterstands gehört. </w:t>
      </w:r>
      <w:r>
        <w:rPr>
          <w:rStyle w:val="Satznummer"/>
        </w:rPr>
        <w:t>2</w:t>
      </w:r>
      <w:r>
        <w:t>Verbindlichkeiten sind über die Höhe des Vermögens hinaus abzuziehen.</w:t>
      </w:r>
    </w:p>
    <w:p>
      <w:r>
        <w:t xml:space="preserve">(2) </w:t>
      </w:r>
      <w:r>
        <w:rPr>
          <w:rStyle w:val="Satznummer"/>
        </w:rPr>
        <w:t>1</w:t>
      </w:r>
      <w:r>
        <w:t>Dem Endvermögen eines Ehegatten wird der Betrag hinzugerechnet, um den dieses Vermögen dadurch vermindert ist, dass ein Ehegatte nach Eintritt des Güterstands</w:t>
      </w:r>
    </w:p>
    <w:p>
      <w:pPr>
        <w:tabs>
          <w:tab w:pos="567" w:val="left"/>
        </w:tabs>
        <w:ind w:left="567" w:hanging="567"/>
      </w:pPr>
      <w:r>
        <w:t>1.</w:t>
      </w:r>
      <w:r>
        <w:tab/>
      </w:r>
      <w:r>
        <w:t>unentgeltliche Zuwendungen gemacht hat, durch die er nicht einer sittlichen Pflicht oder einer auf den Anstand zu nehmenden Rücksicht entsprochen hat,</w:t>
      </w:r>
    </w:p>
    <w:p>
      <w:pPr>
        <w:tabs>
          <w:tab w:pos="567" w:val="left"/>
        </w:tabs>
        <w:ind w:left="567" w:hanging="567"/>
      </w:pPr>
      <w:r>
        <w:t>2.</w:t>
      </w:r>
      <w:r>
        <w:tab/>
      </w:r>
      <w:r>
        <w:t>Vermögen verschwendet hat oder</w:t>
      </w:r>
    </w:p>
    <w:p>
      <w:pPr>
        <w:tabs>
          <w:tab w:pos="567" w:val="left"/>
        </w:tabs>
        <w:ind w:left="567" w:hanging="567"/>
      </w:pPr>
      <w:r>
        <w:t>3.</w:t>
      </w:r>
      <w:r>
        <w:tab/>
      </w:r>
      <w:r>
        <w:t>Handlungen in der Absicht vorgenommen hat, den anderen Ehegatten zu benachteiligen.</w:t>
      </w:r>
    </w:p>
    <w:p>
      <w:r>
        <w:rPr>
          <w:rStyle w:val="Satznummer"/>
        </w:rPr>
        <w:t>2</w:t>
      </w:r>
      <w:r>
        <w:t>Ist das Endvermögen eines Ehegatten geringer als das Vermögen, das er in der Auskunft zum Trennungszeitpunkt angegeben hat, so hat dieser Ehegatte darzulegen und zu beweisen, dass die Vermögensminderung nicht auf Handlungen im Sinne des Satzes 1 Nummer 1 bis 3 zurückzuführen ist.</w:t>
      </w:r>
    </w:p>
    <w:p>
      <w:r>
        <w:t>(3) Der Betrag der Vermögensminderung wird dem Endvermögen nicht hinzugerechnet, wenn sie mindestens zehn Jahre vor Beendigung des Güterstands eingetreten ist oder wenn der andere Ehegatte mit der unentgeltlichen Zuwendung oder der Verschwendung einverstanden gewesen ist.</w:t>
      </w:r>
    </w:p>
    <w:p>
      <w:pPr>
        <w:pStyle w:val="Heading5"/>
      </w:pPr>
      <w:bookmarkStart w:id="1859" w:name="b1844"/>
      <w:r>
        <w:t>§ 1376 Wertermittlung des Anfangs- und Endvermögens</w:t>
      </w:r>
      <w:r>
        <w:t xml:space="preserve"> </w:t>
      </w:r>
      <w:r>
        <w:rPr>
          <w:rStyle w:val="Suchmarke"/>
        </w:rPr>
        <w:t>#1376#</w:t>
      </w:r>
      <w:bookmarkEnd w:id="1859"/>
    </w:p>
    <w:p>
      <w:r>
        <w:t>(1) Der Berechnung des Anfangsvermögens wird der Wert zugrunde gelegt, den das beim Eintritt des Güterstands vorhandene Vermögen in diesem Zeitpunkt, das dem Anfangsvermögen hinzuzurechnende Vermögen im Zeitpunkt des Erwerbs hatte.</w:t>
      </w:r>
    </w:p>
    <w:p>
      <w:r>
        <w:t>(2) Der Berechnung des Endvermögens wird der Wert zugrunde gelegt, den das bei Beendigung des Güterstands vorhandene Vermögen in diesem Zeitpunkt, eine dem Endvermögen hinzuzurechnende Vermögensminderung in dem Zeitpunkt hatte, in dem sie eingetreten ist.</w:t>
      </w:r>
    </w:p>
    <w:p>
      <w:r>
        <w:t>(3) Die vorstehenden Vorschriften gelten entsprechend für die Bewertung von Verbindlichkeiten.</w:t>
      </w:r>
    </w:p>
    <w:p>
      <w:r>
        <w:t xml:space="preserve">(4) Ein land- oder forstwirtschaftlicher Betrieb, der bei der Berechnung des Anfangsvermögens und des Endvermögens zu berücksichtigen ist, ist mit dem Ertragswert anzusetzen, wenn der Eigentümer nach § 1378 Abs. 1 in Anspruch genommen wird und eine Weiterführung oder Wiederaufnahme des Betriebs durch den Eigentümer oder einen Abkömmling erwartet werden kann; die Vorschrift des </w:t>
      </w:r>
      <w:hyperlink w:anchor="b2499" w:history="1">
        <w:r>
          <w:rPr>
            <w:color w:val="0A3A8C"/>
            <w:u w:val="single"/>
          </w:rPr>
          <w:t xml:space="preserve">§ 2049</w:t>
        </w:r>
      </w:hyperlink>
      <w:r>
        <w:t xml:space="preserve"> Abs. 2 ist anzuwenden.</w:t>
      </w:r>
    </w:p>
    <w:p>
      <w:pPr>
        <w:pStyle w:val="Heading5"/>
      </w:pPr>
      <w:bookmarkStart w:id="1860" w:name="b1845"/>
      <w:r>
        <w:t>§ 1377 Verzeichnis des Anfangsvermögens</w:t>
      </w:r>
      <w:r>
        <w:t xml:space="preserve"> </w:t>
      </w:r>
      <w:r>
        <w:rPr>
          <w:rStyle w:val="Suchmarke"/>
        </w:rPr>
        <w:t>#1377#</w:t>
      </w:r>
      <w:bookmarkEnd w:id="1860"/>
    </w:p>
    <w:p>
      <w:r>
        <w:t>(1) Haben die Ehegatten den Bestand und den Wert des einem Ehegatten gehörenden Anfangsvermögens und der diesem Vermögen hinzuzurechnenden Gegenstände gemeinsam in einem Verzeichnis festgestellt, so wird im Verhältnis der Ehegatten zueinander vermutet, dass das Verzeichnis richtig ist.</w:t>
      </w:r>
    </w:p>
    <w:p>
      <w:r>
        <w:t xml:space="preserve">(2) </w:t>
      </w:r>
      <w:r>
        <w:rPr>
          <w:rStyle w:val="Satznummer"/>
        </w:rPr>
        <w:t>1</w:t>
      </w:r>
      <w:r>
        <w:t xml:space="preserve">Jeder Ehegatte kann verlangen, dass der andere Ehegatte bei der Aufnahme des Verzeichnisses mitwirkt. </w:t>
      </w:r>
      <w:r>
        <w:rPr>
          <w:rStyle w:val="Satznummer"/>
        </w:rPr>
        <w:t>2</w:t>
      </w:r>
      <w:r>
        <w:t xml:space="preserve">Auf die Aufnahme des Verzeichnisses sind die für den Nießbrauch geltenden Vorschriften des </w:t>
      </w:r>
      <w:hyperlink w:anchor="b1507" w:history="1">
        <w:r>
          <w:rPr>
            <w:color w:val="0A3A8C"/>
            <w:u w:val="single"/>
          </w:rPr>
          <w:t xml:space="preserve">§ 1035</w:t>
        </w:r>
      </w:hyperlink>
      <w:r>
        <w:t xml:space="preserve"> anzuwenden. </w:t>
      </w:r>
      <w:r>
        <w:rPr>
          <w:rStyle w:val="Satznummer"/>
        </w:rPr>
        <w:t>3</w:t>
      </w:r>
      <w:r>
        <w:t>Jeder Ehegatte kann den Wert der Vermögensgegenstände und der Verbindlichkeiten auf seine Kosten durch Sachverständige feststellen lassen.</w:t>
      </w:r>
    </w:p>
    <w:p>
      <w:r>
        <w:t>(3) Soweit kein Verzeichnis aufgenommen ist, wird vermutet, dass das Endvermögen eines Ehegatten seinen Zugewinn darstellt.</w:t>
      </w:r>
    </w:p>
    <w:p>
      <w:pPr>
        <w:pStyle w:val="Heading5"/>
      </w:pPr>
      <w:bookmarkStart w:id="1861" w:name="b1846"/>
      <w:r>
        <w:t>§ 1378 Ausgleichsforderung</w:t>
      </w:r>
      <w:r>
        <w:t xml:space="preserve"> </w:t>
      </w:r>
      <w:r>
        <w:rPr>
          <w:rStyle w:val="Suchmarke"/>
        </w:rPr>
        <w:t>#1378#</w:t>
      </w:r>
      <w:bookmarkEnd w:id="1861"/>
    </w:p>
    <w:p>
      <w:r>
        <w:t>(1) Übersteigt der Zugewinn des einen Ehegatten den Zugewinn des anderen, so steht die Hälfte des Überschusses dem anderen Ehegatten als Ausgleichsforderung zu.</w:t>
      </w:r>
    </w:p>
    <w:p>
      <w:r>
        <w:t xml:space="preserve">(2) </w:t>
      </w:r>
      <w:r>
        <w:rPr>
          <w:rStyle w:val="Satznummer"/>
        </w:rPr>
        <w:t>1</w:t>
      </w:r>
      <w:r>
        <w:t xml:space="preserve">Die Höhe der Ausgleichsforderung wird durch den Wert des Vermögens begrenzt, das nach Abzug der Verbindlichkeiten bei Beendigung des Güterstands vorhanden ist. </w:t>
      </w:r>
      <w:r>
        <w:rPr>
          <w:rStyle w:val="Satznummer"/>
        </w:rPr>
        <w:t>2</w:t>
      </w:r>
      <w:r>
        <w:t xml:space="preserve">Die sich nach Satz 1 ergebende Begrenzung der Ausgleichsforderung erhöht sich in den Fällen des </w:t>
      </w:r>
      <w:hyperlink w:anchor="b1843" w:history="1">
        <w:r>
          <w:rPr>
            <w:color w:val="0A3A8C"/>
            <w:u w:val="single"/>
          </w:rPr>
          <w:t xml:space="preserve">§ 1375</w:t>
        </w:r>
      </w:hyperlink>
      <w:r>
        <w:t xml:space="preserve"> Absatz 2 Satz 1 um den dem Endvermögen hinzuzurechnenden Betrag.</w:t>
      </w:r>
    </w:p>
    <w:p>
      <w:r>
        <w:t xml:space="preserve">(3) </w:t>
      </w:r>
      <w:r>
        <w:rPr>
          <w:rStyle w:val="Satznummer"/>
        </w:rPr>
        <w:t>1</w:t>
      </w:r>
      <w:r>
        <w:t xml:space="preserve">Die Ausgleichsforderung entsteht mit der Beendigung des Güterstands und ist von diesem Zeitpunkt an vererblich und übertragbar. </w:t>
      </w:r>
      <w:r>
        <w:rPr>
          <w:rStyle w:val="Satznummer"/>
        </w:rPr>
        <w:t>2</w:t>
      </w:r>
      <w:r>
        <w:t xml:space="preserve">Eine Vereinbarung, die die Ehegatten während eines Verfahrens, das auf die Auflösung der Ehe gerichtet ist, für den Fall der Auflösung der Ehe über den Ausgleich des Zugewinns treffen, bedarf der notariellen Beurkundung; </w:t>
      </w:r>
      <w:hyperlink w:anchor="b158" w:history="1">
        <w:r>
          <w:rPr>
            <w:color w:val="0A3A8C"/>
            <w:u w:val="single"/>
          </w:rPr>
          <w:t xml:space="preserve">§ 127a</w:t>
        </w:r>
      </w:hyperlink>
      <w:r>
        <w:t xml:space="preserve"> findet auch auf eine Vereinbarung Anwendung, die in einem Verfahren in Ehesachen vor dem Prozessgericht protokolliert wird. </w:t>
      </w:r>
      <w:r>
        <w:rPr>
          <w:rStyle w:val="Satznummer"/>
        </w:rPr>
        <w:t>3</w:t>
      </w:r>
      <w:r>
        <w:t>Im Übrigen kann sich kein Ehegatte vor der Beendigung des Güterstands verpflichten, über die Ausgleichsforderung zu verfügen.</w:t>
      </w:r>
    </w:p>
    <w:p>
      <w:r>
        <w:t>(4) (weggefallen)</w:t>
      </w:r>
    </w:p>
    <w:p>
      <w:pPr>
        <w:pStyle w:val="Heading5"/>
      </w:pPr>
      <w:bookmarkStart w:id="1862" w:name="b1847"/>
      <w:r>
        <w:t>§ 1379 Auskunftspflicht</w:t>
      </w:r>
      <w:r>
        <w:t xml:space="preserve"> </w:t>
      </w:r>
      <w:r>
        <w:rPr>
          <w:rStyle w:val="Suchmarke"/>
        </w:rPr>
        <w:t>#1379#</w:t>
      </w:r>
      <w:bookmarkEnd w:id="1862"/>
    </w:p>
    <w:p>
      <w:r>
        <w:t xml:space="preserve">(1) </w:t>
      </w:r>
      <w:r>
        <w:rPr>
          <w:rStyle w:val="Satznummer"/>
        </w:rPr>
        <w:t>1</w:t>
      </w:r>
      <w:r>
        <w:t>Ist der Güterstand beendet oder hat ein Ehegatte die Scheidung, die Aufhebung der Ehe, den vorzeitigen Ausgleich des Zugewinns bei vorzeitiger Aufhebung der Zugewinngemeinschaft oder die vorzeitige Aufhebung der Zugewinngemeinschaft beantragt, kann jeder Ehegatte von dem anderen Ehegatten</w:t>
      </w:r>
    </w:p>
    <w:p>
      <w:pPr>
        <w:tabs>
          <w:tab w:pos="567" w:val="left"/>
        </w:tabs>
        <w:ind w:left="567" w:hanging="567"/>
      </w:pPr>
      <w:r>
        <w:t>1.</w:t>
      </w:r>
      <w:r>
        <w:tab/>
      </w:r>
      <w:r>
        <w:t>Auskunft über das Vermögen zum Zeitpunkt der Trennung verlangen;</w:t>
      </w:r>
    </w:p>
    <w:p>
      <w:pPr>
        <w:tabs>
          <w:tab w:pos="567" w:val="left"/>
        </w:tabs>
        <w:ind w:left="567" w:hanging="567"/>
      </w:pPr>
      <w:r>
        <w:t>2.</w:t>
      </w:r>
      <w:r>
        <w:tab/>
      </w:r>
      <w:r>
        <w:t>Auskunft über das Vermögen verlangen, soweit es für die Berechnung des Anfangs- und Endvermögens maßgeblich ist.</w:t>
      </w:r>
    </w:p>
    <w:p>
      <w:r>
        <w:rPr>
          <w:rStyle w:val="Satznummer"/>
        </w:rPr>
        <w:t>2</w:t>
      </w:r>
      <w:r>
        <w:t xml:space="preserve">Auf Anforderung sind Belege vorzulegen. </w:t>
      </w:r>
      <w:r>
        <w:rPr>
          <w:rStyle w:val="Satznummer"/>
        </w:rPr>
        <w:t>3</w:t>
      </w:r>
      <w:r>
        <w:t xml:space="preserve">Jeder Ehegatte kann verlangen, dass er bei der Aufnahme des ihm nach </w:t>
      </w:r>
      <w:hyperlink w:anchor="b302" w:history="1">
        <w:r>
          <w:rPr>
            <w:color w:val="0A3A8C"/>
            <w:u w:val="single"/>
          </w:rPr>
          <w:t xml:space="preserve">§ 260</w:t>
        </w:r>
      </w:hyperlink>
      <w:r>
        <w:t xml:space="preserve"> vorzulegenden Verzeichnisses zugezogen und dass der Wert der Vermögensgegenstände und der Verbindlichkeiten ermittelt wird. </w:t>
      </w:r>
      <w:r>
        <w:rPr>
          <w:rStyle w:val="Satznummer"/>
        </w:rPr>
        <w:t>4</w:t>
      </w:r>
      <w:r>
        <w:t>Er kann auch verlangen, dass das Verzeichnis auf seine Kosten durch die zuständige Behörde oder durch einen zuständigen Beamten oder Notar aufgenommen wird.</w:t>
      </w:r>
    </w:p>
    <w:p>
      <w:r>
        <w:t xml:space="preserve">(2) </w:t>
      </w:r>
      <w:r>
        <w:rPr>
          <w:rStyle w:val="Satznummer"/>
        </w:rPr>
        <w:t>1</w:t>
      </w:r>
      <w:r>
        <w:t xml:space="preserve">Leben die Ehegatten getrennt, kann jeder Ehegatte von dem anderen Ehegatten Auskunft über das Vermögen zum Zeitpunkt der Trennung verlangen. </w:t>
      </w:r>
      <w:r>
        <w:rPr>
          <w:rStyle w:val="Satznummer"/>
        </w:rPr>
        <w:t>2</w:t>
      </w:r>
      <w:r>
        <w:t>Absatz 1 Satz 2 bis 4 gilt entsprechend.</w:t>
      </w:r>
    </w:p>
    <w:p>
      <w:pPr>
        <w:pStyle w:val="Heading5"/>
      </w:pPr>
      <w:bookmarkStart w:id="1863" w:name="b1848"/>
      <w:r>
        <w:t>§ 1380 Anrechnung von Vorausempfängen</w:t>
      </w:r>
      <w:r>
        <w:t xml:space="preserve"> </w:t>
      </w:r>
      <w:r>
        <w:rPr>
          <w:rStyle w:val="Suchmarke"/>
        </w:rPr>
        <w:t>#1380#</w:t>
      </w:r>
      <w:bookmarkEnd w:id="1863"/>
    </w:p>
    <w:p>
      <w:r>
        <w:t xml:space="preserve">(1) </w:t>
      </w:r>
      <w:r>
        <w:rPr>
          <w:rStyle w:val="Satznummer"/>
        </w:rPr>
        <w:t>1</w:t>
      </w:r>
      <w:r>
        <w:t xml:space="preserve">Auf die Ausgleichsforderung eines Ehegatten wird angerechnet, was ihm von dem anderen Ehegatten durch Rechtsgeschäft unter Lebenden mit der Bestimmung zugewendet ist, dass es auf die Ausgleichsforderung angerechnet werden soll. </w:t>
      </w:r>
      <w:r>
        <w:rPr>
          <w:rStyle w:val="Satznummer"/>
        </w:rPr>
        <w:t>2</w:t>
      </w:r>
      <w:r>
        <w:t>Im Zweifel ist anzunehmen, dass Zuwendungen angerechnet werden sollen, wenn ihr Wert den Wert von Gelegenheitsgeschenken übersteigt, die nach den Lebensverhältnissen der Ehegatten üblich sind.</w:t>
      </w:r>
    </w:p>
    <w:p>
      <w:r>
        <w:t xml:space="preserve">(2) </w:t>
      </w:r>
      <w:r>
        <w:rPr>
          <w:rStyle w:val="Satznummer"/>
        </w:rPr>
        <w:t>1</w:t>
      </w:r>
      <w:r>
        <w:t xml:space="preserve">Der Wert der Zuwendung wird bei der Berechnung der Ausgleichsforderung dem Zugewinn des Ehegatten hinzugerechnet, der die Zuwendung gemacht hat. </w:t>
      </w:r>
      <w:r>
        <w:rPr>
          <w:rStyle w:val="Satznummer"/>
        </w:rPr>
        <w:t>2</w:t>
      </w:r>
      <w:r>
        <w:t>Der Wert bestimmt sich nach dem Zeitpunkt der Zuwendung.</w:t>
      </w:r>
    </w:p>
    <w:p>
      <w:pPr>
        <w:pStyle w:val="Heading5"/>
      </w:pPr>
      <w:bookmarkStart w:id="1864" w:name="b1849"/>
      <w:r>
        <w:t>§ 1381 Leistungsverweigerung wegen grober Unbilligkeit</w:t>
      </w:r>
      <w:r>
        <w:t xml:space="preserve"> </w:t>
      </w:r>
      <w:r>
        <w:rPr>
          <w:rStyle w:val="Suchmarke"/>
        </w:rPr>
        <w:t>#1381#</w:t>
      </w:r>
      <w:bookmarkEnd w:id="1864"/>
    </w:p>
    <w:p>
      <w:r>
        <w:t>(1) Der Schuldner kann die Erfüllung der Ausgleichsforderung verweigern, soweit der Ausgleich des Zugewinns nach den Umständen des Falles grob unbillig wäre.</w:t>
      </w:r>
    </w:p>
    <w:p>
      <w:r>
        <w:t>(2) Grobe Unbilligkeit kann insbesondere dann vorliegen, wenn der Ehegatte, der den geringeren Zugewinn erzielt hat, längere Zeit hindurch die wirtschaftlichen Verpflichtungen, die sich aus dem ehelichen Verhältnis ergeben, schuldhaft nicht erfüllt hat.</w:t>
      </w:r>
    </w:p>
    <w:p>
      <w:pPr>
        <w:pStyle w:val="Heading5"/>
      </w:pPr>
      <w:bookmarkStart w:id="1865" w:name="b1850"/>
      <w:r>
        <w:t>§ 1382 Stundung</w:t>
      </w:r>
      <w:r>
        <w:t xml:space="preserve"> </w:t>
      </w:r>
      <w:r>
        <w:rPr>
          <w:rStyle w:val="Suchmarke"/>
        </w:rPr>
        <w:t>#1382#</w:t>
      </w:r>
      <w:bookmarkEnd w:id="1865"/>
    </w:p>
    <w:p>
      <w:r>
        <w:t xml:space="preserve">(1) </w:t>
      </w:r>
      <w:r>
        <w:rPr>
          <w:rStyle w:val="Satznummer"/>
        </w:rPr>
        <w:t>1</w:t>
      </w:r>
      <w:r>
        <w:t xml:space="preserve">Das Familiengericht stundet auf Antrag eine Ausgleichsforderung, soweit sie vom Schuldner nicht bestritten wird, wenn die sofortige Zahlung auch unter Berücksichtigung der Interessen des Gläubigers zur Unzeit erfolgen würde. </w:t>
      </w:r>
      <w:r>
        <w:rPr>
          <w:rStyle w:val="Satznummer"/>
        </w:rPr>
        <w:t>2</w:t>
      </w:r>
      <w:r>
        <w:t>Die sofortige Zahlung würde auch dann zur Unzeit erfolgen, wenn sie die Wohnverhältnisse oder sonstigen Lebensverhältnisse gemeinschaftlicher Kinder nachhaltig verschlechtern würde.</w:t>
      </w:r>
    </w:p>
    <w:p>
      <w:r>
        <w:t>(2) Eine gestundete Forderung hat der Schuldner zu verzinsen.</w:t>
      </w:r>
    </w:p>
    <w:p>
      <w:r>
        <w:t>(3) Das Familiengericht kann auf Antrag anordnen, dass der Schuldner für eine gestundete Forderung Sicherheit zu leisten hat.</w:t>
      </w:r>
    </w:p>
    <w:p>
      <w:r>
        <w:t>(4) Über Höhe und Fälligkeit der Zinsen und über Art und Umfang der Sicherheitsleistung entscheidet das Familiengericht nach billigem Ermessen.</w:t>
      </w:r>
    </w:p>
    <w:p>
      <w:r>
        <w:t>(5) Soweit über die Ausgleichsforderung ein Rechtsstreit anhängig wird, kann der Schuldner einen Antrag auf Stundung nur in diesem Verfahren stellen.</w:t>
      </w:r>
    </w:p>
    <w:p>
      <w:r>
        <w:t>(6) Das Familiengericht kann eine rechtskräftige Entscheidung auf Antrag aufheben oder ändern, wenn sich die Verhältnisse nach der Entscheidung wesentlich geändert haben.</w:t>
      </w:r>
    </w:p>
    <w:p>
      <w:pPr>
        <w:pStyle w:val="Heading5"/>
      </w:pPr>
      <w:bookmarkStart w:id="1866" w:name="b1851"/>
      <w:r>
        <w:t>§ 1383 Übertragung von Vermögensgegenständen</w:t>
      </w:r>
      <w:r>
        <w:t xml:space="preserve"> </w:t>
      </w:r>
      <w:r>
        <w:rPr>
          <w:rStyle w:val="Suchmarke"/>
        </w:rPr>
        <w:t>#1383#</w:t>
      </w:r>
      <w:bookmarkEnd w:id="1866"/>
    </w:p>
    <w:p>
      <w:r>
        <w:t>(1) Das Familiengericht kann auf Antrag des Gläubigers anordnen, dass der Schuldner bestimmte Gegenstände seines Vermögens dem Gläubiger unter Anrechnung auf die Ausgleichsforderung zu übertragen hat, wenn dies erforderlich ist, um eine grobe Unbilligkeit für den Gläubiger zu vermeiden, und wenn dies dem Schuldner zugemutet werden kann; in der Entscheidung ist der Betrag festzusetzen, der auf die Ausgleichsforderung angerechnet wird.</w:t>
      </w:r>
    </w:p>
    <w:p>
      <w:r>
        <w:t>(2) Der Gläubiger muss die Gegenstände, deren Übertragung er begehrt, in dem Antrag bezeichnen.</w:t>
      </w:r>
    </w:p>
    <w:p>
      <w:r>
        <w:t xml:space="preserve">(3) </w:t>
      </w:r>
      <w:hyperlink w:anchor="b1850" w:history="1">
        <w:r>
          <w:rPr>
            <w:color w:val="0A3A8C"/>
            <w:u w:val="single"/>
          </w:rPr>
          <w:t xml:space="preserve">§ 1382</w:t>
        </w:r>
      </w:hyperlink>
      <w:r>
        <w:t xml:space="preserve"> Abs. 5 gilt entsprechend.</w:t>
      </w:r>
    </w:p>
    <w:p>
      <w:pPr>
        <w:pStyle w:val="Heading5"/>
      </w:pPr>
      <w:bookmarkStart w:id="1867" w:name="b1852"/>
      <w:r>
        <w:t>§ 1384 Berechnungszeitpunkt des Zugewinns und Höhe der Ausgleichsforderung bei Scheidung</w:t>
      </w:r>
      <w:r>
        <w:t xml:space="preserve"> </w:t>
      </w:r>
      <w:r>
        <w:rPr>
          <w:rStyle w:val="Suchmarke"/>
        </w:rPr>
        <w:t>#1384#</w:t>
      </w:r>
      <w:bookmarkEnd w:id="1867"/>
    </w:p>
    <w:p>
      <w:r>
        <w:t>Wird die Ehe geschieden, so tritt für die Berechnung des Zugewinns und für die Höhe der Ausgleichsforderung an die Stelle der Beendigung des Güterstandes der Zeitpunkt der Rechtshängigkeit des Scheidungsantrags.</w:t>
      </w:r>
    </w:p>
    <w:p>
      <w:pPr>
        <w:pStyle w:val="Heading5"/>
      </w:pPr>
      <w:bookmarkStart w:id="1868" w:name="b1853"/>
      <w:r>
        <w:t>§ 1385 Vorzeitiger Zugewinnausgleich des ausgleichsberechtigten Ehegatten bei vorzeitiger Aufhebung der Zugewinngemeinschaft</w:t>
      </w:r>
      <w:r>
        <w:t xml:space="preserve"> </w:t>
      </w:r>
      <w:r>
        <w:rPr>
          <w:rStyle w:val="Suchmarke"/>
        </w:rPr>
        <w:t>#1385#</w:t>
      </w:r>
      <w:bookmarkEnd w:id="1868"/>
    </w:p>
    <w:p>
      <w:r>
        <w:t>Der ausgleichsberechtigte Ehegatte kann vorzeitigen Ausgleich des Zugewinns bei vorzeitiger Aufhebung der Zugewinngemeinschaft verlangen, wenn</w:t>
      </w:r>
    </w:p>
    <w:p>
      <w:pPr>
        <w:tabs>
          <w:tab w:pos="567" w:val="left"/>
        </w:tabs>
        <w:ind w:left="567" w:hanging="567"/>
      </w:pPr>
      <w:r>
        <w:t>1.</w:t>
      </w:r>
      <w:r>
        <w:tab/>
      </w:r>
      <w:r>
        <w:t>die Ehegatten seit mindestens drei Jahren getrennt leben,</w:t>
      </w:r>
    </w:p>
    <w:p>
      <w:pPr>
        <w:tabs>
          <w:tab w:pos="567" w:val="left"/>
        </w:tabs>
        <w:ind w:left="567" w:hanging="567"/>
      </w:pPr>
      <w:r>
        <w:t>2.</w:t>
      </w:r>
      <w:r>
        <w:tab/>
      </w:r>
      <w:r>
        <w:t xml:space="preserve">Handlungen der in </w:t>
      </w:r>
      <w:hyperlink w:anchor="b1833" w:history="1">
        <w:r>
          <w:rPr>
            <w:color w:val="0A3A8C"/>
            <w:u w:val="single"/>
          </w:rPr>
          <w:t xml:space="preserve">§ 1365</w:t>
        </w:r>
      </w:hyperlink>
      <w:r>
        <w:t xml:space="preserve"> oder </w:t>
      </w:r>
      <w:hyperlink w:anchor="b1843" w:history="1">
        <w:r>
          <w:rPr>
            <w:color w:val="0A3A8C"/>
            <w:u w:val="single"/>
          </w:rPr>
          <w:t xml:space="preserve">§ 1375</w:t>
        </w:r>
      </w:hyperlink>
      <w:r>
        <w:t xml:space="preserve"> Absatz 2 bezeichneten Art zu befürchten sind und dadurch eine erhebliche Gefährdung der Erfüllung der Ausgleichsforderung zu besorgen ist,</w:t>
      </w:r>
    </w:p>
    <w:p>
      <w:pPr>
        <w:tabs>
          <w:tab w:pos="567" w:val="left"/>
        </w:tabs>
        <w:ind w:left="567" w:hanging="567"/>
      </w:pPr>
      <w:r>
        <w:t>3.</w:t>
      </w:r>
      <w:r>
        <w:tab/>
      </w:r>
      <w:r>
        <w:t>der andere Ehegatte längere Zeit hindurch die wirtschaftlichen Verpflichtungen, die sich aus dem ehelichen Verhältnis ergeben, schuldhaft nicht erfüllt hat und anzunehmen ist, dass er sie auch in Zukunft nicht erfüllen wird, oder</w:t>
      </w:r>
    </w:p>
    <w:p>
      <w:pPr>
        <w:tabs>
          <w:tab w:pos="567" w:val="left"/>
        </w:tabs>
        <w:ind w:left="567" w:hanging="567"/>
      </w:pPr>
      <w:r>
        <w:t>4.</w:t>
      </w:r>
      <w:r>
        <w:tab/>
      </w:r>
      <w:r>
        <w:t>der andere Ehegatte sich ohne ausreichenden Grund beharrlich weigert oder sich ohne ausreichenden Grund bis zur Stellung des Antrags auf Auskunft beharrlich geweigert hat, ihn über den Bestand seines Vermögens zu unterrichten.</w:t>
      </w:r>
    </w:p>
    <w:p>
      <w:pPr>
        <w:pStyle w:val="Heading5"/>
      </w:pPr>
      <w:bookmarkStart w:id="1869" w:name="b1854"/>
      <w:r>
        <w:t>§ 1386 Vorzeitige Aufhebung der Zugewinngemeinschaft</w:t>
      </w:r>
      <w:r>
        <w:t xml:space="preserve"> </w:t>
      </w:r>
      <w:r>
        <w:rPr>
          <w:rStyle w:val="Suchmarke"/>
        </w:rPr>
        <w:t>#1386#</w:t>
      </w:r>
      <w:bookmarkEnd w:id="1869"/>
    </w:p>
    <w:p>
      <w:r>
        <w:t xml:space="preserve">Jeder Ehegatte kann unter entsprechender Anwendung des </w:t>
      </w:r>
      <w:hyperlink w:anchor="b1853" w:history="1">
        <w:r>
          <w:rPr>
            <w:color w:val="0A3A8C"/>
            <w:u w:val="single"/>
          </w:rPr>
          <w:t xml:space="preserve">§ 1385</w:t>
        </w:r>
      </w:hyperlink>
      <w:r>
        <w:t xml:space="preserve"> die vorzeitige Aufhebung der Zugewinngemeinschaft verlangen.</w:t>
      </w:r>
    </w:p>
    <w:p>
      <w:pPr>
        <w:pStyle w:val="Heading5"/>
      </w:pPr>
      <w:bookmarkStart w:id="1870" w:name="b1855"/>
      <w:r>
        <w:t>§ 1387 Berechnungszeitpunkt des Zugewinns und Höhe der Ausgleichsforderung bei vorzeitigem Ausgleich oder vorzeitiger Aufhebung</w:t>
      </w:r>
      <w:r>
        <w:t xml:space="preserve"> </w:t>
      </w:r>
      <w:r>
        <w:rPr>
          <w:rStyle w:val="Suchmarke"/>
        </w:rPr>
        <w:t>#1387#</w:t>
      </w:r>
      <w:bookmarkEnd w:id="1870"/>
    </w:p>
    <w:p>
      <w:r>
        <w:t xml:space="preserve">In den Fällen der </w:t>
      </w:r>
      <w:hyperlink w:anchor="b1853" w:history="1">
        <w:r>
          <w:rPr>
            <w:color w:val="0A3A8C"/>
            <w:u w:val="single"/>
          </w:rPr>
          <w:t xml:space="preserve">§§ 1385</w:t>
        </w:r>
      </w:hyperlink>
      <w:r>
        <w:t xml:space="preserve"> und </w:t>
      </w:r>
      <w:hyperlink w:anchor="b1854" w:history="1">
        <w:r>
          <w:rPr>
            <w:color w:val="0A3A8C"/>
            <w:u w:val="single"/>
          </w:rPr>
          <w:t xml:space="preserve">1386</w:t>
        </w:r>
      </w:hyperlink>
      <w:r>
        <w:t xml:space="preserve"> tritt für die Berechnung des Zugewinns und für die Höhe der Ausgleichsforderung an die Stelle der Beendigung des Güterstands der Zeitpunkt, in dem die entsprechenden Anträge gestellt sind.</w:t>
      </w:r>
    </w:p>
    <w:p>
      <w:pPr>
        <w:pStyle w:val="Heading5"/>
      </w:pPr>
      <w:bookmarkStart w:id="1871" w:name="b1856"/>
      <w:r>
        <w:t>§ 1388 Eintritt der Gütertrennung</w:t>
      </w:r>
      <w:r>
        <w:t xml:space="preserve"> </w:t>
      </w:r>
      <w:r>
        <w:rPr>
          <w:rStyle w:val="Suchmarke"/>
        </w:rPr>
        <w:t>#1388#</w:t>
      </w:r>
      <w:bookmarkEnd w:id="1871"/>
    </w:p>
    <w:p>
      <w:r>
        <w:t>Mit der Rechtskraft der Entscheidung, die die Zugewinngemeinschaft vorzeitig aufhebt, tritt Gütertrennung ein.</w:t>
      </w:r>
    </w:p>
    <w:p>
      <w:pPr>
        <w:pStyle w:val="Heading5"/>
      </w:pPr>
      <w:bookmarkStart w:id="1872" w:name="b1857"/>
      <w:r>
        <w:t>§ 1389 (weggefallen)</w:t>
      </w:r>
      <w:r>
        <w:t xml:space="preserve"> </w:t>
      </w:r>
      <w:r>
        <w:rPr>
          <w:rStyle w:val="Suchmarke"/>
        </w:rPr>
        <w:t>#1389#</w:t>
      </w:r>
      <w:bookmarkEnd w:id="1872"/>
    </w:p>
    <w:p>
      <w:r>
        <w:t>-</w:t>
      </w:r>
    </w:p>
    <w:p>
      <w:pPr>
        <w:pStyle w:val="Heading5"/>
      </w:pPr>
      <w:bookmarkStart w:id="1873" w:name="b1858"/>
      <w:r>
        <w:t>§ 1390 Ansprüche des Ausgleichsberechtigten gegen Dritte</w:t>
      </w:r>
      <w:r>
        <w:t xml:space="preserve"> </w:t>
      </w:r>
      <w:r>
        <w:rPr>
          <w:rStyle w:val="Suchmarke"/>
        </w:rPr>
        <w:t>#1390#</w:t>
      </w:r>
      <w:bookmarkEnd w:id="1873"/>
    </w:p>
    <w:p>
      <w:r>
        <w:t xml:space="preserve">(1) </w:t>
      </w:r>
      <w:r>
        <w:rPr>
          <w:rStyle w:val="Satznummer"/>
        </w:rPr>
        <w:t>1</w:t>
      </w:r>
      <w:r>
        <w:t>Der ausgleichsberechtigte Ehegatte kann von einem Dritten Ersatz des Wertes einer unentgeltlichen Zuwendung des ausgleichspflichtigen Ehegatten an den Dritten verlangen, wenn</w:t>
      </w:r>
    </w:p>
    <w:p>
      <w:pPr>
        <w:tabs>
          <w:tab w:pos="567" w:val="left"/>
        </w:tabs>
        <w:ind w:left="567" w:hanging="567"/>
      </w:pPr>
      <w:r>
        <w:t>1.</w:t>
      </w:r>
      <w:r>
        <w:tab/>
      </w:r>
      <w:r>
        <w:t>der ausgleichspflichtige Ehegatte die unentgeltliche Zuwendung an den Dritten in der Absicht gemacht hat, den ausgleichsberechtigten Ehegatten zu benachteiligen und</w:t>
      </w:r>
    </w:p>
    <w:p>
      <w:pPr>
        <w:tabs>
          <w:tab w:pos="567" w:val="left"/>
        </w:tabs>
        <w:ind w:left="567" w:hanging="567"/>
      </w:pPr>
      <w:r>
        <w:t>2.</w:t>
      </w:r>
      <w:r>
        <w:tab/>
      </w:r>
      <w:r>
        <w:t>die Höhe der Ausgleichsforderung den Wert des nach Abzug der Verbindlichkeiten bei Beendigung des Güterstands vorhandenen Vermögens des ausgleichspflichtigen Ehegatten übersteigt.</w:t>
      </w:r>
    </w:p>
    <w:p>
      <w:r>
        <w:rPr>
          <w:rStyle w:val="Satznummer"/>
        </w:rPr>
        <w:t>2</w:t>
      </w:r>
      <w:r>
        <w:t xml:space="preserve">Der Ersatz des Wertes des Erlangten erfolgt nach den Vorschriften über die Herausgabe einer ungerechtfertigten Bereicherung. </w:t>
      </w:r>
      <w:r>
        <w:rPr>
          <w:rStyle w:val="Satznummer"/>
        </w:rPr>
        <w:t>3</w:t>
      </w:r>
      <w:r>
        <w:t xml:space="preserve">Der Dritte kann die Zahlung durch Herausgabe des Erlangten abwenden. </w:t>
      </w:r>
      <w:r>
        <w:rPr>
          <w:rStyle w:val="Satznummer"/>
        </w:rPr>
        <w:t>4</w:t>
      </w:r>
      <w:r>
        <w:t>Der ausgleichspflichtige Ehegatte und der Dritte haften als Gesamtschuldner.</w:t>
      </w:r>
    </w:p>
    <w:p>
      <w:r>
        <w:t>(2) Das Gleiche gilt für andere Rechtshandlungen, wenn die Absicht, den Ehegatten zu benachteiligen, dem Dritten bekannt war.</w:t>
      </w:r>
    </w:p>
    <w:p>
      <w:r>
        <w:t xml:space="preserve">(3) </w:t>
      </w:r>
      <w:r>
        <w:rPr>
          <w:rStyle w:val="Satznummer"/>
        </w:rPr>
        <w:t>1</w:t>
      </w:r>
      <w:r>
        <w:t xml:space="preserve">Die Verjährungsfrist des Anspruchs beginnt mit der Beendigung des Güterstands. </w:t>
      </w:r>
      <w:r>
        <w:rPr>
          <w:rStyle w:val="Satznummer"/>
        </w:rPr>
        <w:t>2</w:t>
      </w:r>
      <w:r>
        <w:t>Endet der Güterstand durch den Tod eines Ehegatten, so wird die Verjährung nicht dadurch gehemmt, dass der Anspruch erst geltend gemacht werden kann, wenn der Ehegatte die Erbschaft oder ein Vermächtnis ausgeschlagen hat.</w:t>
      </w:r>
    </w:p>
    <w:p>
      <w:r>
        <w:t>(4) (weggefallen)</w:t>
      </w:r>
    </w:p>
    <w:p>
      <w:pPr>
        <w:pStyle w:val="Heading5"/>
      </w:pPr>
      <w:bookmarkStart w:id="1874" w:name="b1859"/>
      <w:r>
        <w:t>§§ 1391 bis 1407 (weggefallen)</w:t>
      </w:r>
      <w:bookmarkEnd w:id="1874"/>
    </w:p>
    <w:p>
      <w:pPr>
        <w:pStyle w:val="Heading4"/>
      </w:pPr>
      <w:bookmarkStart w:id="1875" w:name="b1860"/>
      <w:r>
        <w:t>Untertitel 2 Vertragliches Güterrecht</w:t>
      </w:r>
      <w:bookmarkEnd w:id="1875"/>
    </w:p>
    <w:p>
      <w:pPr>
        <w:pStyle w:val="Heading5"/>
      </w:pPr>
      <w:bookmarkStart w:id="1876" w:name="b1861"/>
      <w:r>
        <w:t>Kapitel 1 Allgemeine Vorschriften</w:t>
      </w:r>
      <w:bookmarkEnd w:id="1876"/>
    </w:p>
    <w:p>
      <w:pPr>
        <w:pStyle w:val="Heading6"/>
      </w:pPr>
      <w:bookmarkStart w:id="1877" w:name="b1862"/>
      <w:r>
        <w:t>§ 1408 Ehevertrag, Vertragsfreiheit</w:t>
      </w:r>
      <w:r>
        <w:t xml:space="preserve"> </w:t>
      </w:r>
      <w:r>
        <w:rPr>
          <w:rStyle w:val="Suchmarke"/>
        </w:rPr>
        <w:t>#1408#</w:t>
      </w:r>
      <w:bookmarkEnd w:id="1877"/>
    </w:p>
    <w:p>
      <w:r>
        <w:t>(1) Die Ehegatten können ihre güterrechtlichen Verhältnisse durch Vertrag (Ehevertrag) regeln, insbesondere auch nach der Eingehung der Ehe den Güterstand aufheben oder ändern.</w:t>
      </w:r>
    </w:p>
    <w:p>
      <w:r>
        <w:t>(2) Schließen die Ehegatten in einem Ehevertrag Vereinbarungen über den Versorgungsausgleich, so sind insoweit die §§ 6 und 8 des Versorgungsausgleichsgesetzes anzuwenden.</w:t>
      </w:r>
    </w:p>
    <w:p>
      <w:pPr>
        <w:pStyle w:val="Heading6"/>
      </w:pPr>
      <w:bookmarkStart w:id="1878" w:name="b1863"/>
      <w:r>
        <w:t>§ 1409 Beschränkung der Vertragsfreiheit</w:t>
      </w:r>
      <w:r>
        <w:t xml:space="preserve"> </w:t>
      </w:r>
      <w:r>
        <w:rPr>
          <w:rStyle w:val="Suchmarke"/>
        </w:rPr>
        <w:t>#1409#</w:t>
      </w:r>
      <w:bookmarkEnd w:id="1878"/>
    </w:p>
    <w:p>
      <w:r>
        <w:t>Der Güterstand kann nicht durch Verweisung auf nicht mehr geltendes oder ausländisches Recht bestimmt werden.</w:t>
      </w:r>
    </w:p>
    <w:p>
      <w:pPr>
        <w:pStyle w:val="Heading6"/>
      </w:pPr>
      <w:bookmarkStart w:id="1879" w:name="b1864"/>
      <w:r>
        <w:t>§ 1410 Form</w:t>
      </w:r>
      <w:r>
        <w:t xml:space="preserve"> </w:t>
      </w:r>
      <w:r>
        <w:rPr>
          <w:rStyle w:val="Suchmarke"/>
        </w:rPr>
        <w:t>#1410#</w:t>
      </w:r>
      <w:bookmarkEnd w:id="1879"/>
    </w:p>
    <w:p>
      <w:r>
        <w:t>Der Ehevertrag muss bei gleichzeitiger Anwesenheit beider Teile zur Niederschrift eines Notars geschlossen werden.</w:t>
      </w:r>
    </w:p>
    <w:p>
      <w:pPr>
        <w:pStyle w:val="Heading6"/>
      </w:pPr>
      <w:bookmarkStart w:id="1880" w:name="b1865"/>
      <w:r>
        <w:t>§ 1411 Eheverträge Betreuter</w:t>
      </w:r>
      <w:r>
        <w:t xml:space="preserve"> </w:t>
      </w:r>
      <w:r>
        <w:rPr>
          <w:rStyle w:val="Suchmarke"/>
        </w:rPr>
        <w:t>#1411#</w:t>
      </w:r>
      <w:bookmarkEnd w:id="1880"/>
    </w:p>
    <w:p>
      <w:r>
        <w:t xml:space="preserve">(1) </w:t>
      </w:r>
      <w:r>
        <w:rPr>
          <w:rStyle w:val="Satznummer"/>
        </w:rPr>
        <w:t>1</w:t>
      </w:r>
      <w:r>
        <w:t xml:space="preserve">Ein Betreuter kann einen Ehevertrag nur mit Zustimmung seines Betreuers schließen, soweit für diese Angelegenheit ein Einwilligungsvorbehalt angeordnet ist. </w:t>
      </w:r>
      <w:r>
        <w:rPr>
          <w:rStyle w:val="Satznummer"/>
        </w:rPr>
        <w:t>2</w:t>
      </w:r>
      <w:r>
        <w:t xml:space="preserve">Die Zustimmung des Betreuers bedarf der Genehmigung des Betreuungsgerichts, wenn der Ausgleich des Zugewinns ausgeschlossen oder eingeschränkt oder wenn Gütergemeinschaft vereinbart oder aufgehoben wird. </w:t>
      </w:r>
      <w:r>
        <w:rPr>
          <w:rStyle w:val="Satznummer"/>
        </w:rPr>
        <w:t>3</w:t>
      </w:r>
      <w:r>
        <w:t>Für einen geschäftsfähigen Betreuten kann der Betreuer keinen Ehevertrag schließen.</w:t>
      </w:r>
    </w:p>
    <w:p>
      <w:r>
        <w:t xml:space="preserve">(2) </w:t>
      </w:r>
      <w:r>
        <w:rPr>
          <w:rStyle w:val="Satznummer"/>
        </w:rPr>
        <w:t>1</w:t>
      </w:r>
      <w:r>
        <w:t xml:space="preserve">Für einen geschäftsunfähigen Ehegatten schließt der Betreuer den Ehevertrag; Gütergemeinschaft kann er nicht vereinbaren oder aufheben. </w:t>
      </w:r>
      <w:r>
        <w:rPr>
          <w:rStyle w:val="Satznummer"/>
        </w:rPr>
        <w:t>2</w:t>
      </w:r>
      <w:r>
        <w:t>Der Betreuer kann den Ehevertrag nur mit Genehmigung des Betreuungsgerichts schließen.</w:t>
      </w:r>
    </w:p>
    <w:p>
      <w:pPr>
        <w:pStyle w:val="Heading6"/>
      </w:pPr>
      <w:bookmarkStart w:id="1881" w:name="b1866"/>
      <w:r>
        <w:t>§ 1412 Wirkungen gegenüber Dritten</w:t>
      </w:r>
      <w:r>
        <w:t xml:space="preserve"> </w:t>
      </w:r>
      <w:r>
        <w:rPr>
          <w:rStyle w:val="Suchmarke"/>
        </w:rPr>
        <w:t>#1412#</w:t>
      </w:r>
      <w:bookmarkEnd w:id="1881"/>
    </w:p>
    <w:p>
      <w:r>
        <w:t>Haben die Ehegatten den gesetzlichen Güterstand ausgeschlossen oder geändert oder haben sie eine Vereinbarung über den Güterstand aufgehoben oder geändert, so können sie hieraus einem Dritten gegenüber Einwendungen</w:t>
      </w:r>
    </w:p>
    <w:p>
      <w:pPr>
        <w:tabs>
          <w:tab w:pos="567" w:val="left"/>
        </w:tabs>
        <w:ind w:left="567" w:hanging="567"/>
      </w:pPr>
      <w:r>
        <w:t>1.</w:t>
      </w:r>
      <w:r>
        <w:tab/>
      </w:r>
      <w:r>
        <w:t>gegen ein Rechtsgeschäft, das zwischen einem der Ehegatten und dem Dritten vorgenommen worden ist, nur herleiten, wenn das Vorhandensein eines Ehevertrages dem Dritten bei Vornahme des Rechtsgeschäfts bekannt gewesen oder infolge grober Fahrlässigkeit unbekannt geblieben ist, oder</w:t>
      </w:r>
    </w:p>
    <w:p>
      <w:pPr>
        <w:tabs>
          <w:tab w:pos="567" w:val="left"/>
        </w:tabs>
        <w:ind w:left="567" w:hanging="567"/>
      </w:pPr>
      <w:r>
        <w:t>2.</w:t>
      </w:r>
      <w:r>
        <w:tab/>
      </w:r>
      <w:r>
        <w:t>gegen ein rechtskräftiges Urteil, das zwischen einem der Ehegatten und dem Dritten ergangen ist, nur herleiten, wenn das Vorhandensein eines Ehevertrages dem Dritten bei dem Eintritt der Rechtshängigkeit des Rechtsstreits bekannt gewesen oder infolge grober Fahrlässigkeit unbekannt geblieben ist.</w:t>
      </w:r>
    </w:p>
    <w:p>
      <w:pPr>
        <w:pStyle w:val="Heading6"/>
      </w:pPr>
      <w:bookmarkStart w:id="1882" w:name="b1867"/>
      <w:r>
        <w:t>§ 1413 Widerruf der Überlassung der Vermögensverwaltung</w:t>
      </w:r>
      <w:r>
        <w:t xml:space="preserve"> </w:t>
      </w:r>
      <w:r>
        <w:rPr>
          <w:rStyle w:val="Suchmarke"/>
        </w:rPr>
        <w:t>#1413#</w:t>
      </w:r>
      <w:bookmarkEnd w:id="1882"/>
    </w:p>
    <w:p>
      <w:r>
        <w:t>Überlässt ein Ehegatte sein Vermögen der Verwaltung des anderen Ehegatten, so kann das Recht, die Überlassung jederzeit zu widerrufen, nur durch Ehevertrag ausgeschlossen oder eingeschränkt werden; ein Widerruf aus wichtigem Grunde bleibt gleichwohl zulässig.</w:t>
      </w:r>
    </w:p>
    <w:p>
      <w:pPr>
        <w:pStyle w:val="Heading5"/>
      </w:pPr>
      <w:bookmarkStart w:id="1883" w:name="b1868"/>
      <w:r>
        <w:t>Kapitel 2 Gütertrennung</w:t>
      </w:r>
      <w:bookmarkEnd w:id="1883"/>
    </w:p>
    <w:p>
      <w:pPr>
        <w:pStyle w:val="Heading6"/>
      </w:pPr>
      <w:bookmarkStart w:id="1884" w:name="b1869"/>
      <w:r>
        <w:t>§ 1414 Eintritt der Gütertrennung</w:t>
      </w:r>
      <w:r>
        <w:t xml:space="preserve"> </w:t>
      </w:r>
      <w:r>
        <w:rPr>
          <w:rStyle w:val="Suchmarke"/>
        </w:rPr>
        <w:t>#1414#</w:t>
      </w:r>
      <w:bookmarkEnd w:id="1884"/>
    </w:p>
    <w:p>
      <w:r>
        <w:rPr>
          <w:rStyle w:val="Satznummer"/>
        </w:rPr>
        <w:t>1</w:t>
      </w:r>
      <w:r>
        <w:t xml:space="preserve">Schließen die Ehegatten den gesetzlichen Güterstand aus oder heben sie ihn auf, so tritt Gütertrennung ein, falls sich nicht aus dem Ehevertrag etwas anderes ergibt. </w:t>
      </w:r>
      <w:r>
        <w:rPr>
          <w:rStyle w:val="Satznummer"/>
        </w:rPr>
        <w:t>2</w:t>
      </w:r>
      <w:r>
        <w:t>Das Gleiche gilt, wenn der Ausgleich des Zugewinns ausgeschlossen oder die Gütergemeinschaft aufgehoben wird.</w:t>
      </w:r>
    </w:p>
    <w:p>
      <w:pPr>
        <w:pStyle w:val="Heading5"/>
      </w:pPr>
      <w:bookmarkStart w:id="1885" w:name="b1870"/>
      <w:r>
        <w:t>Kapitel 3 Gütergemeinschaft</w:t>
      </w:r>
      <w:bookmarkEnd w:id="1885"/>
    </w:p>
    <w:p>
      <w:pPr>
        <w:pStyle w:val="Heading6"/>
      </w:pPr>
      <w:bookmarkStart w:id="1886" w:name="b1871"/>
      <w:r>
        <w:t>Unterkapitel 1 Allgemeine Vorschriften</w:t>
      </w:r>
      <w:bookmarkEnd w:id="1886"/>
    </w:p>
    <w:p>
      <w:pPr>
        <w:pStyle w:val="Heading7"/>
      </w:pPr>
      <w:bookmarkStart w:id="1887" w:name="b1872"/>
      <w:r>
        <w:t>§ 1415 Vereinbarung durch Ehevertrag</w:t>
      </w:r>
      <w:r>
        <w:t xml:space="preserve"> </w:t>
      </w:r>
      <w:r>
        <w:rPr>
          <w:rStyle w:val="Suchmarke"/>
        </w:rPr>
        <w:t>#1415#</w:t>
      </w:r>
      <w:bookmarkEnd w:id="1887"/>
    </w:p>
    <w:p>
      <w:r>
        <w:t>Vereinbaren die Ehegatten durch Ehevertrag Gütergemeinschaft, so gelten die nachstehenden Vorschriften.</w:t>
      </w:r>
    </w:p>
    <w:p>
      <w:pPr>
        <w:pStyle w:val="Heading7"/>
      </w:pPr>
      <w:bookmarkStart w:id="1888" w:name="b1873"/>
      <w:r>
        <w:t>§ 1416 Gesamtgut</w:t>
      </w:r>
      <w:r>
        <w:t xml:space="preserve"> </w:t>
      </w:r>
      <w:r>
        <w:rPr>
          <w:rStyle w:val="Suchmarke"/>
        </w:rPr>
        <w:t>#1416#</w:t>
      </w:r>
      <w:bookmarkEnd w:id="1888"/>
    </w:p>
    <w:p>
      <w:r>
        <w:t xml:space="preserve">(1) </w:t>
      </w:r>
      <w:r>
        <w:rPr>
          <w:rStyle w:val="Satznummer"/>
        </w:rPr>
        <w:t>1</w:t>
      </w:r>
      <w:r>
        <w:t xml:space="preserve">Das jeweilige Vermögen der Ehegatten wird durch die Gütergemeinschaft gemeinschaftliches Vermögen beider Ehegatten (Gesamtgut). </w:t>
      </w:r>
      <w:r>
        <w:rPr>
          <w:rStyle w:val="Satznummer"/>
        </w:rPr>
        <w:t>2</w:t>
      </w:r>
      <w:r>
        <w:t>Zu dem Gesamtgut gehört auch das Vermögen, das einer der Ehegatten während der Gütergemeinschaft erwirbt.</w:t>
      </w:r>
    </w:p>
    <w:p>
      <w:r>
        <w:t>(2) Die einzelnen Gegenstände werden gemeinschaftlich; sie brauchen nicht durch Rechtsgeschäft übertragen zu werden.</w:t>
      </w:r>
    </w:p>
    <w:p>
      <w:r>
        <w:t xml:space="preserve">(3) </w:t>
      </w:r>
      <w:r>
        <w:rPr>
          <w:rStyle w:val="Satznummer"/>
        </w:rPr>
        <w:t>1</w:t>
      </w:r>
      <w:r>
        <w:t xml:space="preserve">Wird ein Recht gemeinschaftlich, das im Grundbuch eingetragen ist oder in das Grundbuch eingetragen werden kann, so kann jeder Ehegatte von dem anderen verlangen, dass er zur Berichtigung des Grundbuchs mitwirke. </w:t>
      </w:r>
      <w:r>
        <w:rPr>
          <w:rStyle w:val="Satznummer"/>
        </w:rPr>
        <w:t>2</w:t>
      </w:r>
      <w:r>
        <w:t>Entsprechendes gilt, wenn ein Recht gemeinschaftlich wird, das im Schiffsregister oder im Schiffsbauregister eingetragen ist.</w:t>
      </w:r>
    </w:p>
    <w:p>
      <w:pPr>
        <w:pStyle w:val="Heading7"/>
      </w:pPr>
      <w:bookmarkStart w:id="1889" w:name="b1874"/>
      <w:r>
        <w:t>§ 1417 Sondergut</w:t>
      </w:r>
      <w:r>
        <w:t xml:space="preserve"> </w:t>
      </w:r>
      <w:r>
        <w:rPr>
          <w:rStyle w:val="Suchmarke"/>
        </w:rPr>
        <w:t>#1417#</w:t>
      </w:r>
      <w:bookmarkEnd w:id="1889"/>
    </w:p>
    <w:p>
      <w:r>
        <w:t>(1) Vom Gesamtgut ist das Sondergut ausgeschlossen.</w:t>
      </w:r>
    </w:p>
    <w:p>
      <w:r>
        <w:t>(2) Sondergut sind die Gegenstände, die nicht durch Rechtsgeschäft übertragen werden können.</w:t>
      </w:r>
    </w:p>
    <w:p>
      <w:r>
        <w:t xml:space="preserve">(3) </w:t>
      </w:r>
      <w:r>
        <w:rPr>
          <w:rStyle w:val="Satznummer"/>
        </w:rPr>
        <w:t>1</w:t>
      </w:r>
      <w:r>
        <w:t xml:space="preserve">Jeder Ehegatte verwaltet sein Sondergut selbständig. </w:t>
      </w:r>
      <w:r>
        <w:rPr>
          <w:rStyle w:val="Satznummer"/>
        </w:rPr>
        <w:t>2</w:t>
      </w:r>
      <w:r>
        <w:t>Er verwaltet es für Rechnung des Gesamtguts.</w:t>
      </w:r>
    </w:p>
    <w:p>
      <w:pPr>
        <w:pStyle w:val="Heading7"/>
      </w:pPr>
      <w:bookmarkStart w:id="1890" w:name="b1875"/>
      <w:r>
        <w:t>§ 1418 Vorbehaltsgut</w:t>
      </w:r>
      <w:r>
        <w:t xml:space="preserve"> </w:t>
      </w:r>
      <w:r>
        <w:rPr>
          <w:rStyle w:val="Suchmarke"/>
        </w:rPr>
        <w:t>#1418#</w:t>
      </w:r>
      <w:bookmarkEnd w:id="1890"/>
    </w:p>
    <w:p>
      <w:r>
        <w:t>(1) Vom Gesamtgut ist das Vorbehaltsgut ausgeschlossen.</w:t>
      </w:r>
    </w:p>
    <w:p>
      <w:r>
        <w:t>(2) Vorbehaltsgut sind die Gegenstände,</w:t>
      </w:r>
    </w:p>
    <w:p>
      <w:pPr>
        <w:tabs>
          <w:tab w:pos="567" w:val="left"/>
        </w:tabs>
        <w:ind w:left="567" w:hanging="567"/>
      </w:pPr>
      <w:r>
        <w:t>1.</w:t>
      </w:r>
      <w:r>
        <w:tab/>
      </w:r>
      <w:r>
        <w:t>die durch Ehevertrag zum Vorbehaltsgut eines Ehegatten erklärt sind,</w:t>
      </w:r>
    </w:p>
    <w:p>
      <w:pPr>
        <w:tabs>
          <w:tab w:pos="567" w:val="left"/>
        </w:tabs>
        <w:ind w:left="567" w:hanging="567"/>
      </w:pPr>
      <w:r>
        <w:t>2.</w:t>
      </w:r>
      <w:r>
        <w:tab/>
      </w:r>
      <w:r>
        <w:t>die ein Ehegatte von Todes wegen erwirbt oder die ihm von einem Dritten unentgeltlich zugewendet werden, wenn der Erblasser durch letztwillige Verfügung, der Dritte bei der Zuwendung bestimmt hat, dass der Erwerb Vorbehaltsgut sein soll,</w:t>
      </w:r>
    </w:p>
    <w:p>
      <w:pPr>
        <w:tabs>
          <w:tab w:pos="567" w:val="left"/>
        </w:tabs>
        <w:ind w:left="567" w:hanging="567"/>
      </w:pPr>
      <w:r>
        <w:t>3.</w:t>
      </w:r>
      <w:r>
        <w:tab/>
      </w:r>
      <w:r>
        <w:t>die ein Ehegatte auf Grund eines zu seinem Vorbehaltsgut gehörenden Rechts oder als Ersatz für die Zerstörung, Beschädigung oder Entziehung eines zum Vorbehaltsgut gehörenden Gegenstands oder durch ein Rechtsgeschäft erwirbt, das sich auf das Vorbehaltsgut bezieht.</w:t>
      </w:r>
    </w:p>
    <w:p>
      <w:r>
        <w:t xml:space="preserve">(3) </w:t>
      </w:r>
      <w:r>
        <w:rPr>
          <w:rStyle w:val="Satznummer"/>
        </w:rPr>
        <w:t>1</w:t>
      </w:r>
      <w:r>
        <w:t xml:space="preserve">Jeder Ehegatte verwaltet das Vorbehaltsgut selbständig. </w:t>
      </w:r>
      <w:r>
        <w:rPr>
          <w:rStyle w:val="Satznummer"/>
        </w:rPr>
        <w:t>2</w:t>
      </w:r>
      <w:r>
        <w:t>Er verwaltet es für eigene Rechnung.</w:t>
      </w:r>
    </w:p>
    <w:p>
      <w:r>
        <w:t xml:space="preserve">(4) Gehören Vermögensgegenstände zum Vorbehaltsgut, so ist dies Dritten gegenüber nur nach Maßgabe des </w:t>
      </w:r>
      <w:hyperlink w:anchor="b1866" w:history="1">
        <w:r>
          <w:rPr>
            <w:color w:val="0A3A8C"/>
            <w:u w:val="single"/>
          </w:rPr>
          <w:t xml:space="preserve">§ 1412</w:t>
        </w:r>
      </w:hyperlink>
      <w:r>
        <w:t xml:space="preserve"> wirksam.</w:t>
      </w:r>
    </w:p>
    <w:p>
      <w:pPr>
        <w:pStyle w:val="Heading7"/>
      </w:pPr>
      <w:bookmarkStart w:id="1891" w:name="b1876"/>
      <w:r>
        <w:t>§ 1419 Gesamthandsgemeinschaft</w:t>
      </w:r>
      <w:r>
        <w:t xml:space="preserve"> </w:t>
      </w:r>
      <w:r>
        <w:rPr>
          <w:rStyle w:val="Suchmarke"/>
        </w:rPr>
        <w:t>#1419#</w:t>
      </w:r>
      <w:bookmarkEnd w:id="1891"/>
    </w:p>
    <w:p>
      <w:r>
        <w:t>(1) Ein Ehegatte kann nicht über seinen Anteil am Gesamtgut und an den einzelnen Gegenständen verfügen, die zum Gesamtgut gehören; er ist nicht berechtigt, Teilung zu verlangen.</w:t>
      </w:r>
    </w:p>
    <w:p>
      <w:r>
        <w:t>(2) Gegen eine Forderung, die zum Gesamtgut gehört, kann der Schuldner nur mit einer Forderung aufrechnen, deren Berichtigung er aus dem Gesamtgut verlangen kann.</w:t>
      </w:r>
    </w:p>
    <w:p>
      <w:pPr>
        <w:pStyle w:val="Heading7"/>
      </w:pPr>
      <w:bookmarkStart w:id="1892" w:name="b1877"/>
      <w:r>
        <w:t>§ 1420 Verwendung zum Unterhalt</w:t>
      </w:r>
      <w:r>
        <w:t xml:space="preserve"> </w:t>
      </w:r>
      <w:r>
        <w:rPr>
          <w:rStyle w:val="Suchmarke"/>
        </w:rPr>
        <w:t>#1420#</w:t>
      </w:r>
      <w:bookmarkEnd w:id="1892"/>
    </w:p>
    <w:p>
      <w:r>
        <w:t>Die Einkünfte, die in das Gesamtgut fallen, sind vor den Einkünften, die in das Vorbehaltsgut fallen, der Stamm des Gesamtguts ist vor dem Stamm des Vorbehaltsguts oder des Sonderguts für den Unterhalt der Familie zu verwenden.</w:t>
      </w:r>
    </w:p>
    <w:p>
      <w:pPr>
        <w:pStyle w:val="Heading7"/>
      </w:pPr>
      <w:bookmarkStart w:id="1893" w:name="b1878"/>
      <w:r>
        <w:t>§ 1421 Verwaltung des Gesamtguts</w:t>
      </w:r>
      <w:r>
        <w:t xml:space="preserve"> </w:t>
      </w:r>
      <w:r>
        <w:rPr>
          <w:rStyle w:val="Suchmarke"/>
        </w:rPr>
        <w:t>#1421#</w:t>
      </w:r>
      <w:bookmarkEnd w:id="1893"/>
    </w:p>
    <w:p>
      <w:r>
        <w:rPr>
          <w:rStyle w:val="Satznummer"/>
        </w:rPr>
        <w:t>1</w:t>
      </w:r>
      <w:r>
        <w:t xml:space="preserve">Die Ehegatten sollen in dem Ehevertrag, durch den sie die Gütergemeinschaft vereinbaren, bestimmen, welcher der Ehegatten das Gesamtgut verwaltet oder ob es von ihnen gemeinschaftlich verwaltet wird. </w:t>
      </w:r>
      <w:r>
        <w:rPr>
          <w:rStyle w:val="Satznummer"/>
        </w:rPr>
        <w:t>2</w:t>
      </w:r>
      <w:r>
        <w:t>Enthält der Ehevertrag keine Bestimmung hierüber, so verwalten die Ehegatten das Gesamtgut gemeinschaftlich.</w:t>
      </w:r>
    </w:p>
    <w:p>
      <w:pPr>
        <w:pStyle w:val="Heading6"/>
      </w:pPr>
      <w:bookmarkStart w:id="1894" w:name="b1879"/>
      <w:r>
        <w:t>Unterkapitel 2 Verwaltung des Gesamtguts durch einen Ehegatten</w:t>
      </w:r>
      <w:bookmarkEnd w:id="1894"/>
    </w:p>
    <w:p>
      <w:pPr>
        <w:pStyle w:val="Heading7"/>
      </w:pPr>
      <w:bookmarkStart w:id="1895" w:name="b1880"/>
      <w:r>
        <w:t>§ 1422 Inhalt des Verwaltungsrechts</w:t>
      </w:r>
      <w:r>
        <w:t xml:space="preserve"> </w:t>
      </w:r>
      <w:r>
        <w:rPr>
          <w:rStyle w:val="Suchmarke"/>
        </w:rPr>
        <w:t>#1422#</w:t>
      </w:r>
      <w:bookmarkEnd w:id="1895"/>
    </w:p>
    <w:p>
      <w:r>
        <w:rPr>
          <w:rStyle w:val="Satznummer"/>
        </w:rPr>
        <w:t>1</w:t>
      </w:r>
      <w:r>
        <w:t xml:space="preserve">Der Ehegatte, der das Gesamtgut verwaltet, ist insbesondere berechtigt, die zum Gesamtgut gehörenden Sachen in Besitz zu nehmen und über das Gesamtgut zu verfügen; er führt Rechtsstreitigkeiten, die sich auf das Gesamtgut beziehen, im eigenen Namen. </w:t>
      </w:r>
      <w:r>
        <w:rPr>
          <w:rStyle w:val="Satznummer"/>
        </w:rPr>
        <w:t>2</w:t>
      </w:r>
      <w:r>
        <w:t>Der andere Ehegatte wird durch die Verwaltungshandlungen nicht persönlich verpflichtet.</w:t>
      </w:r>
    </w:p>
    <w:p>
      <w:pPr>
        <w:pStyle w:val="Heading7"/>
      </w:pPr>
      <w:bookmarkStart w:id="1896" w:name="b1881"/>
      <w:r>
        <w:t>§ 1423 Verfügung über das Gesamtgut im Ganzen</w:t>
      </w:r>
      <w:r>
        <w:t xml:space="preserve"> </w:t>
      </w:r>
      <w:r>
        <w:rPr>
          <w:rStyle w:val="Suchmarke"/>
        </w:rPr>
        <w:t>#1423#</w:t>
      </w:r>
      <w:bookmarkEnd w:id="1896"/>
    </w:p>
    <w:p>
      <w:r>
        <w:rPr>
          <w:rStyle w:val="Satznummer"/>
        </w:rPr>
        <w:t>1</w:t>
      </w:r>
      <w:r>
        <w:t xml:space="preserve">Der Ehegatte, der das Gesamtgut verwaltet, kann sich nur mit Einwilligung des anderen Ehegatten verpflichten, über das Gesamtgut im Ganzen zu verfügen. </w:t>
      </w:r>
      <w:r>
        <w:rPr>
          <w:rStyle w:val="Satznummer"/>
        </w:rPr>
        <w:t>2</w:t>
      </w:r>
      <w:r>
        <w:t>Hat er sich ohne Zustimmung des anderen Ehegatten verpflichtet, so kann er die Verpflichtung nur erfüllen, wenn der andere Ehegatte einwilligt.</w:t>
      </w:r>
    </w:p>
    <w:p>
      <w:pPr>
        <w:pStyle w:val="Heading7"/>
      </w:pPr>
      <w:bookmarkStart w:id="1897" w:name="b1882"/>
      <w:r>
        <w:t>§ 1424 Verfügung über Grundstücke, Schiffe oder Schiffsbauwerke</w:t>
      </w:r>
      <w:r>
        <w:t xml:space="preserve"> </w:t>
      </w:r>
      <w:r>
        <w:rPr>
          <w:rStyle w:val="Suchmarke"/>
        </w:rPr>
        <w:t>#1424#</w:t>
      </w:r>
      <w:bookmarkEnd w:id="1897"/>
    </w:p>
    <w:p>
      <w:r>
        <w:rPr>
          <w:rStyle w:val="Satznummer"/>
        </w:rPr>
        <w:t>1</w:t>
      </w:r>
      <w:r>
        <w:t xml:space="preserve">Der Ehegatte, der das Gesamtgut verwaltet, kann nur mit Einwilligung des anderen Ehegatten über ein zum Gesamtgut gehörendes Grundstück verfügen; er kann sich zu einer solchen Verfügung auch nur mit Einwilligung seines Ehegatten verpflichten. </w:t>
      </w:r>
      <w:r>
        <w:rPr>
          <w:rStyle w:val="Satznummer"/>
        </w:rPr>
        <w:t>2</w:t>
      </w:r>
      <w:r>
        <w:t>Dasselbe gilt, wenn ein eingetragenes Schiff oder Schiffsbauwerk zum Gesamtgut gehört.</w:t>
      </w:r>
    </w:p>
    <w:p>
      <w:pPr>
        <w:pStyle w:val="Heading7"/>
      </w:pPr>
      <w:bookmarkStart w:id="1898" w:name="b1883"/>
      <w:r>
        <w:t>§ 1425 Schenkungen</w:t>
      </w:r>
      <w:r>
        <w:t xml:space="preserve"> </w:t>
      </w:r>
      <w:r>
        <w:rPr>
          <w:rStyle w:val="Suchmarke"/>
        </w:rPr>
        <w:t>#1425#</w:t>
      </w:r>
      <w:bookmarkEnd w:id="1898"/>
    </w:p>
    <w:p>
      <w:r>
        <w:t xml:space="preserve">(1) </w:t>
      </w:r>
      <w:r>
        <w:rPr>
          <w:rStyle w:val="Satznummer"/>
        </w:rPr>
        <w:t>1</w:t>
      </w:r>
      <w:r>
        <w:t xml:space="preserve">Der Ehegatte, der das Gesamtgut verwaltet, kann nur mit Einwilligung des anderen Ehegatten Gegenstände aus dem Gesamtgut verschenken; hat er ohne Zustimmung des anderen Ehegatten versprochen, Gegenstände aus dem Gesamtgut zu verschenken, so kann er dieses Versprechen nur erfüllen, wenn der andere Ehegatte einwilligt. </w:t>
      </w:r>
      <w:r>
        <w:rPr>
          <w:rStyle w:val="Satznummer"/>
        </w:rPr>
        <w:t>2</w:t>
      </w:r>
      <w:r>
        <w:t>Das Gleiche gilt von einem Schenkungsversprechen, das sich nicht auf das Gesamtgut bezieht.</w:t>
      </w:r>
    </w:p>
    <w:p>
      <w:r>
        <w:t>(2) Ausgenommen sind Schenkungen, durch die einer sittlichen Pflicht oder einer auf den Anstand zu nehmenden Rücksicht entsprochen wird.</w:t>
      </w:r>
    </w:p>
    <w:p>
      <w:pPr>
        <w:pStyle w:val="Heading7"/>
      </w:pPr>
      <w:bookmarkStart w:id="1899" w:name="b1884"/>
      <w:r>
        <w:t>§ 1426 Ersetzung der Zustimmung des anderen Ehegatten</w:t>
      </w:r>
      <w:r>
        <w:t xml:space="preserve"> </w:t>
      </w:r>
      <w:r>
        <w:rPr>
          <w:rStyle w:val="Suchmarke"/>
        </w:rPr>
        <w:t>#1426#</w:t>
      </w:r>
      <w:bookmarkEnd w:id="1899"/>
    </w:p>
    <w:p>
      <w:r>
        <w:t xml:space="preserve">Ist ein Rechtsgeschäft, das nach den </w:t>
      </w:r>
      <w:hyperlink w:anchor="b1881" w:history="1">
        <w:r>
          <w:rPr>
            <w:color w:val="0A3A8C"/>
            <w:u w:val="single"/>
          </w:rPr>
          <w:t xml:space="preserve">§§ 1423</w:t>
        </w:r>
      </w:hyperlink>
      <w:r>
        <w:t xml:space="preserve">, </w:t>
      </w:r>
      <w:hyperlink w:anchor="b1882" w:history="1">
        <w:r>
          <w:rPr>
            <w:color w:val="0A3A8C"/>
            <w:u w:val="single"/>
          </w:rPr>
          <w:t xml:space="preserve">1424</w:t>
        </w:r>
      </w:hyperlink>
      <w:r>
        <w:t xml:space="preserve"> nur mit Einwilligung des anderen Ehegatten vorgenommen werden kann, zur ordnungsmäßigen Verwaltung des Gesamtguts erforderlich, so kann das Familiengericht auf Antrag die Zustimmung des anderen Ehegatten ersetzen, wenn dieser sie ohne ausreichenden Grund verweigert oder durch Krankheit oder Abwesenheit an der Abgabe einer Erklärung verhindert und mit dem Aufschub Gefahr verbunden ist.</w:t>
      </w:r>
    </w:p>
    <w:p>
      <w:pPr>
        <w:pStyle w:val="Heading7"/>
      </w:pPr>
      <w:bookmarkStart w:id="1900" w:name="b1885"/>
      <w:r>
        <w:t>§ 1427 Rechtsfolgen fehlender Einwilligung</w:t>
      </w:r>
      <w:r>
        <w:t xml:space="preserve"> </w:t>
      </w:r>
      <w:r>
        <w:rPr>
          <w:rStyle w:val="Suchmarke"/>
        </w:rPr>
        <w:t>#1427#</w:t>
      </w:r>
      <w:bookmarkEnd w:id="1900"/>
    </w:p>
    <w:p>
      <w:r>
        <w:t xml:space="preserve">(1) Nimmt der Ehegatte, der das Gesamtgut verwaltet, ein Rechtsgeschäft ohne die erforderliche Einwilligung des anderen Ehegatten vor, so gelten die Vorschriften des </w:t>
      </w:r>
      <w:hyperlink w:anchor="b1834" w:history="1">
        <w:r>
          <w:rPr>
            <w:color w:val="0A3A8C"/>
            <w:u w:val="single"/>
          </w:rPr>
          <w:t xml:space="preserve">§ 1366</w:t>
        </w:r>
      </w:hyperlink>
      <w:r>
        <w:t xml:space="preserve"> Abs. 1, 3, 4 und des </w:t>
      </w:r>
      <w:hyperlink w:anchor="b1835" w:history="1">
        <w:r>
          <w:rPr>
            <w:color w:val="0A3A8C"/>
            <w:u w:val="single"/>
          </w:rPr>
          <w:t xml:space="preserve">§ 1367</w:t>
        </w:r>
      </w:hyperlink>
      <w:r>
        <w:t xml:space="preserve"> entsprechend.</w:t>
      </w:r>
    </w:p>
    <w:p>
      <w:r>
        <w:t xml:space="preserve">(2) </w:t>
      </w:r>
      <w:r>
        <w:rPr>
          <w:rStyle w:val="Satznummer"/>
        </w:rPr>
        <w:t>1</w:t>
      </w:r>
      <w:r>
        <w:t xml:space="preserve">Einen Vertrag kann der Dritte bis zur Genehmigung widerrufen. </w:t>
      </w:r>
      <w:r>
        <w:rPr>
          <w:rStyle w:val="Satznummer"/>
        </w:rPr>
        <w:t>2</w:t>
      </w:r>
      <w:r>
        <w:t>Hat er gewusst, dass der Ehegatte in Gütergemeinschaft lebt, so kann er nur widerrufen, wenn dieser wahrheitswidrig behauptet hat, der andere Ehegatte habe eingewilligt; er kann auch in diesem Falle nicht widerrufen, wenn ihm beim Abschluss des Vertrags bekannt war, dass der andere Ehegatte nicht eingewilligt hatte.</w:t>
      </w:r>
    </w:p>
    <w:p>
      <w:pPr>
        <w:pStyle w:val="Heading7"/>
      </w:pPr>
      <w:bookmarkStart w:id="1901" w:name="b1886"/>
      <w:r>
        <w:t>§ 1428 Verfügungen ohne Zustimmung</w:t>
      </w:r>
      <w:r>
        <w:t xml:space="preserve"> </w:t>
      </w:r>
      <w:r>
        <w:rPr>
          <w:rStyle w:val="Suchmarke"/>
        </w:rPr>
        <w:t>#1428#</w:t>
      </w:r>
      <w:bookmarkEnd w:id="1901"/>
    </w:p>
    <w:p>
      <w:r>
        <w:t>Verfügt der Ehegatte, der das Gesamtgut verwaltet, ohne die erforderliche Zustimmung des anderen Ehegatten über ein zum Gesamtgut gehörendes Recht, so kann dieser das Recht gegen Dritte gerichtlich geltend machen; der Ehegatte, der das Gesamtgut verwaltet, braucht hierzu nicht mitzuwirken.</w:t>
      </w:r>
    </w:p>
    <w:p>
      <w:pPr>
        <w:pStyle w:val="Heading7"/>
      </w:pPr>
      <w:bookmarkStart w:id="1902" w:name="b1887"/>
      <w:r>
        <w:t>§ 1429 Notverwaltungsrecht</w:t>
      </w:r>
      <w:r>
        <w:t xml:space="preserve"> </w:t>
      </w:r>
      <w:r>
        <w:rPr>
          <w:rStyle w:val="Suchmarke"/>
        </w:rPr>
        <w:t>#1429#</w:t>
      </w:r>
      <w:bookmarkEnd w:id="1902"/>
    </w:p>
    <w:p>
      <w:r>
        <w:rPr>
          <w:rStyle w:val="Satznummer"/>
        </w:rPr>
        <w:t>1</w:t>
      </w:r>
      <w:r>
        <w:t xml:space="preserve">Ist der Ehegatte, der das Gesamtgut verwaltet, durch Krankheit oder durch Abwesenheit verhindert, ein Rechtsgeschäft vorzunehmen, das sich auf das Gesamtgut bezieht, so kann der andere Ehegatte das Rechtsgeschäft vornehmen, wenn mit dem Aufschub Gefahr verbunden ist; er kann hierbei im eigenen Namen oder im Namen des verwaltenden Ehegatten handeln. </w:t>
      </w:r>
      <w:r>
        <w:rPr>
          <w:rStyle w:val="Satznummer"/>
        </w:rPr>
        <w:t>2</w:t>
      </w:r>
      <w:r>
        <w:t>Das Gleiche gilt für die Führung eines Rechtsstreits, der sich auf das Gesamtgut bezieht.</w:t>
      </w:r>
    </w:p>
    <w:p>
      <w:pPr>
        <w:pStyle w:val="Heading7"/>
      </w:pPr>
      <w:bookmarkStart w:id="1903" w:name="b1888"/>
      <w:r>
        <w:t>§ 1430 Ersetzung der Zustimmung des Verwalters</w:t>
      </w:r>
      <w:r>
        <w:t xml:space="preserve"> </w:t>
      </w:r>
      <w:r>
        <w:rPr>
          <w:rStyle w:val="Suchmarke"/>
        </w:rPr>
        <w:t>#1430#</w:t>
      </w:r>
      <w:bookmarkEnd w:id="1903"/>
    </w:p>
    <w:p>
      <w:r>
        <w:t>Verweigert der Ehegatte, der das Gesamtgut verwaltet, ohne ausreichenden Grund die Zustimmung zu einem Rechtsgeschäft, das der andere Ehegatte zur ordnungsmäßigen Besorgung seiner persönlichen Angelegenheiten vornehmen muss, aber ohne diese Zustimmung nicht mit Wirkung für das Gesamtgut vornehmen kann, so kann das Familiengericht die Zustimmung auf Antrag ersetzen.</w:t>
      </w:r>
    </w:p>
    <w:p>
      <w:pPr>
        <w:pStyle w:val="Heading7"/>
      </w:pPr>
      <w:bookmarkStart w:id="1904" w:name="b1889"/>
      <w:r>
        <w:t>§ 1431 Selbständiges Erwerbsgeschäft</w:t>
      </w:r>
      <w:r>
        <w:t xml:space="preserve"> </w:t>
      </w:r>
      <w:r>
        <w:rPr>
          <w:rStyle w:val="Suchmarke"/>
        </w:rPr>
        <w:t>#1431#</w:t>
      </w:r>
      <w:bookmarkEnd w:id="1904"/>
    </w:p>
    <w:p>
      <w:r>
        <w:t xml:space="preserve">(1) </w:t>
      </w:r>
      <w:r>
        <w:rPr>
          <w:rStyle w:val="Satznummer"/>
        </w:rPr>
        <w:t>1</w:t>
      </w:r>
      <w:r>
        <w:t xml:space="preserve">Hat der Ehegatte, der das Gesamtgut verwaltet, darin eingewilligt, dass der andere Ehegatte selbständig ein Erwerbsgeschäft betreibt, so ist seine Zustimmung zu solchen Rechtsgeschäften und Rechtsstreitigkeiten nicht erforderlich, die der Geschäftsbetrieb mit sich bringt. </w:t>
      </w:r>
      <w:r>
        <w:rPr>
          <w:rStyle w:val="Satznummer"/>
        </w:rPr>
        <w:t>2</w:t>
      </w:r>
      <w:r>
        <w:t>Einseitige Rechtsgeschäfte, die sich auf das Erwerbsgeschäft beziehen, sind dem Ehegatten gegenüber vorzunehmen, der das Erwerbsgeschäft betreibt.</w:t>
      </w:r>
    </w:p>
    <w:p>
      <w:r>
        <w:t>(2) Weiß der Ehegatte, der das Gesamtgut verwaltet, dass der andere Ehegatte ein Erwerbsgeschäft betreibt, und hat er hiergegen keinen Einspruch eingelegt, so steht dies einer Einwilligung gleich.</w:t>
      </w:r>
    </w:p>
    <w:p>
      <w:r>
        <w:t xml:space="preserve">(3) Dritten gegenüber ist ein Einspruch und der Widerruf der Einwilligung nur nach Maßgabe des </w:t>
      </w:r>
      <w:hyperlink w:anchor="b1866" w:history="1">
        <w:r>
          <w:rPr>
            <w:color w:val="0A3A8C"/>
            <w:u w:val="single"/>
          </w:rPr>
          <w:t xml:space="preserve">§ 1412</w:t>
        </w:r>
      </w:hyperlink>
      <w:r>
        <w:t xml:space="preserve"> wirksam.</w:t>
      </w:r>
    </w:p>
    <w:p>
      <w:pPr>
        <w:pStyle w:val="Heading7"/>
      </w:pPr>
      <w:bookmarkStart w:id="1905" w:name="b1890"/>
      <w:r>
        <w:t>§ 1432 Annahme einer Erbschaft; Ablehnung von Vertragsantrag oder Schenkung</w:t>
      </w:r>
      <w:r>
        <w:t xml:space="preserve"> </w:t>
      </w:r>
      <w:r>
        <w:rPr>
          <w:rStyle w:val="Suchmarke"/>
        </w:rPr>
        <w:t>#1432#</w:t>
      </w:r>
      <w:bookmarkEnd w:id="1905"/>
    </w:p>
    <w:p>
      <w:r>
        <w:t xml:space="preserve">(1) </w:t>
      </w:r>
      <w:r>
        <w:rPr>
          <w:rStyle w:val="Satznummer"/>
        </w:rPr>
        <w:t>1</w:t>
      </w:r>
      <w:r>
        <w:t xml:space="preserve">Ist dem Ehegatten, der das Gesamtgut nicht verwaltet, eine Erbschaft oder ein Vermächtnis angefallen, so ist nur er berechtigt, die Erbschaft oder das Vermächtnis anzunehmen oder auszuschlagen; die Zustimmung des anderen Ehegatten ist nicht erforderlich. </w:t>
      </w:r>
      <w:r>
        <w:rPr>
          <w:rStyle w:val="Satznummer"/>
        </w:rPr>
        <w:t>2</w:t>
      </w:r>
      <w:r>
        <w:t>Das Gleiche gilt von dem Verzicht auf den Pflichtteil oder auf den Ausgleich eines Zugewinns sowie von der Ablehnung eines Vertragsantrags oder einer Schenkung.</w:t>
      </w:r>
    </w:p>
    <w:p>
      <w:r>
        <w:t>(2) Der Ehegatte, der das Gesamtgut nicht verwaltet, kann ein Inventar über eine ihm angefallene Erbschaft ohne Zustimmung des anderen Ehegatten errichten.</w:t>
      </w:r>
    </w:p>
    <w:p>
      <w:pPr>
        <w:pStyle w:val="Heading7"/>
      </w:pPr>
      <w:bookmarkStart w:id="1906" w:name="b1891"/>
      <w:r>
        <w:t>§ 1433 Fortsetzung eines Rechtsstreits</w:t>
      </w:r>
      <w:r>
        <w:t xml:space="preserve"> </w:t>
      </w:r>
      <w:r>
        <w:rPr>
          <w:rStyle w:val="Suchmarke"/>
        </w:rPr>
        <w:t>#1433#</w:t>
      </w:r>
      <w:bookmarkEnd w:id="1906"/>
    </w:p>
    <w:p>
      <w:r>
        <w:t>Der Ehegatte, der das Gesamtgut nicht verwaltet, kann ohne Zustimmung des anderen Ehegatten einen Rechtsstreit fortsetzen, der beim Eintritt der Gütergemeinschaft anhängig war.</w:t>
      </w:r>
    </w:p>
    <w:p>
      <w:pPr>
        <w:pStyle w:val="Heading7"/>
      </w:pPr>
      <w:bookmarkStart w:id="1907" w:name="b1892"/>
      <w:r>
        <w:t>§ 1434 Ungerechtfertigte Bereicherung des Gesamtguts</w:t>
      </w:r>
      <w:r>
        <w:t xml:space="preserve"> </w:t>
      </w:r>
      <w:r>
        <w:rPr>
          <w:rStyle w:val="Suchmarke"/>
        </w:rPr>
        <w:t>#1434#</w:t>
      </w:r>
      <w:bookmarkEnd w:id="1907"/>
    </w:p>
    <w:p>
      <w:r>
        <w:t>Wird durch ein Rechtsgeschäft, das ein Ehegatte ohne die erforderliche Zustimmung des anderen Ehegatten vornimmt, das Gesamtgut bereichert, so ist die Bereicherung nach den Vorschriften über die ungerechtfertigte Bereicherung aus dem Gesamtgut herauszugeben.</w:t>
      </w:r>
    </w:p>
    <w:p>
      <w:pPr>
        <w:pStyle w:val="Heading7"/>
      </w:pPr>
      <w:bookmarkStart w:id="1908" w:name="b1893"/>
      <w:r>
        <w:t>§ 1435 Pflichten des Verwalters</w:t>
      </w:r>
      <w:r>
        <w:t xml:space="preserve"> </w:t>
      </w:r>
      <w:r>
        <w:rPr>
          <w:rStyle w:val="Suchmarke"/>
        </w:rPr>
        <w:t>#1435#</w:t>
      </w:r>
      <w:bookmarkEnd w:id="1908"/>
    </w:p>
    <w:p>
      <w:r>
        <w:rPr>
          <w:rStyle w:val="Satznummer"/>
        </w:rPr>
        <w:t>1</w:t>
      </w:r>
      <w:r>
        <w:t xml:space="preserve">Der Ehegatte hat das Gesamtgut ordnungsmäßig zu verwalten. </w:t>
      </w:r>
      <w:r>
        <w:rPr>
          <w:rStyle w:val="Satznummer"/>
        </w:rPr>
        <w:t>2</w:t>
      </w:r>
      <w:r>
        <w:t xml:space="preserve">Er hat den anderen Ehegatten über die Verwaltung zu unterrichten und ihm auf Verlangen über den Stand der Verwaltung Auskunft zu erteilen. </w:t>
      </w:r>
      <w:r>
        <w:rPr>
          <w:rStyle w:val="Satznummer"/>
        </w:rPr>
        <w:t>3</w:t>
      </w:r>
      <w:r>
        <w:t>Mindert sich das Gesamtgut, so muss er zu dem Gesamtgut Ersatz leisten, wenn er den Verlust verschuldet oder durch ein Rechtsgeschäft herbeigeführt hat, das er ohne die erforderliche Zustimmung des anderen Ehegatten vorgenommen hat.</w:t>
      </w:r>
    </w:p>
    <w:p>
      <w:pPr>
        <w:pStyle w:val="Heading7"/>
      </w:pPr>
      <w:bookmarkStart w:id="1909" w:name="b1894"/>
      <w:r>
        <w:t>§ 1436 Verwaltung durch einen Betreuer</w:t>
      </w:r>
      <w:r>
        <w:t xml:space="preserve"> </w:t>
      </w:r>
      <w:r>
        <w:rPr>
          <w:rStyle w:val="Suchmarke"/>
        </w:rPr>
        <w:t>#1436#</w:t>
      </w:r>
      <w:bookmarkEnd w:id="1909"/>
    </w:p>
    <w:p>
      <w:r>
        <w:rPr>
          <w:rStyle w:val="Satznummer"/>
        </w:rPr>
        <w:t>1</w:t>
      </w:r>
      <w:r>
        <w:t xml:space="preserve">Fällt die Verwaltung des Gesamtguts in den Aufgabenkreis des Betreuers eines Ehegatten, so hat der Betreuer diesen in den Rechten und Pflichten zu vertreten, die sich aus der Verwaltung des Gesamtguts ergeben. </w:t>
      </w:r>
      <w:r>
        <w:rPr>
          <w:rStyle w:val="Satznummer"/>
        </w:rPr>
        <w:t>2</w:t>
      </w:r>
      <w:r>
        <w:t>Dies gilt auch dann, wenn der andere Ehegatte zum Betreuer bestellt ist.</w:t>
      </w:r>
    </w:p>
    <w:p>
      <w:pPr>
        <w:pStyle w:val="Heading7"/>
      </w:pPr>
      <w:bookmarkStart w:id="1910" w:name="b1895"/>
      <w:r>
        <w:t>§ 1437 Gesamtgutsverbindlichkeiten; persönliche Haftung</w:t>
      </w:r>
      <w:r>
        <w:t xml:space="preserve"> </w:t>
      </w:r>
      <w:r>
        <w:rPr>
          <w:rStyle w:val="Suchmarke"/>
        </w:rPr>
        <w:t>#1437#</w:t>
      </w:r>
      <w:bookmarkEnd w:id="1910"/>
    </w:p>
    <w:p>
      <w:r>
        <w:t xml:space="preserve">(1) Aus dem Gesamtgut können die Gläubiger des Ehegatten, der das Gesamtgut verwaltet, und, soweit sich aus den </w:t>
      </w:r>
      <w:hyperlink w:anchor="b1896" w:history="1">
        <w:r>
          <w:rPr>
            <w:color w:val="0A3A8C"/>
            <w:u w:val="single"/>
          </w:rPr>
          <w:t xml:space="preserve">§§ 1438</w:t>
        </w:r>
      </w:hyperlink>
      <w:r>
        <w:t xml:space="preserve"> bis </w:t>
      </w:r>
      <w:hyperlink w:anchor="b1898" w:history="1">
        <w:r>
          <w:rPr>
            <w:color w:val="0A3A8C"/>
            <w:u w:val="single"/>
          </w:rPr>
          <w:t xml:space="preserve">1440</w:t>
        </w:r>
      </w:hyperlink>
      <w:r>
        <w:t xml:space="preserve"> nichts anderes ergibt, auch die Gläubiger des anderen Ehegatten Befriedigung verlangen (Gesamtgutsverbindlichkeiten).</w:t>
      </w:r>
    </w:p>
    <w:p>
      <w:r>
        <w:t xml:space="preserve">(2) </w:t>
      </w:r>
      <w:r>
        <w:rPr>
          <w:rStyle w:val="Satznummer"/>
        </w:rPr>
        <w:t>1</w:t>
      </w:r>
      <w:r>
        <w:t xml:space="preserve">Der Ehegatte, der das Gesamtgut verwaltet, haftet für die Verbindlichkeiten des anderen Ehegatten, die Gesamtgutsverbindlichkeiten sind, auch persönlich als Gesamtschuldner. </w:t>
      </w:r>
      <w:r>
        <w:rPr>
          <w:rStyle w:val="Satznummer"/>
        </w:rPr>
        <w:t>2</w:t>
      </w:r>
      <w:r>
        <w:t>Die Haftung erlischt mit der Beendigung der Gütergemeinschaft, wenn die Verbindlichkeiten im Verhältnis der Ehegatten zueinander dem anderen Ehegatten zur Last fallen.</w:t>
      </w:r>
    </w:p>
    <w:p>
      <w:pPr>
        <w:pStyle w:val="Heading7"/>
      </w:pPr>
      <w:bookmarkStart w:id="1911" w:name="b1896"/>
      <w:r>
        <w:t>§ 1438 Haftung des Gesamtguts</w:t>
      </w:r>
      <w:r>
        <w:t xml:space="preserve"> </w:t>
      </w:r>
      <w:r>
        <w:rPr>
          <w:rStyle w:val="Suchmarke"/>
        </w:rPr>
        <w:t>#1438#</w:t>
      </w:r>
      <w:bookmarkEnd w:id="1911"/>
    </w:p>
    <w:p>
      <w:r>
        <w:t>(1) Das Gesamtgut haftet für eine Verbindlichkeit aus einem Rechtsgeschäft, das während der Gütergemeinschaft vorgenommen wird, nur dann, wenn der Ehegatte, der das Gesamtgut verwaltet, das Rechtsgeschäft vornimmt oder wenn er ihm zustimmt oder wenn das Rechtsgeschäft ohne seine Zustimmung für das Gesamtgut wirksam ist.</w:t>
      </w:r>
    </w:p>
    <w:p>
      <w:r>
        <w:t>(2) Für die Kosten eines Rechtsstreits haftet das Gesamtgut auch dann, wenn das Urteil dem Gesamtgut gegenüber nicht wirksam ist.</w:t>
      </w:r>
    </w:p>
    <w:p>
      <w:pPr>
        <w:pStyle w:val="Heading7"/>
      </w:pPr>
      <w:bookmarkStart w:id="1912" w:name="b1897"/>
      <w:r>
        <w:t>§ 1439 Keine Haftung bei Erwerb einer Erbschaft</w:t>
      </w:r>
      <w:r>
        <w:t xml:space="preserve"> </w:t>
      </w:r>
      <w:r>
        <w:rPr>
          <w:rStyle w:val="Suchmarke"/>
        </w:rPr>
        <w:t>#1439#</w:t>
      </w:r>
      <w:bookmarkEnd w:id="1912"/>
    </w:p>
    <w:p>
      <w:r>
        <w:t>Das Gesamtgut haftet nicht für Verbindlichkeiten, die durch den Erwerb einer Erbschaft entstehen, wenn der Ehegatte, der Erbe ist, das Gesamtgut nicht verwaltet und die Erbschaft während der Gütergemeinschaft als Vorbehaltsgut oder als Sondergut erwirbt; das Gleiche gilt beim Erwerb eines Vermächtnisses.</w:t>
      </w:r>
    </w:p>
    <w:p>
      <w:pPr>
        <w:pStyle w:val="Heading7"/>
      </w:pPr>
      <w:bookmarkStart w:id="1913" w:name="b1898"/>
      <w:r>
        <w:t>§ 1440 Haftung für Vorbehalts- oder Sondergut</w:t>
      </w:r>
      <w:r>
        <w:t xml:space="preserve"> </w:t>
      </w:r>
      <w:r>
        <w:rPr>
          <w:rStyle w:val="Suchmarke"/>
        </w:rPr>
        <w:t>#1440#</w:t>
      </w:r>
      <w:bookmarkEnd w:id="1913"/>
    </w:p>
    <w:p>
      <w:r>
        <w:rPr>
          <w:rStyle w:val="Satznummer"/>
        </w:rPr>
        <w:t>1</w:t>
      </w:r>
      <w:r>
        <w:t xml:space="preserve">Das Gesamtgut haftet nicht für eine Verbindlichkeit, die während der Gütergemeinschaft infolge eines zum Vorbehaltsgut oder Sondergut gehörenden Rechts oder des Besitzes einer dazu gehörenden Sache in der Person des Ehegatten entsteht, der das Gesamtgut nicht verwaltet. </w:t>
      </w:r>
      <w:r>
        <w:rPr>
          <w:rStyle w:val="Satznummer"/>
        </w:rPr>
        <w:t>2</w:t>
      </w:r>
      <w:r>
        <w:t>Das Gesamtgut haftet jedoch, wenn das Recht oder die Sache zu einem Erwerbsgeschäft gehört, das der Ehegatte mit Einwilligung des anderen Ehegatten selbständig betreibt, oder wenn die Verbindlichkeit zu den Lasten des Sonderguts gehört, die aus den Einkünften beglichen zu werden pflegen.</w:t>
      </w:r>
    </w:p>
    <w:p>
      <w:pPr>
        <w:pStyle w:val="Heading7"/>
      </w:pPr>
      <w:bookmarkStart w:id="1914" w:name="b1899"/>
      <w:r>
        <w:t>§ 1441 Haftung im Innenverhältnis</w:t>
      </w:r>
      <w:r>
        <w:t xml:space="preserve"> </w:t>
      </w:r>
      <w:r>
        <w:rPr>
          <w:rStyle w:val="Suchmarke"/>
        </w:rPr>
        <w:t>#1441#</w:t>
      </w:r>
      <w:bookmarkEnd w:id="1914"/>
    </w:p>
    <w:p>
      <w:r>
        <w:t>Im Verhältnis der Ehegatten zueinander fallen folgende Gesamtgutsverbindlichkeiten dem Ehegatten zur Last, in dessen Person sie entstehen:</w:t>
      </w:r>
    </w:p>
    <w:p>
      <w:pPr>
        <w:tabs>
          <w:tab w:pos="567" w:val="left"/>
        </w:tabs>
        <w:ind w:left="567" w:hanging="567"/>
      </w:pPr>
      <w:r>
        <w:t>1.</w:t>
      </w:r>
      <w:r>
        <w:tab/>
      </w:r>
      <w:r>
        <w:t>die Verbindlichkeiten aus einer unerlaubten Handlung, die er nach Eintritt der Gütergemeinschaft begeht, oder aus einem Strafverfahren, das wegen einer solchen Handlung gegen ihn gerichtet wird;</w:t>
      </w:r>
    </w:p>
    <w:p>
      <w:pPr>
        <w:tabs>
          <w:tab w:pos="567" w:val="left"/>
        </w:tabs>
        <w:ind w:left="567" w:hanging="567"/>
      </w:pPr>
      <w:r>
        <w:t>2.</w:t>
      </w:r>
      <w:r>
        <w:tab/>
      </w:r>
      <w:r>
        <w:t>die Verbindlichkeiten aus einem sich auf sein Vorbehaltsgut oder sein Sondergut beziehenden Rechtsverhältnis, auch wenn sie vor Eintritt der Gütergemeinschaft oder vor der Zeit entstanden sind, zu der das Gut Vorbehaltsgut oder Sondergut geworden ist;</w:t>
      </w:r>
    </w:p>
    <w:p>
      <w:pPr>
        <w:tabs>
          <w:tab w:pos="567" w:val="left"/>
        </w:tabs>
        <w:ind w:left="567" w:hanging="567"/>
      </w:pPr>
      <w:r>
        <w:t>3.</w:t>
      </w:r>
      <w:r>
        <w:tab/>
      </w:r>
      <w:r>
        <w:t>die Kosten eines Rechtsstreits über eine der in den Nummern 1 und 2 bezeichneten Verbindlichkeiten.</w:t>
      </w:r>
    </w:p>
    <w:p>
      <w:pPr>
        <w:pStyle w:val="Heading7"/>
      </w:pPr>
      <w:bookmarkStart w:id="1915" w:name="b1900"/>
      <w:r>
        <w:t>§ 1442 Verbindlichkeiten des Sonderguts und eines Erwerbsgeschäfts</w:t>
      </w:r>
      <w:r>
        <w:t xml:space="preserve"> </w:t>
      </w:r>
      <w:r>
        <w:rPr>
          <w:rStyle w:val="Suchmarke"/>
        </w:rPr>
        <w:t>#1442#</w:t>
      </w:r>
      <w:bookmarkEnd w:id="1915"/>
    </w:p>
    <w:p>
      <w:r>
        <w:rPr>
          <w:rStyle w:val="Satznummer"/>
        </w:rPr>
        <w:t>1</w:t>
      </w:r>
      <w:r>
        <w:t xml:space="preserve">Die Vorschrift des </w:t>
      </w:r>
      <w:hyperlink w:anchor="b1899" w:history="1">
        <w:r>
          <w:rPr>
            <w:color w:val="0A3A8C"/>
            <w:u w:val="single"/>
          </w:rPr>
          <w:t xml:space="preserve">§ 1441</w:t>
        </w:r>
      </w:hyperlink>
      <w:r>
        <w:t xml:space="preserve"> Nr. 2, 3 gilt nicht, wenn die Verbindlichkeiten zu den Lasten des Sonderguts gehören, die aus den Einkünften beglichen zu werden pflegen. </w:t>
      </w:r>
      <w:r>
        <w:rPr>
          <w:rStyle w:val="Satznummer"/>
        </w:rPr>
        <w:t>2</w:t>
      </w:r>
      <w:r>
        <w:t>Die Vorschrift gilt auch dann nicht, wenn die Verbindlichkeiten durch den Betrieb eines für Rechnung des Gesamtguts geführten Erwerbsgeschäfts oder infolge eines zu einem solchen Erwerbsgeschäft gehörenden Rechts oder des Besitzes einer dazu gehörenden Sache entstehen.</w:t>
      </w:r>
    </w:p>
    <w:p>
      <w:pPr>
        <w:pStyle w:val="Heading7"/>
      </w:pPr>
      <w:bookmarkStart w:id="1916" w:name="b1901"/>
      <w:r>
        <w:t>§ 1443 Prozesskosten</w:t>
      </w:r>
      <w:r>
        <w:t xml:space="preserve"> </w:t>
      </w:r>
      <w:r>
        <w:rPr>
          <w:rStyle w:val="Suchmarke"/>
        </w:rPr>
        <w:t>#1443#</w:t>
      </w:r>
      <w:bookmarkEnd w:id="1916"/>
    </w:p>
    <w:p>
      <w:r>
        <w:t>(1) Im Verhältnis der Ehegatten zueinander fallen die Kosten eines Rechtsstreits, den die Ehegatten miteinander führen, dem Ehegatten zur Last, der sie nach allgemeinen Vorschriften zu tragen hat.</w:t>
      </w:r>
    </w:p>
    <w:p>
      <w:r>
        <w:t xml:space="preserve">(2) </w:t>
      </w:r>
      <w:r>
        <w:rPr>
          <w:rStyle w:val="Satznummer"/>
        </w:rPr>
        <w:t>1</w:t>
      </w:r>
      <w:r>
        <w:t xml:space="preserve">Führt der Ehegatte, der das Gesamtgut nicht verwaltet, einen Rechtsstreit mit einem Dritten, so fallen die Kosten des Rechtsstreits im Verhältnis der Ehegatten zueinander diesem Ehegatten zur Last. </w:t>
      </w:r>
      <w:r>
        <w:rPr>
          <w:rStyle w:val="Satznummer"/>
        </w:rPr>
        <w:t>2</w:t>
      </w:r>
      <w:r>
        <w:t xml:space="preserve">Die Kosten fallen jedoch dem Gesamtgut zur Last, wenn das Urteil dem Gesamtgut gegenüber wirksam ist oder wenn der Rechtsstreit eine persönliche Angelegenheit oder eine Gesamtgutsverbindlichkeit des Ehegatten betrifft und die Aufwendung der Kosten den Umständen nach geboten ist; </w:t>
      </w:r>
      <w:hyperlink w:anchor="b1899" w:history="1">
        <w:r>
          <w:rPr>
            <w:color w:val="0A3A8C"/>
            <w:u w:val="single"/>
          </w:rPr>
          <w:t xml:space="preserve">§ 1441</w:t>
        </w:r>
      </w:hyperlink>
      <w:r>
        <w:t xml:space="preserve"> Nr. 3 und </w:t>
      </w:r>
      <w:hyperlink w:anchor="b1900" w:history="1">
        <w:r>
          <w:rPr>
            <w:color w:val="0A3A8C"/>
            <w:u w:val="single"/>
          </w:rPr>
          <w:t xml:space="preserve">§ 1442</w:t>
        </w:r>
      </w:hyperlink>
      <w:r>
        <w:t xml:space="preserve"> bleiben unberührt.</w:t>
      </w:r>
    </w:p>
    <w:p>
      <w:pPr>
        <w:pStyle w:val="Heading7"/>
      </w:pPr>
      <w:bookmarkStart w:id="1917" w:name="b1902"/>
      <w:r>
        <w:t>§ 1444 Kosten der Ausstattung eines Kindes</w:t>
      </w:r>
      <w:r>
        <w:t xml:space="preserve"> </w:t>
      </w:r>
      <w:r>
        <w:rPr>
          <w:rStyle w:val="Suchmarke"/>
        </w:rPr>
        <w:t>#1444#</w:t>
      </w:r>
      <w:bookmarkEnd w:id="1917"/>
    </w:p>
    <w:p>
      <w:r>
        <w:t>(1) Verspricht oder gewährt der Ehegatte, der das Gesamtgut verwaltet, einem gemeinschaftlichen Kind aus dem Gesamtgut eine Ausstattung, so fällt ihm im Verhältnis der Ehegatten zueinander die Ausstattung zur Last, soweit sie das Maß übersteigt, das dem Gesamtgut entspricht.</w:t>
      </w:r>
    </w:p>
    <w:p>
      <w:r>
        <w:t>(2) Verspricht oder gewährt der Ehegatte, der das Gesamtgut verwaltet, einem nicht gemeinschaftlichen Kind eine Ausstattung aus dem Gesamtgut, so fällt sie im Verhältnis der Ehegatten zueinander dem Vater oder der Mutter zur Last; für den Ehegatten, der das Gesamtgut nicht verwaltet, gilt dies jedoch nur insoweit, als er zustimmt oder die Ausstattung nicht das Maß übersteigt, das dem Gesamtgut entspricht.</w:t>
      </w:r>
    </w:p>
    <w:p>
      <w:pPr>
        <w:pStyle w:val="Heading7"/>
      </w:pPr>
      <w:bookmarkStart w:id="1918" w:name="b1903"/>
      <w:r>
        <w:t>§ 1445 Ausgleichung zwischen Vorbehalts-, Sonder- und Gesamtgut</w:t>
      </w:r>
      <w:r>
        <w:t xml:space="preserve"> </w:t>
      </w:r>
      <w:r>
        <w:rPr>
          <w:rStyle w:val="Suchmarke"/>
        </w:rPr>
        <w:t>#1445#</w:t>
      </w:r>
      <w:bookmarkEnd w:id="1918"/>
    </w:p>
    <w:p>
      <w:r>
        <w:t>(1) Verwendet der Ehegatte, der das Gesamtgut verwaltet, Gesamtgut in sein Vorbehaltsgut oder in sein Sondergut, so hat er den Wert des Verwendeten zum Gesamtgut zu ersetzen.</w:t>
      </w:r>
    </w:p>
    <w:p>
      <w:r>
        <w:t>(2) Verwendet er Vorbehaltsgut oder Sondergut in das Gesamtgut, so kann er Ersatz aus dem Gesamtgut verlangen.</w:t>
      </w:r>
    </w:p>
    <w:p>
      <w:pPr>
        <w:pStyle w:val="Heading7"/>
      </w:pPr>
      <w:bookmarkStart w:id="1919" w:name="b1904"/>
      <w:r>
        <w:t>§ 1446 Fälligkeit des Ausgleichsanspruchs</w:t>
      </w:r>
      <w:r>
        <w:t xml:space="preserve"> </w:t>
      </w:r>
      <w:r>
        <w:rPr>
          <w:rStyle w:val="Suchmarke"/>
        </w:rPr>
        <w:t>#1446#</w:t>
      </w:r>
      <w:bookmarkEnd w:id="1919"/>
    </w:p>
    <w:p>
      <w:r>
        <w:t>(1) Was der Ehegatte, der das Gesamtgut verwaltet, zum Gesamtgut schuldet, braucht er erst nach der Beendigung der Gütergemeinschaft zu leisten; was er aus dem Gesamtgut zu fordern hat, kann er erst nach der Beendigung der Gütergemeinschaft fordern.</w:t>
      </w:r>
    </w:p>
    <w:p>
      <w:r>
        <w:t>(2) Was der Ehegatte, der das Gesamtgut nicht verwaltet, zum Gesamtgut oder was er zum Vorbehaltsgut oder Sondergut des anderen Ehegatten schuldet, braucht er erst nach der Beendigung der Gütergemeinschaft zu leisten; er hat die Schuld jedoch schon vorher zu berichtigen, soweit sein Vorbehaltsgut und sein Sondergut hierzu ausreichen.</w:t>
      </w:r>
    </w:p>
    <w:p>
      <w:pPr>
        <w:pStyle w:val="Heading7"/>
      </w:pPr>
      <w:bookmarkStart w:id="1920" w:name="b1905"/>
      <w:r>
        <w:t>§ 1447 Aufhebungsantrag des nicht verwaltenden Ehegatten</w:t>
      </w:r>
      <w:r>
        <w:t xml:space="preserve"> </w:t>
      </w:r>
      <w:r>
        <w:rPr>
          <w:rStyle w:val="Suchmarke"/>
        </w:rPr>
        <w:t>#1447#</w:t>
      </w:r>
      <w:bookmarkEnd w:id="1920"/>
    </w:p>
    <w:p>
      <w:r>
        <w:t>Der Ehegatte, der das Gesamtgut nicht verwaltet, kann die Aufhebung der Gütergemeinschaft beantragen,</w:t>
      </w:r>
    </w:p>
    <w:p>
      <w:pPr>
        <w:tabs>
          <w:tab w:pos="567" w:val="left"/>
        </w:tabs>
        <w:ind w:left="567" w:hanging="567"/>
      </w:pPr>
      <w:r>
        <w:t>1.</w:t>
      </w:r>
      <w:r>
        <w:tab/>
      </w:r>
      <w:r>
        <w:t>wenn seine Rechte für die Zukunft dadurch erheblich gefährdet werden können, dass der andere Ehegatte zur Verwaltung des Gesamtguts unfähig ist oder sein Recht, das Gesamtgut zu verwalten, missbraucht,</w:t>
      </w:r>
    </w:p>
    <w:p>
      <w:pPr>
        <w:tabs>
          <w:tab w:pos="567" w:val="left"/>
        </w:tabs>
        <w:ind w:left="567" w:hanging="567"/>
      </w:pPr>
      <w:r>
        <w:t>2.</w:t>
      </w:r>
      <w:r>
        <w:tab/>
      </w:r>
      <w:r>
        <w:t>wenn der andere Ehegatte seine Verpflichtung, zum Familienunterhalt beizutragen, verletzt hat und für die Zukunft eine erhebliche Gefährdung des Unterhalts zu besorgen ist,</w:t>
      </w:r>
    </w:p>
    <w:p>
      <w:pPr>
        <w:tabs>
          <w:tab w:pos="567" w:val="left"/>
        </w:tabs>
        <w:ind w:left="567" w:hanging="567"/>
      </w:pPr>
      <w:r>
        <w:t>3.</w:t>
      </w:r>
      <w:r>
        <w:tab/>
      </w:r>
      <w:r>
        <w:t>wenn das Gesamtgut durch Verbindlichkeiten, die in der Person des anderen Ehegatten entstanden sind, in solchem Maße überschuldet ist, dass ein späterer Erwerb des Ehegatten, der das Gesamtgut nicht verwaltet, erheblich gefährdet wird,</w:t>
      </w:r>
    </w:p>
    <w:p>
      <w:pPr>
        <w:tabs>
          <w:tab w:pos="567" w:val="left"/>
        </w:tabs>
        <w:ind w:left="567" w:hanging="567"/>
      </w:pPr>
      <w:r>
        <w:t>4.</w:t>
      </w:r>
      <w:r>
        <w:tab/>
      </w:r>
      <w:r>
        <w:t>wenn die Verwaltung des Gesamtguts in den Aufgabenkreis des Betreuers des anderen Ehegatten fällt.</w:t>
      </w:r>
    </w:p>
    <w:p>
      <w:pPr>
        <w:pStyle w:val="Heading7"/>
      </w:pPr>
      <w:bookmarkStart w:id="1921" w:name="b1906"/>
      <w:r>
        <w:t>§ 1448 Aufhebungsantrag des Verwalters</w:t>
      </w:r>
      <w:r>
        <w:t xml:space="preserve"> </w:t>
      </w:r>
      <w:r>
        <w:rPr>
          <w:rStyle w:val="Suchmarke"/>
        </w:rPr>
        <w:t>#1448#</w:t>
      </w:r>
      <w:bookmarkEnd w:id="1921"/>
    </w:p>
    <w:p>
      <w:r>
        <w:t>Der Ehegatte, der das Gesamtgut verwaltet, kann die Aufhebung der Gütergemeinschaft beantragen, wenn das Gesamtgut infolge von Verbindlichkeiten des anderen Ehegatten, die diesem im Verhältnis der Ehegatten zueinander zur Last fallen, in solchem Maße überschuldet ist, dass ein späterer Erwerb erheblich gefährdet wird.</w:t>
      </w:r>
    </w:p>
    <w:p>
      <w:pPr>
        <w:pStyle w:val="Heading7"/>
      </w:pPr>
      <w:bookmarkStart w:id="1922" w:name="b1907"/>
      <w:r>
        <w:t>§ 1449 Wirkung der richterlichen Aufhebungsentscheidung</w:t>
      </w:r>
      <w:r>
        <w:t xml:space="preserve"> </w:t>
      </w:r>
      <w:r>
        <w:rPr>
          <w:rStyle w:val="Suchmarke"/>
        </w:rPr>
        <w:t>#1449#</w:t>
      </w:r>
      <w:bookmarkEnd w:id="1922"/>
    </w:p>
    <w:p>
      <w:r>
        <w:t>(1) Mit der Rechtskraft der richterlichen Entscheidung ist die Gütergemeinschaft aufgehoben; für die Zukunft gilt Gütertrennung.</w:t>
      </w:r>
    </w:p>
    <w:p>
      <w:r>
        <w:t xml:space="preserve">(2) Dritten gegenüber ist die Aufhebung der Gütergemeinschaft nur nach Maßgabe des </w:t>
      </w:r>
      <w:hyperlink w:anchor="b1866" w:history="1">
        <w:r>
          <w:rPr>
            <w:color w:val="0A3A8C"/>
            <w:u w:val="single"/>
          </w:rPr>
          <w:t xml:space="preserve">§ 1412</w:t>
        </w:r>
      </w:hyperlink>
      <w:r>
        <w:t xml:space="preserve"> wirksam.</w:t>
      </w:r>
    </w:p>
    <w:p>
      <w:pPr>
        <w:pStyle w:val="Heading6"/>
      </w:pPr>
      <w:bookmarkStart w:id="1923" w:name="b1908"/>
      <w:r>
        <w:t>Unterkapitel 3 Gemeinschaftliche Verwaltung des Gesamtguts durch die Ehegatten</w:t>
      </w:r>
      <w:bookmarkEnd w:id="1923"/>
    </w:p>
    <w:p>
      <w:pPr>
        <w:pStyle w:val="Heading7"/>
      </w:pPr>
      <w:bookmarkStart w:id="1924" w:name="b1909"/>
      <w:r>
        <w:t>§ 1450 Gemeinschaftliche Verwaltung durch die Ehegatten</w:t>
      </w:r>
      <w:r>
        <w:t xml:space="preserve"> </w:t>
      </w:r>
      <w:r>
        <w:rPr>
          <w:rStyle w:val="Suchmarke"/>
        </w:rPr>
        <w:t>#1450#</w:t>
      </w:r>
      <w:bookmarkEnd w:id="1924"/>
    </w:p>
    <w:p>
      <w:r>
        <w:t xml:space="preserve">(1) </w:t>
      </w:r>
      <w:r>
        <w:rPr>
          <w:rStyle w:val="Satznummer"/>
        </w:rPr>
        <w:t>1</w:t>
      </w:r>
      <w:r>
        <w:t xml:space="preserve">Wird das Gesamtgut von den Ehegatten gemeinschaftlich verwaltet, so sind die Ehegatten insbesondere nur gemeinschaftlich berechtigt, über das Gesamtgut zu verfügen und Rechtsstreitigkeiten zu führen, die sich auf das Gesamtgut beziehen. </w:t>
      </w:r>
      <w:r>
        <w:rPr>
          <w:rStyle w:val="Satznummer"/>
        </w:rPr>
        <w:t>2</w:t>
      </w:r>
      <w:r>
        <w:t>Der Besitz an den zum Gesamtgut gehörenden Sachen gebührt den Ehegatten gemeinschaftlich.</w:t>
      </w:r>
    </w:p>
    <w:p>
      <w:r>
        <w:t>(2) Ist eine Willenserklärung den Ehegatten gegenüber abzugeben, so genügt die Abgabe gegenüber einem Ehegatten.</w:t>
      </w:r>
    </w:p>
    <w:p>
      <w:pPr>
        <w:pStyle w:val="Heading7"/>
      </w:pPr>
      <w:bookmarkStart w:id="1925" w:name="b1910"/>
      <w:r>
        <w:t>§ 1451 Mitwirkungspflicht beider Ehegatten</w:t>
      </w:r>
      <w:r>
        <w:t xml:space="preserve"> </w:t>
      </w:r>
      <w:r>
        <w:rPr>
          <w:rStyle w:val="Suchmarke"/>
        </w:rPr>
        <w:t>#1451#</w:t>
      </w:r>
      <w:bookmarkEnd w:id="1925"/>
    </w:p>
    <w:p>
      <w:r>
        <w:t>Jeder Ehegatte ist dem anderen gegenüber verpflichtet, zu Maßregeln mitzuwirken, die zur ordnungsmäßigen Verwaltung des Gesamtguts erforderlich sind.</w:t>
      </w:r>
    </w:p>
    <w:p>
      <w:pPr>
        <w:pStyle w:val="Heading7"/>
      </w:pPr>
      <w:bookmarkStart w:id="1926" w:name="b1911"/>
      <w:r>
        <w:t>§ 1452 Ersetzung der Zustimmung</w:t>
      </w:r>
      <w:r>
        <w:t xml:space="preserve"> </w:t>
      </w:r>
      <w:r>
        <w:rPr>
          <w:rStyle w:val="Suchmarke"/>
        </w:rPr>
        <w:t>#1452#</w:t>
      </w:r>
      <w:bookmarkEnd w:id="1926"/>
    </w:p>
    <w:p>
      <w:r>
        <w:t>(1) Ist zur ordnungsmäßigen Verwaltung des Gesamtguts die Vornahme eines Rechtsgeschäfts oder die Führung eines Rechtsstreits erforderlich, so kann das Familiengericht auf Antrag eines Ehegatten die Zustimmung des anderen Ehegatten ersetzen, wenn dieser sie ohne ausreichenden Grund verweigert.</w:t>
      </w:r>
    </w:p>
    <w:p>
      <w:r>
        <w:t>(2) Die Vorschrift des Absatzes 1 gilt auch, wenn zur ordnungsmäßigen Besorgung der persönlichen Angelegenheiten eines Ehegatten ein Rechtsgeschäft erforderlich ist, das der Ehegatte mit Wirkung für das Gesamtgut nicht ohne Zustimmung des anderen Ehegatten vornehmen kann.</w:t>
      </w:r>
    </w:p>
    <w:p>
      <w:pPr>
        <w:pStyle w:val="Heading7"/>
      </w:pPr>
      <w:bookmarkStart w:id="1927" w:name="b1912"/>
      <w:r>
        <w:t>§ 1453 Verfügung ohne Einwilligung</w:t>
      </w:r>
      <w:r>
        <w:t xml:space="preserve"> </w:t>
      </w:r>
      <w:r>
        <w:rPr>
          <w:rStyle w:val="Suchmarke"/>
        </w:rPr>
        <w:t>#1453#</w:t>
      </w:r>
      <w:bookmarkEnd w:id="1927"/>
    </w:p>
    <w:p>
      <w:r>
        <w:t xml:space="preserve">(1) Verfügt ein Ehegatte ohne die erforderliche Einwilligung des anderen Ehegatten über das Gesamtgut, so gelten die Vorschriften des </w:t>
      </w:r>
      <w:hyperlink w:anchor="b1834" w:history="1">
        <w:r>
          <w:rPr>
            <w:color w:val="0A3A8C"/>
            <w:u w:val="single"/>
          </w:rPr>
          <w:t xml:space="preserve">§ 1366</w:t>
        </w:r>
      </w:hyperlink>
      <w:r>
        <w:t xml:space="preserve"> Abs. 1, 3, 4 und des </w:t>
      </w:r>
      <w:hyperlink w:anchor="b1835" w:history="1">
        <w:r>
          <w:rPr>
            <w:color w:val="0A3A8C"/>
            <w:u w:val="single"/>
          </w:rPr>
          <w:t xml:space="preserve">§ 1367</w:t>
        </w:r>
      </w:hyperlink>
      <w:r>
        <w:t xml:space="preserve"> entsprechend.</w:t>
      </w:r>
    </w:p>
    <w:p>
      <w:r>
        <w:t xml:space="preserve">(2) </w:t>
      </w:r>
      <w:r>
        <w:rPr>
          <w:rStyle w:val="Satznummer"/>
        </w:rPr>
        <w:t>1</w:t>
      </w:r>
      <w:r>
        <w:t xml:space="preserve">Einen Vertrag kann der Dritte bis zur Genehmigung widerrufen. </w:t>
      </w:r>
      <w:r>
        <w:rPr>
          <w:rStyle w:val="Satznummer"/>
        </w:rPr>
        <w:t>2</w:t>
      </w:r>
      <w:r>
        <w:t>Hat er gewusst, dass der Ehegatte in Gütergemeinschaft lebt, so kann er nur widerrufen, wenn dieser wahrheitswidrig behauptet hat, der andere Ehegatte habe eingewilligt; er kann auch in diesem Falle nicht widerrufen, wenn ihm beim Abschluss des Vertrags bekannt war, dass der andere Ehegatte nicht eingewilligt hatte.</w:t>
      </w:r>
    </w:p>
    <w:p>
      <w:pPr>
        <w:pStyle w:val="Heading7"/>
      </w:pPr>
      <w:bookmarkStart w:id="1928" w:name="b1913"/>
      <w:r>
        <w:t>§ 1454 Notverwaltungsrecht</w:t>
      </w:r>
      <w:r>
        <w:t xml:space="preserve"> </w:t>
      </w:r>
      <w:r>
        <w:rPr>
          <w:rStyle w:val="Suchmarke"/>
        </w:rPr>
        <w:t>#1454#</w:t>
      </w:r>
      <w:bookmarkEnd w:id="1928"/>
    </w:p>
    <w:p>
      <w:r>
        <w:rPr>
          <w:rStyle w:val="Satznummer"/>
        </w:rPr>
        <w:t>1</w:t>
      </w:r>
      <w:r>
        <w:t xml:space="preserve">Ist ein Ehegatte durch Krankheit oder Abwesenheit verhindert, bei einem Rechtsgeschäft mitzuwirken, das sich auf das Gesamtgut bezieht, so kann der andere Ehegatte das Rechtsgeschäft vornehmen, wenn mit dem Aufschub Gefahr verbunden ist; er kann hierbei im eigenen Namen oder im Namen beider Ehegatten handeln. </w:t>
      </w:r>
      <w:r>
        <w:rPr>
          <w:rStyle w:val="Satznummer"/>
        </w:rPr>
        <w:t>2</w:t>
      </w:r>
      <w:r>
        <w:t>Das Gleiche gilt für die Führung eines Rechtsstreits, der sich auf das Gesamtgut bezieht.</w:t>
      </w:r>
    </w:p>
    <w:p>
      <w:pPr>
        <w:pStyle w:val="Heading7"/>
      </w:pPr>
      <w:bookmarkStart w:id="1929" w:name="b1914"/>
      <w:r>
        <w:t>§ 1455 Verwaltungshandlungen ohne Mitwirkung des anderen Ehegatten</w:t>
      </w:r>
      <w:r>
        <w:t xml:space="preserve"> </w:t>
      </w:r>
      <w:r>
        <w:rPr>
          <w:rStyle w:val="Suchmarke"/>
        </w:rPr>
        <w:t>#1455#</w:t>
      </w:r>
      <w:bookmarkEnd w:id="1929"/>
    </w:p>
    <w:p>
      <w:r>
        <w:t>Jeder Ehegatte kann ohne Mitwirkung des anderen Ehegatten</w:t>
      </w:r>
    </w:p>
    <w:p>
      <w:pPr>
        <w:tabs>
          <w:tab w:pos="567" w:val="left"/>
        </w:tabs>
        <w:ind w:left="567" w:hanging="567"/>
      </w:pPr>
      <w:r>
        <w:t>1.</w:t>
      </w:r>
      <w:r>
        <w:tab/>
      </w:r>
      <w:r>
        <w:t>eine ihm angefallene Erbschaft oder ein ihm angefallenes Vermächtnis annehmen oder ausschlagen,</w:t>
      </w:r>
    </w:p>
    <w:p>
      <w:pPr>
        <w:tabs>
          <w:tab w:pos="567" w:val="left"/>
        </w:tabs>
        <w:ind w:left="567" w:hanging="567"/>
      </w:pPr>
      <w:r>
        <w:t>2.</w:t>
      </w:r>
      <w:r>
        <w:tab/>
      </w:r>
      <w:r>
        <w:t>auf seinen Pflichtteil oder auf den Ausgleich eines Zugewinns verzichten,</w:t>
      </w:r>
    </w:p>
    <w:p>
      <w:pPr>
        <w:tabs>
          <w:tab w:pos="567" w:val="left"/>
        </w:tabs>
        <w:ind w:left="567" w:hanging="567"/>
      </w:pPr>
      <w:r>
        <w:t>3.</w:t>
      </w:r>
      <w:r>
        <w:tab/>
      </w:r>
      <w:r>
        <w:t>ein Inventar über eine ihm oder dem anderen Ehegatten angefallene Erbschaft errichten, es sei denn, dass die dem anderen Ehegatten angefallene Erbschaft zu dessen Vorbehaltsgut oder Sondergut gehört,</w:t>
      </w:r>
    </w:p>
    <w:p>
      <w:pPr>
        <w:tabs>
          <w:tab w:pos="567" w:val="left"/>
        </w:tabs>
        <w:ind w:left="567" w:hanging="567"/>
      </w:pPr>
      <w:r>
        <w:t>4.</w:t>
      </w:r>
      <w:r>
        <w:tab/>
      </w:r>
      <w:r>
        <w:t>einen ihm gemachten Vertragsantrag oder eine ihm gemachte Schenkung ablehnen,</w:t>
      </w:r>
    </w:p>
    <w:p>
      <w:pPr>
        <w:tabs>
          <w:tab w:pos="567" w:val="left"/>
        </w:tabs>
        <w:ind w:left="567" w:hanging="567"/>
      </w:pPr>
      <w:r>
        <w:t>5.</w:t>
      </w:r>
      <w:r>
        <w:tab/>
      </w:r>
      <w:r>
        <w:t>ein sich auf das Gesamtgut beziehendes Rechtsgeschäft gegenüber dem anderen Ehegatten vornehmen,</w:t>
      </w:r>
    </w:p>
    <w:p>
      <w:pPr>
        <w:tabs>
          <w:tab w:pos="567" w:val="left"/>
        </w:tabs>
        <w:ind w:left="567" w:hanging="567"/>
      </w:pPr>
      <w:r>
        <w:t>6.</w:t>
      </w:r>
      <w:r>
        <w:tab/>
      </w:r>
      <w:r>
        <w:t>ein zum Gesamtgut gehörendes Recht gegen den anderen Ehegatten gerichtlich geltend machen,</w:t>
      </w:r>
    </w:p>
    <w:p>
      <w:pPr>
        <w:tabs>
          <w:tab w:pos="567" w:val="left"/>
        </w:tabs>
        <w:ind w:left="567" w:hanging="567"/>
      </w:pPr>
      <w:r>
        <w:t>7.</w:t>
      </w:r>
      <w:r>
        <w:tab/>
      </w:r>
      <w:r>
        <w:t>einen Rechtsstreit fortsetzen, der beim Eintritt der Gütergemeinschaft anhängig war,</w:t>
      </w:r>
    </w:p>
    <w:p>
      <w:pPr>
        <w:tabs>
          <w:tab w:pos="567" w:val="left"/>
        </w:tabs>
        <w:ind w:left="567" w:hanging="567"/>
      </w:pPr>
      <w:r>
        <w:t>8.</w:t>
      </w:r>
      <w:r>
        <w:tab/>
      </w:r>
      <w:r>
        <w:t>ein zum Gesamtgut gehörendes Recht gegen einen Dritten gerichtlich geltend machen, wenn der andere Ehegatte ohne die erforderliche Zustimmung über das Recht verfügt hat,</w:t>
      </w:r>
    </w:p>
    <w:p>
      <w:pPr>
        <w:tabs>
          <w:tab w:pos="567" w:val="left"/>
        </w:tabs>
        <w:ind w:left="567" w:hanging="567"/>
      </w:pPr>
      <w:r>
        <w:t>9.</w:t>
      </w:r>
      <w:r>
        <w:tab/>
      </w:r>
      <w:r>
        <w:t>ein Widerspruchsrecht gegenüber einer Zwangsvollstreckung in das Gesamtgut gerichtlich geltend machen,</w:t>
      </w:r>
    </w:p>
    <w:p>
      <w:pPr>
        <w:tabs>
          <w:tab w:pos="567" w:val="left"/>
        </w:tabs>
        <w:ind w:left="567" w:hanging="567"/>
      </w:pPr>
      <w:r>
        <w:t>10.</w:t>
      </w:r>
      <w:r>
        <w:tab/>
      </w:r>
      <w:r>
        <w:t>die zur Erhaltung des Gesamtguts notwendigen Maßnahmen treffen, wenn mit dem Aufschub Gefahr verbunden ist.</w:t>
      </w:r>
    </w:p>
    <w:p>
      <w:pPr>
        <w:pStyle w:val="Heading7"/>
      </w:pPr>
      <w:bookmarkStart w:id="1930" w:name="b1915"/>
      <w:r>
        <w:t>§ 1456 Selbständiges Erwerbsgeschäft</w:t>
      </w:r>
      <w:r>
        <w:t xml:space="preserve"> </w:t>
      </w:r>
      <w:r>
        <w:rPr>
          <w:rStyle w:val="Suchmarke"/>
        </w:rPr>
        <w:t>#1456#</w:t>
      </w:r>
      <w:bookmarkEnd w:id="1930"/>
    </w:p>
    <w:p>
      <w:r>
        <w:t xml:space="preserve">(1) </w:t>
      </w:r>
      <w:r>
        <w:rPr>
          <w:rStyle w:val="Satznummer"/>
        </w:rPr>
        <w:t>1</w:t>
      </w:r>
      <w:r>
        <w:t xml:space="preserve">Hat ein Ehegatte darin eingewilligt, dass der andere Ehegatte selbständig ein Erwerbsgeschäft betreibt, so ist seine Zustimmung zu solchen Rechtsgeschäften und Rechtsstreitigkeiten nicht erforderlich, die der Geschäftsbetrieb mit sich bringt. </w:t>
      </w:r>
      <w:r>
        <w:rPr>
          <w:rStyle w:val="Satznummer"/>
        </w:rPr>
        <w:t>2</w:t>
      </w:r>
      <w:r>
        <w:t>Einseitige Rechtsgeschäfte, die sich auf das Erwerbsgeschäft beziehen, sind dem Ehegatten gegenüber vorzunehmen, der das Erwerbsgeschäft betreibt.</w:t>
      </w:r>
    </w:p>
    <w:p>
      <w:r>
        <w:t>(2) Weiß ein Ehegatte, dass der andere ein Erwerbsgeschäft betreibt, und hat er hiergegen keinen Einspruch eingelegt, so steht dies einer Einwilligung gleich.</w:t>
      </w:r>
    </w:p>
    <w:p>
      <w:r>
        <w:t xml:space="preserve">(3) Dritten gegenüber ist ein Einspruch und der Widerruf der Einwilligung nur nach Maßgabe des </w:t>
      </w:r>
      <w:hyperlink w:anchor="b1866" w:history="1">
        <w:r>
          <w:rPr>
            <w:color w:val="0A3A8C"/>
            <w:u w:val="single"/>
          </w:rPr>
          <w:t xml:space="preserve">§ 1412</w:t>
        </w:r>
      </w:hyperlink>
      <w:r>
        <w:t xml:space="preserve"> wirksam.</w:t>
      </w:r>
    </w:p>
    <w:p>
      <w:pPr>
        <w:pStyle w:val="Heading7"/>
      </w:pPr>
      <w:bookmarkStart w:id="1931" w:name="b1916"/>
      <w:r>
        <w:t>§ 1457 Ungerechtfertigte Bereicherung des Gesamtguts</w:t>
      </w:r>
      <w:r>
        <w:t xml:space="preserve"> </w:t>
      </w:r>
      <w:r>
        <w:rPr>
          <w:rStyle w:val="Suchmarke"/>
        </w:rPr>
        <w:t>#1457#</w:t>
      </w:r>
      <w:bookmarkEnd w:id="1931"/>
    </w:p>
    <w:p>
      <w:r>
        <w:t>Wird durch ein Rechtsgeschäft, das ein Ehegatte ohne die erforderliche Zustimmung des anderen Ehegatten vornimmt, das Gesamtgut bereichert, so ist die Bereicherung nach den Vorschriften über die ungerechtfertigte Bereicherung aus dem Gesamtgut herauszugeben.</w:t>
      </w:r>
    </w:p>
    <w:p>
      <w:pPr>
        <w:pStyle w:val="Heading7"/>
      </w:pPr>
      <w:bookmarkStart w:id="1932" w:name="b1917"/>
      <w:r>
        <w:t>§ 1458 (weggefallen)</w:t>
      </w:r>
      <w:r>
        <w:t xml:space="preserve"> </w:t>
      </w:r>
      <w:r>
        <w:rPr>
          <w:rStyle w:val="Suchmarke"/>
        </w:rPr>
        <w:t>#1458#</w:t>
      </w:r>
      <w:bookmarkEnd w:id="1932"/>
    </w:p>
    <w:p>
      <w:pPr>
        <w:pStyle w:val="Heading7"/>
      </w:pPr>
      <w:bookmarkStart w:id="1933" w:name="b1918"/>
      <w:r>
        <w:t>§ 1459 Gesamtgutsverbindlichkeiten; persönliche Haftung</w:t>
      </w:r>
      <w:r>
        <w:t xml:space="preserve"> </w:t>
      </w:r>
      <w:r>
        <w:rPr>
          <w:rStyle w:val="Suchmarke"/>
        </w:rPr>
        <w:t>#1459#</w:t>
      </w:r>
      <w:bookmarkEnd w:id="1933"/>
    </w:p>
    <w:p>
      <w:r>
        <w:t xml:space="preserve">(1) Die Gläubiger eines Ehegatten können, soweit sich aus den </w:t>
      </w:r>
      <w:hyperlink w:anchor="b1919" w:history="1">
        <w:r>
          <w:rPr>
            <w:color w:val="0A3A8C"/>
            <w:u w:val="single"/>
          </w:rPr>
          <w:t xml:space="preserve">§§ 1460</w:t>
        </w:r>
      </w:hyperlink>
      <w:r>
        <w:t xml:space="preserve"> bis </w:t>
      </w:r>
      <w:hyperlink w:anchor="b1921" w:history="1">
        <w:r>
          <w:rPr>
            <w:color w:val="0A3A8C"/>
            <w:u w:val="single"/>
          </w:rPr>
          <w:t xml:space="preserve">1462</w:t>
        </w:r>
      </w:hyperlink>
      <w:r>
        <w:t xml:space="preserve"> nichts anderes ergibt, aus dem Gesamtgut Befriedigung verlangen (Gesamtgutsverbindlichkeiten).</w:t>
      </w:r>
    </w:p>
    <w:p>
      <w:r>
        <w:t xml:space="preserve">(2) </w:t>
      </w:r>
      <w:r>
        <w:rPr>
          <w:rStyle w:val="Satznummer"/>
        </w:rPr>
        <w:t>1</w:t>
      </w:r>
      <w:r>
        <w:t xml:space="preserve">Für die Gesamtgutsverbindlichkeiten haften die Ehegatten auch persönlich als Gesamtschuldner. </w:t>
      </w:r>
      <w:r>
        <w:rPr>
          <w:rStyle w:val="Satznummer"/>
        </w:rPr>
        <w:t>2</w:t>
      </w:r>
      <w:r>
        <w:t>Fallen die Verbindlichkeiten im Verhältnis der Ehegatten zueinander einem der Ehegatten zur Last, so erlischt die Verbindlichkeit des anderen Ehegatten mit der Beendigung der Gütergemeinschaft.</w:t>
      </w:r>
    </w:p>
    <w:p>
      <w:pPr>
        <w:pStyle w:val="Heading7"/>
      </w:pPr>
      <w:bookmarkStart w:id="1934" w:name="b1919"/>
      <w:r>
        <w:t>§ 1460 Haftung des Gesamtguts</w:t>
      </w:r>
      <w:r>
        <w:t xml:space="preserve"> </w:t>
      </w:r>
      <w:r>
        <w:rPr>
          <w:rStyle w:val="Suchmarke"/>
        </w:rPr>
        <w:t>#1460#</w:t>
      </w:r>
      <w:bookmarkEnd w:id="1934"/>
    </w:p>
    <w:p>
      <w:r>
        <w:t>(1) Das Gesamtgut haftet für eine Verbindlichkeit aus einem Rechtsgeschäft, das ein Ehegatte während der Gütergemeinschaft vornimmt, nur dann, wenn der andere Ehegatte dem Rechtsgeschäft zustimmt oder wenn das Rechtsgeschäft ohne seine Zustimmung für das Gesamtgut wirksam ist.</w:t>
      </w:r>
    </w:p>
    <w:p>
      <w:r>
        <w:t>(2) Für die Kosten eines Rechtsstreits haftet das Gesamtgut auch dann, wenn das Urteil dem Gesamtgut gegenüber nicht wirksam ist.</w:t>
      </w:r>
    </w:p>
    <w:p>
      <w:pPr>
        <w:pStyle w:val="Heading7"/>
      </w:pPr>
      <w:bookmarkStart w:id="1935" w:name="b1920"/>
      <w:r>
        <w:t>§ 1461 Keine Haftung bei Erwerb einer Erbschaft</w:t>
      </w:r>
      <w:r>
        <w:t xml:space="preserve"> </w:t>
      </w:r>
      <w:r>
        <w:rPr>
          <w:rStyle w:val="Suchmarke"/>
        </w:rPr>
        <w:t>#1461#</w:t>
      </w:r>
      <w:bookmarkEnd w:id="1935"/>
    </w:p>
    <w:p>
      <w:r>
        <w:t>Das Gesamtgut haftet nicht für Verbindlichkeiten eines Ehegatten, die durch den Erwerb einer Erbschaft oder eines Vermächtnisses entstehen, wenn der Ehegatte die Erbschaft oder das Vermächtnis während der Gütergemeinschaft als Vorbehaltsgut oder als Sondergut erwirbt.</w:t>
      </w:r>
    </w:p>
    <w:p>
      <w:pPr>
        <w:pStyle w:val="Heading7"/>
      </w:pPr>
      <w:bookmarkStart w:id="1936" w:name="b1921"/>
      <w:r>
        <w:t>§ 1462 Haftung für Vorbehalts- oder Sondergut</w:t>
      </w:r>
      <w:r>
        <w:t xml:space="preserve"> </w:t>
      </w:r>
      <w:r>
        <w:rPr>
          <w:rStyle w:val="Suchmarke"/>
        </w:rPr>
        <w:t>#1462#</w:t>
      </w:r>
      <w:bookmarkEnd w:id="1936"/>
    </w:p>
    <w:p>
      <w:r>
        <w:rPr>
          <w:rStyle w:val="Satznummer"/>
        </w:rPr>
        <w:t>1</w:t>
      </w:r>
      <w:r>
        <w:t xml:space="preserve">Das Gesamtgut haftet nicht für eine Verbindlichkeit eines Ehegatten, die während der Gütergemeinschaft infolge eines zum Vorbehaltsgut oder zum Sondergut gehörenden Rechts oder des Besitzes einer dazu gehörenden Sache entsteht. </w:t>
      </w:r>
      <w:r>
        <w:rPr>
          <w:rStyle w:val="Satznummer"/>
        </w:rPr>
        <w:t>2</w:t>
      </w:r>
      <w:r>
        <w:t>Das Gesamtgut haftet jedoch, wenn das Recht oder die Sache zu einem Erwerbsgeschäft gehört, das ein Ehegatte mit Einwilligung des anderen Ehegatten selbständig betreibt, oder wenn die Verbindlichkeit zu den Lasten des Sonderguts gehört, die aus den Einkünften beglichen zu werden pflegen.</w:t>
      </w:r>
    </w:p>
    <w:p>
      <w:pPr>
        <w:pStyle w:val="Heading7"/>
      </w:pPr>
      <w:bookmarkStart w:id="1937" w:name="b1922"/>
      <w:r>
        <w:t>§ 1463 Haftung im Innenverhältnis</w:t>
      </w:r>
      <w:r>
        <w:t xml:space="preserve"> </w:t>
      </w:r>
      <w:r>
        <w:rPr>
          <w:rStyle w:val="Suchmarke"/>
        </w:rPr>
        <w:t>#1463#</w:t>
      </w:r>
      <w:bookmarkEnd w:id="1937"/>
    </w:p>
    <w:p>
      <w:r>
        <w:t>Im Verhältnis der Ehegatten zueinander fallen folgende Gesamtgutsverbindlichkeiten dem Ehegatten zur Last, in dessen Person sie entstehen:</w:t>
      </w:r>
    </w:p>
    <w:p>
      <w:pPr>
        <w:tabs>
          <w:tab w:pos="567" w:val="left"/>
        </w:tabs>
        <w:ind w:left="567" w:hanging="567"/>
      </w:pPr>
      <w:r>
        <w:t>1.</w:t>
      </w:r>
      <w:r>
        <w:tab/>
      </w:r>
      <w:r>
        <w:t>die Verbindlichkeiten aus einer unerlaubten Handlung, die er nach Eintritt der Gütergemeinschaft begeht, oder aus einem Strafverfahren, das wegen einer solchen Handlung gegen ihn gerichtet wird,</w:t>
      </w:r>
    </w:p>
    <w:p>
      <w:pPr>
        <w:tabs>
          <w:tab w:pos="567" w:val="left"/>
        </w:tabs>
        <w:ind w:left="567" w:hanging="567"/>
      </w:pPr>
      <w:r>
        <w:t>2.</w:t>
      </w:r>
      <w:r>
        <w:tab/>
      </w:r>
      <w:r>
        <w:t>die Verbindlichkeiten aus einem sich auf sein Vorbehaltsgut oder sein Sondergut beziehenden Rechtsverhältnis, auch wenn sie vor Eintritt der Gütergemeinschaft oder vor der Zeit entstanden sind, zu der das Gut Vorbehaltsgut oder Sondergut geworden ist,</w:t>
      </w:r>
    </w:p>
    <w:p>
      <w:pPr>
        <w:tabs>
          <w:tab w:pos="567" w:val="left"/>
        </w:tabs>
        <w:ind w:left="567" w:hanging="567"/>
      </w:pPr>
      <w:r>
        <w:t>3.</w:t>
      </w:r>
      <w:r>
        <w:tab/>
      </w:r>
      <w:r>
        <w:t>die Kosten eines Rechtsstreits über eine der in den Nummern 1 und 2 bezeichneten Verbindlichkeiten.</w:t>
      </w:r>
    </w:p>
    <w:p>
      <w:pPr>
        <w:pStyle w:val="Heading7"/>
      </w:pPr>
      <w:bookmarkStart w:id="1938" w:name="b1923"/>
      <w:r>
        <w:t>§ 1464 Verbindlichkeiten des Sonderguts und eines Erwerbsgeschäfts</w:t>
      </w:r>
      <w:r>
        <w:t xml:space="preserve"> </w:t>
      </w:r>
      <w:r>
        <w:rPr>
          <w:rStyle w:val="Suchmarke"/>
        </w:rPr>
        <w:t>#1464#</w:t>
      </w:r>
      <w:bookmarkEnd w:id="1938"/>
    </w:p>
    <w:p>
      <w:r>
        <w:rPr>
          <w:rStyle w:val="Satznummer"/>
        </w:rPr>
        <w:t>1</w:t>
      </w:r>
      <w:r>
        <w:t xml:space="preserve">Die Vorschrift des </w:t>
      </w:r>
      <w:hyperlink w:anchor="b1922" w:history="1">
        <w:r>
          <w:rPr>
            <w:color w:val="0A3A8C"/>
            <w:u w:val="single"/>
          </w:rPr>
          <w:t xml:space="preserve">§ 1463</w:t>
        </w:r>
      </w:hyperlink>
      <w:r>
        <w:t xml:space="preserve"> Nr. 2, 3 gilt nicht, wenn die Verbindlichkeiten zu den Lasten des Sonderguts gehören, die aus den Einkünften beglichen zu werden pflegen. </w:t>
      </w:r>
      <w:r>
        <w:rPr>
          <w:rStyle w:val="Satznummer"/>
        </w:rPr>
        <w:t>2</w:t>
      </w:r>
      <w:r>
        <w:t>Die Vorschrift gilt auch dann nicht, wenn die Verbindlichkeiten durch den Betrieb eines für Rechnung des Gesamtguts geführten Erwerbsgeschäfts oder infolge eines zu einem solchen Erwerbsgeschäft gehörenden Rechts oder des Besitzes einer dazu gehörenden Sache entstehen.</w:t>
      </w:r>
    </w:p>
    <w:p>
      <w:pPr>
        <w:pStyle w:val="Heading7"/>
      </w:pPr>
      <w:bookmarkStart w:id="1939" w:name="b1924"/>
      <w:r>
        <w:t>§ 1465 Prozesskosten</w:t>
      </w:r>
      <w:r>
        <w:t xml:space="preserve"> </w:t>
      </w:r>
      <w:r>
        <w:rPr>
          <w:rStyle w:val="Suchmarke"/>
        </w:rPr>
        <w:t>#1465#</w:t>
      </w:r>
      <w:bookmarkEnd w:id="1939"/>
    </w:p>
    <w:p>
      <w:r>
        <w:t>(1) Im Verhältnis der Ehegatten zueinander fallen die Kosten eines Rechtsstreits, den die Ehegatten miteinander führen, dem Ehegatten zur Last, der sie nach allgemeinen Vorschriften zu tragen hat.</w:t>
      </w:r>
    </w:p>
    <w:p>
      <w:r>
        <w:t xml:space="preserve">(2) </w:t>
      </w:r>
      <w:r>
        <w:rPr>
          <w:rStyle w:val="Satznummer"/>
        </w:rPr>
        <w:t>1</w:t>
      </w:r>
      <w:r>
        <w:t xml:space="preserve">Führt ein Ehegatte einen Rechtsstreit mit einem Dritten, so fallen die Kosten des Rechtsstreits im Verhältnis der Ehegatten zueinander dem Ehegatten zur Last, der den Rechtsstreit führt. </w:t>
      </w:r>
      <w:r>
        <w:rPr>
          <w:rStyle w:val="Satznummer"/>
        </w:rPr>
        <w:t>2</w:t>
      </w:r>
      <w:r>
        <w:t xml:space="preserve">Die Kosten fallen jedoch dem Gesamtgut zur Last, wenn das Urteil dem Gesamtgut gegenüber wirksam ist oder wenn der Rechtsstreit eine persönliche Angelegenheit oder eine Gesamtgutsverbindlichkeit des Ehegatten betrifft und die Aufwendung der Kosten den Umständen nach geboten ist; </w:t>
      </w:r>
      <w:hyperlink w:anchor="b1922" w:history="1">
        <w:r>
          <w:rPr>
            <w:color w:val="0A3A8C"/>
            <w:u w:val="single"/>
          </w:rPr>
          <w:t xml:space="preserve">§ 1463</w:t>
        </w:r>
      </w:hyperlink>
      <w:r>
        <w:t xml:space="preserve"> Nr. 3 und </w:t>
      </w:r>
      <w:hyperlink w:anchor="b1923" w:history="1">
        <w:r>
          <w:rPr>
            <w:color w:val="0A3A8C"/>
            <w:u w:val="single"/>
          </w:rPr>
          <w:t xml:space="preserve">§ 1464</w:t>
        </w:r>
      </w:hyperlink>
      <w:r>
        <w:t xml:space="preserve"> bleiben unberührt.</w:t>
      </w:r>
    </w:p>
    <w:p>
      <w:pPr>
        <w:pStyle w:val="Heading7"/>
      </w:pPr>
      <w:bookmarkStart w:id="1940" w:name="b1925"/>
      <w:r>
        <w:t>§ 1466 Kosten der Ausstattung eines nicht gemeinschaftlichen Kindes</w:t>
      </w:r>
      <w:r>
        <w:t xml:space="preserve"> </w:t>
      </w:r>
      <w:r>
        <w:rPr>
          <w:rStyle w:val="Suchmarke"/>
        </w:rPr>
        <w:t>#1466#</w:t>
      </w:r>
      <w:bookmarkEnd w:id="1940"/>
    </w:p>
    <w:p>
      <w:r>
        <w:t>Im Verhältnis der Ehegatten zueinander fallen die Kosten der Ausstattung eines nicht gemeinschaftlichen Kindes dem Vater oder der Mutter des Kindes zur Last.</w:t>
      </w:r>
    </w:p>
    <w:p>
      <w:pPr>
        <w:pStyle w:val="Heading7"/>
      </w:pPr>
      <w:bookmarkStart w:id="1941" w:name="b1926"/>
      <w:r>
        <w:t>§ 1467 Ausgleichung zwischen Vorbehalts-, Sonder- und Gesamtgut</w:t>
      </w:r>
      <w:r>
        <w:t xml:space="preserve"> </w:t>
      </w:r>
      <w:r>
        <w:rPr>
          <w:rStyle w:val="Suchmarke"/>
        </w:rPr>
        <w:t>#1467#</w:t>
      </w:r>
      <w:bookmarkEnd w:id="1941"/>
    </w:p>
    <w:p>
      <w:r>
        <w:t>(1) Verwendet ein Ehegatte Gesamtgut in sein Vorbehaltsgut oder in sein Sondergut, so hat er den Wert des Verwendeten zum Gesamtgut zu ersetzen.</w:t>
      </w:r>
    </w:p>
    <w:p>
      <w:r>
        <w:t>(2) Verwendet ein Ehegatte Vorbehaltsgut oder Sondergut in das Gesamtgut, so kann er Ersatz aus dem Gesamtgut verlangen.</w:t>
      </w:r>
    </w:p>
    <w:p>
      <w:pPr>
        <w:pStyle w:val="Heading7"/>
      </w:pPr>
      <w:bookmarkStart w:id="1942" w:name="b1927"/>
      <w:r>
        <w:t>§ 1468 Fälligkeit des Ausgleichsanspruchs</w:t>
      </w:r>
      <w:r>
        <w:t xml:space="preserve"> </w:t>
      </w:r>
      <w:r>
        <w:rPr>
          <w:rStyle w:val="Suchmarke"/>
        </w:rPr>
        <w:t>#1468#</w:t>
      </w:r>
      <w:bookmarkEnd w:id="1942"/>
    </w:p>
    <w:p>
      <w:r>
        <w:t>Was ein Ehegatte zum Gesamtgut oder was er zum Vorbehaltsgut oder Sondergut des anderen Ehegatten schuldet, braucht er erst nach Beendigung der Gütergemeinschaft zu leisten; soweit jedoch das Vorbehaltsgut und das Sondergut des Schuldners ausreichen, hat er die Schuld schon vorher zu berichtigen.</w:t>
      </w:r>
    </w:p>
    <w:p>
      <w:pPr>
        <w:pStyle w:val="Heading7"/>
      </w:pPr>
      <w:bookmarkStart w:id="1943" w:name="b1928"/>
      <w:r>
        <w:t>§ 1469 Aufhebungsantrag</w:t>
      </w:r>
      <w:r>
        <w:t xml:space="preserve"> </w:t>
      </w:r>
      <w:r>
        <w:rPr>
          <w:rStyle w:val="Suchmarke"/>
        </w:rPr>
        <w:t>#1469#</w:t>
      </w:r>
      <w:bookmarkEnd w:id="1943"/>
    </w:p>
    <w:p>
      <w:r>
        <w:t>Jeder Ehegatte kann die Aufhebung der Gütergemeinschaft beantragen,</w:t>
      </w:r>
    </w:p>
    <w:p>
      <w:pPr>
        <w:tabs>
          <w:tab w:pos="567" w:val="left"/>
        </w:tabs>
        <w:ind w:left="567" w:hanging="567"/>
      </w:pPr>
      <w:r>
        <w:t>1.</w:t>
      </w:r>
      <w:r>
        <w:tab/>
      </w:r>
      <w:r>
        <w:t>wenn seine Rechte für die Zukunft dadurch erheblich gefährdet werden können, dass der andere Ehegatte ohne seine Mitwirkung Verwaltungshandlungen vornimmt, die nur gemeinschaftlich vorgenommen werden dürfen,</w:t>
      </w:r>
    </w:p>
    <w:p>
      <w:pPr>
        <w:tabs>
          <w:tab w:pos="567" w:val="left"/>
        </w:tabs>
        <w:ind w:left="567" w:hanging="567"/>
      </w:pPr>
      <w:r>
        <w:t>2.</w:t>
      </w:r>
      <w:r>
        <w:tab/>
      </w:r>
      <w:r>
        <w:t>wenn der andere Ehegatte sich ohne ausreichenden Grund beharrlich weigert, zur ordnungsmäßigen Verwaltung des Gesamtguts mitzuwirken,</w:t>
      </w:r>
    </w:p>
    <w:p>
      <w:pPr>
        <w:tabs>
          <w:tab w:pos="567" w:val="left"/>
        </w:tabs>
        <w:ind w:left="567" w:hanging="567"/>
      </w:pPr>
      <w:r>
        <w:t>3.</w:t>
      </w:r>
      <w:r>
        <w:tab/>
      </w:r>
      <w:r>
        <w:t>wenn der andere Ehegatte seine Verpflichtung, zum Familienunterhalt beizutragen, verletzt hat und für die Zukunft eine erhebliche Gefährdung des Unterhalts zu besorgen ist,</w:t>
      </w:r>
    </w:p>
    <w:p>
      <w:pPr>
        <w:tabs>
          <w:tab w:pos="567" w:val="left"/>
        </w:tabs>
        <w:ind w:left="567" w:hanging="567"/>
      </w:pPr>
      <w:r>
        <w:t>4.</w:t>
      </w:r>
      <w:r>
        <w:tab/>
      </w:r>
      <w:r>
        <w:t>wenn das Gesamtgut durch Verbindlichkeiten, die in der Person des anderen Ehegatten entstanden sind und diesem im Verhältnis der Ehegatten zueinander zur Last fallen, in solchem Maße überschuldet ist, dass sein späterer Erwerb erheblich gefährdet wird,</w:t>
      </w:r>
    </w:p>
    <w:p>
      <w:pPr>
        <w:tabs>
          <w:tab w:pos="567" w:val="left"/>
        </w:tabs>
        <w:ind w:left="567" w:hanging="567"/>
      </w:pPr>
      <w:r>
        <w:t>5.</w:t>
      </w:r>
      <w:r>
        <w:tab/>
      </w:r>
      <w:r>
        <w:t>wenn die Wahrnehmung eines Rechts des anderen Ehegatten, das sich aus der Gütergemeinschaft ergibt, vom Aufgabenkreis eines Betreuers erfasst wird.</w:t>
      </w:r>
    </w:p>
    <w:p>
      <w:pPr>
        <w:pStyle w:val="Heading7"/>
      </w:pPr>
      <w:bookmarkStart w:id="1944" w:name="b1929"/>
      <w:r>
        <w:t>§ 1470 Wirkung der richterlichen Aufhebungsentscheidung</w:t>
      </w:r>
      <w:r>
        <w:t xml:space="preserve"> </w:t>
      </w:r>
      <w:r>
        <w:rPr>
          <w:rStyle w:val="Suchmarke"/>
        </w:rPr>
        <w:t>#1470#</w:t>
      </w:r>
      <w:bookmarkEnd w:id="1944"/>
    </w:p>
    <w:p>
      <w:r>
        <w:t>(1) Mit der Rechtskraft der richterlichen Entscheidung ist die Gütergemeinschaft aufgehoben; für die Zukunft gilt Gütertrennung.</w:t>
      </w:r>
    </w:p>
    <w:p>
      <w:r>
        <w:t xml:space="preserve">(2) Dritten gegenüber ist die Aufhebung der Gütergemeinschaft nur nach Maßgabe des </w:t>
      </w:r>
      <w:hyperlink w:anchor="b1866" w:history="1">
        <w:r>
          <w:rPr>
            <w:color w:val="0A3A8C"/>
            <w:u w:val="single"/>
          </w:rPr>
          <w:t xml:space="preserve">§ 1412</w:t>
        </w:r>
      </w:hyperlink>
      <w:r>
        <w:t xml:space="preserve"> wirksam.</w:t>
      </w:r>
    </w:p>
    <w:p>
      <w:pPr>
        <w:pStyle w:val="Heading6"/>
      </w:pPr>
      <w:bookmarkStart w:id="1945" w:name="b1930"/>
      <w:r>
        <w:t>Unterkapitel 4 Auseinandersetzung des Gesamtguts</w:t>
      </w:r>
      <w:bookmarkEnd w:id="1945"/>
    </w:p>
    <w:p>
      <w:pPr>
        <w:pStyle w:val="Heading7"/>
      </w:pPr>
      <w:bookmarkStart w:id="1946" w:name="b1931"/>
      <w:r>
        <w:t>§ 1471 Beginn der Auseinandersetzung</w:t>
      </w:r>
      <w:r>
        <w:t xml:space="preserve"> </w:t>
      </w:r>
      <w:r>
        <w:rPr>
          <w:rStyle w:val="Suchmarke"/>
        </w:rPr>
        <w:t>#1471#</w:t>
      </w:r>
      <w:bookmarkEnd w:id="1946"/>
    </w:p>
    <w:p>
      <w:r>
        <w:t>(1) Nach der Beendigung der Gütergemeinschaft setzen sich die Ehegatten über das Gesamtgut auseinander.</w:t>
      </w:r>
    </w:p>
    <w:p>
      <w:r>
        <w:t xml:space="preserve">(2) Bis zur Auseinandersetzung gilt für das Gesamtgut die Vorschrift des </w:t>
      </w:r>
      <w:hyperlink w:anchor="b1876" w:history="1">
        <w:r>
          <w:rPr>
            <w:color w:val="0A3A8C"/>
            <w:u w:val="single"/>
          </w:rPr>
          <w:t xml:space="preserve">§ 1419</w:t>
        </w:r>
      </w:hyperlink>
      <w:r>
        <w:t>.</w:t>
      </w:r>
    </w:p>
    <w:p>
      <w:pPr>
        <w:pStyle w:val="Heading7"/>
      </w:pPr>
      <w:bookmarkStart w:id="1947" w:name="b1932"/>
      <w:r>
        <w:t>§ 1472 Gemeinschaftliche Verwaltung des Gesamtguts</w:t>
      </w:r>
      <w:r>
        <w:t xml:space="preserve"> </w:t>
      </w:r>
      <w:r>
        <w:rPr>
          <w:rStyle w:val="Suchmarke"/>
        </w:rPr>
        <w:t>#1472#</w:t>
      </w:r>
      <w:bookmarkEnd w:id="1947"/>
    </w:p>
    <w:p>
      <w:r>
        <w:t>(1) Bis zur Auseinandersetzung verwalten die Ehegatten das Gesamtgut gemeinschaftlich.</w:t>
      </w:r>
    </w:p>
    <w:p>
      <w:r>
        <w:t xml:space="preserve">(2) </w:t>
      </w:r>
      <w:r>
        <w:rPr>
          <w:rStyle w:val="Satznummer"/>
        </w:rPr>
        <w:t>1</w:t>
      </w:r>
      <w:r>
        <w:t xml:space="preserve">Jeder Ehegatte darf das Gesamtgut in derselben Weise wie vor der Beendigung der Gütergemeinschaft verwalten, bis er von der Beendigung Kenntnis erlangt oder sie kennen muss. </w:t>
      </w:r>
      <w:r>
        <w:rPr>
          <w:rStyle w:val="Satznummer"/>
        </w:rPr>
        <w:t>2</w:t>
      </w:r>
      <w:r>
        <w:t>Ein Dritter kann sich hierauf nicht berufen, wenn er bei der Vornahme eines Rechtsgeschäfts weiß oder wissen muss, dass die Gütergemeinschaft beendet ist.</w:t>
      </w:r>
    </w:p>
    <w:p>
      <w:r>
        <w:t>(3) Jeder Ehegatte ist dem anderen gegenüber verpflichtet, zu Maßregeln mitzuwirken, die zur ordnungsmäßigen Verwaltung des Gesamtguts erforderlich sind; die zur Erhaltung notwendigen Maßregeln kann jeder Ehegatte allein treffen.</w:t>
      </w:r>
    </w:p>
    <w:p>
      <w:r>
        <w:t xml:space="preserve">(4) </w:t>
      </w:r>
      <w:r>
        <w:rPr>
          <w:rStyle w:val="Satznummer"/>
        </w:rPr>
        <w:t>1</w:t>
      </w:r>
      <w:r>
        <w:t xml:space="preserve">Endet die Gütergemeinschaft durch den Tod eines Ehegatten, so hat der überlebende Ehegatte die Geschäfte, die zur ordnungsmäßigen Verwaltung erforderlich sind und nicht ohne Gefahr aufgeschoben werden können, so lange zu führen, bis der Erbe anderweit Fürsorge treffen kann. </w:t>
      </w:r>
      <w:r>
        <w:rPr>
          <w:rStyle w:val="Satznummer"/>
        </w:rPr>
        <w:t>2</w:t>
      </w:r>
      <w:r>
        <w:t>Diese Verpflichtung besteht nicht, wenn der verstorbene Ehegatte das Gesamtgut allein verwaltet hat.</w:t>
      </w:r>
    </w:p>
    <w:p>
      <w:pPr>
        <w:pStyle w:val="Heading7"/>
      </w:pPr>
      <w:bookmarkStart w:id="1948" w:name="b1933"/>
      <w:r>
        <w:t>§ 1473 Unmittelbare Ersetzung</w:t>
      </w:r>
      <w:r>
        <w:t xml:space="preserve"> </w:t>
      </w:r>
      <w:r>
        <w:rPr>
          <w:rStyle w:val="Suchmarke"/>
        </w:rPr>
        <w:t>#1473#</w:t>
      </w:r>
      <w:bookmarkEnd w:id="1948"/>
    </w:p>
    <w:p>
      <w:r>
        <w:t>(1) Was auf Grund eines zum Gesamtgut gehörenden Rechts oder als Ersatz für die Zerstörung, Beschädigung oder Entziehung eines zum Gesamtgut gehörenden Gegenstands oder durch ein Rechtsgeschäft erworben wird, das sich auf das Gesamtgut bezieht, wird Gesamtgut.</w:t>
      </w:r>
    </w:p>
    <w:p>
      <w:r>
        <w:t xml:space="preserve">(2) Gehört eine Forderung, die durch Rechtsgeschäft erworben ist, zum Gesamtgut, so braucht der Schuldner dies erst dann gegen sich gelten zu lassen, wenn er erfährt, dass die Forderung zum Gesamtgut gehört; die Vorschriften der </w:t>
      </w:r>
      <w:hyperlink w:anchor="b529" w:history="1">
        <w:r>
          <w:rPr>
            <w:color w:val="0A3A8C"/>
            <w:u w:val="single"/>
          </w:rPr>
          <w:t xml:space="preserve">§§ 406</w:t>
        </w:r>
      </w:hyperlink>
      <w:r>
        <w:t xml:space="preserve"> bis </w:t>
      </w:r>
      <w:hyperlink w:anchor="b531" w:history="1">
        <w:r>
          <w:rPr>
            <w:color w:val="0A3A8C"/>
            <w:u w:val="single"/>
          </w:rPr>
          <w:t xml:space="preserve">408</w:t>
        </w:r>
      </w:hyperlink>
      <w:r>
        <w:t xml:space="preserve"> sind entsprechend anzuwenden.</w:t>
      </w:r>
    </w:p>
    <w:p>
      <w:pPr>
        <w:pStyle w:val="Heading7"/>
      </w:pPr>
      <w:bookmarkStart w:id="1949" w:name="b1934"/>
      <w:r>
        <w:t>§ 1474 Durchführung der Auseinandersetzung</w:t>
      </w:r>
      <w:r>
        <w:t xml:space="preserve"> </w:t>
      </w:r>
      <w:r>
        <w:rPr>
          <w:rStyle w:val="Suchmarke"/>
        </w:rPr>
        <w:t>#1474#</w:t>
      </w:r>
      <w:bookmarkEnd w:id="1949"/>
    </w:p>
    <w:p>
      <w:r>
        <w:t xml:space="preserve">Die Ehegatten setzen sich, soweit sie nichts anderes vereinbaren, nach den </w:t>
      </w:r>
      <w:hyperlink w:anchor="b1935" w:history="1">
        <w:r>
          <w:rPr>
            <w:color w:val="0A3A8C"/>
            <w:u w:val="single"/>
          </w:rPr>
          <w:t xml:space="preserve">§§ 1475</w:t>
        </w:r>
      </w:hyperlink>
      <w:r>
        <w:t xml:space="preserve"> bis </w:t>
      </w:r>
      <w:hyperlink w:anchor="b1941" w:history="1">
        <w:r>
          <w:rPr>
            <w:color w:val="0A3A8C"/>
            <w:u w:val="single"/>
          </w:rPr>
          <w:t xml:space="preserve">1481</w:t>
        </w:r>
      </w:hyperlink>
      <w:r>
        <w:t xml:space="preserve"> auseinander.</w:t>
      </w:r>
    </w:p>
    <w:p>
      <w:pPr>
        <w:pStyle w:val="Heading7"/>
      </w:pPr>
      <w:bookmarkStart w:id="1950" w:name="b1935"/>
      <w:r>
        <w:t>§ 1475 Berichtigung der Gesamtgutsverbindlichkeiten</w:t>
      </w:r>
      <w:r>
        <w:t xml:space="preserve"> </w:t>
      </w:r>
      <w:r>
        <w:rPr>
          <w:rStyle w:val="Suchmarke"/>
        </w:rPr>
        <w:t>#1475#</w:t>
      </w:r>
      <w:bookmarkEnd w:id="1950"/>
    </w:p>
    <w:p>
      <w:r>
        <w:t xml:space="preserve">(1) </w:t>
      </w:r>
      <w:r>
        <w:rPr>
          <w:rStyle w:val="Satznummer"/>
        </w:rPr>
        <w:t>1</w:t>
      </w:r>
      <w:r>
        <w:t xml:space="preserve">Die Ehegatten haben zunächst die Gesamtgutsverbindlichkeiten zu berichtigen. </w:t>
      </w:r>
      <w:r>
        <w:rPr>
          <w:rStyle w:val="Satznummer"/>
        </w:rPr>
        <w:t>2</w:t>
      </w:r>
      <w:r>
        <w:t>Ist eine Verbindlichkeit noch nicht fällig oder ist sie streitig, so müssen die Ehegatten zurückbehalten, was zur Berichtigung dieser Verbindlichkeit erforderlich ist.</w:t>
      </w:r>
    </w:p>
    <w:p>
      <w:r>
        <w:t>(2) Fällt eine Gesamtgutsverbindlichkeit im Verhältnis der Ehegatten zueinander einem der Ehegatten allein zur Last, so kann dieser nicht verlangen, dass die Verbindlichkeit aus dem Gesamtgut berichtigt wird.</w:t>
      </w:r>
    </w:p>
    <w:p>
      <w:r>
        <w:t>(3) Das Gesamtgut ist in Geld umzusetzen, soweit dies erforderlich ist, um die Gesamtgutsverbindlichkeiten zu berichtigen.</w:t>
      </w:r>
    </w:p>
    <w:p>
      <w:pPr>
        <w:pStyle w:val="Heading7"/>
      </w:pPr>
      <w:bookmarkStart w:id="1951" w:name="b1936"/>
      <w:r>
        <w:t>§ 1476 Teilung des Überschusses</w:t>
      </w:r>
      <w:r>
        <w:t xml:space="preserve"> </w:t>
      </w:r>
      <w:r>
        <w:rPr>
          <w:rStyle w:val="Suchmarke"/>
        </w:rPr>
        <w:t>#1476#</w:t>
      </w:r>
      <w:bookmarkEnd w:id="1951"/>
    </w:p>
    <w:p>
      <w:r>
        <w:t>(1) Der Überschuss, der nach der Berichtigung der Gesamtgutsverbindlichkeiten verbleibt, gebührt den Ehegatten zu gleichen Teilen.</w:t>
      </w:r>
    </w:p>
    <w:p>
      <w:r>
        <w:t xml:space="preserve">(2) </w:t>
      </w:r>
      <w:r>
        <w:rPr>
          <w:rStyle w:val="Satznummer"/>
        </w:rPr>
        <w:t>1</w:t>
      </w:r>
      <w:r>
        <w:t xml:space="preserve">Was einer der Ehegatten zum Gesamtgut zu ersetzen hat, muss er sich auf seinen Teil anrechnen lassen. </w:t>
      </w:r>
      <w:r>
        <w:rPr>
          <w:rStyle w:val="Satznummer"/>
        </w:rPr>
        <w:t>2</w:t>
      </w:r>
      <w:r>
        <w:t>Soweit er den Ersatz nicht auf diese Weise leistet, bleibt er dem anderen Ehegatten verpflichtet.</w:t>
      </w:r>
    </w:p>
    <w:p>
      <w:pPr>
        <w:pStyle w:val="Heading7"/>
      </w:pPr>
      <w:bookmarkStart w:id="1952" w:name="b1937"/>
      <w:r>
        <w:t>§ 1477 Durchführung der Teilung</w:t>
      </w:r>
      <w:r>
        <w:t xml:space="preserve"> </w:t>
      </w:r>
      <w:r>
        <w:rPr>
          <w:rStyle w:val="Suchmarke"/>
        </w:rPr>
        <w:t>#1477#</w:t>
      </w:r>
      <w:bookmarkEnd w:id="1952"/>
    </w:p>
    <w:p>
      <w:r>
        <w:t>(1) Der Überschuss wird nach den Vorschriften über die Gemeinschaft geteilt.</w:t>
      </w:r>
    </w:p>
    <w:p>
      <w:r>
        <w:t xml:space="preserve">(2) </w:t>
      </w:r>
      <w:r>
        <w:rPr>
          <w:rStyle w:val="Satznummer"/>
        </w:rPr>
        <w:t>1</w:t>
      </w:r>
      <w:r>
        <w:t xml:space="preserve">Jeder Ehegatte kann gegen Ersatz des Wertes die Sachen übernehmen, die ausschließlich zu seinem persönlichen Gebrauch bestimmt sind, insbesondere Kleider, Schmucksachen und Arbeitsgeräte. </w:t>
      </w:r>
      <w:r>
        <w:rPr>
          <w:rStyle w:val="Satznummer"/>
        </w:rPr>
        <w:t>2</w:t>
      </w:r>
      <w:r>
        <w:t>Das Gleiche gilt für die Gegenstände, die ein Ehegatte in die Gütergemeinschaft eingebracht oder während der Gütergemeinschaft durch Erbfolge, durch Vermächtnis oder mit Rücksicht auf ein künftiges Erbrecht, durch Schenkung oder als Ausstattung erworben hat.</w:t>
      </w:r>
    </w:p>
    <w:p>
      <w:pPr>
        <w:pStyle w:val="Heading7"/>
      </w:pPr>
      <w:bookmarkStart w:id="1953" w:name="b1938"/>
      <w:r>
        <w:t>§ 1478 Auseinandersetzung nach Scheidung</w:t>
      </w:r>
      <w:r>
        <w:t xml:space="preserve"> </w:t>
      </w:r>
      <w:r>
        <w:rPr>
          <w:rStyle w:val="Suchmarke"/>
        </w:rPr>
        <w:t>#1478#</w:t>
      </w:r>
      <w:bookmarkEnd w:id="1953"/>
    </w:p>
    <w:p>
      <w:r>
        <w:t>(1) Ist die Ehe geschieden, bevor die Auseinandersetzung beendet ist, so ist auf Verlangen eines Ehegatten jedem von ihnen der Wert dessen zurückzuerstatten, was er in die Gütergemeinschaft eingebracht hat; reicht hierzu der Wert des Gesamtguts nicht aus, so ist der Fehlbetrag von den Ehegatten nach dem Verhältnis des Wertes des von ihnen Eingebrachten zu tragen.</w:t>
      </w:r>
    </w:p>
    <w:p>
      <w:r>
        <w:t>(2) Als eingebracht sind anzusehen</w:t>
      </w:r>
    </w:p>
    <w:p>
      <w:pPr>
        <w:tabs>
          <w:tab w:pos="567" w:val="left"/>
        </w:tabs>
        <w:ind w:left="567" w:hanging="567"/>
      </w:pPr>
      <w:r>
        <w:t>1.</w:t>
      </w:r>
      <w:r>
        <w:tab/>
      </w:r>
      <w:r>
        <w:t>die Gegenstände, die einem Ehegatten beim Eintritt der Gütergemeinschaft gehört haben,</w:t>
      </w:r>
    </w:p>
    <w:p>
      <w:pPr>
        <w:tabs>
          <w:tab w:pos="567" w:val="left"/>
        </w:tabs>
        <w:ind w:left="567" w:hanging="567"/>
      </w:pPr>
      <w:r>
        <w:t>2.</w:t>
      </w:r>
      <w:r>
        <w:tab/>
      </w:r>
      <w:r>
        <w:t>die Gegenstände, die ein Ehegatte von Todes wegen oder mit Rücksicht auf ein künftiges Erbrecht, durch Schenkung oder als Ausstattung erworben hat, es sei denn, dass der Erwerb den Umständen nach zu den Einkünften zu rechnen war,</w:t>
      </w:r>
    </w:p>
    <w:p>
      <w:pPr>
        <w:tabs>
          <w:tab w:pos="567" w:val="left"/>
        </w:tabs>
        <w:ind w:left="567" w:hanging="567"/>
      </w:pPr>
      <w:r>
        <w:t>3.</w:t>
      </w:r>
      <w:r>
        <w:tab/>
      </w:r>
      <w:r>
        <w:t>die Rechte, die mit dem Tode eines Ehegatten erlöschen oder deren Erwerb durch den Tod eines Ehegatten bedingt ist.</w:t>
      </w:r>
    </w:p>
    <w:p>
      <w:r>
        <w:t>(3) Der Wert des Eingebrachten bestimmt sich nach der Zeit der Einbringung.</w:t>
      </w:r>
    </w:p>
    <w:p>
      <w:pPr>
        <w:pStyle w:val="Heading7"/>
      </w:pPr>
      <w:bookmarkStart w:id="1954" w:name="b1939"/>
      <w:r>
        <w:t>§ 1479 Auseinandersetzung nach richterlicher Aufhebungsentscheidung</w:t>
      </w:r>
      <w:r>
        <w:t xml:space="preserve"> </w:t>
      </w:r>
      <w:r>
        <w:rPr>
          <w:rStyle w:val="Suchmarke"/>
        </w:rPr>
        <w:t>#1479#</w:t>
      </w:r>
      <w:bookmarkEnd w:id="1954"/>
    </w:p>
    <w:p>
      <w:r>
        <w:t xml:space="preserve">Wird die Gütergemeinschaft auf Grund der </w:t>
      </w:r>
      <w:hyperlink w:anchor="b1905" w:history="1">
        <w:r>
          <w:rPr>
            <w:color w:val="0A3A8C"/>
            <w:u w:val="single"/>
          </w:rPr>
          <w:t xml:space="preserve">§§ 1447</w:t>
        </w:r>
      </w:hyperlink>
      <w:r>
        <w:t xml:space="preserve">, </w:t>
      </w:r>
      <w:hyperlink w:anchor="b1906" w:history="1">
        <w:r>
          <w:rPr>
            <w:color w:val="0A3A8C"/>
            <w:u w:val="single"/>
          </w:rPr>
          <w:t xml:space="preserve">1448</w:t>
        </w:r>
      </w:hyperlink>
      <w:r>
        <w:t xml:space="preserve"> oder des </w:t>
      </w:r>
      <w:hyperlink w:anchor="b1928" w:history="1">
        <w:r>
          <w:rPr>
            <w:color w:val="0A3A8C"/>
            <w:u w:val="single"/>
          </w:rPr>
          <w:t xml:space="preserve">§ 1469</w:t>
        </w:r>
      </w:hyperlink>
      <w:r>
        <w:t xml:space="preserve"> durch richterliche Entscheidung aufgehoben, so kann der Ehegatte, der die richterliche Entscheidung erwirkt hat, verlangen, dass die Auseinandersetzung so erfolgt, wie wenn der Anspruch auf Auseinandersetzung in dem Zeitpunkt rechtshängig geworden wäre, in dem der Antrag auf Aufhebung der Gütergemeinschaft gestellt ist.</w:t>
      </w:r>
    </w:p>
    <w:p>
      <w:pPr>
        <w:pStyle w:val="Heading7"/>
      </w:pPr>
      <w:bookmarkStart w:id="1955" w:name="b1940"/>
      <w:r>
        <w:t>§ 1480 Haftung nach der Teilung gegenüber Dritten</w:t>
      </w:r>
      <w:r>
        <w:t xml:space="preserve"> </w:t>
      </w:r>
      <w:r>
        <w:rPr>
          <w:rStyle w:val="Suchmarke"/>
        </w:rPr>
        <w:t>#1480#</w:t>
      </w:r>
      <w:bookmarkEnd w:id="1955"/>
    </w:p>
    <w:p>
      <w:r>
        <w:rPr>
          <w:rStyle w:val="Satznummer"/>
        </w:rPr>
        <w:t>1</w:t>
      </w:r>
      <w:r>
        <w:t xml:space="preserve">Wird das Gesamtgut geteilt, bevor eine Gesamtgutsverbindlichkeit berichtigt ist, so haftet dem Gläubiger auch der Ehegatte persönlich als Gesamtschuldner, für den zur Zeit der Teilung eine solche Haftung nicht besteht. </w:t>
      </w:r>
      <w:r>
        <w:rPr>
          <w:rStyle w:val="Satznummer"/>
        </w:rPr>
        <w:t>2</w:t>
      </w:r>
      <w:r>
        <w:t xml:space="preserve">Seine Haftung beschränkt sich auf die ihm zugeteilten Gegenstände; die für die Haftung des Erben geltenden Vorschriften der </w:t>
      </w:r>
      <w:hyperlink w:anchor="b2435" w:history="1">
        <w:r>
          <w:rPr>
            <w:color w:val="0A3A8C"/>
            <w:u w:val="single"/>
          </w:rPr>
          <w:t xml:space="preserve">§§ 1990</w:t>
        </w:r>
      </w:hyperlink>
      <w:r>
        <w:t xml:space="preserve">, </w:t>
      </w:r>
      <w:hyperlink w:anchor="b2436" w:history="1">
        <w:r>
          <w:rPr>
            <w:color w:val="0A3A8C"/>
            <w:u w:val="single"/>
          </w:rPr>
          <w:t xml:space="preserve">1991</w:t>
        </w:r>
      </w:hyperlink>
      <w:r>
        <w:t xml:space="preserve"> sind entsprechend anzuwenden.</w:t>
      </w:r>
    </w:p>
    <w:p>
      <w:pPr>
        <w:pStyle w:val="Heading7"/>
      </w:pPr>
      <w:bookmarkStart w:id="1956" w:name="b1941"/>
      <w:r>
        <w:t>§ 1481 Haftung der Ehegatten untereinander</w:t>
      </w:r>
      <w:r>
        <w:t xml:space="preserve"> </w:t>
      </w:r>
      <w:r>
        <w:rPr>
          <w:rStyle w:val="Suchmarke"/>
        </w:rPr>
        <w:t>#1481#</w:t>
      </w:r>
      <w:bookmarkEnd w:id="1956"/>
    </w:p>
    <w:p>
      <w:r>
        <w:t>(1) Wird das Gesamtgut geteilt, bevor eine Gesamtgutsverbindlichkeit berichtigt ist, die im Verhältnis der Ehegatten zueinander dem Gesamtgut zur Last fällt, so hat der Ehegatte, der das Gesamtgut während der Gütergemeinschaft allein verwaltet hat, dem anderen Ehegatten dafür einzustehen, dass dieser weder über die Hälfte der Verbindlichkeit noch über das aus dem Gesamtgut Erlangte hinaus in Anspruch genommen wird.</w:t>
      </w:r>
    </w:p>
    <w:p>
      <w:r>
        <w:t>(2) Haben die Ehegatten das Gesamtgut während der Gütergemeinschaft gemeinschaftlich verwaltet, so hat jeder Ehegatte dem anderen dafür einzustehen, dass dieser von dem Gläubiger nicht über die Hälfte der Verbindlichkeit hinaus in Anspruch genommen wird.</w:t>
      </w:r>
    </w:p>
    <w:p>
      <w:r>
        <w:t>(3) Fällt die Verbindlichkeit im Verhältnis der Ehegatten zueinander einem der Ehegatten zur Last, so hat dieser dem anderen dafür einzustehen, dass der andere Ehegatte von dem Gläubiger nicht in Anspruch genommen wird.</w:t>
      </w:r>
    </w:p>
    <w:p>
      <w:pPr>
        <w:pStyle w:val="Heading7"/>
      </w:pPr>
      <w:bookmarkStart w:id="1957" w:name="b1942"/>
      <w:r>
        <w:t>§ 1482 Eheauflösung durch Tod</w:t>
      </w:r>
      <w:r>
        <w:t xml:space="preserve"> </w:t>
      </w:r>
      <w:r>
        <w:rPr>
          <w:rStyle w:val="Suchmarke"/>
        </w:rPr>
        <w:t>#1482#</w:t>
      </w:r>
      <w:bookmarkEnd w:id="1957"/>
    </w:p>
    <w:p>
      <w:r>
        <w:rPr>
          <w:rStyle w:val="Satznummer"/>
        </w:rPr>
        <w:t>1</w:t>
      </w:r>
      <w:r>
        <w:t xml:space="preserve">Wird die Ehe durch den Tod eines Ehegatten aufgelöst, so gehört der Anteil des verstorbenen Ehegatten am Gesamtgut zum Nachlass. </w:t>
      </w:r>
      <w:r>
        <w:rPr>
          <w:rStyle w:val="Satznummer"/>
        </w:rPr>
        <w:t>2</w:t>
      </w:r>
      <w:r>
        <w:t>Der verstorbene Ehegatte wird nach den allgemeinen Vorschriften beerbt.</w:t>
      </w:r>
    </w:p>
    <w:p>
      <w:pPr>
        <w:pStyle w:val="Heading6"/>
      </w:pPr>
      <w:bookmarkStart w:id="1958" w:name="b1943"/>
      <w:r>
        <w:t>Unterkapitel 5 Fortgesetzte Gütergemeinschaft</w:t>
      </w:r>
      <w:bookmarkEnd w:id="1958"/>
    </w:p>
    <w:p>
      <w:pPr>
        <w:pStyle w:val="Heading7"/>
      </w:pPr>
      <w:bookmarkStart w:id="1959" w:name="b1944"/>
      <w:r>
        <w:t>§ 1483 Eintritt der fortgesetzten Gütergemeinschaft</w:t>
      </w:r>
      <w:r>
        <w:t xml:space="preserve"> </w:t>
      </w:r>
      <w:r>
        <w:rPr>
          <w:rStyle w:val="Suchmarke"/>
        </w:rPr>
        <w:t>#1483#</w:t>
      </w:r>
      <w:bookmarkEnd w:id="1959"/>
    </w:p>
    <w:p>
      <w:r>
        <w:t xml:space="preserve">(1) </w:t>
      </w:r>
      <w:r>
        <w:rPr>
          <w:rStyle w:val="Satznummer"/>
        </w:rPr>
        <w:t>1</w:t>
      </w:r>
      <w:r>
        <w:t xml:space="preserve">Die Ehegatten können durch Ehevertrag vereinbaren, dass die Gütergemeinschaft nach dem Tod eines Ehegatten zwischen dem überlebenden Ehegatten und den gemeinschaftlichen Abkömmlingen fortgesetzt wird. </w:t>
      </w:r>
      <w:r>
        <w:rPr>
          <w:rStyle w:val="Satznummer"/>
        </w:rPr>
        <w:t>2</w:t>
      </w:r>
      <w:r>
        <w:t xml:space="preserve">Treffen die Ehegatten eine solche Vereinbarung, so wird die Gütergemeinschaft mit den gemeinschaftlichen Abkömmlingen fortgesetzt, die bei gesetzlicher Erbfolge als Erben berufen sind. </w:t>
      </w:r>
      <w:r>
        <w:rPr>
          <w:rStyle w:val="Satznummer"/>
        </w:rPr>
        <w:t>3</w:t>
      </w:r>
      <w:r>
        <w:t>Der Anteil des verstorbenen Ehegatten am Gesamtgut gehört nicht zum Nachlass; im Übrigen wird der Ehegatte nach den allgemeinen Vorschriften beerbt.</w:t>
      </w:r>
    </w:p>
    <w:p>
      <w:r>
        <w:t>(2) Sind neben den gemeinschaftlichen Abkömmlingen andere Abkömmlinge vorhanden, so bestimmen sich ihr Erbrecht und ihre Erbteile so, wie wenn fortgesetzte Gütergemeinschaft nicht eingetreten wäre.</w:t>
      </w:r>
    </w:p>
    <w:p>
      <w:pPr>
        <w:pStyle w:val="Heading7"/>
      </w:pPr>
      <w:bookmarkStart w:id="1960" w:name="b1945"/>
      <w:r>
        <w:t>§ 1484 Ablehnung der fortgesetzten Gütergemeinschaft</w:t>
      </w:r>
      <w:r>
        <w:t xml:space="preserve"> </w:t>
      </w:r>
      <w:r>
        <w:rPr>
          <w:rStyle w:val="Suchmarke"/>
        </w:rPr>
        <w:t>#1484#</w:t>
      </w:r>
      <w:bookmarkEnd w:id="1960"/>
    </w:p>
    <w:p>
      <w:r>
        <w:t>(1) Der überlebende Ehegatte kann die Fortsetzung der Gütergemeinschaft ablehnen.</w:t>
      </w:r>
    </w:p>
    <w:p>
      <w:r>
        <w:t xml:space="preserve">(2) </w:t>
      </w:r>
      <w:r>
        <w:rPr>
          <w:rStyle w:val="Satznummer"/>
        </w:rPr>
        <w:t>1</w:t>
      </w:r>
      <w:r>
        <w:t xml:space="preserve">Auf die Ablehnung finden die für die Ausschlagung einer Erbschaft geltenden Vorschriften der </w:t>
      </w:r>
      <w:hyperlink w:anchor="b2384" w:history="1">
        <w:r>
          <w:rPr>
            <w:color w:val="0A3A8C"/>
            <w:u w:val="single"/>
          </w:rPr>
          <w:t xml:space="preserve">§§ 1943</w:t>
        </w:r>
      </w:hyperlink>
      <w:r>
        <w:t xml:space="preserve"> bis </w:t>
      </w:r>
      <w:hyperlink w:anchor="b2388" w:history="1">
        <w:r>
          <w:rPr>
            <w:color w:val="0A3A8C"/>
            <w:u w:val="single"/>
          </w:rPr>
          <w:t xml:space="preserve">1947</w:t>
        </w:r>
      </w:hyperlink>
      <w:r>
        <w:t xml:space="preserve">, </w:t>
      </w:r>
      <w:hyperlink w:anchor="b2391" w:history="1">
        <w:r>
          <w:rPr>
            <w:color w:val="0A3A8C"/>
            <w:u w:val="single"/>
          </w:rPr>
          <w:t xml:space="preserve">1950</w:t>
        </w:r>
      </w:hyperlink>
      <w:r>
        <w:t xml:space="preserve">, </w:t>
      </w:r>
      <w:hyperlink w:anchor="b2393" w:history="1">
        <w:r>
          <w:rPr>
            <w:color w:val="0A3A8C"/>
            <w:u w:val="single"/>
          </w:rPr>
          <w:t xml:space="preserve">1952</w:t>
        </w:r>
      </w:hyperlink>
      <w:r>
        <w:t xml:space="preserve">, </w:t>
      </w:r>
      <w:hyperlink w:anchor="b2395" w:history="1">
        <w:r>
          <w:rPr>
            <w:color w:val="0A3A8C"/>
            <w:u w:val="single"/>
          </w:rPr>
          <w:t xml:space="preserve">1954</w:t>
        </w:r>
      </w:hyperlink>
      <w:r>
        <w:t xml:space="preserve"> bis </w:t>
      </w:r>
      <w:hyperlink w:anchor="b2398" w:history="1">
        <w:r>
          <w:rPr>
            <w:color w:val="0A3A8C"/>
            <w:u w:val="single"/>
          </w:rPr>
          <w:t xml:space="preserve">1957</w:t>
        </w:r>
      </w:hyperlink>
      <w:r>
        <w:t xml:space="preserve">, </w:t>
      </w:r>
      <w:hyperlink w:anchor="b2400" w:history="1">
        <w:r>
          <w:rPr>
            <w:color w:val="0A3A8C"/>
            <w:u w:val="single"/>
          </w:rPr>
          <w:t xml:space="preserve">1959</w:t>
        </w:r>
      </w:hyperlink>
      <w:r>
        <w:t xml:space="preserve"> entsprechende Anwendung. </w:t>
      </w:r>
      <w:r>
        <w:rPr>
          <w:rStyle w:val="Satznummer"/>
        </w:rPr>
        <w:t>2</w:t>
      </w:r>
      <w:r>
        <w:t>Bei einer Ablehnung durch den Betreuer des überlebenden Ehegatten ist die Genehmigung des Betreuungsgerichts erforderlich.</w:t>
      </w:r>
    </w:p>
    <w:p>
      <w:r>
        <w:t xml:space="preserve">(3) Lehnt der Ehegatte die Fortsetzung der Gütergemeinschaft ab, so gilt das Gleiche wie im Falle des </w:t>
      </w:r>
      <w:hyperlink w:anchor="b1942" w:history="1">
        <w:r>
          <w:rPr>
            <w:color w:val="0A3A8C"/>
            <w:u w:val="single"/>
          </w:rPr>
          <w:t xml:space="preserve">§ 1482</w:t>
        </w:r>
      </w:hyperlink>
      <w:r>
        <w:t>.</w:t>
      </w:r>
    </w:p>
    <w:p>
      <w:pPr>
        <w:pStyle w:val="Heading7"/>
      </w:pPr>
      <w:bookmarkStart w:id="1961" w:name="b1946"/>
      <w:r>
        <w:t>§ 1485 Gesamtgut</w:t>
      </w:r>
      <w:r>
        <w:t xml:space="preserve"> </w:t>
      </w:r>
      <w:r>
        <w:rPr>
          <w:rStyle w:val="Suchmarke"/>
        </w:rPr>
        <w:t>#1485#</w:t>
      </w:r>
      <w:bookmarkEnd w:id="1961"/>
    </w:p>
    <w:p>
      <w:r>
        <w:t xml:space="preserve">(1) Das Gesamtgut der fortgesetzten Gütergemeinschaft besteht aus dem ehelichen Gesamtgut, soweit es nicht nach </w:t>
      </w:r>
      <w:hyperlink w:anchor="b1944" w:history="1">
        <w:r>
          <w:rPr>
            <w:color w:val="0A3A8C"/>
            <w:u w:val="single"/>
          </w:rPr>
          <w:t xml:space="preserve">§ 1483</w:t>
        </w:r>
      </w:hyperlink>
      <w:r>
        <w:t xml:space="preserve"> Abs. 2 einem nicht anteilsberechtigten Abkömmling zufällt, und aus dem Vermögen, das der überlebende Ehegatte aus dem Nachlass des verstorbenen Ehegatten oder nach dem Eintritt der fortgesetzten Gütergemeinschaft erwirbt.</w:t>
      </w:r>
    </w:p>
    <w:p>
      <w:r>
        <w:t>(2) Das Vermögen, das ein gemeinschaftlicher Abkömmling zur Zeit des Eintritts der fortgesetzten Gütergemeinschaft hat oder später erwirbt, gehört nicht zu dem Gesamtgut.</w:t>
      </w:r>
    </w:p>
    <w:p>
      <w:r>
        <w:t xml:space="preserve">(3) Auf das Gesamtgut findet die für die eheliche Gütergemeinschaft geltende Vorschrift des </w:t>
      </w:r>
      <w:hyperlink w:anchor="b1873" w:history="1">
        <w:r>
          <w:rPr>
            <w:color w:val="0A3A8C"/>
            <w:u w:val="single"/>
          </w:rPr>
          <w:t xml:space="preserve">§ 1416</w:t>
        </w:r>
      </w:hyperlink>
      <w:r>
        <w:t xml:space="preserve"> Abs. 2 und 3 entsprechende Anwendung.</w:t>
      </w:r>
    </w:p>
    <w:p>
      <w:pPr>
        <w:pStyle w:val="Heading7"/>
      </w:pPr>
      <w:bookmarkStart w:id="1962" w:name="b1947"/>
      <w:r>
        <w:t>§ 1486 Vorbehaltsgut; Sondergut</w:t>
      </w:r>
      <w:r>
        <w:t xml:space="preserve"> </w:t>
      </w:r>
      <w:r>
        <w:rPr>
          <w:rStyle w:val="Suchmarke"/>
        </w:rPr>
        <w:t>#1486#</w:t>
      </w:r>
      <w:bookmarkEnd w:id="1962"/>
    </w:p>
    <w:p>
      <w:r>
        <w:t xml:space="preserve">(1) Vorbehaltsgut des überlebenden Ehegatten ist, was er bisher als Vorbehaltsgut gehabt hat oder was er nach </w:t>
      </w:r>
      <w:hyperlink w:anchor="b1875" w:history="1">
        <w:r>
          <w:rPr>
            <w:color w:val="0A3A8C"/>
            <w:u w:val="single"/>
          </w:rPr>
          <w:t xml:space="preserve">§ 1418</w:t>
        </w:r>
      </w:hyperlink>
      <w:r>
        <w:t xml:space="preserve"> Abs. 2 Nr. 2, 3 als Vorbehaltsgut erwirbt.</w:t>
      </w:r>
    </w:p>
    <w:p>
      <w:r>
        <w:t>(2) Sondergut des überlebenden Ehegatten ist, was er bisher als Sondergut gehabt hat oder was er als Sondergut erwirbt.</w:t>
      </w:r>
    </w:p>
    <w:p>
      <w:pPr>
        <w:pStyle w:val="Heading7"/>
      </w:pPr>
      <w:bookmarkStart w:id="1963" w:name="b1948"/>
      <w:r>
        <w:t>§ 1487 Rechtsstellung des Ehegatten und der Abkömmlinge</w:t>
      </w:r>
      <w:r>
        <w:t xml:space="preserve"> </w:t>
      </w:r>
      <w:r>
        <w:rPr>
          <w:rStyle w:val="Suchmarke"/>
        </w:rPr>
        <w:t>#1487#</w:t>
      </w:r>
      <w:bookmarkEnd w:id="1963"/>
    </w:p>
    <w:p>
      <w:r>
        <w:t xml:space="preserve">(1) Die Rechte und Verbindlichkeiten des überlebenden Ehegatten sowie der anteilsberechtigten Abkömmlinge in Ansehung des Gesamtguts der fortgesetzten Gütergemeinschaft bestimmen sich nach den für die eheliche Gütergemeinschaft geltenden Vorschriften der </w:t>
      </w:r>
      <w:hyperlink w:anchor="b1876" w:history="1">
        <w:r>
          <w:rPr>
            <w:color w:val="0A3A8C"/>
            <w:u w:val="single"/>
          </w:rPr>
          <w:t xml:space="preserve">§§ 1419</w:t>
        </w:r>
      </w:hyperlink>
      <w:r>
        <w:t xml:space="preserve">, </w:t>
      </w:r>
      <w:hyperlink w:anchor="b1880" w:history="1">
        <w:r>
          <w:rPr>
            <w:color w:val="0A3A8C"/>
            <w:u w:val="single"/>
          </w:rPr>
          <w:t xml:space="preserve">1422</w:t>
        </w:r>
      </w:hyperlink>
      <w:r>
        <w:t xml:space="preserve"> bis </w:t>
      </w:r>
      <w:hyperlink w:anchor="b1886" w:history="1">
        <w:r>
          <w:rPr>
            <w:color w:val="0A3A8C"/>
            <w:u w:val="single"/>
          </w:rPr>
          <w:t xml:space="preserve">1428</w:t>
        </w:r>
      </w:hyperlink>
      <w:r>
        <w:t xml:space="preserve">, </w:t>
      </w:r>
      <w:hyperlink w:anchor="b1892" w:history="1">
        <w:r>
          <w:rPr>
            <w:color w:val="0A3A8C"/>
            <w:u w:val="single"/>
          </w:rPr>
          <w:t xml:space="preserve">1434</w:t>
        </w:r>
      </w:hyperlink>
      <w:r>
        <w:t xml:space="preserve">, des </w:t>
      </w:r>
      <w:hyperlink w:anchor="b1893" w:history="1">
        <w:r>
          <w:rPr>
            <w:color w:val="0A3A8C"/>
            <w:u w:val="single"/>
          </w:rPr>
          <w:t xml:space="preserve">§ 1435</w:t>
        </w:r>
      </w:hyperlink>
      <w:r>
        <w:t xml:space="preserve"> Satz 1, 3 und der </w:t>
      </w:r>
      <w:hyperlink w:anchor="b1894" w:history="1">
        <w:r>
          <w:rPr>
            <w:color w:val="0A3A8C"/>
            <w:u w:val="single"/>
          </w:rPr>
          <w:t xml:space="preserve">§§ 1436</w:t>
        </w:r>
      </w:hyperlink>
      <w:r>
        <w:t xml:space="preserve">, </w:t>
      </w:r>
      <w:hyperlink w:anchor="b1903" w:history="1">
        <w:r>
          <w:rPr>
            <w:color w:val="0A3A8C"/>
            <w:u w:val="single"/>
          </w:rPr>
          <w:t xml:space="preserve">1445</w:t>
        </w:r>
      </w:hyperlink>
      <w:r>
        <w:t>; der überlebende Ehegatte hat die rechtliche Stellung des Ehegatten, der das Gesamtgut allein verwaltet, die anteilsberechtigten Abkömmlinge haben die rechtliche Stellung des anderen Ehegatten.</w:t>
      </w:r>
    </w:p>
    <w:p>
      <w:r>
        <w:t>(2) Was der überlebende Ehegatte zu dem Gesamtgut schuldet oder aus dem Gesamtgut zu fordern hat, ist erst nach der Beendigung der fortgesetzten Gütergemeinschaft zu leisten.</w:t>
      </w:r>
    </w:p>
    <w:p>
      <w:pPr>
        <w:pStyle w:val="Heading7"/>
      </w:pPr>
      <w:bookmarkStart w:id="1964" w:name="b1949"/>
      <w:r>
        <w:t>§ 1488 Gesamtgutsverbindlichkeiten</w:t>
      </w:r>
      <w:r>
        <w:t xml:space="preserve"> </w:t>
      </w:r>
      <w:r>
        <w:rPr>
          <w:rStyle w:val="Suchmarke"/>
        </w:rPr>
        <w:t>#1488#</w:t>
      </w:r>
      <w:bookmarkEnd w:id="1964"/>
    </w:p>
    <w:p>
      <w:r>
        <w:t>Gesamtgutsverbindlichkeiten der fortgesetzten Gütergemeinschaft sind die Verbindlichkeiten des überlebenden Ehegatten sowie solche Verbindlichkeiten des verstorbenen Ehegatten, die Gesamtgutsverbindlichkeiten der ehelichen Gütergemeinschaft waren.</w:t>
      </w:r>
    </w:p>
    <w:p>
      <w:pPr>
        <w:pStyle w:val="Heading7"/>
      </w:pPr>
      <w:bookmarkStart w:id="1965" w:name="b1950"/>
      <w:r>
        <w:t>§ 1489 Persönliche Haftung für die Gesamtgutsverbindlichkeiten</w:t>
      </w:r>
      <w:r>
        <w:t xml:space="preserve"> </w:t>
      </w:r>
      <w:r>
        <w:rPr>
          <w:rStyle w:val="Suchmarke"/>
        </w:rPr>
        <w:t>#1489#</w:t>
      </w:r>
      <w:bookmarkEnd w:id="1965"/>
    </w:p>
    <w:p>
      <w:r>
        <w:t>(1) Für die Gesamtgutsverbindlichkeiten der fortgesetzten Gütergemeinschaft haftet der überlebende Ehegatte persönlich.</w:t>
      </w:r>
    </w:p>
    <w:p>
      <w:r>
        <w:t>(2) Soweit die persönliche Haftung den überlebenden Ehegatten nur infolge des Eintritts der fortgesetzten Gütergemeinschaft trifft, finden die für die Haftung des Erben für die Nachlassverbindlichkeiten geltenden Vorschriften entsprechende Anwendung; an die Stelle des Nachlasses tritt das Gesamtgut in dem Bestand, den es zur Zeit des Eintritts der fortgesetzten Gütergemeinschaft hat.</w:t>
      </w:r>
    </w:p>
    <w:p>
      <w:r>
        <w:t>(3) Eine persönliche Haftung der anteilsberechtigten Abkömmlinge für die Verbindlichkeiten des verstorbenen oder des überlebenden Ehegatten wird durch die fortgesetzte Gütergemeinschaft nicht begründet.</w:t>
      </w:r>
    </w:p>
    <w:p>
      <w:pPr>
        <w:pStyle w:val="Heading7"/>
      </w:pPr>
      <w:bookmarkStart w:id="1966" w:name="b1951"/>
      <w:r>
        <w:t>§ 1490 Tod eines Abkömmlings</w:t>
      </w:r>
      <w:r>
        <w:t xml:space="preserve"> </w:t>
      </w:r>
      <w:r>
        <w:rPr>
          <w:rStyle w:val="Suchmarke"/>
        </w:rPr>
        <w:t>#1490#</w:t>
      </w:r>
      <w:bookmarkEnd w:id="1966"/>
    </w:p>
    <w:p>
      <w:r>
        <w:rPr>
          <w:rStyle w:val="Satznummer"/>
        </w:rPr>
        <w:t>1</w:t>
      </w:r>
      <w:r>
        <w:t xml:space="preserve">Stirbt ein anteilsberechtigter Abkömmling, so gehört sein Anteil an dem Gesamtgut nicht zu seinem Nachlass. </w:t>
      </w:r>
      <w:r>
        <w:rPr>
          <w:rStyle w:val="Satznummer"/>
        </w:rPr>
        <w:t>2</w:t>
      </w:r>
      <w:r>
        <w:t xml:space="preserve">Hinterlässt er Abkömmlinge, die anteilsberechtigt sein würden, wenn er den verstorbenen Ehegatten nicht überlebt hätte, so treten die Abkömmlinge an seine Stelle. </w:t>
      </w:r>
      <w:r>
        <w:rPr>
          <w:rStyle w:val="Satznummer"/>
        </w:rPr>
        <w:t>3</w:t>
      </w:r>
      <w:r>
        <w:t>Hinterlässt er solche Abkömmlinge nicht, so wächst sein Anteil den übrigen anteilsberechtigten Abkömmlingen und, wenn solche nicht vorhanden sind, dem überlebenden Ehegatten an.</w:t>
      </w:r>
    </w:p>
    <w:p>
      <w:pPr>
        <w:pStyle w:val="Heading7"/>
      </w:pPr>
      <w:bookmarkStart w:id="1967" w:name="b1952"/>
      <w:r>
        <w:t>§ 1491 Verzicht eines Abkömmlings</w:t>
      </w:r>
      <w:r>
        <w:t xml:space="preserve"> </w:t>
      </w:r>
      <w:r>
        <w:rPr>
          <w:rStyle w:val="Suchmarke"/>
        </w:rPr>
        <w:t>#1491#</w:t>
      </w:r>
      <w:bookmarkEnd w:id="1967"/>
    </w:p>
    <w:p>
      <w:r>
        <w:t xml:space="preserve">(1) </w:t>
      </w:r>
      <w:r>
        <w:rPr>
          <w:rStyle w:val="Satznummer"/>
        </w:rPr>
        <w:t>1</w:t>
      </w:r>
      <w:r>
        <w:t xml:space="preserve">Ein anteilsberechtigter Abkömmling kann auf seinen Anteil an dem Gesamtgut verzichten. </w:t>
      </w:r>
      <w:r>
        <w:rPr>
          <w:rStyle w:val="Satznummer"/>
        </w:rPr>
        <w:t>2</w:t>
      </w:r>
      <w:r>
        <w:t xml:space="preserve">Der Verzicht erfolgt durch Erklärung gegenüber dem für den Nachlass des verstorbenen Ehegatten zuständigen Gericht; die Erklärung ist in öffentlich beglaubigter Form abzugeben. </w:t>
      </w:r>
      <w:r>
        <w:rPr>
          <w:rStyle w:val="Satznummer"/>
        </w:rPr>
        <w:t>3</w:t>
      </w:r>
      <w:r>
        <w:t>Das Nachlassgericht soll die Erklärung dem überlebenden Ehegatten und den übrigen anteilsberechtigten Abkömmlingen mitteilen.</w:t>
      </w:r>
    </w:p>
    <w:p>
      <w:r>
        <w:t xml:space="preserve">(2) </w:t>
      </w:r>
      <w:r>
        <w:rPr>
          <w:rStyle w:val="Satznummer"/>
        </w:rPr>
        <w:t>1</w:t>
      </w:r>
      <w:r>
        <w:t xml:space="preserve">Der Verzicht kann auch durch Vertrag mit dem überlebenden Ehegatten und den übrigen anteilsberechtigten Abkömmlingen erfolgen. </w:t>
      </w:r>
      <w:r>
        <w:rPr>
          <w:rStyle w:val="Satznummer"/>
        </w:rPr>
        <w:t>2</w:t>
      </w:r>
      <w:r>
        <w:t>Der Vertrag bedarf der notariellen Beurkundung.</w:t>
      </w:r>
    </w:p>
    <w:p>
      <w:r>
        <w:t xml:space="preserve">(3) </w:t>
      </w:r>
      <w:r>
        <w:rPr>
          <w:rStyle w:val="Satznummer"/>
        </w:rPr>
        <w:t>1</w:t>
      </w:r>
      <w:r>
        <w:t xml:space="preserve">Steht der Abkömmling unter elterlicher Sorge oder unter Vormundschaft, so ist zu dem Verzicht die Genehmigung des Familiengerichts erforderlich. </w:t>
      </w:r>
      <w:r>
        <w:rPr>
          <w:rStyle w:val="Satznummer"/>
        </w:rPr>
        <w:t>2</w:t>
      </w:r>
      <w:r>
        <w:t>Bei einem Verzicht durch den Betreuer des Abkömmlings ist die Genehmigung des Betreuungsgerichts erforderlich.</w:t>
      </w:r>
    </w:p>
    <w:p>
      <w:r>
        <w:t>(4) Der Verzicht hat die gleichen Wirkungen, wie wenn der Verzichtende zur Zeit des Verzichts ohne Hinterlassung von Abkömmlingen gestorben wäre.</w:t>
      </w:r>
    </w:p>
    <w:p>
      <w:pPr>
        <w:pStyle w:val="Heading7"/>
      </w:pPr>
      <w:bookmarkStart w:id="1968" w:name="b1953"/>
      <w:r>
        <w:t>§ 1492 Aufhebung durch den überlebenden Ehegatten</w:t>
      </w:r>
      <w:r>
        <w:t xml:space="preserve"> </w:t>
      </w:r>
      <w:r>
        <w:rPr>
          <w:rStyle w:val="Suchmarke"/>
        </w:rPr>
        <w:t>#1492#</w:t>
      </w:r>
      <w:bookmarkEnd w:id="1968"/>
    </w:p>
    <w:p>
      <w:r>
        <w:t xml:space="preserve">(1) </w:t>
      </w:r>
      <w:r>
        <w:rPr>
          <w:rStyle w:val="Satznummer"/>
        </w:rPr>
        <w:t>1</w:t>
      </w:r>
      <w:r>
        <w:t xml:space="preserve">Der überlebende Ehegatte kann die fortgesetzte Gütergemeinschaft jederzeit aufheben. </w:t>
      </w:r>
      <w:r>
        <w:rPr>
          <w:rStyle w:val="Satznummer"/>
        </w:rPr>
        <w:t>2</w:t>
      </w:r>
      <w:r>
        <w:t xml:space="preserve">Die Aufhebung erfolgt durch Erklärung gegenüber dem für den Nachlass des verstorbenen Ehegatten zuständigen Gericht; die Erklärung ist in öffentlich beglaubigter Form abzugeben. </w:t>
      </w:r>
      <w:r>
        <w:rPr>
          <w:rStyle w:val="Satznummer"/>
        </w:rPr>
        <w:t>3</w:t>
      </w:r>
      <w:r>
        <w:t>Das Nachlassgericht soll die Erklärung den anteilsberechtigten Abkömmlingen und, wenn der überlebende Ehegatte gesetzlicher Vertreter eines der Abkömmlinge ist, dem Familiengericht, wenn eine Betreuung besteht, dem Betreuungsgericht mitteilen.</w:t>
      </w:r>
    </w:p>
    <w:p>
      <w:r>
        <w:t xml:space="preserve">(2) </w:t>
      </w:r>
      <w:r>
        <w:rPr>
          <w:rStyle w:val="Satznummer"/>
        </w:rPr>
        <w:t>1</w:t>
      </w:r>
      <w:r>
        <w:t xml:space="preserve">Die Aufhebung kann auch durch Vertrag zwischen dem überlebenden Ehegatten und den anteilsberechtigten Abkömmlingen erfolgen. </w:t>
      </w:r>
      <w:r>
        <w:rPr>
          <w:rStyle w:val="Satznummer"/>
        </w:rPr>
        <w:t>2</w:t>
      </w:r>
      <w:r>
        <w:t>Der Vertrag bedarf der notariellen Beurkundung.</w:t>
      </w:r>
    </w:p>
    <w:p>
      <w:r>
        <w:t>(3) Bei einer Aufhebung durch den Betreuer des überlebenden Ehegatten ist die Genehmigung des Betreuungsgerichts erforderlich.</w:t>
      </w:r>
    </w:p>
    <w:p>
      <w:pPr>
        <w:pStyle w:val="Heading7"/>
      </w:pPr>
      <w:bookmarkStart w:id="1969" w:name="b1954"/>
      <w:r>
        <w:t>§ 1493 Wiederverheiratung oder Begründung einer Lebenspartnerschaft des überlebenden Ehegatten</w:t>
      </w:r>
      <w:r>
        <w:t xml:space="preserve"> </w:t>
      </w:r>
      <w:r>
        <w:rPr>
          <w:rStyle w:val="Suchmarke"/>
        </w:rPr>
        <w:t>#1493#</w:t>
      </w:r>
      <w:bookmarkEnd w:id="1969"/>
    </w:p>
    <w:p>
      <w:r>
        <w:t>(1) Die fortgesetzte Gütergemeinschaft endet, wenn der überlebende Ehegatte wieder heiratet oder eine Lebenspartnerschaft begründet.</w:t>
      </w:r>
    </w:p>
    <w:p>
      <w:r>
        <w:t xml:space="preserve">(2) </w:t>
      </w:r>
      <w:r>
        <w:rPr>
          <w:rStyle w:val="Satznummer"/>
        </w:rPr>
        <w:t>1</w:t>
      </w:r>
      <w:r>
        <w:t xml:space="preserve">Der überlebende Ehegatte hat, wenn ein anteilsberechtigter Abkömmling minderjährig ist, die Absicht der Wiederverheiratung dem Familiengericht anzuzeigen, ein Verzeichnis des Gesamtguts einzureichen, die Gütergemeinschaft aufzuheben und die Auseinandersetzung herbeizuführen. </w:t>
      </w:r>
      <w:r>
        <w:rPr>
          <w:rStyle w:val="Satznummer"/>
        </w:rPr>
        <w:t>2</w:t>
      </w:r>
      <w:r>
        <w:t xml:space="preserve">Das Familiengericht kann gestatten, dass die Aufhebung der Gütergemeinschaft bis zur Eheschließung unterbleibt und dass die Auseinandersetzung erst später erfolgt. </w:t>
      </w:r>
      <w:r>
        <w:rPr>
          <w:rStyle w:val="Satznummer"/>
        </w:rPr>
        <w:t>3</w:t>
      </w:r>
      <w:r>
        <w:t>Die Sätze 1 und 2 gelten auch, wenn die Sorge für das Vermögen eines anteilsberechtigten Abkömmlings zum Aufgabenkreis eines Betreuers gehört; in diesem Fall tritt an die Stelle des Familiengerichts das Betreuungsgericht.</w:t>
      </w:r>
    </w:p>
    <w:p>
      <w:r>
        <w:t>(3) Das Standesamt, bei dem die Eheschließung angemeldet worden ist, teilt dem Familiengericht die Anmeldung mit.</w:t>
      </w:r>
    </w:p>
    <w:p>
      <w:pPr>
        <w:pStyle w:val="Heading7"/>
      </w:pPr>
      <w:bookmarkStart w:id="1970" w:name="b1955"/>
      <w:r>
        <w:t>§ 1494 Tod des überlebenden Ehegatten</w:t>
      </w:r>
      <w:r>
        <w:t xml:space="preserve"> </w:t>
      </w:r>
      <w:r>
        <w:rPr>
          <w:rStyle w:val="Suchmarke"/>
        </w:rPr>
        <w:t>#1494#</w:t>
      </w:r>
      <w:bookmarkEnd w:id="1970"/>
    </w:p>
    <w:p>
      <w:r>
        <w:t>(1) Die fortgesetzte Gütergemeinschaft endet mit dem Tode des überlebenden Ehegatten.</w:t>
      </w:r>
    </w:p>
    <w:p>
      <w:r>
        <w:t>(2) Wird der überlebende Ehegatte für tot erklärt oder wird seine Todeszeit nach den Vorschriften des Verschollenheitsgesetzes festgestellt, so endet die fortgesetzte Gütergemeinschaft mit dem Zeitpunkt, der als Zeitpunkt des Todes gilt.</w:t>
      </w:r>
    </w:p>
    <w:p>
      <w:pPr>
        <w:pStyle w:val="Heading7"/>
      </w:pPr>
      <w:bookmarkStart w:id="1971" w:name="b1956"/>
      <w:r>
        <w:t>§ 1495 Aufhebungsantrag eines Abkömmlings</w:t>
      </w:r>
      <w:r>
        <w:t xml:space="preserve"> </w:t>
      </w:r>
      <w:r>
        <w:rPr>
          <w:rStyle w:val="Suchmarke"/>
        </w:rPr>
        <w:t>#1495#</w:t>
      </w:r>
      <w:bookmarkEnd w:id="1971"/>
    </w:p>
    <w:p>
      <w:r>
        <w:t>Ein anteilsberechtigter Abkömmling kann gegen den überlebenden Ehegatten die Aufhebung der fortgesetzten Gütergemeinschaft beantragen,</w:t>
      </w:r>
    </w:p>
    <w:p>
      <w:pPr>
        <w:tabs>
          <w:tab w:pos="567" w:val="left"/>
        </w:tabs>
        <w:ind w:left="567" w:hanging="567"/>
      </w:pPr>
      <w:r>
        <w:t>1.</w:t>
      </w:r>
      <w:r>
        <w:tab/>
      </w:r>
      <w:r>
        <w:t>wenn seine Rechte für die Zukunft dadurch erheblich gefährdet werden können, dass der überlebende Ehegatte zur Verwaltung des Gesamtguts unfähig ist oder sein Recht, das Gesamtgut zu verwalten, missbraucht,</w:t>
      </w:r>
    </w:p>
    <w:p>
      <w:pPr>
        <w:tabs>
          <w:tab w:pos="567" w:val="left"/>
        </w:tabs>
        <w:ind w:left="567" w:hanging="567"/>
      </w:pPr>
      <w:r>
        <w:t>2.</w:t>
      </w:r>
      <w:r>
        <w:tab/>
      </w:r>
      <w:r>
        <w:t>wenn der überlebende Ehegatte seine Verpflichtung, dem Abkömmling Unterhalt zu gewähren, verletzt hat und für die Zukunft eine erhebliche Gefährdung des Unterhalts zu besorgen ist,</w:t>
      </w:r>
    </w:p>
    <w:p>
      <w:pPr>
        <w:tabs>
          <w:tab w:pos="567" w:val="left"/>
        </w:tabs>
        <w:ind w:left="567" w:hanging="567"/>
      </w:pPr>
      <w:r>
        <w:t>3.</w:t>
      </w:r>
      <w:r>
        <w:tab/>
      </w:r>
      <w:r>
        <w:t>wenn die Verwaltung des Gesamtguts in den Aufgabenkreis des Betreuers des überlebenden Ehegatten fällt,</w:t>
      </w:r>
    </w:p>
    <w:p>
      <w:pPr>
        <w:tabs>
          <w:tab w:pos="567" w:val="left"/>
        </w:tabs>
        <w:ind w:left="567" w:hanging="567"/>
      </w:pPr>
      <w:r>
        <w:t>4.</w:t>
      </w:r>
      <w:r>
        <w:tab/>
      </w:r>
      <w:r>
        <w:t>wenn der überlebende Ehegatte die elterliche Sorge für den Abkömmling verwirkt hat oder, falls sie ihm zugestanden hätte, verwirkt haben würde.</w:t>
      </w:r>
    </w:p>
    <w:p>
      <w:pPr>
        <w:pStyle w:val="Heading7"/>
      </w:pPr>
      <w:bookmarkStart w:id="1972" w:name="b1957"/>
      <w:r>
        <w:t>§ 1496 Wirkung der richterlichen Aufhebungsentscheidung</w:t>
      </w:r>
      <w:r>
        <w:t xml:space="preserve"> </w:t>
      </w:r>
      <w:r>
        <w:rPr>
          <w:rStyle w:val="Suchmarke"/>
        </w:rPr>
        <w:t>#1496#</w:t>
      </w:r>
      <w:bookmarkEnd w:id="1972"/>
    </w:p>
    <w:p>
      <w:r>
        <w:rPr>
          <w:rStyle w:val="Satznummer"/>
        </w:rPr>
        <w:t>1</w:t>
      </w:r>
      <w:r>
        <w:t xml:space="preserve">Die Aufhebung der fortgesetzten Gütergemeinschaft tritt in den Fällen des </w:t>
      </w:r>
      <w:hyperlink w:anchor="b1956" w:history="1">
        <w:r>
          <w:rPr>
            <w:color w:val="0A3A8C"/>
            <w:u w:val="single"/>
          </w:rPr>
          <w:t xml:space="preserve">§ 1495</w:t>
        </w:r>
      </w:hyperlink>
      <w:r>
        <w:t xml:space="preserve"> mit der Rechtskraft der richterlichen Entscheidung ein. </w:t>
      </w:r>
      <w:r>
        <w:rPr>
          <w:rStyle w:val="Satznummer"/>
        </w:rPr>
        <w:t>2</w:t>
      </w:r>
      <w:r>
        <w:t>Sie tritt für alle Abkömmlinge ein, auch wenn die richterliche Entscheidung auf den Antrag eines der Abkömmlinge ergangen ist.</w:t>
      </w:r>
    </w:p>
    <w:p>
      <w:pPr>
        <w:pStyle w:val="Heading7"/>
      </w:pPr>
      <w:bookmarkStart w:id="1973" w:name="b1958"/>
      <w:r>
        <w:t>§ 1497 Rechtsverhältnis bis zur Auseinandersetzung</w:t>
      </w:r>
      <w:r>
        <w:t xml:space="preserve"> </w:t>
      </w:r>
      <w:r>
        <w:rPr>
          <w:rStyle w:val="Suchmarke"/>
        </w:rPr>
        <w:t>#1497#</w:t>
      </w:r>
      <w:bookmarkEnd w:id="1973"/>
    </w:p>
    <w:p>
      <w:r>
        <w:t>(1) Nach der Beendigung der fortgesetzten Gütergemeinschaft setzen sich der überlebende Ehegatte und die Abkömmlinge über das Gesamtgut auseinander.</w:t>
      </w:r>
    </w:p>
    <w:p>
      <w:r>
        <w:t xml:space="preserve">(2) Bis zur Auseinandersetzung bestimmt sich ihr Rechtsverhältnis am Gesamtgut nach den </w:t>
      </w:r>
      <w:hyperlink w:anchor="b1876" w:history="1">
        <w:r>
          <w:rPr>
            <w:color w:val="0A3A8C"/>
            <w:u w:val="single"/>
          </w:rPr>
          <w:t xml:space="preserve">§§ 1419</w:t>
        </w:r>
      </w:hyperlink>
      <w:r>
        <w:t xml:space="preserve">, </w:t>
      </w:r>
      <w:hyperlink w:anchor="b1932" w:history="1">
        <w:r>
          <w:rPr>
            <w:color w:val="0A3A8C"/>
            <w:u w:val="single"/>
          </w:rPr>
          <w:t xml:space="preserve">1472</w:t>
        </w:r>
      </w:hyperlink>
      <w:r>
        <w:t xml:space="preserve">, </w:t>
      </w:r>
      <w:hyperlink w:anchor="b1933" w:history="1">
        <w:r>
          <w:rPr>
            <w:color w:val="0A3A8C"/>
            <w:u w:val="single"/>
          </w:rPr>
          <w:t xml:space="preserve">1473</w:t>
        </w:r>
      </w:hyperlink>
      <w:r>
        <w:t>.</w:t>
      </w:r>
    </w:p>
    <w:p>
      <w:pPr>
        <w:pStyle w:val="Heading7"/>
      </w:pPr>
      <w:bookmarkStart w:id="1974" w:name="b1959"/>
      <w:r>
        <w:t>§ 1498 Durchführung der Auseinandersetzung</w:t>
      </w:r>
      <w:r>
        <w:t xml:space="preserve"> </w:t>
      </w:r>
      <w:r>
        <w:rPr>
          <w:rStyle w:val="Suchmarke"/>
        </w:rPr>
        <w:t>#1498#</w:t>
      </w:r>
      <w:bookmarkEnd w:id="1974"/>
    </w:p>
    <w:p>
      <w:r>
        <w:rPr>
          <w:rStyle w:val="Satznummer"/>
        </w:rPr>
        <w:t>1</w:t>
      </w:r>
      <w:r>
        <w:t xml:space="preserve">Auf die Auseinandersetzung sind die Vorschriften der </w:t>
      </w:r>
      <w:hyperlink w:anchor="b1935" w:history="1">
        <w:r>
          <w:rPr>
            <w:color w:val="0A3A8C"/>
            <w:u w:val="single"/>
          </w:rPr>
          <w:t xml:space="preserve">§§ 1475</w:t>
        </w:r>
      </w:hyperlink>
      <w:r>
        <w:t xml:space="preserve">, </w:t>
      </w:r>
      <w:hyperlink w:anchor="b1936" w:history="1">
        <w:r>
          <w:rPr>
            <w:color w:val="0A3A8C"/>
            <w:u w:val="single"/>
          </w:rPr>
          <w:t xml:space="preserve">1476</w:t>
        </w:r>
      </w:hyperlink>
      <w:r>
        <w:t xml:space="preserve">, des </w:t>
      </w:r>
      <w:hyperlink w:anchor="b1937" w:history="1">
        <w:r>
          <w:rPr>
            <w:color w:val="0A3A8C"/>
            <w:u w:val="single"/>
          </w:rPr>
          <w:t xml:space="preserve">§ 1477</w:t>
        </w:r>
      </w:hyperlink>
      <w:r>
        <w:t xml:space="preserve"> Abs. 1, der </w:t>
      </w:r>
      <w:hyperlink w:anchor="b1939" w:history="1">
        <w:r>
          <w:rPr>
            <w:color w:val="0A3A8C"/>
            <w:u w:val="single"/>
          </w:rPr>
          <w:t xml:space="preserve">§§ 1479</w:t>
        </w:r>
      </w:hyperlink>
      <w:r>
        <w:t xml:space="preserve">, </w:t>
      </w:r>
      <w:hyperlink w:anchor="b1940" w:history="1">
        <w:r>
          <w:rPr>
            <w:color w:val="0A3A8C"/>
            <w:u w:val="single"/>
          </w:rPr>
          <w:t xml:space="preserve">1480</w:t>
        </w:r>
      </w:hyperlink>
      <w:r>
        <w:t xml:space="preserve"> und des </w:t>
      </w:r>
      <w:hyperlink w:anchor="b1941" w:history="1">
        <w:r>
          <w:rPr>
            <w:color w:val="0A3A8C"/>
            <w:u w:val="single"/>
          </w:rPr>
          <w:t xml:space="preserve">§ 1481</w:t>
        </w:r>
      </w:hyperlink>
      <w:r>
        <w:t xml:space="preserve"> Abs. 1, 3 anzuwenden; an die Stelle des Ehegatten, der das Gesamtgut allein verwaltet hat, tritt der überlebende Ehegatte, an die Stelle des anderen Ehegatten treten die anteilsberechtigten Abkömmlinge. </w:t>
      </w:r>
      <w:r>
        <w:rPr>
          <w:rStyle w:val="Satznummer"/>
        </w:rPr>
        <w:t>2</w:t>
      </w:r>
      <w:r>
        <w:t xml:space="preserve">Die in </w:t>
      </w:r>
      <w:hyperlink w:anchor="b1936" w:history="1">
        <w:r>
          <w:rPr>
            <w:color w:val="0A3A8C"/>
            <w:u w:val="single"/>
          </w:rPr>
          <w:t xml:space="preserve">§ 1476</w:t>
        </w:r>
      </w:hyperlink>
      <w:r>
        <w:t xml:space="preserve"> Abs. 2 Satz 2 bezeichnete Verpflichtung besteht nur für den überlebenden Ehegatten.</w:t>
      </w:r>
    </w:p>
    <w:p>
      <w:pPr>
        <w:pStyle w:val="Heading7"/>
      </w:pPr>
      <w:bookmarkStart w:id="1975" w:name="b1960"/>
      <w:r>
        <w:t>§ 1499 Verbindlichkeiten zu Lasten des überlebenden Ehegatten</w:t>
      </w:r>
      <w:r>
        <w:t xml:space="preserve"> </w:t>
      </w:r>
      <w:r>
        <w:rPr>
          <w:rStyle w:val="Suchmarke"/>
        </w:rPr>
        <w:t>#1499#</w:t>
      </w:r>
      <w:bookmarkEnd w:id="1975"/>
    </w:p>
    <w:p>
      <w:r>
        <w:t>Bei der Auseinandersetzung fallen dem überlebenden Ehegatten zur Last:</w:t>
      </w:r>
    </w:p>
    <w:p>
      <w:pPr>
        <w:tabs>
          <w:tab w:pos="567" w:val="left"/>
        </w:tabs>
        <w:ind w:left="567" w:hanging="567"/>
      </w:pPr>
      <w:r>
        <w:t>1.</w:t>
      </w:r>
      <w:r>
        <w:tab/>
      </w:r>
      <w:r>
        <w:t>die ihm bei dem Eintritt der fortgesetzten Gütergemeinschaft obliegenden Gesamtgutsverbindlichkeiten, für die das eheliche Gesamtgut nicht haftete oder die im Verhältnis der Ehegatten zueinander ihm zur Last fielen;</w:t>
      </w:r>
    </w:p>
    <w:p>
      <w:pPr>
        <w:tabs>
          <w:tab w:pos="567" w:val="left"/>
        </w:tabs>
        <w:ind w:left="567" w:hanging="567"/>
      </w:pPr>
      <w:r>
        <w:t>2.</w:t>
      </w:r>
      <w:r>
        <w:tab/>
      </w:r>
      <w:r>
        <w:t>die nach dem Eintritt der fortgesetzten Gütergemeinschaft entstandenen Gesamtgutsverbindlichkeiten, die, wenn sie während der ehelichen Gütergemeinschaft in seiner Person entstanden wären, im Verhältnis der Ehegatten zueinander ihm zur Last gefallen sein würden;</w:t>
      </w:r>
    </w:p>
    <w:p>
      <w:pPr>
        <w:tabs>
          <w:tab w:pos="567" w:val="left"/>
        </w:tabs>
        <w:ind w:left="567" w:hanging="567"/>
      </w:pPr>
      <w:r>
        <w:t>3.</w:t>
      </w:r>
      <w:r>
        <w:tab/>
      </w:r>
      <w:r>
        <w:t>eine Ausstattung, die er einem anteilsberechtigten Abkömmling über das dem Gesamtgut entsprechende Maß hinaus oder die er einem nicht anteilsberechtigten Abkömmling versprochen oder gewährt hat.</w:t>
      </w:r>
    </w:p>
    <w:p>
      <w:pPr>
        <w:pStyle w:val="Heading7"/>
      </w:pPr>
      <w:bookmarkStart w:id="1976" w:name="b1961"/>
      <w:r>
        <w:t>§ 1500 Verbindlichkeiten zu Lasten der Abkömmlinge</w:t>
      </w:r>
      <w:r>
        <w:t xml:space="preserve"> </w:t>
      </w:r>
      <w:r>
        <w:rPr>
          <w:rStyle w:val="Suchmarke"/>
        </w:rPr>
        <w:t>#1500#</w:t>
      </w:r>
      <w:bookmarkEnd w:id="1976"/>
    </w:p>
    <w:p>
      <w:r>
        <w:t>(1) Die anteilsberechtigten Abkömmlinge müssen sich Verbindlichkeiten des verstorbenen Ehegatten, die diesem im Verhältnis der Ehegatten zueinander zur Last fielen, bei der Auseinandersetzung auf ihren Anteil insoweit anrechnen lassen, als der überlebende Ehegatte nicht von dem Erben des verstorbenen Ehegatten Deckung hat erlangen können.</w:t>
      </w:r>
    </w:p>
    <w:p>
      <w:r>
        <w:t>(2) In gleicher Weise haben sich die anteilsberechtigten Abkömmlinge anrechnen zu lassen, was der verstorbene Ehegatte zu dem Gesamtgut zu ersetzen hatte.</w:t>
      </w:r>
    </w:p>
    <w:p>
      <w:pPr>
        <w:pStyle w:val="Heading7"/>
      </w:pPr>
      <w:bookmarkStart w:id="1977" w:name="b1962"/>
      <w:r>
        <w:t>§ 1501 Anrechnung von Abfindungen</w:t>
      </w:r>
      <w:r>
        <w:t xml:space="preserve"> </w:t>
      </w:r>
      <w:r>
        <w:rPr>
          <w:rStyle w:val="Suchmarke"/>
        </w:rPr>
        <w:t>#1501#</w:t>
      </w:r>
      <w:bookmarkEnd w:id="1977"/>
    </w:p>
    <w:p>
      <w:r>
        <w:t>(1) Ist einem anteilsberechtigten Abkömmling für den Verzicht auf seinen Anteil eine Abfindung aus dem Gesamtgut gewährt worden, so wird sie bei der Auseinandersetzung in das Gesamtgut eingerechnet und auf die den Abkömmlingen gebührende Hälfte angerechnet.</w:t>
      </w:r>
    </w:p>
    <w:p>
      <w:r>
        <w:t xml:space="preserve">(2) </w:t>
      </w:r>
      <w:r>
        <w:rPr>
          <w:rStyle w:val="Satznummer"/>
        </w:rPr>
        <w:t>1</w:t>
      </w:r>
      <w:r>
        <w:t xml:space="preserve">Der überlebende Ehegatte kann mit den übrigen anteilsberechtigten Abkömmlingen schon vor der Aufhebung der fortgesetzten Gütergemeinschaft eine abweichende Vereinbarung treffen. </w:t>
      </w:r>
      <w:r>
        <w:rPr>
          <w:rStyle w:val="Satznummer"/>
        </w:rPr>
        <w:t>2</w:t>
      </w:r>
      <w:r>
        <w:t>Die Vereinbarung bedarf der notariellen Beurkundung; sie ist auch denjenigen Abkömmlingen gegenüber wirksam, welche erst später in die fortgesetzte Gütergemeinschaft eintreten.</w:t>
      </w:r>
    </w:p>
    <w:p>
      <w:pPr>
        <w:pStyle w:val="Heading7"/>
      </w:pPr>
      <w:bookmarkStart w:id="1978" w:name="b1963"/>
      <w:r>
        <w:t>§ 1502 Übernahmerecht des überlebenden Ehegatten</w:t>
      </w:r>
      <w:r>
        <w:t xml:space="preserve"> </w:t>
      </w:r>
      <w:r>
        <w:rPr>
          <w:rStyle w:val="Suchmarke"/>
        </w:rPr>
        <w:t>#1502#</w:t>
      </w:r>
      <w:bookmarkEnd w:id="1978"/>
    </w:p>
    <w:p>
      <w:r>
        <w:t xml:space="preserve">(1) </w:t>
      </w:r>
      <w:r>
        <w:rPr>
          <w:rStyle w:val="Satznummer"/>
        </w:rPr>
        <w:t>1</w:t>
      </w:r>
      <w:r>
        <w:t xml:space="preserve">Der überlebende Ehegatte ist berechtigt, das Gesamtgut oder einzelne dazu gehörende Gegenstände gegen Ersatz des Wertes zu übernehmen. </w:t>
      </w:r>
      <w:r>
        <w:rPr>
          <w:rStyle w:val="Satznummer"/>
        </w:rPr>
        <w:t>2</w:t>
      </w:r>
      <w:r>
        <w:t>Das Recht geht nicht auf den Erben über.</w:t>
      </w:r>
    </w:p>
    <w:p>
      <w:r>
        <w:t xml:space="preserve">(2) </w:t>
      </w:r>
      <w:r>
        <w:rPr>
          <w:rStyle w:val="Satznummer"/>
        </w:rPr>
        <w:t>1</w:t>
      </w:r>
      <w:r>
        <w:t xml:space="preserve">Wird die fortgesetzte Gütergemeinschaft auf Grund des </w:t>
      </w:r>
      <w:hyperlink w:anchor="b1956" w:history="1">
        <w:r>
          <w:rPr>
            <w:color w:val="0A3A8C"/>
            <w:u w:val="single"/>
          </w:rPr>
          <w:t xml:space="preserve">§ 1495</w:t>
        </w:r>
      </w:hyperlink>
      <w:r>
        <w:t xml:space="preserve"> durch Urteil aufgehoben, so steht dem überlebenden Ehegatten das im Absatz 1 bestimmte Recht nicht zu. </w:t>
      </w:r>
      <w:r>
        <w:rPr>
          <w:rStyle w:val="Satznummer"/>
        </w:rPr>
        <w:t>2</w:t>
      </w:r>
      <w:r>
        <w:t xml:space="preserve">Die anteilsberechtigten Abkömmlinge können in diesem Falle diejenigen Gegenstände gegen Ersatz des Wertes übernehmen, welche der verstorbene Ehegatte nach </w:t>
      </w:r>
      <w:hyperlink w:anchor="b1937" w:history="1">
        <w:r>
          <w:rPr>
            <w:color w:val="0A3A8C"/>
            <w:u w:val="single"/>
          </w:rPr>
          <w:t xml:space="preserve">§ 1477</w:t>
        </w:r>
      </w:hyperlink>
      <w:r>
        <w:t xml:space="preserve"> Abs. 2 zu übernehmen berechtigt sein würde. </w:t>
      </w:r>
      <w:r>
        <w:rPr>
          <w:rStyle w:val="Satznummer"/>
        </w:rPr>
        <w:t>3</w:t>
      </w:r>
      <w:r>
        <w:t>Das Recht kann von ihnen nur gemeinschaftlich ausgeübt werden.</w:t>
      </w:r>
    </w:p>
    <w:p>
      <w:pPr>
        <w:pStyle w:val="Heading7"/>
      </w:pPr>
      <w:bookmarkStart w:id="1979" w:name="b1964"/>
      <w:r>
        <w:t>§ 1503 Teilung unter den Abkömmlingen</w:t>
      </w:r>
      <w:r>
        <w:t xml:space="preserve"> </w:t>
      </w:r>
      <w:r>
        <w:rPr>
          <w:rStyle w:val="Suchmarke"/>
        </w:rPr>
        <w:t>#1503#</w:t>
      </w:r>
      <w:bookmarkEnd w:id="1979"/>
    </w:p>
    <w:p>
      <w:r>
        <w:t>(1) Mehrere anteilsberechtigte Abkömmlinge teilen die ihnen zufallende Hälfte des Gesamtguts nach dem Verhältnis der Anteile, zu denen sie im Falle der gesetzlichen Erbfolge als Erben des verstorbenen Ehegatten berufen sein würden, wenn dieser erst zur Zeit der Beendigung der fortgesetzten Gütergemeinschaft gestorben wäre.</w:t>
      </w:r>
    </w:p>
    <w:p>
      <w:r>
        <w:t>(2) Das Vorempfangene kommt nach den für die Ausgleichung unter Abkömmlingen geltenden Vorschriften zur Ausgleichung, soweit nicht eine solche bereits bei der Teilung des Nachlasses des verstorbenen Ehegatten erfolgt ist.</w:t>
      </w:r>
    </w:p>
    <w:p>
      <w:r>
        <w:t>(3) Ist einem Abkömmling, der auf seinen Anteil verzichtet hat, eine Abfindung aus dem Gesamtgut gewährt worden, so fällt sie den Abkömmlingen zur Last, denen der Verzicht zustatten kommt.</w:t>
      </w:r>
    </w:p>
    <w:p>
      <w:pPr>
        <w:pStyle w:val="Heading7"/>
      </w:pPr>
      <w:bookmarkStart w:id="1980" w:name="b1965"/>
      <w:r>
        <w:t>§ 1504 Haftungsausgleich unter Abkömmlingen</w:t>
      </w:r>
      <w:r>
        <w:t xml:space="preserve"> </w:t>
      </w:r>
      <w:r>
        <w:rPr>
          <w:rStyle w:val="Suchmarke"/>
        </w:rPr>
        <w:t>#1504#</w:t>
      </w:r>
      <w:bookmarkEnd w:id="1980"/>
    </w:p>
    <w:p>
      <w:r>
        <w:rPr>
          <w:rStyle w:val="Satznummer"/>
        </w:rPr>
        <w:t>1</w:t>
      </w:r>
      <w:r>
        <w:t xml:space="preserve">Soweit die anteilsberechtigten Abkömmlinge nach § 1480 den Gesamtgutsgläubigern haften, sind sie im Verhältnis zueinander nach der Größe ihres Anteils an dem Gesamtgut verpflichtet. </w:t>
      </w:r>
      <w:r>
        <w:rPr>
          <w:rStyle w:val="Satznummer"/>
        </w:rPr>
        <w:t>2</w:t>
      </w:r>
      <w:r>
        <w:t xml:space="preserve">Die Verpflichtung beschränkt sich auf die ihnen zugeteilten Gegenstände; die für die Haftung des Erben geltenden Vorschriften der </w:t>
      </w:r>
      <w:hyperlink w:anchor="b2435" w:history="1">
        <w:r>
          <w:rPr>
            <w:color w:val="0A3A8C"/>
            <w:u w:val="single"/>
          </w:rPr>
          <w:t xml:space="preserve">§§ 1990</w:t>
        </w:r>
      </w:hyperlink>
      <w:r>
        <w:t xml:space="preserve">, </w:t>
      </w:r>
      <w:hyperlink w:anchor="b2436" w:history="1">
        <w:r>
          <w:rPr>
            <w:color w:val="0A3A8C"/>
            <w:u w:val="single"/>
          </w:rPr>
          <w:t xml:space="preserve">1991</w:t>
        </w:r>
      </w:hyperlink>
      <w:r>
        <w:t xml:space="preserve"> finden entsprechende Anwendung.</w:t>
      </w:r>
    </w:p>
    <w:p>
      <w:pPr>
        <w:pStyle w:val="Heading7"/>
      </w:pPr>
      <w:bookmarkStart w:id="1981" w:name="b1966"/>
      <w:r>
        <w:t>§ 1505 Ergänzung des Anteils des Abkömmlings</w:t>
      </w:r>
      <w:r>
        <w:t xml:space="preserve"> </w:t>
      </w:r>
      <w:r>
        <w:rPr>
          <w:rStyle w:val="Suchmarke"/>
        </w:rPr>
        <w:t>#1505#</w:t>
      </w:r>
      <w:bookmarkEnd w:id="1981"/>
    </w:p>
    <w:p>
      <w:r>
        <w:t>Die Vorschriften über das Recht auf Ergänzung des Pflichtteils finden zugunsten eines anteilsberechtigten Abkömmlings entsprechende Anwendung; an die Stelle des Erbfalls tritt die Beendigung der fortgesetzten Gütergemeinschaft; als gesetzlicher Erbteil gilt der dem Abkömmling zur Zeit der Beendigung gebührende Anteil an dem Gesamtgut, als Pflichtteil gilt die Hälfte des Wertes dieses Anteils.</w:t>
      </w:r>
    </w:p>
    <w:p>
      <w:pPr>
        <w:pStyle w:val="Heading7"/>
      </w:pPr>
      <w:bookmarkStart w:id="1982" w:name="b1967"/>
      <w:r>
        <w:t>§ 1506 Anteilsunwürdigkeit</w:t>
      </w:r>
      <w:r>
        <w:t xml:space="preserve"> </w:t>
      </w:r>
      <w:r>
        <w:rPr>
          <w:rStyle w:val="Suchmarke"/>
        </w:rPr>
        <w:t>#1506#</w:t>
      </w:r>
      <w:bookmarkEnd w:id="1982"/>
    </w:p>
    <w:p>
      <w:r>
        <w:rPr>
          <w:rStyle w:val="Satznummer"/>
        </w:rPr>
        <w:t>1</w:t>
      </w:r>
      <w:r>
        <w:t xml:space="preserve">Ist ein gemeinschaftlicher Abkömmling erbunwürdig, so ist er auch des Anteils an dem Gesamtgut unwürdig. </w:t>
      </w:r>
      <w:r>
        <w:rPr>
          <w:rStyle w:val="Satznummer"/>
        </w:rPr>
        <w:t>2</w:t>
      </w:r>
      <w:r>
        <w:t>Die Vorschriften über die Erbunwürdigkeit finden entsprechende Anwendung.</w:t>
      </w:r>
    </w:p>
    <w:p>
      <w:pPr>
        <w:pStyle w:val="Heading7"/>
      </w:pPr>
      <w:bookmarkStart w:id="1983" w:name="b1968"/>
      <w:r>
        <w:t>§ 1507 Zeugnis über Fortsetzung der Gütergemeinschaft</w:t>
      </w:r>
      <w:r>
        <w:t xml:space="preserve"> </w:t>
      </w:r>
      <w:r>
        <w:rPr>
          <w:rStyle w:val="Suchmarke"/>
        </w:rPr>
        <w:t>#1507#</w:t>
      </w:r>
      <w:bookmarkEnd w:id="1983"/>
    </w:p>
    <w:p>
      <w:r>
        <w:rPr>
          <w:rStyle w:val="Satznummer"/>
        </w:rPr>
        <w:t>1</w:t>
      </w:r>
      <w:r>
        <w:t xml:space="preserve">Das Nachlassgericht hat dem überlebenden Ehegatten auf Antrag ein Zeugnis über die Fortsetzung der Gütergemeinschaft zu erteilen. </w:t>
      </w:r>
      <w:r>
        <w:rPr>
          <w:rStyle w:val="Satznummer"/>
        </w:rPr>
        <w:t>2</w:t>
      </w:r>
      <w:r>
        <w:t>Die Vorschriften über den Erbschein finden entsprechende Anwendung.</w:t>
      </w:r>
    </w:p>
    <w:p>
      <w:pPr>
        <w:pStyle w:val="Heading7"/>
      </w:pPr>
      <w:bookmarkStart w:id="1984" w:name="b1969"/>
      <w:r>
        <w:t>§ 1508</w:t>
      </w:r>
      <w:r>
        <w:t xml:space="preserve"> </w:t>
      </w:r>
      <w:r>
        <w:rPr>
          <w:rStyle w:val="Suchmarke"/>
        </w:rPr>
        <w:t>#1508#</w:t>
      </w:r>
      <w:bookmarkEnd w:id="1984"/>
    </w:p>
    <w:p>
      <w:r>
        <w:t>(weggefallen)</w:t>
      </w:r>
    </w:p>
    <w:p>
      <w:pPr>
        <w:pStyle w:val="Heading7"/>
      </w:pPr>
      <w:bookmarkStart w:id="1985" w:name="b1970"/>
      <w:r>
        <w:t>§ 1509 Ausschließung der fortgesetzten Gütergemeinschaft durch letztwillige Verfügung</w:t>
      </w:r>
      <w:r>
        <w:t xml:space="preserve"> </w:t>
      </w:r>
      <w:r>
        <w:rPr>
          <w:rStyle w:val="Suchmarke"/>
        </w:rPr>
        <w:t>#1509#</w:t>
      </w:r>
      <w:bookmarkEnd w:id="1985"/>
    </w:p>
    <w:p>
      <w:r>
        <w:rPr>
          <w:rStyle w:val="Satznummer"/>
        </w:rPr>
        <w:t>1</w:t>
      </w:r>
      <w:r>
        <w:t xml:space="preserve">Jeder Ehegatte kann für den Fall, dass die Ehe durch seinen Tod aufgelöst wird, die Fortsetzung der Gütergemeinschaft durch letztwillige Verfügung ausschließen, wenn er berechtigt ist, dem anderen Ehegatten den Pflichtteil zu entziehen oder die Aufhebung der Gütergemeinschaft zu beantragen. </w:t>
      </w:r>
      <w:r>
        <w:rPr>
          <w:rStyle w:val="Satznummer"/>
        </w:rPr>
        <w:t>2</w:t>
      </w:r>
      <w:r>
        <w:t xml:space="preserve">Das Gleiche gilt, wenn der Ehegatte berechtigt ist, die Aufhebung der Ehe zu beantragen, und den Antrag gestellt hat. </w:t>
      </w:r>
      <w:r>
        <w:rPr>
          <w:rStyle w:val="Satznummer"/>
        </w:rPr>
        <w:t>3</w:t>
      </w:r>
      <w:r>
        <w:t>Auf die Ausschließung finden die Vorschriften über die Entziehung des Pflichtteils entsprechende Anwendung.</w:t>
      </w:r>
    </w:p>
    <w:p>
      <w:pPr>
        <w:pStyle w:val="Heading7"/>
      </w:pPr>
      <w:bookmarkStart w:id="1986" w:name="b1971"/>
      <w:r>
        <w:t>§ 1510 Wirkung der Ausschließung</w:t>
      </w:r>
      <w:r>
        <w:t xml:space="preserve"> </w:t>
      </w:r>
      <w:r>
        <w:rPr>
          <w:rStyle w:val="Suchmarke"/>
        </w:rPr>
        <w:t>#1510#</w:t>
      </w:r>
      <w:bookmarkEnd w:id="1986"/>
    </w:p>
    <w:p>
      <w:r>
        <w:t xml:space="preserve">Wird die Fortsetzung der Gütergemeinschaft ausgeschlossen, so gilt das Gleiche wie im Falle des </w:t>
      </w:r>
      <w:hyperlink w:anchor="b1942" w:history="1">
        <w:r>
          <w:rPr>
            <w:color w:val="0A3A8C"/>
            <w:u w:val="single"/>
          </w:rPr>
          <w:t xml:space="preserve">§ 1482</w:t>
        </w:r>
      </w:hyperlink>
      <w:r>
        <w:t>.</w:t>
      </w:r>
    </w:p>
    <w:p>
      <w:pPr>
        <w:pStyle w:val="Heading7"/>
      </w:pPr>
      <w:bookmarkStart w:id="1987" w:name="b1972"/>
      <w:r>
        <w:t>§ 1511 Ausschließung eines Abkömmlings</w:t>
      </w:r>
      <w:r>
        <w:t xml:space="preserve"> </w:t>
      </w:r>
      <w:r>
        <w:rPr>
          <w:rStyle w:val="Suchmarke"/>
        </w:rPr>
        <w:t>#1511#</w:t>
      </w:r>
      <w:bookmarkEnd w:id="1987"/>
    </w:p>
    <w:p>
      <w:r>
        <w:t>(1) Jeder Ehegatte kann für den Fall, dass die Ehe durch seinen Tod aufgelöst wird, einen gemeinschaftlichen Abkömmling von der fortgesetzten Gütergemeinschaft durch letztwillige Verfügung ausschließen.</w:t>
      </w:r>
    </w:p>
    <w:p>
      <w:r>
        <w:t xml:space="preserve">(2) </w:t>
      </w:r>
      <w:r>
        <w:rPr>
          <w:rStyle w:val="Satznummer"/>
        </w:rPr>
        <w:t>1</w:t>
      </w:r>
      <w:r>
        <w:t xml:space="preserve">Der ausgeschlossene Abkömmling kann, unbeschadet seines Erbrechts, aus dem Gesamtgut der fortgesetzten Gütergemeinschaft die Zahlung des Betrags verlangen, der ihm von dem Gesamtgut der ehelichen Gütergemeinschaft als Pflichtteil gebühren würde, wenn die fortgesetzte Gütergemeinschaft nicht eingetreten wäre. </w:t>
      </w:r>
      <w:r>
        <w:rPr>
          <w:rStyle w:val="Satznummer"/>
        </w:rPr>
        <w:t>2</w:t>
      </w:r>
      <w:r>
        <w:t>Die für den Pflichtteilsanspruch geltenden Vorschriften finden entsprechende Anwendung.</w:t>
      </w:r>
    </w:p>
    <w:p>
      <w:r>
        <w:t xml:space="preserve">(3) </w:t>
      </w:r>
      <w:r>
        <w:rPr>
          <w:rStyle w:val="Satznummer"/>
        </w:rPr>
        <w:t>1</w:t>
      </w:r>
      <w:r>
        <w:t xml:space="preserve">Der dem ausgeschlossenen Abkömmling gezahlte Betrag wird bei der Auseinandersetzung den anteilsberechtigten Abkömmlingen nach Maßgabe des </w:t>
      </w:r>
      <w:hyperlink w:anchor="b1962" w:history="1">
        <w:r>
          <w:rPr>
            <w:color w:val="0A3A8C"/>
            <w:u w:val="single"/>
          </w:rPr>
          <w:t xml:space="preserve">§ 1501</w:t>
        </w:r>
      </w:hyperlink>
      <w:r>
        <w:t xml:space="preserve"> angerechnet. </w:t>
      </w:r>
      <w:r>
        <w:rPr>
          <w:rStyle w:val="Satznummer"/>
        </w:rPr>
        <w:t>2</w:t>
      </w:r>
      <w:r>
        <w:t>Im Verhältnis der Abkömmlinge zueinander fällt er den Abkömmlingen zur Last, denen die Ausschließung zustatten kommt.</w:t>
      </w:r>
    </w:p>
    <w:p>
      <w:pPr>
        <w:pStyle w:val="Heading7"/>
      </w:pPr>
      <w:bookmarkStart w:id="1988" w:name="b1973"/>
      <w:r>
        <w:t>§ 1512 Herabsetzung des Anteils</w:t>
      </w:r>
      <w:r>
        <w:t xml:space="preserve"> </w:t>
      </w:r>
      <w:r>
        <w:rPr>
          <w:rStyle w:val="Suchmarke"/>
        </w:rPr>
        <w:t>#1512#</w:t>
      </w:r>
      <w:bookmarkEnd w:id="1988"/>
    </w:p>
    <w:p>
      <w:r>
        <w:t>Jeder Ehegatte kann für den Fall, dass mit seinem Tode die fortgesetzte Gütergemeinschaft eintritt, den einem anteilsberechtigten Abkömmling nach der Beendigung der fortgesetzten Gütergemeinschaft gebührenden Anteil an dem Gesamtgut durch letztwillige Verfügung bis auf die Hälfte herabsetzen.</w:t>
      </w:r>
    </w:p>
    <w:p>
      <w:pPr>
        <w:pStyle w:val="Heading7"/>
      </w:pPr>
      <w:bookmarkStart w:id="1989" w:name="b1974"/>
      <w:r>
        <w:t>§ 1513 Entziehung des Anteils</w:t>
      </w:r>
      <w:r>
        <w:t xml:space="preserve"> </w:t>
      </w:r>
      <w:r>
        <w:rPr>
          <w:rStyle w:val="Suchmarke"/>
        </w:rPr>
        <w:t>#1513#</w:t>
      </w:r>
      <w:bookmarkEnd w:id="1989"/>
    </w:p>
    <w:p>
      <w:r>
        <w:t xml:space="preserve">(1) </w:t>
      </w:r>
      <w:r>
        <w:rPr>
          <w:rStyle w:val="Satznummer"/>
        </w:rPr>
        <w:t>1</w:t>
      </w:r>
      <w:r>
        <w:t xml:space="preserve">Jeder Ehegatte kann für den Fall, dass mit seinem Tode die fortgesetzte Gütergemeinschaft eintritt, einem anteilsberechtigten Abkömmling den diesem nach der Beendigung der fortgesetzten Gütergemeinschaft gebührenden Anteil an dem Gesamtgut durch letztwillige Verfügung entziehen, wenn er berechtigt ist, dem Abkömmling den Pflichtteil zu entziehen. </w:t>
      </w:r>
      <w:r>
        <w:rPr>
          <w:rStyle w:val="Satznummer"/>
        </w:rPr>
        <w:t>2</w:t>
      </w:r>
      <w:r>
        <w:t xml:space="preserve">Die Vorschrift des </w:t>
      </w:r>
      <w:hyperlink w:anchor="b2790" w:history="1">
        <w:r>
          <w:rPr>
            <w:color w:val="0A3A8C"/>
            <w:u w:val="single"/>
          </w:rPr>
          <w:t xml:space="preserve">§ 2336</w:t>
        </w:r>
      </w:hyperlink>
      <w:r>
        <w:t xml:space="preserve"> Abs. 2 und 3 findet entsprechende Anwendung.</w:t>
      </w:r>
    </w:p>
    <w:p>
      <w:r>
        <w:t xml:space="preserve">(2) Der Ehegatte kann, wenn er nach </w:t>
      </w:r>
      <w:hyperlink w:anchor="b2792" w:history="1">
        <w:r>
          <w:rPr>
            <w:color w:val="0A3A8C"/>
            <w:u w:val="single"/>
          </w:rPr>
          <w:t xml:space="preserve">§ 2338</w:t>
        </w:r>
      </w:hyperlink>
      <w:r>
        <w:t xml:space="preserve"> berechtigt ist, das Pflichtteilsrecht des Abkömmlings zu beschränken, den Anteil des Abkömmlings am Gesamtgut einer entsprechenden Beschränkung unterwerfen.</w:t>
      </w:r>
    </w:p>
    <w:p>
      <w:pPr>
        <w:pStyle w:val="Heading7"/>
      </w:pPr>
      <w:bookmarkStart w:id="1990" w:name="b1975"/>
      <w:r>
        <w:t>§ 1514 Zuwendung des entzogenen Betrags</w:t>
      </w:r>
      <w:r>
        <w:t xml:space="preserve"> </w:t>
      </w:r>
      <w:r>
        <w:rPr>
          <w:rStyle w:val="Suchmarke"/>
        </w:rPr>
        <w:t>#1514#</w:t>
      </w:r>
      <w:bookmarkEnd w:id="1990"/>
    </w:p>
    <w:p>
      <w:r>
        <w:t xml:space="preserve">Jeder Ehegatte kann den Betrag, den er nach </w:t>
      </w:r>
      <w:hyperlink w:anchor="b1973" w:history="1">
        <w:r>
          <w:rPr>
            <w:color w:val="0A3A8C"/>
            <w:u w:val="single"/>
          </w:rPr>
          <w:t xml:space="preserve">§ 1512</w:t>
        </w:r>
      </w:hyperlink>
      <w:r>
        <w:t xml:space="preserve"> oder nach </w:t>
      </w:r>
      <w:hyperlink w:anchor="b1974" w:history="1">
        <w:r>
          <w:rPr>
            <w:color w:val="0A3A8C"/>
            <w:u w:val="single"/>
          </w:rPr>
          <w:t xml:space="preserve">§ 1513</w:t>
        </w:r>
      </w:hyperlink>
      <w:r>
        <w:t xml:space="preserve"> Abs. 1 einem Abkömmling entzieht, auch einem Dritten durch letztwillige Verfügung zuwenden.</w:t>
      </w:r>
    </w:p>
    <w:p>
      <w:pPr>
        <w:pStyle w:val="Heading7"/>
      </w:pPr>
      <w:bookmarkStart w:id="1991" w:name="b1976"/>
      <w:r>
        <w:t>§ 1515 Übernahmerecht eines Abkömmlings und des Ehegatten</w:t>
      </w:r>
      <w:r>
        <w:t xml:space="preserve"> </w:t>
      </w:r>
      <w:r>
        <w:rPr>
          <w:rStyle w:val="Suchmarke"/>
        </w:rPr>
        <w:t>#1515#</w:t>
      </w:r>
      <w:bookmarkEnd w:id="1991"/>
    </w:p>
    <w:p>
      <w:r>
        <w:t>(1) Jeder Ehegatte kann für den Fall, dass mit seinem Tode die fortgesetzte Gütergemeinschaft eintritt, durch letztwillige Verfügung anordnen, dass ein anteilsberechtigter Abkömmling das Recht haben soll, bei der Teilung das Gesamtgut oder einzelne dazu gehörende Gegenstände gegen Ersatz des Wertes zu übernehmen.</w:t>
      </w:r>
    </w:p>
    <w:p>
      <w:r>
        <w:t xml:space="preserve">(2) </w:t>
      </w:r>
      <w:r>
        <w:rPr>
          <w:rStyle w:val="Satznummer"/>
        </w:rPr>
        <w:t>1</w:t>
      </w:r>
      <w:r>
        <w:t xml:space="preserve">Gehört zu dem Gesamtgut ein Landgut, so kann angeordnet werden, dass das Landgut mit dem Ertragswert oder mit einem Preis, der den Ertragswert mindestens erreicht, angesetzt werden soll. </w:t>
      </w:r>
      <w:r>
        <w:rPr>
          <w:rStyle w:val="Satznummer"/>
        </w:rPr>
        <w:t>2</w:t>
      </w:r>
      <w:r>
        <w:t xml:space="preserve">Die für die Erbfolge geltende Vorschrift des </w:t>
      </w:r>
      <w:hyperlink w:anchor="b2499" w:history="1">
        <w:r>
          <w:rPr>
            <w:color w:val="0A3A8C"/>
            <w:u w:val="single"/>
          </w:rPr>
          <w:t xml:space="preserve">§ 2049</w:t>
        </w:r>
      </w:hyperlink>
      <w:r>
        <w:t xml:space="preserve"> findet Anwendung.</w:t>
      </w:r>
    </w:p>
    <w:p>
      <w:r>
        <w:t>(3) Das Recht, das Landgut zu dem in Absatz 2 bezeichneten Werte oder Preis zu übernehmen, kann auch dem überlebenden Ehegatten eingeräumt werden.</w:t>
      </w:r>
    </w:p>
    <w:p>
      <w:pPr>
        <w:pStyle w:val="Heading7"/>
      </w:pPr>
      <w:bookmarkStart w:id="1992" w:name="b1977"/>
      <w:r>
        <w:t>§ 1516 Zustimmung des anderen Ehegatten</w:t>
      </w:r>
      <w:r>
        <w:t xml:space="preserve"> </w:t>
      </w:r>
      <w:r>
        <w:rPr>
          <w:rStyle w:val="Suchmarke"/>
        </w:rPr>
        <w:t>#1516#</w:t>
      </w:r>
      <w:bookmarkEnd w:id="1992"/>
    </w:p>
    <w:p>
      <w:r>
        <w:t xml:space="preserve">(1) Zur Wirksamkeit der in den </w:t>
      </w:r>
      <w:hyperlink w:anchor="b1972" w:history="1">
        <w:r>
          <w:rPr>
            <w:color w:val="0A3A8C"/>
            <w:u w:val="single"/>
          </w:rPr>
          <w:t xml:space="preserve">§§ 1511</w:t>
        </w:r>
      </w:hyperlink>
      <w:r>
        <w:t xml:space="preserve"> bis </w:t>
      </w:r>
      <w:hyperlink w:anchor="b1976" w:history="1">
        <w:r>
          <w:rPr>
            <w:color w:val="0A3A8C"/>
            <w:u w:val="single"/>
          </w:rPr>
          <w:t xml:space="preserve">1515</w:t>
        </w:r>
      </w:hyperlink>
      <w:r>
        <w:t xml:space="preserve"> bezeichneten Verfügungen eines Ehegatten ist die Zustimmung des anderen Ehegatten erforderlich.</w:t>
      </w:r>
    </w:p>
    <w:p>
      <w:r>
        <w:t xml:space="preserve">(2) </w:t>
      </w:r>
      <w:r>
        <w:rPr>
          <w:rStyle w:val="Satznummer"/>
        </w:rPr>
        <w:t>1</w:t>
      </w:r>
      <w:r>
        <w:t xml:space="preserve">Die Zustimmung kann nicht durch einen Vertreter erteilt werden. </w:t>
      </w:r>
      <w:r>
        <w:rPr>
          <w:rStyle w:val="Satznummer"/>
        </w:rPr>
        <w:t>2</w:t>
      </w:r>
      <w:r>
        <w:t xml:space="preserve">Die Zustimmungserklärung bedarf der notariellen Beurkundung. </w:t>
      </w:r>
      <w:r>
        <w:rPr>
          <w:rStyle w:val="Satznummer"/>
        </w:rPr>
        <w:t>3</w:t>
      </w:r>
      <w:r>
        <w:t>Die Zustimmung ist unwiderruflich.</w:t>
      </w:r>
    </w:p>
    <w:p>
      <w:r>
        <w:t xml:space="preserve">(3) Die Ehegatten können die in den </w:t>
      </w:r>
      <w:hyperlink w:anchor="b1972" w:history="1">
        <w:r>
          <w:rPr>
            <w:color w:val="0A3A8C"/>
            <w:u w:val="single"/>
          </w:rPr>
          <w:t xml:space="preserve">§§ 1511</w:t>
        </w:r>
      </w:hyperlink>
      <w:r>
        <w:t xml:space="preserve"> bis </w:t>
      </w:r>
      <w:hyperlink w:anchor="b1976" w:history="1">
        <w:r>
          <w:rPr>
            <w:color w:val="0A3A8C"/>
            <w:u w:val="single"/>
          </w:rPr>
          <w:t xml:space="preserve">1515</w:t>
        </w:r>
      </w:hyperlink>
      <w:r>
        <w:t xml:space="preserve"> bezeichneten Verfügungen auch in einem gemeinschaftlichen Testament treffen.</w:t>
      </w:r>
    </w:p>
    <w:p>
      <w:pPr>
        <w:pStyle w:val="Heading7"/>
      </w:pPr>
      <w:bookmarkStart w:id="1993" w:name="b1978"/>
      <w:r>
        <w:t>§ 1517 Verzicht eines Abkömmlings auf seinen Anteil</w:t>
      </w:r>
      <w:r>
        <w:t xml:space="preserve"> </w:t>
      </w:r>
      <w:r>
        <w:rPr>
          <w:rStyle w:val="Suchmarke"/>
        </w:rPr>
        <w:t>#1517#</w:t>
      </w:r>
      <w:bookmarkEnd w:id="1993"/>
    </w:p>
    <w:p>
      <w:r>
        <w:t xml:space="preserve">(1) </w:t>
      </w:r>
      <w:r>
        <w:rPr>
          <w:rStyle w:val="Satznummer"/>
        </w:rPr>
        <w:t>1</w:t>
      </w:r>
      <w:r>
        <w:t xml:space="preserve">Zur Wirksamkeit eines Vertrags, durch den ein gemeinschaftlicher Abkömmling einem der Ehegatten gegenüber für den Fall, dass die Ehe durch dessen Tod aufgelöst wird, auf seinen Anteil am Gesamtgut der fortgesetzten Gütergemeinschaft verzichtet oder durch den ein solcher Verzicht aufgehoben wird, ist die Zustimmung des anderen Ehegatten erforderlich. </w:t>
      </w:r>
      <w:r>
        <w:rPr>
          <w:rStyle w:val="Satznummer"/>
        </w:rPr>
        <w:t>2</w:t>
      </w:r>
      <w:r>
        <w:t xml:space="preserve">Für die Zustimmung gilt die Vorschrift des </w:t>
      </w:r>
      <w:hyperlink w:anchor="b1977" w:history="1">
        <w:r>
          <w:rPr>
            <w:color w:val="0A3A8C"/>
            <w:u w:val="single"/>
          </w:rPr>
          <w:t xml:space="preserve">§ 1516</w:t>
        </w:r>
      </w:hyperlink>
      <w:r>
        <w:t xml:space="preserve"> Abs. 2 Absatz 2 Satz 2 und 3 entsprechend.</w:t>
      </w:r>
    </w:p>
    <w:p>
      <w:r>
        <w:t>(2) Die für den Erbverzicht geltenden Vorschriften finden entsprechende Anwendung.</w:t>
      </w:r>
    </w:p>
    <w:p>
      <w:pPr>
        <w:pStyle w:val="Heading7"/>
      </w:pPr>
      <w:bookmarkStart w:id="1994" w:name="b1979"/>
      <w:r>
        <w:t>§ 1518 Zwingendes Recht</w:t>
      </w:r>
      <w:r>
        <w:t xml:space="preserve"> </w:t>
      </w:r>
      <w:r>
        <w:rPr>
          <w:rStyle w:val="Suchmarke"/>
        </w:rPr>
        <w:t>#1518#</w:t>
      </w:r>
      <w:bookmarkEnd w:id="1994"/>
    </w:p>
    <w:p>
      <w:r>
        <w:rPr>
          <w:rStyle w:val="Satznummer"/>
        </w:rPr>
        <w:t>1</w:t>
      </w:r>
      <w:r>
        <w:t xml:space="preserve">Anordnungen, die mit den Vorschriften der §§ 1483 bis 1517 in Widerspruch stehen, können von den Ehegatten weder durch letztwillige Verfügung noch durch Vertrag getroffen werden. </w:t>
      </w:r>
      <w:r>
        <w:rPr>
          <w:rStyle w:val="Satznummer"/>
        </w:rPr>
        <w:t>2</w:t>
      </w:r>
      <w:r>
        <w:t>Das Recht der Ehegatten, den Vertrag, durch den sie die Fortsetzung der Gütergemeinschaft vereinbart haben, durch Ehevertrag aufzuheben, bleibt unberührt.</w:t>
      </w:r>
    </w:p>
    <w:p>
      <w:pPr>
        <w:pStyle w:val="Heading5"/>
      </w:pPr>
      <w:bookmarkStart w:id="1995" w:name="b1980"/>
      <w:r>
        <w:t>Kapitel 4 Wahl-Zugewinngemeinschaft</w:t>
      </w:r>
      <w:bookmarkEnd w:id="1995"/>
    </w:p>
    <w:p>
      <w:pPr>
        <w:pStyle w:val="Heading6"/>
      </w:pPr>
      <w:bookmarkStart w:id="1996" w:name="b1981"/>
      <w:r>
        <w:t>§ 1519 Vereinbarung durch Ehevertrag</w:t>
      </w:r>
      <w:r>
        <w:t xml:space="preserve"> </w:t>
      </w:r>
      <w:r>
        <w:rPr>
          <w:rStyle w:val="Suchmarke"/>
        </w:rPr>
        <w:t>#1519#</w:t>
      </w:r>
      <w:bookmarkEnd w:id="1996"/>
    </w:p>
    <w:p>
      <w:r>
        <w:rPr>
          <w:rStyle w:val="Satznummer"/>
        </w:rPr>
        <w:t>1</w:t>
      </w:r>
      <w:r>
        <w:t xml:space="preserve">Vereinbaren die Ehegatten durch Ehevertrag den Güterstand der Wahl-Zugewinngemeinschaft, so gelten die Vorschriften des Abkommens vom 4. Februar 2010 zwischen der Bundesrepublik Deutschland und der Französischen Republik über den Güterstand der Wahl-Zugewinngemeinschaft. </w:t>
      </w:r>
      <w:r>
        <w:rPr>
          <w:rStyle w:val="Satznummer"/>
        </w:rPr>
        <w:t>2</w:t>
      </w:r>
      <w:hyperlink w:anchor="b1836" w:history="1">
        <w:r>
          <w:rPr>
            <w:color w:val="0A3A8C"/>
            <w:u w:val="single"/>
          </w:rPr>
          <w:t xml:space="preserve">§ 1368</w:t>
        </w:r>
      </w:hyperlink>
      <w:r>
        <w:t xml:space="preserve"> gilt entsprechend. </w:t>
      </w:r>
      <w:r>
        <w:rPr>
          <w:rStyle w:val="Satznummer"/>
        </w:rPr>
        <w:t>3</w:t>
      </w:r>
      <w:hyperlink w:anchor="b1866" w:history="1">
        <w:r>
          <w:rPr>
            <w:color w:val="0A3A8C"/>
            <w:u w:val="single"/>
          </w:rPr>
          <w:t xml:space="preserve">§ 1412</w:t>
        </w:r>
      </w:hyperlink>
      <w:r>
        <w:t xml:space="preserve"> ist nicht anzuwenden.</w:t>
      </w:r>
    </w:p>
    <w:p>
      <w:pPr>
        <w:pStyle w:val="Heading6"/>
      </w:pPr>
      <w:bookmarkStart w:id="1997" w:name="b1982"/>
      <w:r>
        <w:t>§§ 1520 bis 1557 (weggefallen)</w:t>
      </w:r>
      <w:bookmarkEnd w:id="1997"/>
    </w:p>
    <w:p>
      <w:pPr>
        <w:pStyle w:val="Heading6"/>
      </w:pPr>
      <w:bookmarkStart w:id="1998" w:name="b1983"/>
      <w:r>
        <w:t>§§ 1558 bis 1563 (weggefallen)</w:t>
      </w:r>
      <w:bookmarkEnd w:id="1998"/>
    </w:p>
    <w:p>
      <w:pPr>
        <w:pStyle w:val="Heading3"/>
      </w:pPr>
      <w:bookmarkStart w:id="1999" w:name="b1984"/>
      <w:r>
        <w:t>Titel 7 Scheidung der Ehe</w:t>
      </w:r>
      <w:bookmarkEnd w:id="1999"/>
    </w:p>
    <w:p>
      <w:pPr>
        <w:pStyle w:val="Heading4"/>
      </w:pPr>
      <w:bookmarkStart w:id="2000" w:name="b1985"/>
      <w:r>
        <w:t>Untertitel 1 Scheidungsgründe</w:t>
      </w:r>
      <w:bookmarkEnd w:id="2000"/>
    </w:p>
    <w:p>
      <w:pPr>
        <w:pStyle w:val="Heading5"/>
      </w:pPr>
      <w:bookmarkStart w:id="2001" w:name="b1986"/>
      <w:r>
        <w:t>§ 1564 Scheidung durch richterliche Entscheidung</w:t>
      </w:r>
      <w:r>
        <w:t xml:space="preserve"> </w:t>
      </w:r>
      <w:r>
        <w:rPr>
          <w:rStyle w:val="Suchmarke"/>
        </w:rPr>
        <w:t>#1564#</w:t>
      </w:r>
      <w:bookmarkEnd w:id="2001"/>
    </w:p>
    <w:p>
      <w:r>
        <w:rPr>
          <w:rStyle w:val="Satznummer"/>
        </w:rPr>
        <w:t>1</w:t>
      </w:r>
      <w:r>
        <w:t xml:space="preserve">Eine Ehe kann nur durch richterliche Entscheidung auf Antrag eines oder beider Ehegatten geschieden werden. </w:t>
      </w:r>
      <w:r>
        <w:rPr>
          <w:rStyle w:val="Satznummer"/>
        </w:rPr>
        <w:t>2</w:t>
      </w:r>
      <w:r>
        <w:t xml:space="preserve">Die Ehe ist mit der Rechtskraft der Entscheidung aufgelöst. </w:t>
      </w:r>
      <w:r>
        <w:rPr>
          <w:rStyle w:val="Satznummer"/>
        </w:rPr>
        <w:t>3</w:t>
      </w:r>
      <w:r>
        <w:t>Die Voraussetzungen, unter denen die Scheidung begehrt werden kann, ergeben sich aus den folgenden Vorschriften.</w:t>
      </w:r>
    </w:p>
    <w:p>
      <w:pPr>
        <w:pStyle w:val="Heading5"/>
      </w:pPr>
      <w:bookmarkStart w:id="2002" w:name="b1987"/>
      <w:r>
        <w:t>§ 1565 Scheitern der Ehe</w:t>
      </w:r>
      <w:r>
        <w:t xml:space="preserve"> </w:t>
      </w:r>
      <w:r>
        <w:rPr>
          <w:rStyle w:val="Suchmarke"/>
        </w:rPr>
        <w:t>#1565#</w:t>
      </w:r>
      <w:bookmarkEnd w:id="2002"/>
    </w:p>
    <w:p>
      <w:r>
        <w:t xml:space="preserve">(1) </w:t>
      </w:r>
      <w:r>
        <w:rPr>
          <w:rStyle w:val="Satznummer"/>
        </w:rPr>
        <w:t>1</w:t>
      </w:r>
      <w:r>
        <w:t xml:space="preserve">Eine Ehe kann geschieden werden, wenn sie gescheitert ist. </w:t>
      </w:r>
      <w:r>
        <w:rPr>
          <w:rStyle w:val="Satznummer"/>
        </w:rPr>
        <w:t>2</w:t>
      </w:r>
      <w:r>
        <w:t>Die Ehe ist gescheitert, wenn die Lebensgemeinschaft der Ehegatten nicht mehr besteht und nicht erwartet werden kann, dass die Ehegatten sie wiederherstellen.</w:t>
      </w:r>
    </w:p>
    <w:p>
      <w:r>
        <w:t>(2) Leben die Ehegatten noch nicht ein Jahr getrennt, so kann die Ehe nur geschieden werden, wenn die Fortsetzung der Ehe für den Antragsteller aus Gründen, die in der Person des anderen Ehegatten liegen, eine unzumutbare Härte darstellen würde.</w:t>
      </w:r>
    </w:p>
    <w:p>
      <w:pPr>
        <w:pStyle w:val="Heading5"/>
      </w:pPr>
      <w:bookmarkStart w:id="2003" w:name="b1988"/>
      <w:r>
        <w:t>§ 1566 Vermutung für das Scheitern</w:t>
      </w:r>
      <w:r>
        <w:t xml:space="preserve"> </w:t>
      </w:r>
      <w:r>
        <w:rPr>
          <w:rStyle w:val="Suchmarke"/>
        </w:rPr>
        <w:t>#1566#</w:t>
      </w:r>
      <w:bookmarkEnd w:id="2003"/>
    </w:p>
    <w:p>
      <w:r>
        <w:t>(1) Es wird unwiderlegbar vermutet, dass die Ehe gescheitert ist, wenn die Ehegatten seit einem Jahr getrennt leben und beide Ehegatten die Scheidung beantragen oder der Antragsgegner der Scheidung zustimmt.</w:t>
      </w:r>
    </w:p>
    <w:p>
      <w:r>
        <w:t>(2) Es wird unwiderlegbar vermutet, dass die Ehe gescheitert ist, wenn die Ehegatten seit drei Jahren getrennt leben.</w:t>
      </w:r>
    </w:p>
    <w:p>
      <w:pPr>
        <w:pStyle w:val="Heading5"/>
      </w:pPr>
      <w:bookmarkStart w:id="2004" w:name="b1989"/>
      <w:r>
        <w:t>§ 1567 Getrenntleben</w:t>
      </w:r>
      <w:r>
        <w:t xml:space="preserve"> </w:t>
      </w:r>
      <w:r>
        <w:rPr>
          <w:rStyle w:val="Suchmarke"/>
        </w:rPr>
        <w:t>#1567#</w:t>
      </w:r>
      <w:bookmarkEnd w:id="2004"/>
    </w:p>
    <w:p>
      <w:r>
        <w:t xml:space="preserve">(1) </w:t>
      </w:r>
      <w:r>
        <w:rPr>
          <w:rStyle w:val="Satznummer"/>
        </w:rPr>
        <w:t>1</w:t>
      </w:r>
      <w:r>
        <w:t xml:space="preserve">Die Ehegatten leben getrennt, wenn zwischen ihnen keine häusliche Gemeinschaft besteht und ein Ehegatte sie erkennbar nicht herstellen will, weil er die eheliche Lebensgemeinschaft ablehnt. </w:t>
      </w:r>
      <w:r>
        <w:rPr>
          <w:rStyle w:val="Satznummer"/>
        </w:rPr>
        <w:t>2</w:t>
      </w:r>
      <w:r>
        <w:t>Die häusliche Gemeinschaft besteht auch dann nicht mehr, wenn die Ehegatten innerhalb der ehelichen Wohnung getrennt leben.</w:t>
      </w:r>
    </w:p>
    <w:p>
      <w:r>
        <w:t xml:space="preserve">(2) Ein Zusammenleben über kürzere Zeit, das der Versöhnung der Ehegatten dienen soll, unterbricht oder hemmt die in </w:t>
      </w:r>
      <w:hyperlink w:anchor="b1988" w:history="1">
        <w:r>
          <w:rPr>
            <w:color w:val="0A3A8C"/>
            <w:u w:val="single"/>
          </w:rPr>
          <w:t xml:space="preserve">§ 1566</w:t>
        </w:r>
      </w:hyperlink>
      <w:r>
        <w:t xml:space="preserve"> bestimmten Fristen nicht.</w:t>
      </w:r>
    </w:p>
    <w:p>
      <w:pPr>
        <w:pStyle w:val="Heading5"/>
      </w:pPr>
      <w:bookmarkStart w:id="2005" w:name="b1990"/>
      <w:r>
        <w:t>§ 1568 Härteklausel</w:t>
      </w:r>
      <w:r>
        <w:t xml:space="preserve"> </w:t>
      </w:r>
      <w:r>
        <w:rPr>
          <w:rStyle w:val="Suchmarke"/>
        </w:rPr>
        <w:t>#1568#</w:t>
      </w:r>
      <w:bookmarkEnd w:id="2005"/>
    </w:p>
    <w:p>
      <w:r>
        <w:t>(1) Die Ehe soll nicht geschieden werden, obwohl sie gescheitert ist, wenn und solange die Aufrechterhaltung der Ehe im Interesse der aus der Ehe hervorgegangenen minderjährigen Kinder aus besonderen Gründen ausnahmsweise notwendig ist oder wenn und solange die Scheidung für den Antragsgegner, der sie ablehnt, auf Grund außergewöhnlicher Umstände eine so schwere Härte darstellen würde, dass die Aufrechterhaltung der Ehe auch unter Berücksichtigung der Belange des Antragstellers ausnahmsweise geboten erscheint.</w:t>
      </w:r>
    </w:p>
    <w:p>
      <w:r>
        <w:t>(2) (weggefallen)</w:t>
      </w:r>
    </w:p>
    <w:p>
      <w:pPr>
        <w:pStyle w:val="Heading4"/>
      </w:pPr>
      <w:bookmarkStart w:id="2006" w:name="b1991"/>
      <w:r>
        <w:t>Untertitel 1a Behandlung der Ehewohnung und der Haushaltsgegenstände anlässlich der Scheidung</w:t>
      </w:r>
      <w:bookmarkEnd w:id="2006"/>
    </w:p>
    <w:p>
      <w:pPr>
        <w:pStyle w:val="Heading5"/>
      </w:pPr>
      <w:bookmarkStart w:id="2007" w:name="b1992"/>
      <w:r>
        <w:t>§ 1568a Ehewohnung</w:t>
      </w:r>
      <w:r>
        <w:t xml:space="preserve"> </w:t>
      </w:r>
      <w:r>
        <w:rPr>
          <w:rStyle w:val="Suchmarke"/>
        </w:rPr>
        <w:t>#1568a#</w:t>
      </w:r>
      <w:bookmarkEnd w:id="2007"/>
    </w:p>
    <w:p>
      <w:r>
        <w:t>(1) Ein Ehegatte kann verlangen, dass ihm der andere Ehegatte anlässlich der Scheidung die Ehewohnung überlässt, wenn er auf deren Nutzung unter Berücksichtigung des Wohls der im Haushalt lebenden Kinder und der Lebensverhältnisse der Ehegatten in stärkerem Maße angewiesen ist als der andere Ehegatte oder die Überlassung aus anderen Gründen der Billigkeit entspricht.</w:t>
      </w:r>
    </w:p>
    <w:p>
      <w:r>
        <w:t xml:space="preserve">(2) </w:t>
      </w:r>
      <w:r>
        <w:rPr>
          <w:rStyle w:val="Satznummer"/>
        </w:rPr>
        <w:t>1</w:t>
      </w:r>
      <w:r>
        <w:t xml:space="preserve">Ist einer der Ehegatten allein oder gemeinsam mit einem Dritten Eigentümer des Grundstücks, auf dem sich die Ehewohnung befindet, oder steht einem Ehegatten allein oder gemeinsam mit einem Dritten ein Nießbrauch, das Erbbaurecht oder ein dingliches Wohnrecht an dem Grundstück zu, so kann der andere Ehegatte die Überlassung nur verlangen, wenn dies notwendig ist, um eine unbillige Härte zu vermeiden. </w:t>
      </w:r>
      <w:r>
        <w:rPr>
          <w:rStyle w:val="Satznummer"/>
        </w:rPr>
        <w:t>2</w:t>
      </w:r>
      <w:r>
        <w:t>Entsprechendes gilt für das Wohnungseigentum und das Dauerwohnrecht.</w:t>
      </w:r>
    </w:p>
    <w:p>
      <w:r>
        <w:t xml:space="preserve">(3) </w:t>
      </w:r>
      <w:r>
        <w:rPr>
          <w:rStyle w:val="Satznummer"/>
        </w:rPr>
        <w:t>1</w:t>
      </w:r>
      <w:r>
        <w:t>Der Ehegatte, dem die Wohnung überlassen wird, tritt</w:t>
      </w:r>
    </w:p>
    <w:p>
      <w:pPr>
        <w:tabs>
          <w:tab w:pos="567" w:val="left"/>
        </w:tabs>
        <w:ind w:left="567" w:hanging="567"/>
      </w:pPr>
      <w:r>
        <w:t>1.</w:t>
      </w:r>
      <w:r>
        <w:tab/>
      </w:r>
      <w:r>
        <w:t>zum Zeitpunkt des Zugangs der Mitteilung der Ehegatten über die Überlassung an den Vermieter oder</w:t>
      </w:r>
    </w:p>
    <w:p>
      <w:pPr>
        <w:tabs>
          <w:tab w:pos="567" w:val="left"/>
        </w:tabs>
        <w:ind w:left="567" w:hanging="567"/>
      </w:pPr>
      <w:r>
        <w:t>2.</w:t>
      </w:r>
      <w:r>
        <w:tab/>
      </w:r>
      <w:r>
        <w:t>mit Rechtskraft der Endentscheidung im Wohnungszuweisungsverfahren</w:t>
      </w:r>
    </w:p>
    <w:p>
      <w:r>
        <w:t xml:space="preserve">an Stelle des zur Überlassung verpflichteten Ehegatten in ein von diesem eingegangenes Mietverhältnis ein oder setzt ein von beiden eingegangenes Mietverhältnis allein fort. </w:t>
      </w:r>
      <w:r>
        <w:rPr>
          <w:rStyle w:val="Satznummer"/>
        </w:rPr>
        <w:t>2</w:t>
      </w:r>
      <w:hyperlink w:anchor="b785" w:history="1">
        <w:r>
          <w:rPr>
            <w:color w:val="0A3A8C"/>
            <w:u w:val="single"/>
          </w:rPr>
          <w:t xml:space="preserve">§ 563</w:t>
        </w:r>
      </w:hyperlink>
      <w:r>
        <w:t xml:space="preserve"> Absatz 4 gilt entsprechend.</w:t>
      </w:r>
    </w:p>
    <w:p>
      <w:r>
        <w:t>(4) Ein Ehegatte kann die Begründung eines Mietverhältnisses über eine Wohnung, die die Ehegatten auf Grund eines Dienst- oder Arbeitsverhältnisses innehaben, das zwischen einem von ihnen und einem Dritten besteht, nur verlangen, wenn der Dritte einverstanden oder dies notwendig ist, um eine schwere Härte zu vermeiden.</w:t>
      </w:r>
    </w:p>
    <w:p>
      <w:r>
        <w:t xml:space="preserve">(5) </w:t>
      </w:r>
      <w:r>
        <w:rPr>
          <w:rStyle w:val="Satznummer"/>
        </w:rPr>
        <w:t>1</w:t>
      </w:r>
      <w:r>
        <w:t xml:space="preserve">Besteht kein Mietverhältnis über die Ehewohnung, so kann sowohl der Ehegatte, der Anspruch auf deren Überlassung hat, als auch die zur Vermietung berechtigte Person die Begründung eines Mietverhältnisses zu ortsüblichen Bedingungen verlangen. </w:t>
      </w:r>
      <w:r>
        <w:rPr>
          <w:rStyle w:val="Satznummer"/>
        </w:rPr>
        <w:t>2</w:t>
      </w:r>
      <w:r>
        <w:t xml:space="preserve">Unter den Voraussetzungen des </w:t>
      </w:r>
      <w:hyperlink w:anchor="b817" w:history="1">
        <w:r>
          <w:rPr>
            <w:color w:val="0A3A8C"/>
            <w:u w:val="single"/>
          </w:rPr>
          <w:t xml:space="preserve">§ 575</w:t>
        </w:r>
      </w:hyperlink>
      <w:r>
        <w:t xml:space="preserve"> Absatz 1 oder wenn die Begründung eines unbefristeten Mietverhältnisses unter Würdigung der berechtigten Interessen des Vermieters unbillig ist, kann der Vermieter eine angemessene Befristung des Mietverhältnisses verlangen. </w:t>
      </w:r>
      <w:r>
        <w:rPr>
          <w:rStyle w:val="Satznummer"/>
        </w:rPr>
        <w:t>3</w:t>
      </w:r>
      <w:r>
        <w:t>Kommt eine Einigung über die Höhe der Miete nicht zustande, kann der Vermieter eine angemessene Miete, im Zweifel die ortsübliche Vergleichsmiete, verlangen.</w:t>
      </w:r>
    </w:p>
    <w:p>
      <w:r>
        <w:t>(6) In den Fällen der Absätze 3 und 5 erlischt der Anspruch auf Eintritt in ein Mietverhältnis oder auf seine Begründung ein Jahr nach Rechtskraft der Endentscheidung in der Scheidungssache, wenn er nicht vorher rechtshängig gemacht worden ist.</w:t>
      </w:r>
    </w:p>
    <w:p>
      <w:pPr>
        <w:pStyle w:val="Heading5"/>
      </w:pPr>
      <w:bookmarkStart w:id="2008" w:name="b1993"/>
      <w:r>
        <w:t>§ 1568b Haushaltsgegenstände</w:t>
      </w:r>
      <w:r>
        <w:t xml:space="preserve"> </w:t>
      </w:r>
      <w:r>
        <w:rPr>
          <w:rStyle w:val="Suchmarke"/>
        </w:rPr>
        <w:t>#1568b#</w:t>
      </w:r>
      <w:bookmarkEnd w:id="2008"/>
    </w:p>
    <w:p>
      <w:r>
        <w:t>(1) Jeder Ehegatte kann verlangen, dass ihm der andere Ehegatte anlässlich der Scheidung die im gemeinsamen Eigentum stehenden Haushaltsgegenstände überlässt und übereignet, wenn er auf deren Nutzung unter Berücksichtigung des Wohls der im Haushalt lebenden Kinder und der Lebensverhältnisse der Ehegatten in stärkerem Maße angewiesen ist als der andere Ehegatte oder dies aus anderen Gründen der Billigkeit entspricht.</w:t>
      </w:r>
    </w:p>
    <w:p>
      <w:r>
        <w:t>(2) Haushaltsgegenstände, die während der Ehe für den gemeinsamen Haushalt angeschafft wurden, gelten für die Verteilung als gemeinsames Eigentum der Ehegatten, es sei denn, das Alleineigentum eines Ehegatten steht fest.</w:t>
      </w:r>
    </w:p>
    <w:p>
      <w:r>
        <w:t>(3) Der Ehegatte, der sein Eigentum nach Absatz 1 überträgt, kann eine angemessene Ausgleichszahlung verlangen.</w:t>
      </w:r>
    </w:p>
    <w:p>
      <w:pPr>
        <w:pStyle w:val="Heading4"/>
      </w:pPr>
      <w:bookmarkStart w:id="2009" w:name="b1994"/>
      <w:r>
        <w:t>Untertitel 2 Unterhalt des geschiedenen Ehegatten</w:t>
      </w:r>
      <w:bookmarkEnd w:id="2009"/>
    </w:p>
    <w:p>
      <w:pPr>
        <w:pStyle w:val="Heading5"/>
      </w:pPr>
      <w:bookmarkStart w:id="2010" w:name="b1995"/>
      <w:r>
        <w:t>Kapitel 1 Grundsatz</w:t>
      </w:r>
      <w:bookmarkEnd w:id="2010"/>
    </w:p>
    <w:p>
      <w:pPr>
        <w:pStyle w:val="Heading6"/>
      </w:pPr>
      <w:bookmarkStart w:id="2011" w:name="b1996"/>
      <w:r>
        <w:t>§ 1569 Grundsatz der Eigenverantwortung</w:t>
      </w:r>
      <w:r>
        <w:t xml:space="preserve"> </w:t>
      </w:r>
      <w:r>
        <w:rPr>
          <w:rStyle w:val="Suchmarke"/>
        </w:rPr>
        <w:t>#1569#</w:t>
      </w:r>
      <w:bookmarkEnd w:id="2011"/>
    </w:p>
    <w:p>
      <w:r>
        <w:rPr>
          <w:rStyle w:val="Satznummer"/>
        </w:rPr>
        <w:t>1</w:t>
      </w:r>
      <w:r>
        <w:t xml:space="preserve">Nach der Scheidung obliegt es jedem Ehegatten, selbst für seinen Unterhalt zu sorgen. </w:t>
      </w:r>
      <w:r>
        <w:rPr>
          <w:rStyle w:val="Satznummer"/>
        </w:rPr>
        <w:t>2</w:t>
      </w:r>
      <w:r>
        <w:t>Ist er dazu außerstande, hat er gegen den anderen Ehegatten einen Anspruch auf Unterhalt nur nach den folgenden Vorschriften.</w:t>
      </w:r>
    </w:p>
    <w:p>
      <w:pPr>
        <w:pStyle w:val="Heading5"/>
      </w:pPr>
      <w:bookmarkStart w:id="2012" w:name="b1997"/>
      <w:r>
        <w:t>Kapitel 2 Unterhaltsberechtigung</w:t>
      </w:r>
      <w:bookmarkEnd w:id="2012"/>
    </w:p>
    <w:p>
      <w:pPr>
        <w:pStyle w:val="Heading6"/>
      </w:pPr>
      <w:bookmarkStart w:id="2013" w:name="b1998"/>
      <w:r>
        <w:t>§ 1570 Unterhalt wegen Betreuung eines Kindes</w:t>
      </w:r>
      <w:r>
        <w:t xml:space="preserve"> </w:t>
      </w:r>
      <w:r>
        <w:rPr>
          <w:rStyle w:val="Suchmarke"/>
        </w:rPr>
        <w:t>#1570#</w:t>
      </w:r>
      <w:bookmarkEnd w:id="2013"/>
    </w:p>
    <w:p>
      <w:r>
        <w:t xml:space="preserve">(1) </w:t>
      </w:r>
      <w:r>
        <w:rPr>
          <w:rStyle w:val="Satznummer"/>
        </w:rPr>
        <w:t>1</w:t>
      </w:r>
      <w:r>
        <w:t xml:space="preserve">Ein geschiedener Ehegatte kann von dem anderen wegen der Pflege oder Erziehung eines gemeinschaftlichen Kindes für mindestens drei Jahre nach der Geburt Unterhalt verlangen. </w:t>
      </w:r>
      <w:r>
        <w:rPr>
          <w:rStyle w:val="Satznummer"/>
        </w:rPr>
        <w:t>2</w:t>
      </w:r>
      <w:r>
        <w:t xml:space="preserve">Die Dauer des Unterhaltsanspruchs verlängert sich, solange und soweit dies der Billigkeit entspricht. </w:t>
      </w:r>
      <w:r>
        <w:rPr>
          <w:rStyle w:val="Satznummer"/>
        </w:rPr>
        <w:t>3</w:t>
      </w:r>
      <w:r>
        <w:t>Dabei sind die Belange des Kindes und die bestehenden Möglichkeiten der Kinderbetreuung zu berücksichtigen.</w:t>
      </w:r>
    </w:p>
    <w:p>
      <w:r>
        <w:t>(2) Die Dauer des Unterhaltsanspruchs verlängert sich darüber hinaus, wenn dies unter Berücksichtigung der Gestaltung von Kinderbetreuung und Erwerbstätigkeit in der Ehe sowie der Dauer der Ehe der Billigkeit entspricht.</w:t>
      </w:r>
    </w:p>
    <w:p>
      <w:pPr>
        <w:pStyle w:val="Heading6"/>
      </w:pPr>
      <w:bookmarkStart w:id="2014" w:name="b1999"/>
      <w:r>
        <w:t>§ 1571 Unterhalt wegen Alters</w:t>
      </w:r>
      <w:r>
        <w:t xml:space="preserve"> </w:t>
      </w:r>
      <w:r>
        <w:rPr>
          <w:rStyle w:val="Suchmarke"/>
        </w:rPr>
        <w:t>#1571#</w:t>
      </w:r>
      <w:bookmarkEnd w:id="2014"/>
    </w:p>
    <w:p>
      <w:r>
        <w:t>Ein geschiedener Ehegatte kann von dem anderen Unterhalt verlangen, soweit von ihm im Zeitpunkt</w:t>
      </w:r>
    </w:p>
    <w:p>
      <w:pPr>
        <w:tabs>
          <w:tab w:pos="567" w:val="left"/>
        </w:tabs>
        <w:ind w:left="567" w:hanging="567"/>
      </w:pPr>
      <w:r>
        <w:t>1.</w:t>
      </w:r>
      <w:r>
        <w:tab/>
      </w:r>
      <w:r>
        <w:t>der Scheidung,</w:t>
      </w:r>
    </w:p>
    <w:p>
      <w:pPr>
        <w:tabs>
          <w:tab w:pos="567" w:val="left"/>
        </w:tabs>
        <w:ind w:left="567" w:hanging="567"/>
      </w:pPr>
      <w:r>
        <w:t>2.</w:t>
      </w:r>
      <w:r>
        <w:tab/>
      </w:r>
      <w:r>
        <w:t>der Beendigung der Pflege oder Erziehung eines gemeinschaftlichen Kindes oder</w:t>
      </w:r>
    </w:p>
    <w:p>
      <w:pPr>
        <w:tabs>
          <w:tab w:pos="567" w:val="left"/>
        </w:tabs>
        <w:ind w:left="567" w:hanging="567"/>
      </w:pPr>
      <w:r>
        <w:t>3.</w:t>
      </w:r>
      <w:r>
        <w:tab/>
      </w:r>
      <w:r>
        <w:t>des Wegfalls der Voraussetzungen für einen Unterhaltsanspruch nach den §§ 1572 und 1573</w:t>
      </w:r>
    </w:p>
    <w:p>
      <w:r>
        <w:t>wegen seines Alters eine Erwerbstätigkeit nicht mehr erwartet werden kann.</w:t>
      </w:r>
    </w:p>
    <w:p>
      <w:pPr>
        <w:pStyle w:val="Heading6"/>
      </w:pPr>
      <w:bookmarkStart w:id="2015" w:name="b2000"/>
      <w:r>
        <w:t>§ 1572 Unterhalt wegen Krankheit oder Gebrechen</w:t>
      </w:r>
      <w:r>
        <w:t xml:space="preserve"> </w:t>
      </w:r>
      <w:r>
        <w:rPr>
          <w:rStyle w:val="Suchmarke"/>
        </w:rPr>
        <w:t>#1572#</w:t>
      </w:r>
      <w:bookmarkEnd w:id="2015"/>
    </w:p>
    <w:p>
      <w:r>
        <w:t>Ein geschiedener Ehegatte kann von dem anderen Unterhalt verlangen, solange und soweit von ihm vom Zeitpunkt</w:t>
      </w:r>
    </w:p>
    <w:p>
      <w:pPr>
        <w:tabs>
          <w:tab w:pos="567" w:val="left"/>
        </w:tabs>
        <w:ind w:left="567" w:hanging="567"/>
      </w:pPr>
      <w:r>
        <w:t>1.</w:t>
      </w:r>
      <w:r>
        <w:tab/>
      </w:r>
      <w:r>
        <w:t>der Scheidung,</w:t>
      </w:r>
    </w:p>
    <w:p>
      <w:pPr>
        <w:tabs>
          <w:tab w:pos="567" w:val="left"/>
        </w:tabs>
        <w:ind w:left="567" w:hanging="567"/>
      </w:pPr>
      <w:r>
        <w:t>2.</w:t>
      </w:r>
      <w:r>
        <w:tab/>
      </w:r>
      <w:r>
        <w:t>der Beendigung der Pflege oder Erziehung eines gemeinschaftlichen Kindes,</w:t>
      </w:r>
    </w:p>
    <w:p>
      <w:pPr>
        <w:tabs>
          <w:tab w:pos="567" w:val="left"/>
        </w:tabs>
        <w:ind w:left="567" w:hanging="567"/>
      </w:pPr>
      <w:r>
        <w:t>3.</w:t>
      </w:r>
      <w:r>
        <w:tab/>
      </w:r>
      <w:r>
        <w:t>der Beendigung der Ausbildung, Fortbildung oder Umschulung oder</w:t>
      </w:r>
    </w:p>
    <w:p>
      <w:pPr>
        <w:tabs>
          <w:tab w:pos="567" w:val="left"/>
        </w:tabs>
        <w:ind w:left="567" w:hanging="567"/>
      </w:pPr>
      <w:r>
        <w:t>4.</w:t>
      </w:r>
      <w:r>
        <w:tab/>
      </w:r>
      <w:r>
        <w:t>des Wegfalls der Voraussetzungen für einen Unterhaltsanspruch nach § 1573</w:t>
      </w:r>
    </w:p>
    <w:p>
      <w:r>
        <w:t>an wegen Krankheit oder anderer Gebrechen oder Schwäche seiner körperlichen oder geistigen Kräfte eine Erwerbstätigkeit nicht erwartet werden kann.</w:t>
      </w:r>
    </w:p>
    <w:p>
      <w:pPr>
        <w:pStyle w:val="Heading6"/>
      </w:pPr>
      <w:bookmarkStart w:id="2016" w:name="b2001"/>
      <w:r>
        <w:t>§ 1573 Unterhalt wegen Erwerbslosigkeit und Aufstockungsunterhalt</w:t>
      </w:r>
      <w:r>
        <w:t xml:space="preserve"> </w:t>
      </w:r>
      <w:r>
        <w:rPr>
          <w:rStyle w:val="Suchmarke"/>
        </w:rPr>
        <w:t>#1573#</w:t>
      </w:r>
      <w:bookmarkEnd w:id="2016"/>
    </w:p>
    <w:p>
      <w:r>
        <w:t xml:space="preserve">(1) Soweit ein geschiedener Ehegatte keinen Unterhaltsanspruch nach den </w:t>
      </w:r>
      <w:hyperlink w:anchor="b1998" w:history="1">
        <w:r>
          <w:rPr>
            <w:color w:val="0A3A8C"/>
            <w:u w:val="single"/>
          </w:rPr>
          <w:t xml:space="preserve">§§ 1570</w:t>
        </w:r>
      </w:hyperlink>
      <w:r>
        <w:t xml:space="preserve"> bis </w:t>
      </w:r>
      <w:hyperlink w:anchor="b2000" w:history="1">
        <w:r>
          <w:rPr>
            <w:color w:val="0A3A8C"/>
            <w:u w:val="single"/>
          </w:rPr>
          <w:t xml:space="preserve">1572</w:t>
        </w:r>
      </w:hyperlink>
      <w:r>
        <w:t xml:space="preserve"> hat, kann er gleichwohl Unterhalt verlangen, solange und soweit er nach der Scheidung keine angemessene Erwerbstätigkeit zu finden vermag.</w:t>
      </w:r>
    </w:p>
    <w:p>
      <w:r>
        <w:t>(2) Reichen die Einkünfte aus einer angemessenen Erwerbstätigkeit zum vollen Unterhalt (</w:t>
      </w:r>
      <w:hyperlink w:anchor="b2006" w:history="1">
        <w:r>
          <w:rPr>
            <w:color w:val="0A3A8C"/>
            <w:u w:val="single"/>
          </w:rPr>
          <w:t xml:space="preserve">§ 1578</w:t>
        </w:r>
      </w:hyperlink>
      <w:r>
        <w:t xml:space="preserve">) nicht aus, kann er, soweit er nicht bereits einen Unterhaltsanspruch nach den </w:t>
      </w:r>
      <w:hyperlink w:anchor="b1998" w:history="1">
        <w:r>
          <w:rPr>
            <w:color w:val="0A3A8C"/>
            <w:u w:val="single"/>
          </w:rPr>
          <w:t xml:space="preserve">§§ 1570</w:t>
        </w:r>
      </w:hyperlink>
      <w:r>
        <w:t xml:space="preserve"> bis </w:t>
      </w:r>
      <w:hyperlink w:anchor="b2000" w:history="1">
        <w:r>
          <w:rPr>
            <w:color w:val="0A3A8C"/>
            <w:u w:val="single"/>
          </w:rPr>
          <w:t xml:space="preserve">1572</w:t>
        </w:r>
      </w:hyperlink>
      <w:r>
        <w:t xml:space="preserve"> hat, den Unterschiedsbetrag zwischen den Einkünften und dem vollen Unterhalt verlangen.</w:t>
      </w:r>
    </w:p>
    <w:p>
      <w:r>
        <w:t xml:space="preserve">(3) Absätze 1 und 2 gelten entsprechend, wenn Unterhalt nach den </w:t>
      </w:r>
      <w:hyperlink w:anchor="b1998" w:history="1">
        <w:r>
          <w:rPr>
            <w:color w:val="0A3A8C"/>
            <w:u w:val="single"/>
          </w:rPr>
          <w:t xml:space="preserve">§§ 1570</w:t>
        </w:r>
      </w:hyperlink>
      <w:r>
        <w:t xml:space="preserve"> bis </w:t>
      </w:r>
      <w:hyperlink w:anchor="b2000" w:history="1">
        <w:r>
          <w:rPr>
            <w:color w:val="0A3A8C"/>
            <w:u w:val="single"/>
          </w:rPr>
          <w:t xml:space="preserve">1572</w:t>
        </w:r>
      </w:hyperlink>
      <w:r>
        <w:t xml:space="preserve">, </w:t>
      </w:r>
      <w:hyperlink w:anchor="b2003" w:history="1">
        <w:r>
          <w:rPr>
            <w:color w:val="0A3A8C"/>
            <w:u w:val="single"/>
          </w:rPr>
          <w:t xml:space="preserve">1575</w:t>
        </w:r>
      </w:hyperlink>
      <w:r>
        <w:t xml:space="preserve"> zu gewähren war, die Voraussetzungen dieser Vorschriften aber entfallen sind.</w:t>
      </w:r>
    </w:p>
    <w:p>
      <w:r>
        <w:t xml:space="preserve">(4) </w:t>
      </w:r>
      <w:r>
        <w:rPr>
          <w:rStyle w:val="Satznummer"/>
        </w:rPr>
        <w:t>1</w:t>
      </w:r>
      <w:r>
        <w:t xml:space="preserve">Der geschiedene Ehegatte kann auch dann Unterhalt verlangen, wenn die Einkünfte aus einer angemessenen Erwerbstätigkeit wegfallen, weil es ihm trotz seiner Bemühungen nicht gelungen war, den Unterhalt durch die Erwerbstätigkeit nach der Scheidung nachhaltig zu sichern. </w:t>
      </w:r>
      <w:r>
        <w:rPr>
          <w:rStyle w:val="Satznummer"/>
        </w:rPr>
        <w:t>2</w:t>
      </w:r>
      <w:r>
        <w:t>War es ihm gelungen, den Unterhalt teilweise nachhaltig zu sichern, so kann er den Unterschiedsbetrag zwischen dem nachhaltig gesicherten und dem vollen Unterhalt verlangen.</w:t>
      </w:r>
    </w:p>
    <w:p>
      <w:r>
        <w:t>(5) (weggefallen)</w:t>
      </w:r>
    </w:p>
    <w:p>
      <w:pPr>
        <w:pStyle w:val="Heading6"/>
      </w:pPr>
      <w:bookmarkStart w:id="2017" w:name="b2002"/>
      <w:r>
        <w:t>§ 1574 Angemessene Erwerbstätigkeit</w:t>
      </w:r>
      <w:r>
        <w:t xml:space="preserve"> </w:t>
      </w:r>
      <w:r>
        <w:rPr>
          <w:rStyle w:val="Suchmarke"/>
        </w:rPr>
        <w:t>#1574#</w:t>
      </w:r>
      <w:bookmarkEnd w:id="2017"/>
    </w:p>
    <w:p>
      <w:r>
        <w:t>(1) Dem geschiedenen Ehegatten obliegt es, eine angemessene Erwerbstätigkeit auszuüben.</w:t>
      </w:r>
    </w:p>
    <w:p>
      <w:r>
        <w:t xml:space="preserve">(2) </w:t>
      </w:r>
      <w:r>
        <w:rPr>
          <w:rStyle w:val="Satznummer"/>
        </w:rPr>
        <w:t>1</w:t>
      </w:r>
      <w:r>
        <w:t xml:space="preserve">Angemessen ist eine Erwerbstätigkeit, die der Ausbildung, den Fähigkeiten, einer früheren Erwerbstätigkeit, dem Lebensalter und dem Gesundheitszustand des geschiedenen Ehegatten entspricht, soweit eine solche Tätigkeit nicht nach den ehelichen Lebensverhältnissen unbillig wäre. </w:t>
      </w:r>
      <w:r>
        <w:rPr>
          <w:rStyle w:val="Satznummer"/>
        </w:rPr>
        <w:t>2</w:t>
      </w:r>
      <w:r>
        <w:t>Bei den ehelichen Lebensverhältnissen sind insbesondere die Dauer der Ehe sowie die Dauer der Pflege oder Erziehung eines gemeinschaftlichen Kindes zu berücksichtigen.</w:t>
      </w:r>
    </w:p>
    <w:p>
      <w:r>
        <w:t>(3) Soweit es zur Aufnahme einer angemessenen Erwerbstätigkeit erforderlich ist, obliegt es dem geschiedenen Ehegatten, sich ausbilden, fortbilden oder umschulen zu lassen, wenn ein erfolgreicher Abschluss der Ausbildung zu erwarten ist.</w:t>
      </w:r>
    </w:p>
    <w:p>
      <w:pPr>
        <w:pStyle w:val="Heading6"/>
      </w:pPr>
      <w:bookmarkStart w:id="2018" w:name="b2003"/>
      <w:r>
        <w:t>§ 1575 Ausbildung, Fortbildung oder Umschulung</w:t>
      </w:r>
      <w:r>
        <w:t xml:space="preserve"> </w:t>
      </w:r>
      <w:r>
        <w:rPr>
          <w:rStyle w:val="Suchmarke"/>
        </w:rPr>
        <w:t>#1575#</w:t>
      </w:r>
      <w:bookmarkEnd w:id="2018"/>
    </w:p>
    <w:p>
      <w:r>
        <w:t xml:space="preserve">(1) </w:t>
      </w:r>
      <w:r>
        <w:rPr>
          <w:rStyle w:val="Satznummer"/>
        </w:rPr>
        <w:t>1</w:t>
      </w:r>
      <w:r>
        <w:t xml:space="preserve">Ein geschiedener Ehegatte, der in Erwartung der Ehe oder während der Ehe eine Schul- oder Berufsausbildung nicht aufgenommen oder abgebrochen hat, kann von dem anderen Ehegatten Unterhalt verlangen, wenn er diese oder eine entsprechende Ausbildung sobald wie möglich aufnimmt, um eine angemessene Erwerbstätigkeit, die den Unterhalt nachhaltig sichert, zu erlangen und der erfolgreiche Abschluss der Ausbildung zu erwarten ist. </w:t>
      </w:r>
      <w:r>
        <w:rPr>
          <w:rStyle w:val="Satznummer"/>
        </w:rPr>
        <w:t>2</w:t>
      </w:r>
      <w:r>
        <w:t>Der Anspruch besteht längstens für die Zeit, in der eine solche Ausbildung im Allgemeinen abgeschlossen wird; dabei sind ehebedingte Verzögerungen der Ausbildung zu berücksichtigen.</w:t>
      </w:r>
    </w:p>
    <w:p>
      <w:r>
        <w:t>(2) Entsprechendes gilt, wenn sich der geschiedene Ehegatte fortbilden oder umschulen lässt, um Nachteile auszugleichen, die durch die Ehe eingetreten sind.</w:t>
      </w:r>
    </w:p>
    <w:p>
      <w:r>
        <w:t xml:space="preserve">(3) Verlangt der geschiedene Ehegatte nach Beendigung der Ausbildung, Fortbildung oder Umschulung Unterhalt nach </w:t>
      </w:r>
      <w:hyperlink w:anchor="b2001" w:history="1">
        <w:r>
          <w:rPr>
            <w:color w:val="0A3A8C"/>
            <w:u w:val="single"/>
          </w:rPr>
          <w:t xml:space="preserve">§ 1573</w:t>
        </w:r>
      </w:hyperlink>
      <w:r>
        <w:t>, so bleibt bei der Bestimmung der ihm angemessenen Erwerbstätigkeit (</w:t>
      </w:r>
      <w:hyperlink w:anchor="b2002" w:history="1">
        <w:r>
          <w:rPr>
            <w:color w:val="0A3A8C"/>
            <w:u w:val="single"/>
          </w:rPr>
          <w:t xml:space="preserve">§ 1574</w:t>
        </w:r>
      </w:hyperlink>
      <w:r>
        <w:t xml:space="preserve"> Abs. 2) der erreichte höhere Ausbildungsstand außer Betracht.</w:t>
      </w:r>
    </w:p>
    <w:p>
      <w:pPr>
        <w:pStyle w:val="Heading6"/>
      </w:pPr>
      <w:bookmarkStart w:id="2019" w:name="b2004"/>
      <w:r>
        <w:t>§ 1576 Unterhalt aus Billigkeitsgründen</w:t>
      </w:r>
      <w:r>
        <w:t xml:space="preserve"> </w:t>
      </w:r>
      <w:r>
        <w:rPr>
          <w:rStyle w:val="Suchmarke"/>
        </w:rPr>
        <w:t>#1576#</w:t>
      </w:r>
      <w:bookmarkEnd w:id="2019"/>
    </w:p>
    <w:p>
      <w:r>
        <w:rPr>
          <w:rStyle w:val="Satznummer"/>
        </w:rPr>
        <w:t>1</w:t>
      </w:r>
      <w:r>
        <w:t xml:space="preserve">Ein geschiedener Ehegatte kann von dem anderen Unterhalt verlangen, soweit und solange von ihm aus sonstigen schwerwiegenden Gründen eine Erwerbstätigkeit nicht erwartet werden kann und die Versagung von Unterhalt unter Berücksichtigung der Belange beider Ehegatten grob unbillig wäre. </w:t>
      </w:r>
      <w:r>
        <w:rPr>
          <w:rStyle w:val="Satznummer"/>
        </w:rPr>
        <w:t>2</w:t>
      </w:r>
      <w:r>
        <w:t>Schwerwiegende Gründe dürfen nicht allein deswegen berücksichtigt werden, weil sie zum Scheitern der Ehe geführt haben.</w:t>
      </w:r>
    </w:p>
    <w:p>
      <w:pPr>
        <w:pStyle w:val="Heading6"/>
      </w:pPr>
      <w:bookmarkStart w:id="2020" w:name="b2005"/>
      <w:r>
        <w:t>§ 1577 Bedürftigkeit</w:t>
      </w:r>
      <w:r>
        <w:t xml:space="preserve"> </w:t>
      </w:r>
      <w:r>
        <w:rPr>
          <w:rStyle w:val="Suchmarke"/>
        </w:rPr>
        <w:t>#1577#</w:t>
      </w:r>
      <w:bookmarkEnd w:id="2020"/>
    </w:p>
    <w:p>
      <w:r>
        <w:t xml:space="preserve">(1) Der geschiedene Ehegatte kann den Unterhalt nach den </w:t>
      </w:r>
      <w:hyperlink w:anchor="b1998" w:history="1">
        <w:r>
          <w:rPr>
            <w:color w:val="0A3A8C"/>
            <w:u w:val="single"/>
          </w:rPr>
          <w:t xml:space="preserve">§§ 1570</w:t>
        </w:r>
      </w:hyperlink>
      <w:r>
        <w:t xml:space="preserve"> bis </w:t>
      </w:r>
      <w:hyperlink w:anchor="b2001" w:history="1">
        <w:r>
          <w:rPr>
            <w:color w:val="0A3A8C"/>
            <w:u w:val="single"/>
          </w:rPr>
          <w:t xml:space="preserve">1573</w:t>
        </w:r>
      </w:hyperlink>
      <w:r>
        <w:t xml:space="preserve">, </w:t>
      </w:r>
      <w:hyperlink w:anchor="b2003" w:history="1">
        <w:r>
          <w:rPr>
            <w:color w:val="0A3A8C"/>
            <w:u w:val="single"/>
          </w:rPr>
          <w:t xml:space="preserve">1575</w:t>
        </w:r>
      </w:hyperlink>
      <w:r>
        <w:t xml:space="preserve"> und </w:t>
      </w:r>
      <w:hyperlink w:anchor="b2004" w:history="1">
        <w:r>
          <w:rPr>
            <w:color w:val="0A3A8C"/>
            <w:u w:val="single"/>
          </w:rPr>
          <w:t xml:space="preserve">1576</w:t>
        </w:r>
      </w:hyperlink>
      <w:r>
        <w:t xml:space="preserve"> nicht verlangen, solange und soweit er sich aus seinen Einkünften und seinem Vermögen selbst unterhalten kann.</w:t>
      </w:r>
    </w:p>
    <w:p>
      <w:r>
        <w:t xml:space="preserve">(2) </w:t>
      </w:r>
      <w:r>
        <w:rPr>
          <w:rStyle w:val="Satznummer"/>
        </w:rPr>
        <w:t>1</w:t>
      </w:r>
      <w:r>
        <w:t>Einkünfte sind nicht anzurechnen, soweit der Verpflichtete nicht den vollen Unterhalt (</w:t>
      </w:r>
      <w:hyperlink w:anchor="b2006" w:history="1">
        <w:r>
          <w:rPr>
            <w:color w:val="0A3A8C"/>
            <w:u w:val="single"/>
          </w:rPr>
          <w:t xml:space="preserve">§§ 1578</w:t>
        </w:r>
      </w:hyperlink>
      <w:r>
        <w:t xml:space="preserve"> und </w:t>
      </w:r>
      <w:hyperlink w:anchor="b2008" w:history="1">
        <w:r>
          <w:rPr>
            <w:color w:val="0A3A8C"/>
            <w:u w:val="single"/>
          </w:rPr>
          <w:t xml:space="preserve">1578b</w:t>
        </w:r>
      </w:hyperlink>
      <w:r>
        <w:t xml:space="preserve">) leistet. </w:t>
      </w:r>
      <w:r>
        <w:rPr>
          <w:rStyle w:val="Satznummer"/>
        </w:rPr>
        <w:t>2</w:t>
      </w:r>
      <w:r>
        <w:t>Einkünfte, die den vollen Unterhalt übersteigen, sind insoweit anzurechnen, als dies unter Berücksichtigung der beiderseitigen wirtschaftlichen Verhältnisse der Billigkeit entspricht.</w:t>
      </w:r>
    </w:p>
    <w:p>
      <w:r>
        <w:t>(3) Den Stamm des Vermögens braucht der Berechtigte nicht zu verwerten, soweit die Verwertung unwirtschaftlich oder unter Berücksichtigung der beiderseitigen wirtschaftlichen Verhältnisse unbillig wäre.</w:t>
      </w:r>
    </w:p>
    <w:p>
      <w:r>
        <w:t xml:space="preserve">(4) </w:t>
      </w:r>
      <w:r>
        <w:rPr>
          <w:rStyle w:val="Satznummer"/>
        </w:rPr>
        <w:t>1</w:t>
      </w:r>
      <w:r>
        <w:t xml:space="preserve">War zum Zeitpunkt der Ehescheidung zu erwarten, dass der Unterhalt des Berechtigten aus seinem Vermögen nachhaltig gesichert sein würde, fällt das Vermögen aber später weg, so besteht kein Anspruch auf Unterhalt. </w:t>
      </w:r>
      <w:r>
        <w:rPr>
          <w:rStyle w:val="Satznummer"/>
        </w:rPr>
        <w:t>2</w:t>
      </w:r>
      <w:r>
        <w:t>Dies gilt nicht, wenn im Zeitpunkt des Vermögenswegfalls von dem Ehegatten wegen der Pflege oder Erziehung eines gemeinschaftlichen Kindes eine Erwerbstätigkeit nicht erwartet werden kann.</w:t>
      </w:r>
    </w:p>
    <w:p>
      <w:pPr>
        <w:pStyle w:val="Heading6"/>
      </w:pPr>
      <w:bookmarkStart w:id="2021" w:name="b2006"/>
      <w:r>
        <w:t>§ 1578 Maß des Unterhalts</w:t>
      </w:r>
      <w:r>
        <w:t xml:space="preserve"> </w:t>
      </w:r>
      <w:r>
        <w:rPr>
          <w:rStyle w:val="Suchmarke"/>
        </w:rPr>
        <w:t>#1578#</w:t>
      </w:r>
      <w:bookmarkEnd w:id="2021"/>
    </w:p>
    <w:p>
      <w:r>
        <w:t xml:space="preserve">(1) </w:t>
      </w:r>
      <w:r>
        <w:rPr>
          <w:rStyle w:val="Satznummer"/>
        </w:rPr>
        <w:t>1</w:t>
      </w:r>
      <w:r>
        <w:t xml:space="preserve">Das Maß des Unterhalts bestimmt sich nach den ehelichen Lebensverhältnissen. </w:t>
      </w:r>
      <w:r>
        <w:rPr>
          <w:rStyle w:val="Satznummer"/>
        </w:rPr>
        <w:t>2</w:t>
      </w:r>
      <w:r>
        <w:t>Der Unterhalt umfasst den gesamten Lebensbedarf.</w:t>
      </w:r>
    </w:p>
    <w:p>
      <w:r>
        <w:t xml:space="preserve">(2) Zum Lebensbedarf gehören auch die Kosten einer angemessenen Versicherung für den Fall der Krankheit und der Pflegebedürftigkeit sowie die Kosten einer Schul- oder Berufsausbildung, einer Fortbildung oder einer Umschulung nach den </w:t>
      </w:r>
      <w:hyperlink w:anchor="b2002" w:history="1">
        <w:r>
          <w:rPr>
            <w:color w:val="0A3A8C"/>
            <w:u w:val="single"/>
          </w:rPr>
          <w:t xml:space="preserve">§§ 1574</w:t>
        </w:r>
      </w:hyperlink>
      <w:r>
        <w:t xml:space="preserve">, </w:t>
      </w:r>
      <w:hyperlink w:anchor="b2003" w:history="1">
        <w:r>
          <w:rPr>
            <w:color w:val="0A3A8C"/>
            <w:u w:val="single"/>
          </w:rPr>
          <w:t xml:space="preserve">1575</w:t>
        </w:r>
      </w:hyperlink>
      <w:r>
        <w:t>.</w:t>
      </w:r>
    </w:p>
    <w:p>
      <w:r>
        <w:t xml:space="preserve">(3) Hat der geschiedene Ehegatte einen Unterhaltsanspruch nach den </w:t>
      </w:r>
      <w:hyperlink w:anchor="b1998" w:history="1">
        <w:r>
          <w:rPr>
            <w:color w:val="0A3A8C"/>
            <w:u w:val="single"/>
          </w:rPr>
          <w:t xml:space="preserve">§§ 1570</w:t>
        </w:r>
      </w:hyperlink>
      <w:r>
        <w:t xml:space="preserve"> bis </w:t>
      </w:r>
      <w:hyperlink w:anchor="b2001" w:history="1">
        <w:r>
          <w:rPr>
            <w:color w:val="0A3A8C"/>
            <w:u w:val="single"/>
          </w:rPr>
          <w:t xml:space="preserve">1573</w:t>
        </w:r>
      </w:hyperlink>
      <w:r>
        <w:t xml:space="preserve"> oder </w:t>
      </w:r>
      <w:hyperlink w:anchor="b2004" w:history="1">
        <w:r>
          <w:rPr>
            <w:color w:val="0A3A8C"/>
            <w:u w:val="single"/>
          </w:rPr>
          <w:t xml:space="preserve">§ 1576</w:t>
        </w:r>
      </w:hyperlink>
      <w:r>
        <w:t>, so gehören zum Lebensbedarf auch die Kosten einer angemessenen Versicherung für den Fall des Alters sowie der verminderten Erwerbsfähigkeit.</w:t>
      </w:r>
    </w:p>
    <w:p>
      <w:pPr>
        <w:pStyle w:val="Heading6"/>
      </w:pPr>
      <w:bookmarkStart w:id="2022" w:name="b2007"/>
      <w:r>
        <w:t>§ 1578a Deckungsvermutung bei schadensbedingten Mehraufwendungen</w:t>
      </w:r>
      <w:r>
        <w:t xml:space="preserve"> </w:t>
      </w:r>
      <w:r>
        <w:rPr>
          <w:rStyle w:val="Suchmarke"/>
        </w:rPr>
        <w:t>#1578a#</w:t>
      </w:r>
      <w:bookmarkEnd w:id="2022"/>
    </w:p>
    <w:p>
      <w:r>
        <w:t xml:space="preserve">Für Aufwendungen infolge eines Körper- oder Gesundheitsschadens gilt </w:t>
      </w:r>
      <w:hyperlink w:anchor="b2062" w:history="1">
        <w:r>
          <w:rPr>
            <w:color w:val="0A3A8C"/>
            <w:u w:val="single"/>
          </w:rPr>
          <w:t xml:space="preserve">§ 1610a</w:t>
        </w:r>
      </w:hyperlink>
      <w:r>
        <w:t>.</w:t>
      </w:r>
    </w:p>
    <w:p>
      <w:pPr>
        <w:pStyle w:val="Heading6"/>
      </w:pPr>
      <w:bookmarkStart w:id="2023" w:name="b2008"/>
      <w:r>
        <w:t>§ 1578b Herabsetzung und zeitliche Begrenzung des Unterhalts wegen Unbilligkeit</w:t>
      </w:r>
      <w:r>
        <w:t xml:space="preserve"> </w:t>
      </w:r>
      <w:r>
        <w:rPr>
          <w:rStyle w:val="Suchmarke"/>
        </w:rPr>
        <w:t>#1578b#</w:t>
      </w:r>
      <w:bookmarkEnd w:id="2023"/>
    </w:p>
    <w:p>
      <w:r>
        <w:t xml:space="preserve">(1) </w:t>
      </w:r>
      <w:r>
        <w:rPr>
          <w:rStyle w:val="Satznummer"/>
        </w:rPr>
        <w:t>1</w:t>
      </w:r>
      <w:r>
        <w:t xml:space="preserve">Der Unterhaltsanspruch des geschiedenen Ehegatten ist auf den angemessenen Lebensbedarf herabzusetzen, wenn eine an den ehelichen Lebensverhältnissen orientierte Bemessung des Unterhaltsanspruchs auch unter Wahrung der Belange eines dem Berechtigten zur Pflege oder Erziehung anvertrauten gemeinschaftlichen Kindes unbillig wäre. </w:t>
      </w:r>
      <w:r>
        <w:rPr>
          <w:rStyle w:val="Satznummer"/>
        </w:rPr>
        <w:t>2</w:t>
      </w:r>
      <w:r>
        <w:t xml:space="preserve">Dabei ist insbesondere zu berücksichtigen, inwieweit durch die Ehe Nachteile im Hinblick auf die Möglichkeit eingetreten sind, für den eigenen Unterhalt zu sorgen, oder eine Herabsetzung des Unterhaltsanspruchs unter Berücksichtigung der Dauer der Ehe unbillig wäre. </w:t>
      </w:r>
      <w:r>
        <w:rPr>
          <w:rStyle w:val="Satznummer"/>
        </w:rPr>
        <w:t>3</w:t>
      </w:r>
      <w:r>
        <w:t>Nachteile im Sinne des Satzes 2 können sich vor allem aus der Dauer der Pflege oder Erziehung eines gemeinschaftlichen Kindes sowie aus der Gestaltung von Haushaltsführung und Erwerbstätigkeit während der Ehe ergeben.</w:t>
      </w:r>
    </w:p>
    <w:p>
      <w:r>
        <w:t xml:space="preserve">(2) </w:t>
      </w:r>
      <w:r>
        <w:rPr>
          <w:rStyle w:val="Satznummer"/>
        </w:rPr>
        <w:t>1</w:t>
      </w:r>
      <w:r>
        <w:t xml:space="preserve">Der Unterhaltsanspruch des geschiedenen Ehegatten ist zeitlich zu begrenzen, wenn ein zeitlich unbegrenzter Unterhaltsanspruch auch unter Wahrung der Belange eines dem Berechtigten zur Pflege oder Erziehung anvertrauten gemeinschaftlichen Kindes unbillig wäre. </w:t>
      </w:r>
      <w:r>
        <w:rPr>
          <w:rStyle w:val="Satznummer"/>
        </w:rPr>
        <w:t>2</w:t>
      </w:r>
      <w:r>
        <w:t>Absatz 1 Satz 2 und 3 gilt entsprechend.</w:t>
      </w:r>
    </w:p>
    <w:p>
      <w:r>
        <w:t>(3) Herabsetzung und zeitliche Begrenzung des Unterhaltsanspruchs können miteinander verbunden werden.</w:t>
      </w:r>
    </w:p>
    <w:p>
      <w:pPr>
        <w:pStyle w:val="Heading6"/>
      </w:pPr>
      <w:bookmarkStart w:id="2024" w:name="b2009"/>
      <w:r>
        <w:t>§ 1579 Beschränkung oder Versagung des Unterhalts wegen grober Unbilligkeit</w:t>
      </w:r>
      <w:r>
        <w:t xml:space="preserve"> </w:t>
      </w:r>
      <w:r>
        <w:rPr>
          <w:rStyle w:val="Suchmarke"/>
        </w:rPr>
        <w:t>#1579#</w:t>
      </w:r>
      <w:bookmarkEnd w:id="2024"/>
    </w:p>
    <w:p>
      <w:r>
        <w:t>Ein Unterhaltsanspruch ist zu versagen, herabzusetzen oder zeitlich zu begrenzen, soweit die Inanspruchnahme des Verpflichteten auch unter Wahrung der Belange eines dem Berechtigten zur Pflege oder Erziehung anvertrauten gemeinschaftlichen Kindes grob unbillig wäre, weil</w:t>
      </w:r>
    </w:p>
    <w:p>
      <w:pPr>
        <w:tabs>
          <w:tab w:pos="567" w:val="left"/>
        </w:tabs>
        <w:ind w:left="567" w:hanging="567"/>
      </w:pPr>
      <w:r>
        <w:t>1.</w:t>
      </w:r>
      <w:r>
        <w:tab/>
      </w:r>
      <w:r>
        <w:t>die Ehe von kurzer Dauer war; dabei ist die Zeit zu berücksichtigen, in welcher der Berechtigte wegen der Pflege oder Erziehung eines gemeinschaftlichen Kindes nach § 1570 Unterhalt verlangen kann,</w:t>
      </w:r>
    </w:p>
    <w:p>
      <w:pPr>
        <w:tabs>
          <w:tab w:pos="567" w:val="left"/>
        </w:tabs>
        <w:ind w:left="567" w:hanging="567"/>
      </w:pPr>
      <w:r>
        <w:t>2.</w:t>
      </w:r>
      <w:r>
        <w:tab/>
      </w:r>
      <w:r>
        <w:t>der Berechtigte in einer verfestigten Lebensgemeinschaft lebt,</w:t>
      </w:r>
    </w:p>
    <w:p>
      <w:pPr>
        <w:tabs>
          <w:tab w:pos="567" w:val="left"/>
        </w:tabs>
        <w:ind w:left="567" w:hanging="567"/>
      </w:pPr>
      <w:r>
        <w:t>3.</w:t>
      </w:r>
      <w:r>
        <w:tab/>
      </w:r>
      <w:r>
        <w:t>der Berechtigte sich eines Verbrechens oder eines schweren vorsätzlichen Vergehens gegen den Verpflichteten oder einen nahen Angehörigen des Verpflichteten schuldig gemacht hat,</w:t>
      </w:r>
    </w:p>
    <w:p>
      <w:pPr>
        <w:tabs>
          <w:tab w:pos="567" w:val="left"/>
        </w:tabs>
        <w:ind w:left="567" w:hanging="567"/>
      </w:pPr>
      <w:r>
        <w:t>4.</w:t>
      </w:r>
      <w:r>
        <w:tab/>
      </w:r>
      <w:r>
        <w:t>der Berechtigte seine Bedürftigkeit mutwillig herbeigeführt hat,</w:t>
      </w:r>
    </w:p>
    <w:p>
      <w:pPr>
        <w:tabs>
          <w:tab w:pos="567" w:val="left"/>
        </w:tabs>
        <w:ind w:left="567" w:hanging="567"/>
      </w:pPr>
      <w:r>
        <w:t>5.</w:t>
      </w:r>
      <w:r>
        <w:tab/>
      </w:r>
      <w:r>
        <w:t>der Berechtigte sich über schwerwiegende Vermögensinteressen des Verpflichteten mutwillig hinweggesetzt hat,</w:t>
      </w:r>
    </w:p>
    <w:p>
      <w:pPr>
        <w:tabs>
          <w:tab w:pos="567" w:val="left"/>
        </w:tabs>
        <w:ind w:left="567" w:hanging="567"/>
      </w:pPr>
      <w:r>
        <w:t>6.</w:t>
      </w:r>
      <w:r>
        <w:tab/>
      </w:r>
      <w:r>
        <w:t>der Berechtigte vor der Trennung längere Zeit hindurch seine Pflicht, zum Familienunterhalt beizutragen, gröblich verletzt hat,</w:t>
      </w:r>
    </w:p>
    <w:p>
      <w:pPr>
        <w:tabs>
          <w:tab w:pos="567" w:val="left"/>
        </w:tabs>
        <w:ind w:left="567" w:hanging="567"/>
      </w:pPr>
      <w:r>
        <w:t>7.</w:t>
      </w:r>
      <w:r>
        <w:tab/>
      </w:r>
      <w:r>
        <w:t>dem Berechtigten ein offensichtlich schwerwiegendes, eindeutig bei ihm liegendes Fehlverhalten gegen den Verpflichteten zur Last fällt oder</w:t>
      </w:r>
    </w:p>
    <w:p>
      <w:pPr>
        <w:tabs>
          <w:tab w:pos="567" w:val="left"/>
        </w:tabs>
        <w:ind w:left="567" w:hanging="567"/>
      </w:pPr>
      <w:r>
        <w:t>8.</w:t>
      </w:r>
      <w:r>
        <w:tab/>
      </w:r>
      <w:r>
        <w:t>ein anderer Grund vorliegt, der ebenso schwer wiegt wie die in den Nummern 1 bis 7 aufgeführten Gründe.</w:t>
      </w:r>
    </w:p>
    <w:p>
      <w:pPr>
        <w:pStyle w:val="Heading6"/>
      </w:pPr>
      <w:bookmarkStart w:id="2025" w:name="b2010"/>
      <w:r>
        <w:t>§ 1580 Auskunftspflicht</w:t>
      </w:r>
      <w:r>
        <w:t xml:space="preserve"> </w:t>
      </w:r>
      <w:r>
        <w:rPr>
          <w:rStyle w:val="Suchmarke"/>
        </w:rPr>
        <w:t>#1580#</w:t>
      </w:r>
      <w:bookmarkEnd w:id="2025"/>
    </w:p>
    <w:p>
      <w:r>
        <w:rPr>
          <w:rStyle w:val="Satznummer"/>
        </w:rPr>
        <w:t>1</w:t>
      </w:r>
      <w:r>
        <w:t xml:space="preserve">Die geschiedenen Ehegatten sind einander verpflichtet, auf Verlangen über ihre Einkünfte und ihr Vermögen Auskunft zu erteilen. </w:t>
      </w:r>
      <w:r>
        <w:rPr>
          <w:rStyle w:val="Satznummer"/>
        </w:rPr>
        <w:t>2</w:t>
      </w:r>
      <w:hyperlink w:anchor="b2056" w:history="1">
        <w:r>
          <w:rPr>
            <w:color w:val="0A3A8C"/>
            <w:u w:val="single"/>
          </w:rPr>
          <w:t xml:space="preserve">§ 1605</w:t>
        </w:r>
      </w:hyperlink>
      <w:r>
        <w:t xml:space="preserve"> ist entsprechend anzuwenden.</w:t>
      </w:r>
    </w:p>
    <w:p>
      <w:pPr>
        <w:pStyle w:val="Heading5"/>
      </w:pPr>
      <w:bookmarkStart w:id="2026" w:name="b2011"/>
      <w:r>
        <w:t>Kapitel 3 Leistungsfähigkeit und Rangfolge</w:t>
      </w:r>
      <w:bookmarkEnd w:id="2026"/>
    </w:p>
    <w:p>
      <w:pPr>
        <w:pStyle w:val="Heading6"/>
      </w:pPr>
      <w:bookmarkStart w:id="2027" w:name="b2012"/>
      <w:r>
        <w:t>§ 1581 Leistungsfähigkeit</w:t>
      </w:r>
      <w:r>
        <w:t xml:space="preserve"> </w:t>
      </w:r>
      <w:r>
        <w:rPr>
          <w:rStyle w:val="Suchmarke"/>
        </w:rPr>
        <w:t>#1581#</w:t>
      </w:r>
      <w:bookmarkEnd w:id="2027"/>
    </w:p>
    <w:p>
      <w:r>
        <w:rPr>
          <w:rStyle w:val="Satznummer"/>
        </w:rPr>
        <w:t>1</w:t>
      </w:r>
      <w:r>
        <w:t xml:space="preserve">Ist der Verpflichtete nach seinen Erwerbs- und Vermögensverhältnissen unter Berücksichtigung seiner sonstigen Verpflichtungen außerstande, ohne Gefährdung des eigenen angemessenen Unterhalts dem Berechtigten Unterhalt zu gewähren, so braucht er nur insoweit Unterhalt zu leisten, als es mit Rücksicht auf die Bedürfnisse und die Erwerbs- und Vermögensverhältnisse der geschiedenen Ehegatten der Billigkeit entspricht. </w:t>
      </w:r>
      <w:r>
        <w:rPr>
          <w:rStyle w:val="Satznummer"/>
        </w:rPr>
        <w:t>2</w:t>
      </w:r>
      <w:r>
        <w:t>Den Stamm des Vermögens braucht er nicht zu verwerten, soweit die Verwertung unwirtschaftlich oder unter Berücksichtigung der beiderseitigen wirtschaftlichen Verhältnisse unbillig wäre.</w:t>
      </w:r>
    </w:p>
    <w:p>
      <w:pPr>
        <w:pStyle w:val="Heading6"/>
      </w:pPr>
      <w:bookmarkStart w:id="2028" w:name="b2013"/>
      <w:r>
        <w:t>§ 1582 Rang des geschiedenen Ehegatten bei mehreren Unterhaltsberechtigten</w:t>
      </w:r>
      <w:r>
        <w:t xml:space="preserve"> </w:t>
      </w:r>
      <w:r>
        <w:rPr>
          <w:rStyle w:val="Suchmarke"/>
        </w:rPr>
        <w:t>#1582#</w:t>
      </w:r>
      <w:bookmarkEnd w:id="2028"/>
    </w:p>
    <w:p>
      <w:r>
        <w:t xml:space="preserve">Sind mehrere Unterhaltsberechtigte vorhanden, richtet sich der Rang des geschiedenen Ehegatten nach </w:t>
      </w:r>
      <w:hyperlink w:anchor="b2060" w:history="1">
        <w:r>
          <w:rPr>
            <w:color w:val="0A3A8C"/>
            <w:u w:val="single"/>
          </w:rPr>
          <w:t xml:space="preserve">§ 1609</w:t>
        </w:r>
      </w:hyperlink>
      <w:r>
        <w:t>.</w:t>
      </w:r>
    </w:p>
    <w:p>
      <w:pPr>
        <w:pStyle w:val="Heading6"/>
      </w:pPr>
      <w:bookmarkStart w:id="2029" w:name="b2014"/>
      <w:r>
        <w:t>§ 1583 Einfluss des Güterstands</w:t>
      </w:r>
      <w:r>
        <w:t xml:space="preserve"> </w:t>
      </w:r>
      <w:r>
        <w:rPr>
          <w:rStyle w:val="Suchmarke"/>
        </w:rPr>
        <w:t>#1583#</w:t>
      </w:r>
      <w:bookmarkEnd w:id="2029"/>
    </w:p>
    <w:p>
      <w:r>
        <w:t xml:space="preserve">Lebt der Verpflichtete im Falle der Wiederheirat mit seinem neuen Ehegatten im Güterstand der Gütergemeinschaft, so ist </w:t>
      </w:r>
      <w:hyperlink w:anchor="b2055" w:history="1">
        <w:r>
          <w:rPr>
            <w:color w:val="0A3A8C"/>
            <w:u w:val="single"/>
          </w:rPr>
          <w:t xml:space="preserve">§ 1604</w:t>
        </w:r>
      </w:hyperlink>
      <w:r>
        <w:t xml:space="preserve"> entsprechend anzuwenden.</w:t>
      </w:r>
    </w:p>
    <w:p>
      <w:pPr>
        <w:pStyle w:val="Heading6"/>
      </w:pPr>
      <w:bookmarkStart w:id="2030" w:name="b2015"/>
      <w:r>
        <w:t>§ 1584 Rangverhältnisse mehrerer Unterhaltsverpflichteter</w:t>
      </w:r>
      <w:r>
        <w:t xml:space="preserve"> </w:t>
      </w:r>
      <w:r>
        <w:rPr>
          <w:rStyle w:val="Suchmarke"/>
        </w:rPr>
        <w:t>#1584#</w:t>
      </w:r>
      <w:bookmarkEnd w:id="2030"/>
    </w:p>
    <w:p>
      <w:r>
        <w:rPr>
          <w:rStyle w:val="Satznummer"/>
        </w:rPr>
        <w:t>1</w:t>
      </w:r>
      <w:r>
        <w:t xml:space="preserve">Der unterhaltspflichtige geschiedene Ehegatte haftet vor den Verwandten des Berechtigten. </w:t>
      </w:r>
      <w:r>
        <w:rPr>
          <w:rStyle w:val="Satznummer"/>
        </w:rPr>
        <w:t>2</w:t>
      </w:r>
      <w:r>
        <w:t xml:space="preserve">Soweit jedoch der Verpflichtete nicht leistungsfähig ist, haften die Verwandten vor dem geschiedenen Ehegatten. </w:t>
      </w:r>
      <w:r>
        <w:rPr>
          <w:rStyle w:val="Satznummer"/>
        </w:rPr>
        <w:t>3</w:t>
      </w:r>
      <w:hyperlink w:anchor="b2058" w:history="1">
        <w:r>
          <w:rPr>
            <w:color w:val="0A3A8C"/>
            <w:u w:val="single"/>
          </w:rPr>
          <w:t xml:space="preserve">§ 1607</w:t>
        </w:r>
      </w:hyperlink>
      <w:r>
        <w:t xml:space="preserve"> Abs. 2 und 4 gilt entsprechend.</w:t>
      </w:r>
    </w:p>
    <w:p>
      <w:pPr>
        <w:pStyle w:val="Heading5"/>
      </w:pPr>
      <w:bookmarkStart w:id="2031" w:name="b2016"/>
      <w:r>
        <w:t>Kapitel 4 Gestaltung des Unterhaltsanspruchs</w:t>
      </w:r>
      <w:bookmarkEnd w:id="2031"/>
    </w:p>
    <w:p>
      <w:pPr>
        <w:pStyle w:val="Heading6"/>
      </w:pPr>
      <w:bookmarkStart w:id="2032" w:name="b2017"/>
      <w:r>
        <w:t>§ 1585 Art der Unterhaltsgewährung</w:t>
      </w:r>
      <w:r>
        <w:t xml:space="preserve"> </w:t>
      </w:r>
      <w:r>
        <w:rPr>
          <w:rStyle w:val="Suchmarke"/>
        </w:rPr>
        <w:t>#1585#</w:t>
      </w:r>
      <w:bookmarkEnd w:id="2032"/>
    </w:p>
    <w:p>
      <w:r>
        <w:t xml:space="preserve">(1) </w:t>
      </w:r>
      <w:r>
        <w:rPr>
          <w:rStyle w:val="Satznummer"/>
        </w:rPr>
        <w:t>1</w:t>
      </w:r>
      <w:r>
        <w:t xml:space="preserve">Der laufende Unterhalt ist durch Zahlung einer Geldrente zu gewähren. </w:t>
      </w:r>
      <w:r>
        <w:rPr>
          <w:rStyle w:val="Satznummer"/>
        </w:rPr>
        <w:t>2</w:t>
      </w:r>
      <w:r>
        <w:t xml:space="preserve">Die Rente ist monatlich im Voraus zu entrichten. </w:t>
      </w:r>
      <w:r>
        <w:rPr>
          <w:rStyle w:val="Satznummer"/>
        </w:rPr>
        <w:t>3</w:t>
      </w:r>
      <w:r>
        <w:t>Der Verpflichtete schuldet den vollen Monatsbetrag auch dann, wenn der Unterhaltsanspruch im Laufe des Monats durch Wiederheirat oder Tod des Berechtigten erlischt.</w:t>
      </w:r>
    </w:p>
    <w:p>
      <w:r>
        <w:t>(2) Statt der Rente kann der Berechtigte eine Abfindung in Kapital verlangen, wenn ein wichtiger Grund vorliegt und der Verpflichtete dadurch nicht unbillig belastet wird.</w:t>
      </w:r>
    </w:p>
    <w:p>
      <w:pPr>
        <w:pStyle w:val="Heading6"/>
      </w:pPr>
      <w:bookmarkStart w:id="2033" w:name="b2018"/>
      <w:r>
        <w:t>§ 1585a Sicherheitsleistung</w:t>
      </w:r>
      <w:r>
        <w:t xml:space="preserve"> </w:t>
      </w:r>
      <w:r>
        <w:rPr>
          <w:rStyle w:val="Suchmarke"/>
        </w:rPr>
        <w:t>#1585a#</w:t>
      </w:r>
      <w:bookmarkEnd w:id="2033"/>
    </w:p>
    <w:p>
      <w:r>
        <w:t xml:space="preserve">(1) </w:t>
      </w:r>
      <w:r>
        <w:rPr>
          <w:rStyle w:val="Satznummer"/>
        </w:rPr>
        <w:t>1</w:t>
      </w:r>
      <w:r>
        <w:t xml:space="preserve">Der Verpflichtete hat auf Verlangen Sicherheit zu leisten. </w:t>
      </w:r>
      <w:r>
        <w:rPr>
          <w:rStyle w:val="Satznummer"/>
        </w:rPr>
        <w:t>2</w:t>
      </w:r>
      <w:r>
        <w:t xml:space="preserve">Die Verpflichtung, Sicherheit zu leisten, entfällt, wenn kein Grund zu der Annahme besteht, dass die Unterhaltsleistung gefährdet ist oder wenn der Verpflichtete durch die Sicherheitsleistung unbillig belastet würde. </w:t>
      </w:r>
      <w:r>
        <w:rPr>
          <w:rStyle w:val="Satznummer"/>
        </w:rPr>
        <w:t>3</w:t>
      </w:r>
      <w:r>
        <w:t>Der Betrag, für den Sicherheit zu leisten ist, soll den einfachen Jahresbetrag der Unterhaltsrente nicht übersteigen, sofern nicht nach den besonderen Umständen des Falles eine höhere Sicherheitsleistung angemessen erscheint.</w:t>
      </w:r>
    </w:p>
    <w:p>
      <w:r>
        <w:t xml:space="preserve">(2) Die Art der Sicherheitsleistung bestimmt sich nach den Umständen; die Beschränkung des </w:t>
      </w:r>
      <w:hyperlink w:anchor="b269" w:history="1">
        <w:r>
          <w:rPr>
            <w:color w:val="0A3A8C"/>
            <w:u w:val="single"/>
          </w:rPr>
          <w:t xml:space="preserve">§ 232</w:t>
        </w:r>
      </w:hyperlink>
      <w:r>
        <w:t xml:space="preserve"> gilt nicht.</w:t>
      </w:r>
    </w:p>
    <w:p>
      <w:pPr>
        <w:pStyle w:val="Heading6"/>
      </w:pPr>
      <w:bookmarkStart w:id="2034" w:name="b2019"/>
      <w:r>
        <w:t>§ 1585b Unterhalt für die Vergangenheit</w:t>
      </w:r>
      <w:r>
        <w:t xml:space="preserve"> </w:t>
      </w:r>
      <w:r>
        <w:rPr>
          <w:rStyle w:val="Suchmarke"/>
        </w:rPr>
        <w:t>#1585b#</w:t>
      </w:r>
      <w:bookmarkEnd w:id="2034"/>
    </w:p>
    <w:p>
      <w:r>
        <w:t>(1) Wegen eines Sonderbedarfs (</w:t>
      </w:r>
      <w:hyperlink w:anchor="b2068" w:history="1">
        <w:r>
          <w:rPr>
            <w:color w:val="0A3A8C"/>
            <w:u w:val="single"/>
          </w:rPr>
          <w:t xml:space="preserve">§ 1613</w:t>
        </w:r>
      </w:hyperlink>
      <w:r>
        <w:t xml:space="preserve"> Abs. 2) kann der Berechtigte Unterhalt für die Vergangenheit verlangen.</w:t>
      </w:r>
    </w:p>
    <w:p>
      <w:r>
        <w:t xml:space="preserve">(2) Im Übrigen kann der Berechtigte für die Vergangenheit Erfüllung oder Schadensersatz wegen Nichterfüllung nur entsprechend </w:t>
      </w:r>
      <w:hyperlink w:anchor="b2068" w:history="1">
        <w:r>
          <w:rPr>
            <w:color w:val="0A3A8C"/>
            <w:u w:val="single"/>
          </w:rPr>
          <w:t xml:space="preserve">§ 1613</w:t>
        </w:r>
      </w:hyperlink>
      <w:r>
        <w:t xml:space="preserve"> Abs. 1 fordern.</w:t>
      </w:r>
    </w:p>
    <w:p>
      <w:r>
        <w:t>(3) Für eine mehr als ein Jahr vor der Rechtshängigkeit liegende Zeit kann Erfüllung oder Schadensersatz wegen Nichterfüllung nur verlangt werden, wenn anzunehmen ist, dass der Verpflichtete sich der Leistung absichtlich entzogen hat.</w:t>
      </w:r>
    </w:p>
    <w:p>
      <w:pPr>
        <w:pStyle w:val="Heading6"/>
      </w:pPr>
      <w:bookmarkStart w:id="2035" w:name="b2020"/>
      <w:r>
        <w:t>§ 1585c Vereinbarungen über den Unterhalt</w:t>
      </w:r>
      <w:r>
        <w:t xml:space="preserve"> </w:t>
      </w:r>
      <w:r>
        <w:rPr>
          <w:rStyle w:val="Suchmarke"/>
        </w:rPr>
        <w:t>#1585c#</w:t>
      </w:r>
      <w:bookmarkEnd w:id="2035"/>
    </w:p>
    <w:p>
      <w:r>
        <w:rPr>
          <w:rStyle w:val="Satznummer"/>
        </w:rPr>
        <w:t>1</w:t>
      </w:r>
      <w:r>
        <w:t xml:space="preserve">Die Ehegatten können über die Unterhaltspflicht für die Zeit nach der Scheidung Vereinbarungen treffen. </w:t>
      </w:r>
      <w:r>
        <w:rPr>
          <w:rStyle w:val="Satznummer"/>
        </w:rPr>
        <w:t>2</w:t>
      </w:r>
      <w:r>
        <w:t xml:space="preserve">Eine Vereinbarung, die vor der Rechtskraft der Scheidung getroffen wird, bedarf der notariellen Beurkundung. </w:t>
      </w:r>
      <w:r>
        <w:rPr>
          <w:rStyle w:val="Satznummer"/>
        </w:rPr>
        <w:t>3</w:t>
      </w:r>
      <w:hyperlink w:anchor="b158" w:history="1">
        <w:r>
          <w:rPr>
            <w:color w:val="0A3A8C"/>
            <w:u w:val="single"/>
          </w:rPr>
          <w:t xml:space="preserve">§ 127a</w:t>
        </w:r>
      </w:hyperlink>
      <w:r>
        <w:t xml:space="preserve"> findet auch auf eine Vereinbarung Anwendung, die in einem Verfahren in Ehesachen vor dem Prozessgericht protokolliert wird.</w:t>
      </w:r>
    </w:p>
    <w:p>
      <w:pPr>
        <w:pStyle w:val="Heading5"/>
      </w:pPr>
      <w:bookmarkStart w:id="2036" w:name="b2021"/>
      <w:r>
        <w:t>Kapitel 5 Ende des Unterhaltsanspruchs</w:t>
      </w:r>
      <w:bookmarkEnd w:id="2036"/>
    </w:p>
    <w:p>
      <w:pPr>
        <w:pStyle w:val="Heading6"/>
      </w:pPr>
      <w:bookmarkStart w:id="2037" w:name="b2022"/>
      <w:r>
        <w:t>§ 1586 Wiederverheiratung, Begründung einer Lebenspartnerschaft oder Tod des Berechtigten</w:t>
      </w:r>
      <w:r>
        <w:t xml:space="preserve"> </w:t>
      </w:r>
      <w:r>
        <w:rPr>
          <w:rStyle w:val="Suchmarke"/>
        </w:rPr>
        <w:t>#1586#</w:t>
      </w:r>
      <w:bookmarkEnd w:id="2037"/>
    </w:p>
    <w:p>
      <w:r>
        <w:t>(1) Der Unterhaltsanspruch erlischt mit der Wiederheirat, der Begründung einer Lebenspartnerschaft oder dem Tode des Berechtigten.</w:t>
      </w:r>
    </w:p>
    <w:p>
      <w:r>
        <w:t xml:space="preserve">(2) </w:t>
      </w:r>
      <w:r>
        <w:rPr>
          <w:rStyle w:val="Satznummer"/>
        </w:rPr>
        <w:t>1</w:t>
      </w:r>
      <w:r>
        <w:t xml:space="preserve">Ansprüche auf Erfüllung oder Schadensersatz wegen Nichterfüllung für die Vergangenheit bleiben bestehen. </w:t>
      </w:r>
      <w:r>
        <w:rPr>
          <w:rStyle w:val="Satznummer"/>
        </w:rPr>
        <w:t>2</w:t>
      </w:r>
      <w:r>
        <w:t>Das Gleiche gilt für den Anspruch auf den zur Zeit der Wiederheirat, der Begründung einer Lebenspartnerschaft oder des Todes fälligen Monatsbetrag.</w:t>
      </w:r>
    </w:p>
    <w:p>
      <w:pPr>
        <w:pStyle w:val="Heading6"/>
      </w:pPr>
      <w:bookmarkStart w:id="2038" w:name="b2023"/>
      <w:r>
        <w:t>§ 1586a Wiederaufleben des Unterhaltsanspruchs</w:t>
      </w:r>
      <w:r>
        <w:t xml:space="preserve"> </w:t>
      </w:r>
      <w:r>
        <w:rPr>
          <w:rStyle w:val="Suchmarke"/>
        </w:rPr>
        <w:t>#1586a#</w:t>
      </w:r>
      <w:bookmarkEnd w:id="2038"/>
    </w:p>
    <w:p>
      <w:r>
        <w:t xml:space="preserve">(1) Geht ein geschiedener Ehegatte eine neue Ehe oder Lebenspartnerschaft ein und wird die Ehe oder Lebenspartnerschaft wieder aufgelöst, so kann er von dem früheren Ehegatten Unterhalt nach </w:t>
      </w:r>
      <w:hyperlink w:anchor="b1998" w:history="1">
        <w:r>
          <w:rPr>
            <w:color w:val="0A3A8C"/>
            <w:u w:val="single"/>
          </w:rPr>
          <w:t xml:space="preserve">§ 1570</w:t>
        </w:r>
      </w:hyperlink>
      <w:r>
        <w:t xml:space="preserve"> verlangen, wenn er ein Kind aus der früheren Ehe oder Lebenspartnerschaft zu pflegen oder zu erziehen hat.</w:t>
      </w:r>
    </w:p>
    <w:p>
      <w:r>
        <w:t xml:space="preserve">(2) </w:t>
      </w:r>
      <w:r>
        <w:rPr>
          <w:rStyle w:val="Satznummer"/>
        </w:rPr>
        <w:t>1</w:t>
      </w:r>
      <w:r>
        <w:t xml:space="preserve">Der Ehegatte der später aufgelösten Ehe haftet vor dem Ehegatten der früher aufgelösten Ehe. </w:t>
      </w:r>
      <w:r>
        <w:rPr>
          <w:rStyle w:val="Satznummer"/>
        </w:rPr>
        <w:t>2</w:t>
      </w:r>
      <w:r>
        <w:t>Satz 1 findet auf Lebenspartnerschaften entsprechende Anwendung.</w:t>
      </w:r>
    </w:p>
    <w:p>
      <w:pPr>
        <w:pStyle w:val="Heading6"/>
      </w:pPr>
      <w:bookmarkStart w:id="2039" w:name="b2024"/>
      <w:r>
        <w:t>§ 1586b Kein Erlöschen bei Tod des Verpflichteten</w:t>
      </w:r>
      <w:r>
        <w:t xml:space="preserve"> </w:t>
      </w:r>
      <w:r>
        <w:rPr>
          <w:rStyle w:val="Suchmarke"/>
        </w:rPr>
        <w:t>#1586b#</w:t>
      </w:r>
      <w:bookmarkEnd w:id="2039"/>
    </w:p>
    <w:p>
      <w:r>
        <w:t xml:space="preserve">(1) </w:t>
      </w:r>
      <w:r>
        <w:rPr>
          <w:rStyle w:val="Satznummer"/>
        </w:rPr>
        <w:t>1</w:t>
      </w:r>
      <w:r>
        <w:t xml:space="preserve">Mit dem Tode des Verpflichteten geht die Unterhaltspflicht auf den Erben als Nachlassverbindlichkeit über. </w:t>
      </w:r>
      <w:r>
        <w:rPr>
          <w:rStyle w:val="Satznummer"/>
        </w:rPr>
        <w:t>2</w:t>
      </w:r>
      <w:r>
        <w:t xml:space="preserve">Die Beschränkungen nach </w:t>
      </w:r>
      <w:hyperlink w:anchor="b2012" w:history="1">
        <w:r>
          <w:rPr>
            <w:color w:val="0A3A8C"/>
            <w:u w:val="single"/>
          </w:rPr>
          <w:t xml:space="preserve">§ 1581</w:t>
        </w:r>
      </w:hyperlink>
      <w:r>
        <w:t xml:space="preserve"> fallen weg. </w:t>
      </w:r>
      <w:r>
        <w:rPr>
          <w:rStyle w:val="Satznummer"/>
        </w:rPr>
        <w:t>3</w:t>
      </w:r>
      <w:r>
        <w:t>Der Erbe haftet jedoch nicht über einen Betrag hinaus, der dem Pflichtteil entspricht, welcher dem Berechtigten zustände, wenn die Ehe nicht geschieden worden wäre.</w:t>
      </w:r>
    </w:p>
    <w:p>
      <w:r>
        <w:t>(2) Für die Berechnung des Pflichtteils bleiben Besonderheiten auf Grund des Güterstands, in dem die geschiedenen Ehegatten gelebt haben, außer Betracht.</w:t>
      </w:r>
    </w:p>
    <w:p>
      <w:pPr>
        <w:pStyle w:val="Heading4"/>
      </w:pPr>
      <w:bookmarkStart w:id="2040" w:name="b2025"/>
      <w:r>
        <w:t>Untertitel 3 Versorgungsausgleich</w:t>
      </w:r>
      <w:bookmarkEnd w:id="2040"/>
    </w:p>
    <w:p>
      <w:pPr>
        <w:pStyle w:val="Heading5"/>
      </w:pPr>
      <w:bookmarkStart w:id="2041" w:name="b2026"/>
      <w:r>
        <w:t>§ 1587 Verweis auf das Versorgungsausgleichsgesetz</w:t>
      </w:r>
      <w:r>
        <w:t xml:space="preserve"> </w:t>
      </w:r>
      <w:r>
        <w:rPr>
          <w:rStyle w:val="Suchmarke"/>
        </w:rPr>
        <w:t>#1587#</w:t>
      </w:r>
      <w:bookmarkEnd w:id="2041"/>
    </w:p>
    <w:p>
      <w:r>
        <w:t>Nach Maßgabe des Versorgungsausgleichsgesetzes findet zwischen den geschiedenen Ehegatten ein Ausgleich von im In- oder Ausland bestehenden Anrechten statt, insbesondere aus der gesetzlichen Rentenversicherung, aus anderen Regelsicherungssystemen wie der Beamtenversorgung oder der berufsständischen Versorgung, aus der betrieblichen Altersversorgung oder aus der privaten Alters- und Invaliditätsvorsorge.</w:t>
      </w:r>
    </w:p>
    <w:p>
      <w:pPr>
        <w:pStyle w:val="Heading3"/>
      </w:pPr>
      <w:bookmarkStart w:id="2042" w:name="b2027"/>
      <w:r>
        <w:t>Titel 8 Kirchliche Verpflichtungen</w:t>
      </w:r>
      <w:bookmarkEnd w:id="2042"/>
    </w:p>
    <w:p>
      <w:pPr>
        <w:pStyle w:val="Heading4"/>
      </w:pPr>
      <w:bookmarkStart w:id="2043" w:name="b2028"/>
      <w:r>
        <w:t>§ 1588 (keine Überschrift)</w:t>
      </w:r>
      <w:r>
        <w:t xml:space="preserve"> </w:t>
      </w:r>
      <w:r>
        <w:rPr>
          <w:rStyle w:val="Suchmarke"/>
        </w:rPr>
        <w:t>#1588#</w:t>
      </w:r>
      <w:bookmarkEnd w:id="2043"/>
    </w:p>
    <w:p>
      <w:r>
        <w:t>Die kirchlichen Verpflichtungen in Ansehung der Ehe werden durch die Vorschriften dieses Abschnitts nicht berührt.</w:t>
      </w:r>
    </w:p>
    <w:p>
      <w:pPr>
        <w:pStyle w:val="Heading2"/>
      </w:pPr>
      <w:bookmarkStart w:id="2044" w:name="b2029"/>
      <w:r>
        <w:t>Abschnitt 2 Verwandtschaft</w:t>
      </w:r>
      <w:bookmarkEnd w:id="2044"/>
    </w:p>
    <w:p>
      <w:pPr>
        <w:pStyle w:val="Heading3"/>
      </w:pPr>
      <w:bookmarkStart w:id="2045" w:name="b2030"/>
      <w:r>
        <w:t>Titel 1 Allgemeine Vorschriften</w:t>
      </w:r>
      <w:bookmarkEnd w:id="2045"/>
    </w:p>
    <w:p>
      <w:pPr>
        <w:pStyle w:val="Heading4"/>
      </w:pPr>
      <w:bookmarkStart w:id="2046" w:name="b2031"/>
      <w:r>
        <w:t>§ 1589 Verwandtschaft</w:t>
      </w:r>
      <w:r>
        <w:t xml:space="preserve"> </w:t>
      </w:r>
      <w:r>
        <w:rPr>
          <w:rStyle w:val="Suchmarke"/>
        </w:rPr>
        <w:t>#1589#</w:t>
      </w:r>
      <w:bookmarkEnd w:id="2046"/>
    </w:p>
    <w:p>
      <w:r>
        <w:t xml:space="preserve">(1) </w:t>
      </w:r>
      <w:r>
        <w:rPr>
          <w:rStyle w:val="Satznummer"/>
        </w:rPr>
        <w:t>1</w:t>
      </w:r>
      <w:r>
        <w:t xml:space="preserve">Personen, deren eine von der anderen abstammt, sind in gerader Linie verwandt. </w:t>
      </w:r>
      <w:r>
        <w:rPr>
          <w:rStyle w:val="Satznummer"/>
        </w:rPr>
        <w:t>2</w:t>
      </w:r>
      <w:r>
        <w:t xml:space="preserve">Personen, die nicht in gerader Linie verwandt sind, aber von derselben dritten Person abstammen, sind in der Seitenlinie verwandt. </w:t>
      </w:r>
      <w:r>
        <w:rPr>
          <w:rStyle w:val="Satznummer"/>
        </w:rPr>
        <w:t>3</w:t>
      </w:r>
      <w:r>
        <w:t>Der Grad der Verwandtschaft bestimmt sich nach der Zahl der sie vermittelnden Geburten.</w:t>
      </w:r>
    </w:p>
    <w:p>
      <w:r>
        <w:t>(2) (weggefallen)</w:t>
      </w:r>
    </w:p>
    <w:p>
      <w:pPr>
        <w:pStyle w:val="Heading4"/>
      </w:pPr>
      <w:bookmarkStart w:id="2047" w:name="b2032"/>
      <w:r>
        <w:t>§ 1590 Schwägerschaft</w:t>
      </w:r>
      <w:r>
        <w:t xml:space="preserve"> </w:t>
      </w:r>
      <w:r>
        <w:rPr>
          <w:rStyle w:val="Suchmarke"/>
        </w:rPr>
        <w:t>#1590#</w:t>
      </w:r>
      <w:bookmarkEnd w:id="2047"/>
    </w:p>
    <w:p>
      <w:r>
        <w:t xml:space="preserve">(1) </w:t>
      </w:r>
      <w:r>
        <w:rPr>
          <w:rStyle w:val="Satznummer"/>
        </w:rPr>
        <w:t>1</w:t>
      </w:r>
      <w:r>
        <w:t xml:space="preserve">Die Verwandten eines Ehegatten sind mit dem anderen Ehegatten verschwägert. </w:t>
      </w:r>
      <w:r>
        <w:rPr>
          <w:rStyle w:val="Satznummer"/>
        </w:rPr>
        <w:t>2</w:t>
      </w:r>
      <w:r>
        <w:t>Die Linie und der Grad der Schwägerschaft bestimmen sich nach der Linie und dem Grade der sie vermittelnden Verwandtschaft.</w:t>
      </w:r>
    </w:p>
    <w:p>
      <w:r>
        <w:t>(2) Die Schwägerschaft dauert fort, auch wenn die Ehe, durch die sie begründet wurde, aufgelöst ist.</w:t>
      </w:r>
    </w:p>
    <w:p>
      <w:pPr>
        <w:pStyle w:val="Heading3"/>
      </w:pPr>
      <w:bookmarkStart w:id="2048" w:name="b2033"/>
      <w:r>
        <w:t>Titel 2 Abstammung</w:t>
      </w:r>
      <w:bookmarkEnd w:id="2048"/>
    </w:p>
    <w:p>
      <w:pPr>
        <w:pStyle w:val="Heading4"/>
      </w:pPr>
      <w:bookmarkStart w:id="2049" w:name="b2034"/>
      <w:r>
        <w:t>§ 1591 Mutterschaft</w:t>
      </w:r>
      <w:r>
        <w:t xml:space="preserve"> </w:t>
      </w:r>
      <w:r>
        <w:rPr>
          <w:rStyle w:val="Suchmarke"/>
        </w:rPr>
        <w:t>#1591#</w:t>
      </w:r>
      <w:bookmarkEnd w:id="2049"/>
    </w:p>
    <w:p>
      <w:r>
        <w:t>Mutter eines Kindes ist die Frau, die es geboren hat.</w:t>
      </w:r>
    </w:p>
    <w:p>
      <w:pPr>
        <w:pStyle w:val="Heading4"/>
      </w:pPr>
      <w:bookmarkStart w:id="2050" w:name="b2035"/>
      <w:r>
        <w:t>§ 1592 Vaterschaft</w:t>
      </w:r>
      <w:r>
        <w:t xml:space="preserve"> </w:t>
      </w:r>
      <w:r>
        <w:rPr>
          <w:rStyle w:val="Suchmarke"/>
        </w:rPr>
        <w:t>#1592#</w:t>
      </w:r>
      <w:bookmarkEnd w:id="2050"/>
    </w:p>
    <w:p>
      <w:r>
        <w:t>Vater eines Kindes ist der Mann,</w:t>
      </w:r>
    </w:p>
    <w:p>
      <w:pPr>
        <w:tabs>
          <w:tab w:pos="567" w:val="left"/>
        </w:tabs>
        <w:ind w:left="567" w:hanging="567"/>
      </w:pPr>
      <w:r>
        <w:t>1.</w:t>
      </w:r>
      <w:r>
        <w:tab/>
      </w:r>
      <w:r>
        <w:t>der zum Zeitpunkt der Geburt mit der Mutter des Kindes verheiratet ist,</w:t>
      </w:r>
    </w:p>
    <w:p>
      <w:pPr>
        <w:tabs>
          <w:tab w:pos="567" w:val="left"/>
        </w:tabs>
        <w:ind w:left="567" w:hanging="567"/>
      </w:pPr>
      <w:r>
        <w:t>2.</w:t>
      </w:r>
      <w:r>
        <w:tab/>
      </w:r>
      <w:r>
        <w:t>der die Vaterschaft anerkannt hat oder</w:t>
      </w:r>
    </w:p>
    <w:p>
      <w:pPr>
        <w:tabs>
          <w:tab w:pos="567" w:val="left"/>
        </w:tabs>
        <w:ind w:left="567" w:hanging="567"/>
      </w:pPr>
      <w:r>
        <w:t>3.</w:t>
      </w:r>
      <w:r>
        <w:tab/>
      </w:r>
      <w:r>
        <w:t>dessen Vaterschaft nach § 1600d oder § 182 Abs. 1 des Gesetzes über das Verfahren in Familiensachen und in den Angelegenheiten der freiwilligen Gerichtsbarkeit gerichtlich festgestellt ist.</w:t>
      </w:r>
    </w:p>
    <w:p>
      <w:pPr>
        <w:pStyle w:val="Heading4"/>
      </w:pPr>
      <w:bookmarkStart w:id="2051" w:name="b2036"/>
      <w:r>
        <w:t>§ 1593 Vaterschaft bei Auflösung der Ehe durch Tod</w:t>
      </w:r>
      <w:r>
        <w:t xml:space="preserve"> </w:t>
      </w:r>
      <w:r>
        <w:rPr>
          <w:rStyle w:val="Suchmarke"/>
        </w:rPr>
        <w:t>#1593#</w:t>
      </w:r>
      <w:bookmarkEnd w:id="2051"/>
    </w:p>
    <w:p>
      <w:r>
        <w:rPr>
          <w:rStyle w:val="Satznummer"/>
        </w:rPr>
        <w:t>1</w:t>
      </w:r>
      <w:hyperlink w:anchor="b2035" w:history="1">
        <w:r>
          <w:rPr>
            <w:color w:val="0A3A8C"/>
            <w:u w:val="single"/>
          </w:rPr>
          <w:t xml:space="preserve">§ 1592</w:t>
        </w:r>
      </w:hyperlink>
      <w:r>
        <w:t xml:space="preserve"> Nr. 1 gilt entsprechend, wenn die Ehe durch Tod aufgelöst wurde und innerhalb von 300 Tagen nach der Auflösung ein Kind geboren wird. </w:t>
      </w:r>
      <w:r>
        <w:rPr>
          <w:rStyle w:val="Satznummer"/>
        </w:rPr>
        <w:t>2</w:t>
      </w:r>
      <w:r>
        <w:t xml:space="preserve">Steht fest, dass das Kind mehr als 300 Tage vor seiner Geburt empfangen wurde, so ist dieser Zeitraum maßgebend. </w:t>
      </w:r>
      <w:r>
        <w:rPr>
          <w:rStyle w:val="Satznummer"/>
        </w:rPr>
        <w:t>3</w:t>
      </w:r>
      <w:r>
        <w:t xml:space="preserve">Wird von einer Frau, die eine weitere Ehe geschlossen hat, ein Kind geboren, das sowohl nach den Sätzen 1 und 2 Kind des früheren Ehemanns als auch nach § 1592 Nr. 1 Kind des neuen Ehemanns wäre, so ist es nur als Kind des neuen Ehemanns anzusehen. </w:t>
      </w:r>
      <w:r>
        <w:rPr>
          <w:rStyle w:val="Satznummer"/>
        </w:rPr>
        <w:t>4</w:t>
      </w:r>
      <w:r>
        <w:t>Wird die Vaterschaft angefochten und wird rechtskräftig festgestellt, dass der neue Ehemann nicht Vater des Kindes ist, so ist es Kind des früheren Ehemanns.</w:t>
      </w:r>
    </w:p>
    <w:p>
      <w:pPr>
        <w:pStyle w:val="Heading4"/>
      </w:pPr>
      <w:bookmarkStart w:id="2052" w:name="b2037"/>
      <w:r>
        <w:t>§ 1594 Anerkennung der Vaterschaft</w:t>
      </w:r>
      <w:r>
        <w:t xml:space="preserve"> </w:t>
      </w:r>
      <w:r>
        <w:rPr>
          <w:rStyle w:val="Suchmarke"/>
        </w:rPr>
        <w:t>#1594#</w:t>
      </w:r>
      <w:bookmarkEnd w:id="2052"/>
    </w:p>
    <w:p>
      <w:r>
        <w:t>(1) Die Rechtswirkungen der Anerkennung können, soweit sich nicht aus dem Gesetz anderes ergibt, erst von dem Zeitpunkt an geltend gemacht werden, zu dem die Anerkennung wirksam wird.</w:t>
      </w:r>
    </w:p>
    <w:p>
      <w:r>
        <w:t>(2) Eine Anerkennung der Vaterschaft ist nicht wirksam, solange die Vaterschaft eines anderen Mannes besteht.</w:t>
      </w:r>
    </w:p>
    <w:p>
      <w:r>
        <w:t>(3) Eine Anerkennung unter einer Bedingung oder Zeitbestimmung ist unwirksam.</w:t>
      </w:r>
    </w:p>
    <w:p>
      <w:r>
        <w:t>(4) Die Anerkennung ist schon vor der Geburt des Kindes zulässig.</w:t>
      </w:r>
    </w:p>
    <w:p>
      <w:r>
        <w:t xml:space="preserve">(5) </w:t>
      </w:r>
      <w:r>
        <w:rPr>
          <w:rStyle w:val="Satznummer"/>
        </w:rPr>
        <w:t>1</w:t>
      </w:r>
      <w:r>
        <w:t xml:space="preserve">Eine Anerkennung, die nach Einleitung eines Verfahrens erfolgt, in dem die Vaterschaft eines anderen Mannes als des Anerkennenden für das Kind festgestellt werden soll, ist nicht wirksam, solange das Verfahren anhängig ist. </w:t>
      </w:r>
      <w:r>
        <w:rPr>
          <w:rStyle w:val="Satznummer"/>
        </w:rPr>
        <w:t>2</w:t>
      </w:r>
      <w:r>
        <w:t>Satz 1 gilt nicht, wenn der Anerkennende die Anerkennung zur Niederschrift des Gerichts nach § 180 Absatz 2 des Gesetzes über das Verfahren in Familiensachen und in den Angelegenheiten der freiwilligen Gerichtsbarkeit erklärt.</w:t>
      </w:r>
    </w:p>
    <w:p>
      <w:pPr>
        <w:pStyle w:val="Heading4"/>
      </w:pPr>
      <w:bookmarkStart w:id="2053" w:name="b2038"/>
      <w:r>
        <w:t>§ 1595 Zustimmungsbedürftigkeit der Anerkennung</w:t>
      </w:r>
      <w:r>
        <w:t xml:space="preserve"> </w:t>
      </w:r>
      <w:r>
        <w:rPr>
          <w:rStyle w:val="Suchmarke"/>
        </w:rPr>
        <w:t>#1595#</w:t>
      </w:r>
      <w:bookmarkEnd w:id="2053"/>
    </w:p>
    <w:p>
      <w:r>
        <w:t xml:space="preserve">(1) </w:t>
      </w:r>
      <w:r>
        <w:rPr>
          <w:rStyle w:val="Satznummer"/>
        </w:rPr>
        <w:t>1</w:t>
      </w:r>
      <w:r>
        <w:t xml:space="preserve">Die Anerkennung bedarf der Zustimmung der Mutter. </w:t>
      </w:r>
      <w:r>
        <w:rPr>
          <w:rStyle w:val="Satznummer"/>
        </w:rPr>
        <w:t>2</w:t>
      </w:r>
      <w:r>
        <w:t>Satz 1 gilt nicht, wenn die Mutter verstorben ist.</w:t>
      </w:r>
    </w:p>
    <w:p>
      <w:r>
        <w:t>(2) Die Anerkennung bedarf auch der Zustimmung des Kindes.</w:t>
      </w:r>
    </w:p>
    <w:p>
      <w:r>
        <w:t xml:space="preserve">(3) Für die Zustimmungen nach den Absätzen 1 und 2 gilt </w:t>
      </w:r>
      <w:hyperlink w:anchor="b2037" w:history="1">
        <w:r>
          <w:rPr>
            <w:color w:val="0A3A8C"/>
            <w:u w:val="single"/>
          </w:rPr>
          <w:t xml:space="preserve">§ 1594</w:t>
        </w:r>
      </w:hyperlink>
      <w:r>
        <w:t xml:space="preserve"> Absatz 3 und 4 entsprechend.</w:t>
      </w:r>
    </w:p>
    <w:p>
      <w:pPr>
        <w:pStyle w:val="Heading4"/>
      </w:pPr>
      <w:bookmarkStart w:id="2054" w:name="b2039"/>
      <w:r>
        <w:t>§ 1595a Anerkennung trotz bestehender Vaterschaft</w:t>
      </w:r>
      <w:r>
        <w:t xml:space="preserve"> </w:t>
      </w:r>
      <w:r>
        <w:rPr>
          <w:rStyle w:val="Suchmarke"/>
        </w:rPr>
        <w:t>#1595a#</w:t>
      </w:r>
      <w:bookmarkEnd w:id="2054"/>
    </w:p>
    <w:p>
      <w:r>
        <w:t xml:space="preserve">(1) Die Anerkennung der Vaterschaft durch den leiblichen Vater ist entgegen </w:t>
      </w:r>
      <w:hyperlink w:anchor="b2037" w:history="1">
        <w:r>
          <w:rPr>
            <w:color w:val="0A3A8C"/>
            <w:u w:val="single"/>
          </w:rPr>
          <w:t xml:space="preserve">§ 1594</w:t>
        </w:r>
      </w:hyperlink>
      <w:r>
        <w:t xml:space="preserve"> Absatz 2 wirksam, wenn</w:t>
      </w:r>
    </w:p>
    <w:p>
      <w:pPr>
        <w:tabs>
          <w:tab w:pos="567" w:val="left"/>
        </w:tabs>
        <w:ind w:left="567" w:hanging="567"/>
      </w:pPr>
      <w:r>
        <w:t>1.</w:t>
      </w:r>
      <w:r>
        <w:tab/>
      </w:r>
      <w:r>
        <w:t xml:space="preserve">die Vaterschaft des anderen Mannes nach </w:t>
      </w:r>
      <w:hyperlink w:anchor="b2035" w:history="1">
        <w:r>
          <w:rPr>
            <w:color w:val="0A3A8C"/>
            <w:u w:val="single"/>
          </w:rPr>
          <w:t xml:space="preserve">§ 1592</w:t>
        </w:r>
      </w:hyperlink>
      <w:r>
        <w:t xml:space="preserve"> Nummer 1 oder 2 oder nach </w:t>
      </w:r>
      <w:hyperlink w:anchor="b2036" w:history="1">
        <w:r>
          <w:rPr>
            <w:color w:val="0A3A8C"/>
            <w:u w:val="single"/>
          </w:rPr>
          <w:t xml:space="preserve">§ 1593</w:t>
        </w:r>
      </w:hyperlink>
      <w:r>
        <w:t xml:space="preserve"> besteht und</w:t>
      </w:r>
    </w:p>
    <w:p>
      <w:pPr>
        <w:tabs>
          <w:tab w:pos="567" w:val="left"/>
        </w:tabs>
        <w:ind w:left="567" w:hanging="567"/>
      </w:pPr>
      <w:r>
        <w:t>2.</w:t>
      </w:r>
      <w:r>
        <w:tab/>
      </w:r>
      <w:r>
        <w:t>der andere Mann der Anerkennung des leiblichen Vaters zustimmt.</w:t>
      </w:r>
    </w:p>
    <w:p>
      <w:r>
        <w:t>(2) Wird die Anerkennung des leiblichen Vaters nach Absatz 1 wirksam, ist dieser statt des anderen Mannes rückwirkend ab Geburt des Kindes dessen Vater.</w:t>
      </w:r>
    </w:p>
    <w:p>
      <w:r>
        <w:t xml:space="preserve">(3) </w:t>
      </w:r>
      <w:r>
        <w:rPr>
          <w:rStyle w:val="Satznummer"/>
        </w:rPr>
        <w:t>1</w:t>
      </w:r>
      <w:r>
        <w:t xml:space="preserve">Für die Zustimmung nach Absatz 1 Nummer 2 gilt </w:t>
      </w:r>
      <w:hyperlink w:anchor="b2037" w:history="1">
        <w:r>
          <w:rPr>
            <w:color w:val="0A3A8C"/>
            <w:u w:val="single"/>
          </w:rPr>
          <w:t xml:space="preserve">§ 1594</w:t>
        </w:r>
      </w:hyperlink>
      <w:r>
        <w:t xml:space="preserve"> Absatz 3 und 4 entsprechend. </w:t>
      </w:r>
      <w:r>
        <w:rPr>
          <w:rStyle w:val="Satznummer"/>
        </w:rPr>
        <w:t>2</w:t>
      </w:r>
      <w:r>
        <w:t>Die Zustimmung ist nicht erforderlich, wenn der andere Mann verstorben ist.</w:t>
      </w:r>
    </w:p>
    <w:p>
      <w:pPr>
        <w:pStyle w:val="Heading4"/>
      </w:pPr>
      <w:bookmarkStart w:id="2055" w:name="b2040"/>
      <w:r>
        <w:t>§ 1596 Anerkennung und Zustimmung als persönliche Erklärungen</w:t>
      </w:r>
      <w:r>
        <w:t xml:space="preserve"> </w:t>
      </w:r>
      <w:r>
        <w:rPr>
          <w:rStyle w:val="Suchmarke"/>
        </w:rPr>
        <w:t>#1596#</w:t>
      </w:r>
      <w:bookmarkEnd w:id="2055"/>
    </w:p>
    <w:p>
      <w:r>
        <w:t xml:space="preserve">(1) </w:t>
      </w:r>
      <w:r>
        <w:rPr>
          <w:rStyle w:val="Satznummer"/>
        </w:rPr>
        <w:t>1</w:t>
      </w:r>
      <w:r>
        <w:t xml:space="preserve">Ein Mann kann die Vaterschaft nur persönlich anerkennen. </w:t>
      </w:r>
      <w:r>
        <w:rPr>
          <w:rStyle w:val="Satznummer"/>
        </w:rPr>
        <w:t>2</w:t>
      </w:r>
      <w:hyperlink w:anchor="b2282" w:history="1">
        <w:r>
          <w:rPr>
            <w:color w:val="0A3A8C"/>
            <w:u w:val="single"/>
          </w:rPr>
          <w:t xml:space="preserve">§ 1825</w:t>
        </w:r>
      </w:hyperlink>
      <w:r>
        <w:t xml:space="preserve"> bleibt unberührt.</w:t>
      </w:r>
    </w:p>
    <w:p>
      <w:r>
        <w:t xml:space="preserve">(2) </w:t>
      </w:r>
      <w:r>
        <w:rPr>
          <w:rStyle w:val="Satznummer"/>
        </w:rPr>
        <w:t>1</w:t>
      </w:r>
      <w:r>
        <w:t xml:space="preserve">Abweichend von Absatz 1 Satz 1 kann der gesetzliche Vertreter eines geschäftsunfähigen Mannes für diesen die Vaterschaft mit Genehmigung des Familiengerichts anerkennen. </w:t>
      </w:r>
      <w:r>
        <w:rPr>
          <w:rStyle w:val="Satznummer"/>
        </w:rPr>
        <w:t>2</w:t>
      </w:r>
      <w:r>
        <w:t>Ist der gesetzliche Vertreter ein Betreuer, ist die Genehmigung des Betreuungsgerichts erforderlich.</w:t>
      </w:r>
    </w:p>
    <w:p>
      <w:r>
        <w:t xml:space="preserve">(3) Für die Zustimmung der Mutter und die etwa erforderliche Zustimmung des anderen Mannes nach </w:t>
      </w:r>
      <w:hyperlink w:anchor="b2039" w:history="1">
        <w:r>
          <w:rPr>
            <w:color w:val="0A3A8C"/>
            <w:u w:val="single"/>
          </w:rPr>
          <w:t xml:space="preserve">§ 1595a</w:t>
        </w:r>
      </w:hyperlink>
      <w:r>
        <w:t xml:space="preserve"> Absatz 1 Nummer 2 gelten die Absätze 1 und 2 entsprechend.</w:t>
      </w:r>
    </w:p>
    <w:p>
      <w:r>
        <w:t xml:space="preserve">(4) </w:t>
      </w:r>
      <w:r>
        <w:rPr>
          <w:rStyle w:val="Satznummer"/>
        </w:rPr>
        <w:t>1</w:t>
      </w:r>
      <w:r>
        <w:t xml:space="preserve">Für die Zustimmung des Kindes gelten die Absätze 1 und 2 entsprechend mit der Maßgabe, dass die Zustimmung des gesetzlichen Vertreters der Genehmigung des Familien- oder Betreuungsgerichts nicht bedarf. </w:t>
      </w:r>
      <w:r>
        <w:rPr>
          <w:rStyle w:val="Satznummer"/>
        </w:rPr>
        <w:t>2</w:t>
      </w:r>
      <w:r>
        <w:t xml:space="preserve">Für das beschränkt geschäftsfähige Kind, das das 14. Lebensjahr noch nicht vollendet hat, kann die Zustimmung nur durch den gesetzlichen Vertreter abgegeben werden. </w:t>
      </w:r>
      <w:r>
        <w:rPr>
          <w:rStyle w:val="Satznummer"/>
        </w:rPr>
        <w:t>3</w:t>
      </w:r>
      <w:r>
        <w:t xml:space="preserve">Hat das beschränkt geschäftsfähige Kind das 14. Lebensjahr vollendet, kann es nur selbst zustimmen; es bedarf dazu der Zustimmung des gesetzlichen Vertreters. </w:t>
      </w:r>
      <w:r>
        <w:rPr>
          <w:rStyle w:val="Satznummer"/>
        </w:rPr>
        <w:t>4</w:t>
      </w:r>
      <w:r>
        <w:t xml:space="preserve">Steht der Mutter insoweit die elterliche Sorge für das Kind zu, gilt die Zustimmung des gesetzlichen Vertreters in Vertretung für das Kind oder die Zustimmung zur Zustimmung des Kindes als abgegeben, wenn die Mutter ihre Zustimmung zu der Anerkennung nach </w:t>
      </w:r>
      <w:hyperlink w:anchor="b2038" w:history="1">
        <w:r>
          <w:rPr>
            <w:color w:val="0A3A8C"/>
            <w:u w:val="single"/>
          </w:rPr>
          <w:t xml:space="preserve">§ 1595</w:t>
        </w:r>
      </w:hyperlink>
      <w:r>
        <w:t xml:space="preserve"> Absatz 1 Satz 1 erteilt hat.</w:t>
      </w:r>
    </w:p>
    <w:p>
      <w:pPr>
        <w:pStyle w:val="Heading4"/>
      </w:pPr>
      <w:bookmarkStart w:id="2056" w:name="b2041"/>
      <w:r>
        <w:t>§ 1597 Form</w:t>
      </w:r>
      <w:r>
        <w:t xml:space="preserve"> </w:t>
      </w:r>
      <w:r>
        <w:rPr>
          <w:rStyle w:val="Suchmarke"/>
        </w:rPr>
        <w:t>#1597#</w:t>
      </w:r>
      <w:bookmarkEnd w:id="2056"/>
    </w:p>
    <w:p>
      <w:r>
        <w:t>(1) Die Anerkennung und die Zustimmungen müssen öffentlich beurkundet werden.</w:t>
      </w:r>
    </w:p>
    <w:p>
      <w:r>
        <w:t>(2) Beglaubigte Abschriften der Anerkennung und aller Erklärungen, die für die Wirksamkeit der Anerkennung bedeutsam sind, sind dem Vater, der Mutter und dem Kind sowie dem Standesamt zu übersenden.</w:t>
      </w:r>
    </w:p>
    <w:p>
      <w:r>
        <w:t>(3) (weggefallen)</w:t>
      </w:r>
    </w:p>
    <w:p>
      <w:pPr>
        <w:pStyle w:val="Heading4"/>
      </w:pPr>
      <w:bookmarkStart w:id="2057" w:name="b2042"/>
      <w:r>
        <w:t>§ 1598 Unwirksamkeit von Anerkennung und Zustimmung; sorgerechtliche Begleitregelung</w:t>
      </w:r>
      <w:r>
        <w:t xml:space="preserve"> </w:t>
      </w:r>
      <w:r>
        <w:rPr>
          <w:rStyle w:val="Suchmarke"/>
        </w:rPr>
        <w:t>#1598#</w:t>
      </w:r>
      <w:bookmarkEnd w:id="2057"/>
    </w:p>
    <w:p>
      <w:r>
        <w:t xml:space="preserve">(1) </w:t>
      </w:r>
      <w:r>
        <w:rPr>
          <w:rStyle w:val="Satznummer"/>
        </w:rPr>
        <w:t>1</w:t>
      </w:r>
      <w:r>
        <w:t xml:space="preserve">Anerkennung und Zustimmung sind nur dann unwirksam, wenn sie den Erfordernissen nach </w:t>
      </w:r>
      <w:hyperlink w:anchor="b2037" w:history="1">
        <w:r>
          <w:rPr>
            <w:color w:val="0A3A8C"/>
            <w:u w:val="single"/>
          </w:rPr>
          <w:t xml:space="preserve">§ 1594</w:t>
        </w:r>
      </w:hyperlink>
      <w:r>
        <w:t xml:space="preserve"> Absatz 2, 3 und 5 und den </w:t>
      </w:r>
      <w:hyperlink w:anchor="b2038" w:history="1">
        <w:r>
          <w:rPr>
            <w:color w:val="0A3A8C"/>
            <w:u w:val="single"/>
          </w:rPr>
          <w:t xml:space="preserve">§§ 1595</w:t>
        </w:r>
      </w:hyperlink>
      <w:r>
        <w:t xml:space="preserve"> bis </w:t>
      </w:r>
      <w:hyperlink w:anchor="b2041" w:history="1">
        <w:r>
          <w:rPr>
            <w:color w:val="0A3A8C"/>
            <w:u w:val="single"/>
          </w:rPr>
          <w:t xml:space="preserve">1597</w:t>
        </w:r>
      </w:hyperlink>
      <w:r>
        <w:t xml:space="preserve"> nicht genügen. </w:t>
      </w:r>
      <w:r>
        <w:rPr>
          <w:rStyle w:val="Satznummer"/>
        </w:rPr>
        <w:t>2</w:t>
      </w:r>
      <w:r>
        <w:t>Anerkennung und Zustimmung sind auch unwirksam, wenn die nach § 85a des Aufenthaltsgesetzes erforderliche Zustimmung der Ausländerbehörde nicht erteilt ist.</w:t>
      </w:r>
    </w:p>
    <w:p>
      <w:r>
        <w:t xml:space="preserve">(2) </w:t>
      </w:r>
      <w:r>
        <w:rPr>
          <w:rStyle w:val="Satznummer"/>
        </w:rPr>
        <w:t>1</w:t>
      </w:r>
      <w:r>
        <w:t xml:space="preserve">Sind seit der Eintragung in ein deutsches Personenstandsregister fünf Jahre verstrichen, so ist die Anerkennung wirksam, auch wenn sie den Erfordernissen der vorstehenden Vorschriften nicht genügt. </w:t>
      </w:r>
      <w:r>
        <w:rPr>
          <w:rStyle w:val="Satznummer"/>
        </w:rPr>
        <w:t>2</w:t>
      </w:r>
      <w:r>
        <w:t xml:space="preserve">Wird die Zustimmung der Ausländerbehörde nach § 85d des Aufenthaltsgesetzes zurückgenommen und die Eintragung in einem deutschen Personenstandsregister dadurch unrichtig, wird die Frist nach Satz 1 gehemmt. </w:t>
      </w:r>
      <w:r>
        <w:rPr>
          <w:rStyle w:val="Satznummer"/>
        </w:rPr>
        <w:t>3</w:t>
      </w:r>
      <w:r>
        <w:t xml:space="preserve">Die Hemmung gilt nicht, solange die aufschiebende Wirkung eines Rechtsbehelfs gegen die Rücknahme nach § 80 Absatz 5 der Verwaltungsgerichtsordnung angeordnet ist. </w:t>
      </w:r>
      <w:r>
        <w:rPr>
          <w:rStyle w:val="Satznummer"/>
        </w:rPr>
        <w:t>4</w:t>
      </w:r>
      <w:r>
        <w:t>Existiert noch kein Eintrag in einem deutschen Personenstandsregister und wird die Anerkennung der Vaterschaft oder die Zustimmung der Mutter zur Anerkennung der Vaterschaft in einer deutschen Auslandsvertretung beurkundet, so beginnt die Frist nach Satz 1 mit der Beurkundung, wenn</w:t>
      </w:r>
    </w:p>
    <w:p>
      <w:pPr>
        <w:tabs>
          <w:tab w:pos="567" w:val="left"/>
        </w:tabs>
        <w:ind w:left="567" w:hanging="567"/>
      </w:pPr>
      <w:r>
        <w:t>1.</w:t>
      </w:r>
      <w:r>
        <w:tab/>
      </w:r>
      <w:r>
        <w:t>in der Urkunde fehlerhaft vermerkt ist, dass die Zustimmung der Ausländerbehörde zur Anerkennung der Vaterschaft erteilt wurde oder</w:t>
      </w:r>
    </w:p>
    <w:p>
      <w:pPr>
        <w:tabs>
          <w:tab w:pos="567" w:val="left"/>
        </w:tabs>
        <w:ind w:left="567" w:hanging="567"/>
      </w:pPr>
      <w:r>
        <w:t>2.</w:t>
      </w:r>
      <w:r>
        <w:tab/>
      </w:r>
      <w:r>
        <w:t>der oder die Beteiligte über die Erforderlichkeit dieser Zustimmung nicht von der Ausländerbehörde belehrt wurde; die Sätze 2 und 3 gelten entsprechend.</w:t>
      </w:r>
    </w:p>
    <w:p>
      <w:r>
        <w:t xml:space="preserve">(3) </w:t>
      </w:r>
      <w:r>
        <w:rPr>
          <w:rStyle w:val="Satznummer"/>
        </w:rPr>
        <w:t>1</w:t>
      </w:r>
      <w:r>
        <w:t xml:space="preserve">Haben die Mutter und der Anerkennende in den Fällen des § 85a Absatz 1 des Aufenthaltsgesetzes wirksame Sorgeerklärungen nach </w:t>
      </w:r>
      <w:hyperlink w:anchor="b2097" w:history="1">
        <w:r>
          <w:rPr>
            <w:color w:val="0A3A8C"/>
            <w:u w:val="single"/>
          </w:rPr>
          <w:t xml:space="preserve">§ 1626a</w:t>
        </w:r>
      </w:hyperlink>
      <w:r>
        <w:t xml:space="preserve"> Absatz 1 abgegeben, so ist der Anerkennende zur Vertretung des Kindes in allen persönlichen und vermögensrechtlichen Angelegenheiten berechtigt, wenn die Mutter verstorben ist oder die elterliche Sorge gemäß </w:t>
      </w:r>
      <w:hyperlink w:anchor="b2137" w:history="1">
        <w:r>
          <w:rPr>
            <w:color w:val="0A3A8C"/>
            <w:u w:val="single"/>
          </w:rPr>
          <w:t xml:space="preserve">§ 1673</w:t>
        </w:r>
      </w:hyperlink>
      <w:r>
        <w:t xml:space="preserve"> Absatz 1 ruht. </w:t>
      </w:r>
      <w:r>
        <w:rPr>
          <w:rStyle w:val="Satznummer"/>
        </w:rPr>
        <w:t>2</w:t>
      </w:r>
      <w:r>
        <w:t xml:space="preserve">Das Vertretungsrecht endet im Zeitpunkt der bestandskräftigen Entscheidung der Ausländerbehörde nach § 85c Absatz 1 Satz 1 des Aufenthaltsgesetzes, durch Eintritt der Fiktionswirkung gemäß § 85c Absatz 3 des Aufenthaltsgesetzes oder dann, wenn das Familiengericht gemäß </w:t>
      </w:r>
      <w:hyperlink w:anchor="b2216" w:history="1">
        <w:r>
          <w:rPr>
            <w:color w:val="0A3A8C"/>
            <w:u w:val="single"/>
          </w:rPr>
          <w:t xml:space="preserve">§ 1773</w:t>
        </w:r>
      </w:hyperlink>
      <w:r>
        <w:t xml:space="preserve"> Absatz 1 oder </w:t>
      </w:r>
      <w:hyperlink w:anchor="b2225" w:history="1">
        <w:r>
          <w:rPr>
            <w:color w:val="0A3A8C"/>
            <w:u w:val="single"/>
          </w:rPr>
          <w:t xml:space="preserve">§ 1781</w:t>
        </w:r>
      </w:hyperlink>
      <w:r>
        <w:t xml:space="preserve"> Absatz 1 einen Vormund für das Kind bestellt hat.</w:t>
      </w:r>
    </w:p>
    <w:p>
      <w:pPr>
        <w:pStyle w:val="Heading4"/>
      </w:pPr>
      <w:bookmarkStart w:id="2058" w:name="b2043"/>
      <w:r>
        <w:t>§ 1598a Anspruch auf Einwilligung in eine genetische Untersuchung zur Klärung der leiblichen Abstammung</w:t>
      </w:r>
      <w:r>
        <w:t xml:space="preserve"> </w:t>
      </w:r>
      <w:r>
        <w:rPr>
          <w:rStyle w:val="Suchmarke"/>
        </w:rPr>
        <w:t>#1598a#</w:t>
      </w:r>
      <w:bookmarkEnd w:id="2058"/>
    </w:p>
    <w:p>
      <w:r>
        <w:t xml:space="preserve">(1) </w:t>
      </w:r>
      <w:r>
        <w:rPr>
          <w:rStyle w:val="Satznummer"/>
        </w:rPr>
        <w:t>1</w:t>
      </w:r>
      <w:r>
        <w:t>Zur Klärung der leiblichen Abstammung des Kindes können</w:t>
      </w:r>
    </w:p>
    <w:p>
      <w:pPr>
        <w:tabs>
          <w:tab w:pos="567" w:val="left"/>
        </w:tabs>
        <w:ind w:left="567" w:hanging="567"/>
      </w:pPr>
      <w:r>
        <w:t>1.</w:t>
      </w:r>
      <w:r>
        <w:tab/>
      </w:r>
      <w:r>
        <w:t>der Vater jeweils von Mutter und Kind,</w:t>
      </w:r>
    </w:p>
    <w:p>
      <w:pPr>
        <w:tabs>
          <w:tab w:pos="567" w:val="left"/>
        </w:tabs>
        <w:ind w:left="567" w:hanging="567"/>
      </w:pPr>
      <w:r>
        <w:t>2.</w:t>
      </w:r>
      <w:r>
        <w:tab/>
      </w:r>
      <w:r>
        <w:t>die Mutter jeweils von Vater und Kind und</w:t>
      </w:r>
    </w:p>
    <w:p>
      <w:pPr>
        <w:tabs>
          <w:tab w:pos="567" w:val="left"/>
        </w:tabs>
        <w:ind w:left="567" w:hanging="567"/>
      </w:pPr>
      <w:r>
        <w:t>3.</w:t>
      </w:r>
      <w:r>
        <w:tab/>
      </w:r>
      <w:r>
        <w:t>das Kind jeweils von beiden Elternteilen</w:t>
      </w:r>
    </w:p>
    <w:p>
      <w:r>
        <w:t xml:space="preserve">verlangen, dass diese in eine genetische Abstammungsuntersuchung einwilligen und die Entnahme einer für die Untersuchung geeigneten genetischen Probe dulden. </w:t>
      </w:r>
      <w:r>
        <w:rPr>
          <w:rStyle w:val="Satznummer"/>
        </w:rPr>
        <w:t>2</w:t>
      </w:r>
      <w:r>
        <w:t>Die Probe muss nach den anerkannten Grundsätzen der Wissenschaft entnommen werden.</w:t>
      </w:r>
    </w:p>
    <w:p>
      <w:r>
        <w:t>(2) Auf Antrag eines Klärungsberechtigten hat das Familiengericht eine nicht erteilte Einwilligung zu ersetzen und die Duldung einer Probeentnahme anzuordnen.</w:t>
      </w:r>
    </w:p>
    <w:p>
      <w:r>
        <w:t>(3) Das Gericht setzt das Verfahren aus, wenn und solange die Klärung der leiblichen Abstammung eine erhebliche Beeinträchtigung des Wohls des minderjährigen Kindes begründen würde, die auch unter Berücksichtigung der Belange des Klärungsberechtigten für das Kind unzumutbar wäre.</w:t>
      </w:r>
    </w:p>
    <w:p>
      <w:r>
        <w:t xml:space="preserve">(4) </w:t>
      </w:r>
      <w:r>
        <w:rPr>
          <w:rStyle w:val="Satznummer"/>
        </w:rPr>
        <w:t>1</w:t>
      </w:r>
      <w:r>
        <w:t xml:space="preserve">Wer in eine genetische Abstammungsuntersuchung eingewilligt und eine genetische Probe abgegeben hat, kann von dem Klärungsberechtigten, der eine Abstammungsuntersuchung hat durchführen lassen, Einsicht in das Abstammungsgutachten oder Aushändigung einer Abschrift verlangen. </w:t>
      </w:r>
      <w:r>
        <w:rPr>
          <w:rStyle w:val="Satznummer"/>
        </w:rPr>
        <w:t>2</w:t>
      </w:r>
      <w:r>
        <w:t>Über Streitigkeiten aus dem Anspruch nach Satz 1 entscheidet das Familiengericht.</w:t>
      </w:r>
    </w:p>
    <w:p>
      <w:pPr>
        <w:pStyle w:val="Heading4"/>
      </w:pPr>
      <w:bookmarkStart w:id="2059" w:name="b2044"/>
      <w:r>
        <w:t>§ 1599 Anfechtbarkeit der Vaterschaft; Unanfechtbarkeit der Mutterschaft</w:t>
      </w:r>
      <w:r>
        <w:t xml:space="preserve"> </w:t>
      </w:r>
      <w:r>
        <w:rPr>
          <w:rStyle w:val="Suchmarke"/>
        </w:rPr>
        <w:t>#1599#</w:t>
      </w:r>
      <w:bookmarkEnd w:id="2059"/>
    </w:p>
    <w:p>
      <w:r>
        <w:t xml:space="preserve">(1) Stellt das Familiengericht auf Grund einer Anfechtung rechtskräftig fest, dass der dem Kind nach </w:t>
      </w:r>
      <w:hyperlink w:anchor="b2035" w:history="1">
        <w:r>
          <w:rPr>
            <w:color w:val="0A3A8C"/>
            <w:u w:val="single"/>
          </w:rPr>
          <w:t xml:space="preserve">§ 1592</w:t>
        </w:r>
      </w:hyperlink>
      <w:r>
        <w:t xml:space="preserve"> Nummer 1 oder 2 oder nach </w:t>
      </w:r>
      <w:hyperlink w:anchor="b2036" w:history="1">
        <w:r>
          <w:rPr>
            <w:color w:val="0A3A8C"/>
            <w:u w:val="single"/>
          </w:rPr>
          <w:t xml:space="preserve">§ 1593</w:t>
        </w:r>
      </w:hyperlink>
      <w:r>
        <w:t xml:space="preserve"> als Vater zugeordnete Mann nicht der leibliche Vater des Kindes ist, entfällt die Vaterschaft rückwirkend ab Geburt des Kindes.</w:t>
      </w:r>
    </w:p>
    <w:p>
      <w:r>
        <w:t>(2) Die Mutterschaft ist unanfechtbar.</w:t>
      </w:r>
    </w:p>
    <w:p>
      <w:pPr>
        <w:pStyle w:val="Heading4"/>
      </w:pPr>
      <w:bookmarkStart w:id="2060" w:name="b2045"/>
      <w:r>
        <w:t>§ 1600 Anfechtungsberechtigte; Ausschluss der Anfechtung</w:t>
      </w:r>
      <w:r>
        <w:t xml:space="preserve"> </w:t>
      </w:r>
      <w:r>
        <w:rPr>
          <w:rStyle w:val="Suchmarke"/>
        </w:rPr>
        <w:t>#1600#</w:t>
      </w:r>
      <w:bookmarkEnd w:id="2060"/>
    </w:p>
    <w:p>
      <w:r>
        <w:t xml:space="preserve">(1) </w:t>
      </w:r>
      <w:r>
        <w:rPr>
          <w:rStyle w:val="Satznummer"/>
        </w:rPr>
        <w:t>1</w:t>
      </w:r>
      <w:r>
        <w:t>Berechtigt, die Vaterschaft anzufechten, sind:</w:t>
      </w:r>
    </w:p>
    <w:p>
      <w:pPr>
        <w:tabs>
          <w:tab w:pos="567" w:val="left"/>
        </w:tabs>
        <w:ind w:left="567" w:hanging="567"/>
      </w:pPr>
      <w:r>
        <w:t>1.</w:t>
      </w:r>
      <w:r>
        <w:tab/>
      </w:r>
      <w:r>
        <w:t xml:space="preserve">der Mann, dessen Vaterschaft nach </w:t>
      </w:r>
      <w:hyperlink w:anchor="b2035" w:history="1">
        <w:r>
          <w:rPr>
            <w:color w:val="0A3A8C"/>
            <w:u w:val="single"/>
          </w:rPr>
          <w:t xml:space="preserve">§ 1592</w:t>
        </w:r>
      </w:hyperlink>
      <w:r>
        <w:t xml:space="preserve"> Nummer 1 oder 2 oder </w:t>
      </w:r>
      <w:hyperlink w:anchor="b2036" w:history="1">
        <w:r>
          <w:rPr>
            <w:color w:val="0A3A8C"/>
            <w:u w:val="single"/>
          </w:rPr>
          <w:t xml:space="preserve">§ 1593</w:t>
        </w:r>
      </w:hyperlink>
      <w:r>
        <w:t xml:space="preserve"> besteht,</w:t>
      </w:r>
    </w:p>
    <w:p>
      <w:pPr>
        <w:tabs>
          <w:tab w:pos="567" w:val="left"/>
        </w:tabs>
        <w:ind w:left="567" w:hanging="567"/>
      </w:pPr>
      <w:r>
        <w:t>2.</w:t>
      </w:r>
      <w:r>
        <w:tab/>
      </w:r>
      <w:r>
        <w:t>der Mann, der an Eides statt versichert, der Mutter des Kindes während der Empfängniszeit beigewohnt zu haben,</w:t>
      </w:r>
    </w:p>
    <w:p>
      <w:pPr>
        <w:tabs>
          <w:tab w:pos="567" w:val="left"/>
        </w:tabs>
        <w:ind w:left="567" w:hanging="567"/>
      </w:pPr>
      <w:r>
        <w:t>3.</w:t>
      </w:r>
      <w:r>
        <w:tab/>
      </w:r>
      <w:r>
        <w:t>die Mutter und</w:t>
      </w:r>
    </w:p>
    <w:p>
      <w:pPr>
        <w:tabs>
          <w:tab w:pos="567" w:val="left"/>
        </w:tabs>
        <w:ind w:left="567" w:hanging="567"/>
      </w:pPr>
      <w:r>
        <w:t>4.</w:t>
      </w:r>
      <w:r>
        <w:tab/>
      </w:r>
      <w:r>
        <w:t>das Kind.</w:t>
      </w:r>
    </w:p>
    <w:p>
      <w:r>
        <w:rPr>
          <w:rStyle w:val="Satznummer"/>
        </w:rPr>
        <w:t>2</w:t>
      </w:r>
      <w:r>
        <w:t>Die Anfechtung nach Satz 1 Nummer 2 setzt voraus, dass der Anfechtende der leibliche Vater des Kindes ist.</w:t>
      </w:r>
    </w:p>
    <w:p>
      <w:r>
        <w:t>(2) Ist das Kind volljährig, ist die Anfechtung nach Absatz 1 Satz 1 Nummer 2 ausgeschlossen, wenn das Kind der Anfechtung widerspricht.</w:t>
      </w:r>
    </w:p>
    <w:p>
      <w:r>
        <w:t xml:space="preserve">(3) </w:t>
      </w:r>
      <w:r>
        <w:rPr>
          <w:rStyle w:val="Satznummer"/>
        </w:rPr>
        <w:t>1</w:t>
      </w:r>
      <w:r>
        <w:t xml:space="preserve">Ist das Kind minderjährig, ist die Anfechtung nach Absatz 1 Satz 1 Nummer 2 ausgeschlossen, wenn zwischen dem Kind und dem Mann, dessen Vaterschaft nach </w:t>
      </w:r>
      <w:hyperlink w:anchor="b2035" w:history="1">
        <w:r>
          <w:rPr>
            <w:color w:val="0A3A8C"/>
            <w:u w:val="single"/>
          </w:rPr>
          <w:t xml:space="preserve">§ 1592</w:t>
        </w:r>
      </w:hyperlink>
      <w:r>
        <w:t xml:space="preserve"> Nummer 1 oder 2 oder </w:t>
      </w:r>
      <w:hyperlink w:anchor="b2036" w:history="1">
        <w:r>
          <w:rPr>
            <w:color w:val="0A3A8C"/>
            <w:u w:val="single"/>
          </w:rPr>
          <w:t xml:space="preserve">§ 1593</w:t>
        </w:r>
      </w:hyperlink>
      <w:r>
        <w:t xml:space="preserve"> besteht, eine sozial-familiäre Beziehung besteht. </w:t>
      </w:r>
      <w:r>
        <w:rPr>
          <w:rStyle w:val="Satznummer"/>
        </w:rPr>
        <w:t>2</w:t>
      </w:r>
      <w:r>
        <w:t>Dies gilt nicht, wenn</w:t>
      </w:r>
    </w:p>
    <w:p>
      <w:pPr>
        <w:tabs>
          <w:tab w:pos="567" w:val="left"/>
        </w:tabs>
        <w:ind w:left="567" w:hanging="567"/>
      </w:pPr>
      <w:r>
        <w:t>1.</w:t>
      </w:r>
      <w:r>
        <w:tab/>
      </w:r>
      <w:r>
        <w:t>zwischen dem Kind und dem Anfechtungsberechtigten ebenfalls eine sozial-familiäre Beziehung besteht,</w:t>
      </w:r>
    </w:p>
    <w:p>
      <w:pPr>
        <w:tabs>
          <w:tab w:pos="567" w:val="left"/>
        </w:tabs>
        <w:ind w:left="567" w:hanging="567"/>
      </w:pPr>
      <w:r>
        <w:t>2.</w:t>
      </w:r>
      <w:r>
        <w:tab/>
      </w:r>
      <w:r>
        <w:t>zwischen dem Kind und dem Anfechtungsberechtigten früher eine sozial-familiäre Beziehung bestanden hat, die aus von dem Anfechtungsberechtigten nicht zu vertretenden Gründen nicht mehr andauert,</w:t>
      </w:r>
    </w:p>
    <w:p>
      <w:pPr>
        <w:tabs>
          <w:tab w:pos="567" w:val="left"/>
        </w:tabs>
        <w:ind w:left="567" w:hanging="567"/>
      </w:pPr>
      <w:r>
        <w:t>3.</w:t>
      </w:r>
      <w:r>
        <w:tab/>
      </w:r>
      <w:r>
        <w:t>der Anfechtungsberechtigte sich ernsthaft um eine sozial-familiäre Beziehung mit dem Kind bemüht hat, damit aber aus von dem Anfechtungsberechtigten nicht zu vertretenden Gründen keinen Erfolg hatte oder</w:t>
      </w:r>
    </w:p>
    <w:p>
      <w:pPr>
        <w:tabs>
          <w:tab w:pos="567" w:val="left"/>
        </w:tabs>
        <w:ind w:left="567" w:hanging="567"/>
      </w:pPr>
      <w:r>
        <w:t>4.</w:t>
      </w:r>
      <w:r>
        <w:tab/>
      </w:r>
      <w:r>
        <w:t>der Ausschluss der Anfechtung aus anderen Gründen, die der Anfechtungsberechtigte nicht zu vertreten hat, grob unbillig wäre.</w:t>
      </w:r>
    </w:p>
    <w:p>
      <w:r>
        <w:rPr>
          <w:rStyle w:val="Satznummer"/>
        </w:rPr>
        <w:t>3</w:t>
      </w:r>
      <w:r>
        <w:t xml:space="preserve">Satz 2 gilt nicht, wenn der Fortbestand der Vaterschaft nach </w:t>
      </w:r>
      <w:hyperlink w:anchor="b2035" w:history="1">
        <w:r>
          <w:rPr>
            <w:color w:val="0A3A8C"/>
            <w:u w:val="single"/>
          </w:rPr>
          <w:t xml:space="preserve">§ 1592</w:t>
        </w:r>
      </w:hyperlink>
      <w:r>
        <w:t xml:space="preserve"> Nummer 1 oder 2 oder </w:t>
      </w:r>
      <w:hyperlink w:anchor="b2036" w:history="1">
        <w:r>
          <w:rPr>
            <w:color w:val="0A3A8C"/>
            <w:u w:val="single"/>
          </w:rPr>
          <w:t xml:space="preserve">§ 1593</w:t>
        </w:r>
      </w:hyperlink>
      <w:r>
        <w:t xml:space="preserve"> unter Berücksichtigung der berechtigten Interessen der Beteiligten für das Wohl des Kindes erforderlich ist.</w:t>
      </w:r>
    </w:p>
    <w:p>
      <w:r>
        <w:t xml:space="preserve">(4) Wird ein Verfahren auf Grund eines Restitutionsantrags nach § 185a des Gesetzes über das Verfahren in Familiensachen und in den Angelegenheiten der freiwilligen Gerichtsbarkeit wiederaufgenommen und ist die sozial-familiäre Beziehung zwischen dem minderjährigen Kind und dem Mann, dessen Vaterschaft nach </w:t>
      </w:r>
      <w:r>
        <w:t>§ 1592</w:t>
      </w:r>
      <w:r>
        <w:t xml:space="preserve"> Nummer 1 oder 2 oder </w:t>
      </w:r>
      <w:hyperlink w:anchor="b2036" w:history="1">
        <w:r>
          <w:rPr>
            <w:color w:val="0A3A8C"/>
            <w:u w:val="single"/>
          </w:rPr>
          <w:t xml:space="preserve">§ 1593</w:t>
        </w:r>
      </w:hyperlink>
      <w:r>
        <w:t xml:space="preserve"> besteht, beendet, ist die Anfechtung ausgeschlossen, wenn der Fortbestand der Vaterschaft unter Berücksichtigung der berechtigten Interessen der Beteiligten für das Wohl des Kindes erforderlich ist.</w:t>
      </w:r>
    </w:p>
    <w:p>
      <w:r>
        <w:t xml:space="preserve">(5) </w:t>
      </w:r>
      <w:r>
        <w:rPr>
          <w:rStyle w:val="Satznummer"/>
        </w:rPr>
        <w:t>1</w:t>
      </w:r>
      <w:r>
        <w:t xml:space="preserve">Eine sozial-familiäre Beziehung nach Absatz 3 oder 4 besteht, wenn der Mann für das Kind tatsächliche Verantwortung trägt. </w:t>
      </w:r>
      <w:r>
        <w:rPr>
          <w:rStyle w:val="Satznummer"/>
        </w:rPr>
        <w:t>2</w:t>
      </w:r>
      <w:r>
        <w:t xml:space="preserve">Eine Übernahme tatsächlicher Verantwortung liegt in der Regel vor, wenn der Mann mit dem Kind längere Zeit in häuslicher Gemeinschaft zusammengelebt hat. </w:t>
      </w:r>
      <w:r>
        <w:rPr>
          <w:rStyle w:val="Satznummer"/>
        </w:rPr>
        <w:t>3</w:t>
      </w:r>
      <w:r>
        <w:t xml:space="preserve">In der Regel liegt noch keine sozial-familiäre Beziehung nach Absatz 3 Satz 1 vor, wenn die Vaterschaft nach </w:t>
      </w:r>
      <w:hyperlink w:anchor="b2035" w:history="1">
        <w:r>
          <w:rPr>
            <w:color w:val="0A3A8C"/>
            <w:u w:val="single"/>
          </w:rPr>
          <w:t xml:space="preserve">§ 1592</w:t>
        </w:r>
      </w:hyperlink>
      <w:r>
        <w:t xml:space="preserve"> Nummer 1 oder 2 oder </w:t>
      </w:r>
      <w:hyperlink w:anchor="b2036" w:history="1">
        <w:r>
          <w:rPr>
            <w:color w:val="0A3A8C"/>
            <w:u w:val="single"/>
          </w:rPr>
          <w:t xml:space="preserve">§ 1593</w:t>
        </w:r>
      </w:hyperlink>
      <w:r>
        <w:t xml:space="preserve"> vor weniger als einem Jahr begründet wurde.</w:t>
      </w:r>
    </w:p>
    <w:p>
      <w:r>
        <w:t xml:space="preserve">(6) </w:t>
      </w:r>
      <w:r>
        <w:rPr>
          <w:rStyle w:val="Satznummer"/>
        </w:rPr>
        <w:t>1</w:t>
      </w:r>
      <w:r>
        <w:t xml:space="preserve">Die Anfechtung des Mannes, dessen Vaterschaft nach </w:t>
      </w:r>
      <w:hyperlink w:anchor="b2035" w:history="1">
        <w:r>
          <w:rPr>
            <w:color w:val="0A3A8C"/>
            <w:u w:val="single"/>
          </w:rPr>
          <w:t xml:space="preserve">§ 1592</w:t>
        </w:r>
      </w:hyperlink>
      <w:r>
        <w:t xml:space="preserve"> Nummer 1 oder 2 oder </w:t>
      </w:r>
      <w:hyperlink w:anchor="b2036" w:history="1">
        <w:r>
          <w:rPr>
            <w:color w:val="0A3A8C"/>
            <w:u w:val="single"/>
          </w:rPr>
          <w:t xml:space="preserve">§ 1593</w:t>
        </w:r>
      </w:hyperlink>
      <w:r>
        <w:t xml:space="preserve"> besteht, ist ausgeschlossen, wenn der Mann bei Anerkennung der Vaterschaft wusste, dass das Kind nicht von ihm abstammt, oder wenn das Kind mit Einwilligung des Mannes und der Mutter durch künstliche Befruchtung mittels Samenspende eines Dritten gezeugt worden ist. </w:t>
      </w:r>
      <w:r>
        <w:rPr>
          <w:rStyle w:val="Satznummer"/>
        </w:rPr>
        <w:t>2</w:t>
      </w:r>
      <w:r>
        <w:t xml:space="preserve">Die Anfechtung durch die Mutter ist ausgeschlossen, wenn sie bei Zustimmung zur Anerkennung der Vaterschaft wusste, dass das Kind nicht von dem Anerkennenden abstammt oder wenn das Kind mit Einwilligung des Mannes und der Mutter durch künstliche Befruchtung mittels Samenspende eines Dritten gezeugt worden ist. </w:t>
      </w:r>
      <w:r>
        <w:rPr>
          <w:rStyle w:val="Satznummer"/>
        </w:rPr>
        <w:t>3</w:t>
      </w:r>
      <w:r>
        <w:t>Kann die Mutter nach Satz 2 nicht anfechten, kann sie das Kind bei der Anfechtung der Vaterschaft auch nicht vertreten.</w:t>
      </w:r>
    </w:p>
    <w:p>
      <w:pPr>
        <w:pStyle w:val="Heading4"/>
      </w:pPr>
      <w:bookmarkStart w:id="2061" w:name="b2046"/>
      <w:r>
        <w:t>§ 1600a Persönliche Anfechtung; Anfechtung bei fehlender oder beschränkter Geschäftsfähigkeit</w:t>
      </w:r>
      <w:r>
        <w:t xml:space="preserve"> </w:t>
      </w:r>
      <w:r>
        <w:rPr>
          <w:rStyle w:val="Suchmarke"/>
        </w:rPr>
        <w:t>#1600a#</w:t>
      </w:r>
      <w:bookmarkEnd w:id="2061"/>
    </w:p>
    <w:p>
      <w:r>
        <w:t>(1) Die Anfechtung kann nicht durch einen Bevollmächtigten erfolgen.</w:t>
      </w:r>
    </w:p>
    <w:p>
      <w:r>
        <w:t>(2) Ein geschäftsfähiger Betreuter kann die Vaterschaft nur persönlich anfechten.</w:t>
      </w:r>
    </w:p>
    <w:p>
      <w:r>
        <w:t>(3) Ist die anfechtungsberechtigte Person geschäftsunfähig oder hat sie das 14. Lebensjahr noch nicht vollendet, kann nur ihr gesetzlicher Vertreter die Anfechtung erklären.</w:t>
      </w:r>
    </w:p>
    <w:p>
      <w:r>
        <w:t xml:space="preserve">(4) </w:t>
      </w:r>
      <w:r>
        <w:rPr>
          <w:rStyle w:val="Satznummer"/>
        </w:rPr>
        <w:t>1</w:t>
      </w:r>
      <w:r>
        <w:t xml:space="preserve">Ist die anfechtungsberechtigte Person in der Geschäftsfähigkeit beschränkt und hat sie das 14. Lebensjahr vollendet, kann sie die Anfechtung nur selbst erklären. </w:t>
      </w:r>
      <w:r>
        <w:rPr>
          <w:rStyle w:val="Satznummer"/>
        </w:rPr>
        <w:t>2</w:t>
      </w:r>
      <w:r>
        <w:t>Sie bedarf hierzu nicht der Zustimmung ihres gesetzlichen Vertreters.</w:t>
      </w:r>
    </w:p>
    <w:p>
      <w:r>
        <w:t>(5) Die Anfechtung durch den gesetzlichen Vertreter ist nur zulässig, wenn sie dem Wohl des Vertretenen dient.</w:t>
      </w:r>
    </w:p>
    <w:p>
      <w:pPr>
        <w:pStyle w:val="Heading4"/>
      </w:pPr>
      <w:bookmarkStart w:id="2062" w:name="b2047"/>
      <w:r>
        <w:t>§ 1600b Anfechtungsfristen</w:t>
      </w:r>
      <w:r>
        <w:t xml:space="preserve"> </w:t>
      </w:r>
      <w:r>
        <w:rPr>
          <w:rStyle w:val="Suchmarke"/>
        </w:rPr>
        <w:t>#1600b#</w:t>
      </w:r>
      <w:bookmarkEnd w:id="2062"/>
    </w:p>
    <w:p>
      <w:r>
        <w:t xml:space="preserve">(1) </w:t>
      </w:r>
      <w:r>
        <w:rPr>
          <w:rStyle w:val="Satznummer"/>
        </w:rPr>
        <w:t>1</w:t>
      </w:r>
      <w:r>
        <w:t xml:space="preserve">Die Vaterschaft kann binnen zwei Jahren gerichtlich angefochten werden. </w:t>
      </w:r>
      <w:r>
        <w:rPr>
          <w:rStyle w:val="Satznummer"/>
        </w:rPr>
        <w:t>2</w:t>
      </w:r>
      <w:r>
        <w:t xml:space="preserve">Die Frist beginnt mit dem Zeitpunkt, in dem der Anfechtungsberechtigte von den Umständen erfährt, die gegen die Vaterschaft sprechen; das Vorliegen einer sozial-familiären Beziehung im Sinne des </w:t>
      </w:r>
      <w:hyperlink w:anchor="b2045" w:history="1">
        <w:r>
          <w:rPr>
            <w:color w:val="0A3A8C"/>
            <w:u w:val="single"/>
          </w:rPr>
          <w:t xml:space="preserve">§ 1600</w:t>
        </w:r>
      </w:hyperlink>
      <w:r>
        <w:t xml:space="preserve"> Absatz 3 Satz 1 hindert den Lauf der Frist nicht.</w:t>
      </w:r>
    </w:p>
    <w:p>
      <w:r>
        <w:t>(1a) (weggefallen)</w:t>
      </w:r>
    </w:p>
    <w:p>
      <w:r>
        <w:t xml:space="preserve">(2) </w:t>
      </w:r>
      <w:r>
        <w:rPr>
          <w:rStyle w:val="Satznummer"/>
        </w:rPr>
        <w:t>1</w:t>
      </w:r>
      <w:r>
        <w:t xml:space="preserve">Die Frist beginnt nicht vor der Geburt des Kindes und nicht, bevor die Anerkennung wirksam geworden ist. </w:t>
      </w:r>
      <w:r>
        <w:rPr>
          <w:rStyle w:val="Satznummer"/>
        </w:rPr>
        <w:t>2</w:t>
      </w:r>
      <w:r>
        <w:t xml:space="preserve">Ist der Anfechtungsberechtigte minderjährig, beginnt die Frist außerdem nicht vor dem Eintritt der Volljährigkeit des Anfechtungsberechtigten und nicht vor dem Zeitpunkt, in dem dieser selbst von den Umständen erfährt, die gegen die Vaterschaft sprechen. </w:t>
      </w:r>
      <w:r>
        <w:rPr>
          <w:rStyle w:val="Satznummer"/>
        </w:rPr>
        <w:t>3</w:t>
      </w:r>
      <w:r>
        <w:t xml:space="preserve">Sie endet nicht vor der Vollendung des 21. Lebensjahres. </w:t>
      </w:r>
      <w:r>
        <w:rPr>
          <w:rStyle w:val="Satznummer"/>
        </w:rPr>
        <w:t>4</w:t>
      </w:r>
      <w:r>
        <w:t>Satz 2 gilt nicht, wenn der gesetzliche Vertreter eines minderjährigen Anfechtungsberechtigten die Vaterschaft anficht.</w:t>
      </w:r>
    </w:p>
    <w:p>
      <w:r>
        <w:t xml:space="preserve">(3) </w:t>
      </w:r>
      <w:r>
        <w:rPr>
          <w:rStyle w:val="Satznummer"/>
        </w:rPr>
        <w:t>1</w:t>
      </w:r>
      <w:r>
        <w:t xml:space="preserve">Hat der gesetzliche Vertreter eines geschäftsunfähigen Anfechtungsberechtigten die Vaterschaft nicht rechtzeitig angefochten, so kann der Anfechtungsberechtigte die Vaterschaft nach dem Wegfall seiner Geschäftsunfähigkeit selbst anfechten. </w:t>
      </w:r>
      <w:r>
        <w:rPr>
          <w:rStyle w:val="Satznummer"/>
        </w:rPr>
        <w:t>2</w:t>
      </w:r>
      <w:r>
        <w:t>Die Frist beginnt nicht vor dem Wegfall der Geschäftsunfähigkeit und nicht vor dem Zeitpunkt, in dem der Anfechtungsberechtigte selbst von den Umständen erfährt, die gegen die Vaterschaft sprechen.</w:t>
      </w:r>
    </w:p>
    <w:p>
      <w:r>
        <w:t xml:space="preserve">(4) </w:t>
      </w:r>
      <w:r>
        <w:rPr>
          <w:rStyle w:val="Satznummer"/>
        </w:rPr>
        <w:t>1</w:t>
      </w:r>
      <w:r>
        <w:t xml:space="preserve">Die Frist wird durch die Einleitung eines Verfahrens nach </w:t>
      </w:r>
      <w:hyperlink w:anchor="b2043" w:history="1">
        <w:r>
          <w:rPr>
            <w:color w:val="0A3A8C"/>
            <w:u w:val="single"/>
          </w:rPr>
          <w:t xml:space="preserve">§ 1598a</w:t>
        </w:r>
      </w:hyperlink>
      <w:r>
        <w:t xml:space="preserve"> Absatz 2 oder </w:t>
      </w:r>
      <w:hyperlink w:anchor="b2045" w:history="1">
        <w:r>
          <w:rPr>
            <w:color w:val="0A3A8C"/>
            <w:u w:val="single"/>
          </w:rPr>
          <w:t xml:space="preserve">§ 1600</w:t>
        </w:r>
      </w:hyperlink>
      <w:r>
        <w:t xml:space="preserve"> gehemmt; </w:t>
      </w:r>
      <w:hyperlink w:anchor="b243" w:history="1">
        <w:r>
          <w:rPr>
            <w:color w:val="0A3A8C"/>
            <w:u w:val="single"/>
          </w:rPr>
          <w:t xml:space="preserve">§ 204</w:t>
        </w:r>
      </w:hyperlink>
      <w:r>
        <w:t xml:space="preserve"> Absatz 2 gilt entsprechend. </w:t>
      </w:r>
      <w:r>
        <w:rPr>
          <w:rStyle w:val="Satznummer"/>
        </w:rPr>
        <w:t>2</w:t>
      </w:r>
      <w:r>
        <w:t xml:space="preserve">Die Frist ist auch gehemmt, solange der Anfechtungsberechtigte widerrechtlich durch Drohung an der Anfechtung gehindert wird. </w:t>
      </w:r>
      <w:r>
        <w:rPr>
          <w:rStyle w:val="Satznummer"/>
        </w:rPr>
        <w:t>3</w:t>
      </w:r>
      <w:r>
        <w:t xml:space="preserve">Im Übrigen sind </w:t>
      </w:r>
      <w:hyperlink w:anchor="b243" w:history="1">
        <w:r>
          <w:rPr>
            <w:color w:val="0A3A8C"/>
            <w:u w:val="single"/>
          </w:rPr>
          <w:t xml:space="preserve">§ 204</w:t>
        </w:r>
      </w:hyperlink>
      <w:r>
        <w:t xml:space="preserve"> Absatz 1 Nummer 4, 8, 13, 14 und Absatz 2 sowie die </w:t>
      </w:r>
      <w:hyperlink w:anchor="b246" w:history="1">
        <w:r>
          <w:rPr>
            <w:color w:val="0A3A8C"/>
            <w:u w:val="single"/>
          </w:rPr>
          <w:t xml:space="preserve">§§ 206</w:t>
        </w:r>
      </w:hyperlink>
      <w:r>
        <w:t xml:space="preserve"> und </w:t>
      </w:r>
      <w:hyperlink w:anchor="b250" w:history="1">
        <w:r>
          <w:rPr>
            <w:color w:val="0A3A8C"/>
            <w:u w:val="single"/>
          </w:rPr>
          <w:t xml:space="preserve">210</w:t>
        </w:r>
      </w:hyperlink>
      <w:r>
        <w:t xml:space="preserve"> entsprechend anzuwenden.</w:t>
      </w:r>
    </w:p>
    <w:p>
      <w:r>
        <w:t>(5) Erlangt ein Kind Kenntnis von Umständen, auf Grund derer die Folgen der Vaterschaft für es unzumutbar werden, so beginnt für das Kind mit diesem Zeitpunkt die Frist des Absatzes 1 Satz 1 erneut.</w:t>
      </w:r>
    </w:p>
    <w:p>
      <w:pPr>
        <w:pStyle w:val="Heading4"/>
      </w:pPr>
      <w:bookmarkStart w:id="2063" w:name="b2048"/>
      <w:r>
        <w:t>§ 1600c Vaterschaftsvermutung im Anfechtungsverfahren</w:t>
      </w:r>
      <w:r>
        <w:t xml:space="preserve"> </w:t>
      </w:r>
      <w:r>
        <w:rPr>
          <w:rStyle w:val="Suchmarke"/>
        </w:rPr>
        <w:t>#1600c#</w:t>
      </w:r>
      <w:bookmarkEnd w:id="2063"/>
    </w:p>
    <w:p>
      <w:r>
        <w:t xml:space="preserve">(1) In dem Verfahren auf Anfechtung der Vaterschaft wird vermutet, dass das Kind von dem Mann abstammt, dessen Vaterschaft nach </w:t>
      </w:r>
      <w:hyperlink w:anchor="b2035" w:history="1">
        <w:r>
          <w:rPr>
            <w:color w:val="0A3A8C"/>
            <w:u w:val="single"/>
          </w:rPr>
          <w:t xml:space="preserve">§ 1592</w:t>
        </w:r>
      </w:hyperlink>
      <w:r>
        <w:t xml:space="preserve"> Nr. 1 und 2, </w:t>
      </w:r>
      <w:hyperlink w:anchor="b2036" w:history="1">
        <w:r>
          <w:rPr>
            <w:color w:val="0A3A8C"/>
            <w:u w:val="single"/>
          </w:rPr>
          <w:t xml:space="preserve">§ 1593</w:t>
        </w:r>
      </w:hyperlink>
      <w:r>
        <w:t xml:space="preserve"> besteht.</w:t>
      </w:r>
    </w:p>
    <w:p>
      <w:r>
        <w:t xml:space="preserve">(2) Die Vermutung nach Absatz 1 gilt nicht, wenn der Mann, der die Vaterschaft anerkannt hat, die Vaterschaft anficht und seine Anerkennung unter einem Willensmangel nach </w:t>
      </w:r>
      <w:hyperlink w:anchor="b147" w:history="1">
        <w:r>
          <w:rPr>
            <w:color w:val="0A3A8C"/>
            <w:u w:val="single"/>
          </w:rPr>
          <w:t xml:space="preserve">§ 119</w:t>
        </w:r>
      </w:hyperlink>
      <w:r>
        <w:t xml:space="preserve"> Abs. 1, </w:t>
      </w:r>
      <w:hyperlink w:anchor="b151" w:history="1">
        <w:r>
          <w:rPr>
            <w:color w:val="0A3A8C"/>
            <w:u w:val="single"/>
          </w:rPr>
          <w:t xml:space="preserve">§ 123</w:t>
        </w:r>
      </w:hyperlink>
      <w:r>
        <w:t xml:space="preserve"> leidet; in diesem Falle ist </w:t>
      </w:r>
      <w:hyperlink w:anchor="b2049" w:history="1">
        <w:r>
          <w:rPr>
            <w:color w:val="0A3A8C"/>
            <w:u w:val="single"/>
          </w:rPr>
          <w:t xml:space="preserve">§ 1600d</w:t>
        </w:r>
      </w:hyperlink>
      <w:r>
        <w:t xml:space="preserve"> Abs. 2 und 3 entsprechend anzuwenden.</w:t>
      </w:r>
    </w:p>
    <w:p>
      <w:pPr>
        <w:pStyle w:val="Heading4"/>
      </w:pPr>
      <w:bookmarkStart w:id="2064" w:name="b2049"/>
      <w:r>
        <w:t>§ 1600d Gerichtliche Feststellung der Vaterschaft</w:t>
      </w:r>
      <w:r>
        <w:t xml:space="preserve"> </w:t>
      </w:r>
      <w:r>
        <w:rPr>
          <w:rStyle w:val="Suchmarke"/>
        </w:rPr>
        <w:t>#1600d#</w:t>
      </w:r>
      <w:bookmarkEnd w:id="2064"/>
    </w:p>
    <w:p>
      <w:r>
        <w:t xml:space="preserve">(1) Besteht keine Vaterschaft nach </w:t>
      </w:r>
      <w:hyperlink w:anchor="b2035" w:history="1">
        <w:r>
          <w:rPr>
            <w:color w:val="0A3A8C"/>
            <w:u w:val="single"/>
          </w:rPr>
          <w:t xml:space="preserve">§ 1592</w:t>
        </w:r>
      </w:hyperlink>
      <w:r>
        <w:t xml:space="preserve"> Nr. 1 und 2, </w:t>
      </w:r>
      <w:hyperlink w:anchor="b2036" w:history="1">
        <w:r>
          <w:rPr>
            <w:color w:val="0A3A8C"/>
            <w:u w:val="single"/>
          </w:rPr>
          <w:t xml:space="preserve">§ 1593</w:t>
        </w:r>
      </w:hyperlink>
      <w:r>
        <w:t>, so ist die Vaterschaft gerichtlich festzustellen.</w:t>
      </w:r>
    </w:p>
    <w:p>
      <w:r>
        <w:t xml:space="preserve">(2) </w:t>
      </w:r>
      <w:r>
        <w:rPr>
          <w:rStyle w:val="Satznummer"/>
        </w:rPr>
        <w:t>1</w:t>
      </w:r>
      <w:r>
        <w:t xml:space="preserve">Im Verfahren auf gerichtliche Feststellung der Vaterschaft wird als Vater vermutet, wer der Mutter während der Empfängniszeit beigewohnt hat. </w:t>
      </w:r>
      <w:r>
        <w:rPr>
          <w:rStyle w:val="Satznummer"/>
        </w:rPr>
        <w:t>2</w:t>
      </w:r>
      <w:r>
        <w:t>Die Vermutung gilt nicht, wenn schwerwiegende Zweifel an der Vaterschaft bestehen.</w:t>
      </w:r>
    </w:p>
    <w:p>
      <w:r>
        <w:t xml:space="preserve">(3) </w:t>
      </w:r>
      <w:r>
        <w:rPr>
          <w:rStyle w:val="Satznummer"/>
        </w:rPr>
        <w:t>1</w:t>
      </w:r>
      <w:r>
        <w:t xml:space="preserve">Als Empfängniszeit gilt die Zeit von dem 300. bis zu dem 181. Tage vor der Geburt des Kindes, mit Einschluss sowohl des 300. als auch des 181. Tages. </w:t>
      </w:r>
      <w:r>
        <w:rPr>
          <w:rStyle w:val="Satznummer"/>
        </w:rPr>
        <w:t>2</w:t>
      </w:r>
      <w:r>
        <w:t>Steht fest, dass das Kind außerhalb des Zeitraums des Satzes 1 empfangen worden ist, so gilt dieser abweichende Zeitraum als Empfängniszeit.</w:t>
      </w:r>
    </w:p>
    <w:p>
      <w:r>
        <w:t>(4) Ist das Kind durch eine ärztlich unterstützte künstliche Befruchtung in einer Einrichtung der medizinischen Versorgung im Sinne von § 1a Nummer 13 des Transplantationsgesetzes unter heterologer Verwendung von Samen gezeugt worden, der vom Spender einer Entnahmeeinrichtung im Sinne von § 2 Absatz 1 Satz 1 des Samenspenderregistergesetzes zur Verfügung gestellt wurde, so kann der Samenspender nicht als Vater dieses Kindes festgestellt werden.</w:t>
      </w:r>
    </w:p>
    <w:p>
      <w:r>
        <w:t>(5) Die Rechtswirkungen der Vaterschaft können, soweit sich nicht aus dem Gesetz anderes ergibt, erst vom Zeitpunkt ihrer Feststellung an geltend gemacht werden.</w:t>
      </w:r>
    </w:p>
    <w:p>
      <w:pPr>
        <w:pStyle w:val="Heading3"/>
      </w:pPr>
      <w:bookmarkStart w:id="2065" w:name="b2050"/>
      <w:r>
        <w:t>Titel 3 Unterhaltspflicht</w:t>
      </w:r>
      <w:bookmarkEnd w:id="2065"/>
    </w:p>
    <w:p>
      <w:pPr>
        <w:pStyle w:val="Heading4"/>
      </w:pPr>
      <w:bookmarkStart w:id="2066" w:name="b2051"/>
      <w:r>
        <w:t>Untertitel 1 Allgemeine Vorschriften</w:t>
      </w:r>
      <w:bookmarkEnd w:id="2066"/>
    </w:p>
    <w:p>
      <w:pPr>
        <w:pStyle w:val="Heading5"/>
      </w:pPr>
      <w:bookmarkStart w:id="2067" w:name="b2052"/>
      <w:r>
        <w:t>§ 1601 Unterhaltsverpflichtete</w:t>
      </w:r>
      <w:r>
        <w:t xml:space="preserve"> </w:t>
      </w:r>
      <w:r>
        <w:rPr>
          <w:rStyle w:val="Suchmarke"/>
        </w:rPr>
        <w:t>#1601#</w:t>
      </w:r>
      <w:bookmarkEnd w:id="2067"/>
    </w:p>
    <w:p>
      <w:r>
        <w:t>Verwandte in gerader Linie sind verpflichtet, einander Unterhalt zu gewähren.</w:t>
      </w:r>
    </w:p>
    <w:p>
      <w:pPr>
        <w:pStyle w:val="Heading5"/>
      </w:pPr>
      <w:bookmarkStart w:id="2068" w:name="b2053"/>
      <w:r>
        <w:t>§ 1602 Bedürftigkeit</w:t>
      </w:r>
      <w:r>
        <w:t xml:space="preserve"> </w:t>
      </w:r>
      <w:r>
        <w:rPr>
          <w:rStyle w:val="Suchmarke"/>
        </w:rPr>
        <w:t>#1602#</w:t>
      </w:r>
      <w:bookmarkEnd w:id="2068"/>
    </w:p>
    <w:p>
      <w:r>
        <w:t>(1) Unterhaltsberechtigt ist nur, wer außerstande ist, sich selbst zu unterhalten.</w:t>
      </w:r>
    </w:p>
    <w:p>
      <w:r>
        <w:t>(2) Ein minderjähriges Kind kann von seinen Eltern, auch wenn es Vermögen hat, die Gewährung des Unterhalts insoweit verlangen, als die Einkünfte seines Vermögens und der Ertrag seiner Arbeit zum Unterhalt nicht ausreichen.</w:t>
      </w:r>
    </w:p>
    <w:p>
      <w:pPr>
        <w:pStyle w:val="Heading5"/>
      </w:pPr>
      <w:bookmarkStart w:id="2069" w:name="b2054"/>
      <w:r>
        <w:t>§ 1603 Leistungsfähigkeit</w:t>
      </w:r>
      <w:r>
        <w:t xml:space="preserve"> </w:t>
      </w:r>
      <w:r>
        <w:rPr>
          <w:rStyle w:val="Suchmarke"/>
        </w:rPr>
        <w:t>#1603#</w:t>
      </w:r>
      <w:bookmarkEnd w:id="2069"/>
    </w:p>
    <w:p>
      <w:r>
        <w:t>(1) Unterhaltspflichtig ist nicht, wer bei Berücksichtigung seiner sonstigen Verpflichtungen außerstande ist, ohne Gefährdung seines angemessenen Unterhalts den Unterhalt zu gewähren.</w:t>
      </w:r>
    </w:p>
    <w:p>
      <w:r>
        <w:t xml:space="preserve">(2) </w:t>
      </w:r>
      <w:r>
        <w:rPr>
          <w:rStyle w:val="Satznummer"/>
        </w:rPr>
        <w:t>1</w:t>
      </w:r>
      <w:r>
        <w:t xml:space="preserve">Befinden sich Eltern in dieser Lage, so sind sie ihren minderjährigen Kindern gegenüber verpflichtet, alle verfügbaren Mittel zu ihrem und der Kinder Unterhalt gleichmäßig zu verwenden. </w:t>
      </w:r>
      <w:r>
        <w:rPr>
          <w:rStyle w:val="Satznummer"/>
        </w:rPr>
        <w:t>2</w:t>
      </w:r>
      <w:r>
        <w:t xml:space="preserve">Den minderjährigen Kindern stehen volljährige unverheiratete Kinder bis zur Vollendung des 21. Lebensjahrs gleich, solange sie im Haushalt der Eltern oder eines Elternteils leben und sich in der allgemeinen Schulausbildung befinden. </w:t>
      </w:r>
      <w:r>
        <w:rPr>
          <w:rStyle w:val="Satznummer"/>
        </w:rPr>
        <w:t>3</w:t>
      </w:r>
      <w:r>
        <w:t>Diese Verpflichtung tritt nicht ein, wenn ein anderer unterhaltspflichtiger Verwandter vorhanden ist; sie tritt auch nicht ein gegenüber einem Kind, dessen Unterhalt aus dem Stamme seines Vermögens bestritten werden kann.</w:t>
      </w:r>
    </w:p>
    <w:p>
      <w:pPr>
        <w:pStyle w:val="Heading5"/>
      </w:pPr>
      <w:bookmarkStart w:id="2070" w:name="b2055"/>
      <w:r>
        <w:t>§ 1604 Einfluss des Güterstands</w:t>
      </w:r>
      <w:r>
        <w:t xml:space="preserve"> </w:t>
      </w:r>
      <w:r>
        <w:rPr>
          <w:rStyle w:val="Suchmarke"/>
        </w:rPr>
        <w:t>#1604#</w:t>
      </w:r>
      <w:bookmarkEnd w:id="2070"/>
    </w:p>
    <w:p>
      <w:r>
        <w:rPr>
          <w:rStyle w:val="Satznummer"/>
        </w:rPr>
        <w:t>1</w:t>
      </w:r>
      <w:r>
        <w:t xml:space="preserve">Lebt der Unterhaltspflichtige in Gütergemeinschaft, bestimmt sich seine Unterhaltspflicht Verwandten gegenüber so, als ob das Gesamtgut ihm gehörte. </w:t>
      </w:r>
      <w:r>
        <w:rPr>
          <w:rStyle w:val="Satznummer"/>
        </w:rPr>
        <w:t>2</w:t>
      </w:r>
      <w:r>
        <w:t>Haben beide in Gütergemeinschaft lebende Personen bedürftige Verwandte, ist der Unterhalt aus dem Gesamtgut so zu gewähren, als ob die Bedürftigen zu beiden Unterhaltspflichtigen in dem Verwandtschaftsverhältnis stünden, auf dem die Unterhaltspflicht des Verpflichteten beruht.</w:t>
      </w:r>
    </w:p>
    <w:p>
      <w:pPr>
        <w:pStyle w:val="Heading5"/>
      </w:pPr>
      <w:bookmarkStart w:id="2071" w:name="b2056"/>
      <w:r>
        <w:t>§ 1605 Auskunftspflicht</w:t>
      </w:r>
      <w:r>
        <w:t xml:space="preserve"> </w:t>
      </w:r>
      <w:r>
        <w:rPr>
          <w:rStyle w:val="Suchmarke"/>
        </w:rPr>
        <w:t>#1605#</w:t>
      </w:r>
      <w:bookmarkEnd w:id="2071"/>
    </w:p>
    <w:p>
      <w:r>
        <w:t xml:space="preserve">(1) </w:t>
      </w:r>
      <w:r>
        <w:rPr>
          <w:rStyle w:val="Satznummer"/>
        </w:rPr>
        <w:t>1</w:t>
      </w:r>
      <w:r>
        <w:t xml:space="preserve">Verwandte in gerader Linie sind einander verpflichtet, auf Verlangen über ihre Einkünfte und ihr Vermögen Auskunft zu erteilen, soweit dies zur Feststellung eines Unterhaltsanspruchs oder einer Unterhaltsverpflichtung erforderlich ist. </w:t>
      </w:r>
      <w:r>
        <w:rPr>
          <w:rStyle w:val="Satznummer"/>
        </w:rPr>
        <w:t>2</w:t>
      </w:r>
      <w:r>
        <w:t xml:space="preserve">Über die Höhe der Einkünfte sind auf Verlangen Belege, insbesondere Bescheinigungen des Arbeitgebers, vorzulegen. </w:t>
      </w:r>
      <w:r>
        <w:rPr>
          <w:rStyle w:val="Satznummer"/>
        </w:rPr>
        <w:t>3</w:t>
      </w:r>
      <w:r>
        <w:t xml:space="preserve">Die </w:t>
      </w:r>
      <w:hyperlink w:anchor="b302" w:history="1">
        <w:r>
          <w:rPr>
            <w:color w:val="0A3A8C"/>
            <w:u w:val="single"/>
          </w:rPr>
          <w:t xml:space="preserve">§§ 260</w:t>
        </w:r>
      </w:hyperlink>
      <w:r>
        <w:t xml:space="preserve">, </w:t>
      </w:r>
      <w:hyperlink w:anchor="b303" w:history="1">
        <w:r>
          <w:rPr>
            <w:color w:val="0A3A8C"/>
            <w:u w:val="single"/>
          </w:rPr>
          <w:t xml:space="preserve">261</w:t>
        </w:r>
      </w:hyperlink>
      <w:r>
        <w:t xml:space="preserve"> sind entsprechend anzuwenden.</w:t>
      </w:r>
    </w:p>
    <w:p>
      <w:r>
        <w:t>(2) Vor Ablauf von zwei Jahren kann Auskunft erneut nur verlangt werden, wenn glaubhaft gemacht wird, dass der zur Auskunft Verpflichtete später wesentlich höhere Einkünfte oder weiteres Vermögen erworben hat.</w:t>
      </w:r>
    </w:p>
    <w:p>
      <w:pPr>
        <w:pStyle w:val="Heading5"/>
      </w:pPr>
      <w:bookmarkStart w:id="2072" w:name="b2057"/>
      <w:r>
        <w:t>§ 1606 Rangverhältnisse mehrerer Pflichtiger</w:t>
      </w:r>
      <w:r>
        <w:t xml:space="preserve"> </w:t>
      </w:r>
      <w:r>
        <w:rPr>
          <w:rStyle w:val="Suchmarke"/>
        </w:rPr>
        <w:t>#1606#</w:t>
      </w:r>
      <w:bookmarkEnd w:id="2072"/>
    </w:p>
    <w:p>
      <w:r>
        <w:t>(1) Die Abkömmlinge sind vor den Verwandten der aufsteigenden Linie unterhaltspflichtig.</w:t>
      </w:r>
    </w:p>
    <w:p>
      <w:r>
        <w:t>(2) Unter den Abkömmlingen und unter den Verwandten der aufsteigenden Linie haften die näheren vor den entfernteren.</w:t>
      </w:r>
    </w:p>
    <w:p>
      <w:r>
        <w:t xml:space="preserve">(3) </w:t>
      </w:r>
      <w:r>
        <w:rPr>
          <w:rStyle w:val="Satznummer"/>
        </w:rPr>
        <w:t>1</w:t>
      </w:r>
      <w:r>
        <w:t xml:space="preserve">Mehrere gleich nahe Verwandte haften anteilig nach ihren Erwerbs- und Vermögensverhältnissen. </w:t>
      </w:r>
      <w:r>
        <w:rPr>
          <w:rStyle w:val="Satznummer"/>
        </w:rPr>
        <w:t>2</w:t>
      </w:r>
      <w:r>
        <w:t>Der Elternteil, der ein minderjähriges Kind betreut, erfüllt seine Verpflichtung, zum Unterhalt des Kindes beizutragen, in der Regel durch die Pflege und die Erziehung des Kindes.</w:t>
      </w:r>
    </w:p>
    <w:p>
      <w:pPr>
        <w:pStyle w:val="Heading5"/>
      </w:pPr>
      <w:bookmarkStart w:id="2073" w:name="b2058"/>
      <w:r>
        <w:t>§ 1607 Ersatzhaftung und gesetzlicher Forderungsübergang</w:t>
      </w:r>
      <w:r>
        <w:t xml:space="preserve"> </w:t>
      </w:r>
      <w:r>
        <w:rPr>
          <w:rStyle w:val="Suchmarke"/>
        </w:rPr>
        <w:t>#1607#</w:t>
      </w:r>
      <w:bookmarkEnd w:id="2073"/>
    </w:p>
    <w:p>
      <w:r>
        <w:t xml:space="preserve">(1) Soweit ein Verwandter auf Grund des </w:t>
      </w:r>
      <w:hyperlink w:anchor="b2054" w:history="1">
        <w:r>
          <w:rPr>
            <w:color w:val="0A3A8C"/>
            <w:u w:val="single"/>
          </w:rPr>
          <w:t xml:space="preserve">§ 1603</w:t>
        </w:r>
      </w:hyperlink>
      <w:r>
        <w:t xml:space="preserve"> nicht unterhaltspflichtig ist, hat der nach ihm haftende Verwandte den Unterhalt zu gewähren.</w:t>
      </w:r>
    </w:p>
    <w:p>
      <w:r>
        <w:t xml:space="preserve">(2) </w:t>
      </w:r>
      <w:r>
        <w:rPr>
          <w:rStyle w:val="Satznummer"/>
        </w:rPr>
        <w:t>1</w:t>
      </w:r>
      <w:r>
        <w:t xml:space="preserve">Das Gleiche gilt, wenn die Rechtsverfolgung gegen einen Verwandten im Inland ausgeschlossen oder erheblich erschwert ist. </w:t>
      </w:r>
      <w:r>
        <w:rPr>
          <w:rStyle w:val="Satznummer"/>
        </w:rPr>
        <w:t>2</w:t>
      </w:r>
      <w:r>
        <w:t>Der Anspruch gegen einen solchen Verwandten geht, soweit ein anderer nach Absatz 1 verpflichteter Verwandter den Unterhalt gewährt, auf diesen über.</w:t>
      </w:r>
    </w:p>
    <w:p>
      <w:r>
        <w:t xml:space="preserve">(3) </w:t>
      </w:r>
      <w:r>
        <w:rPr>
          <w:rStyle w:val="Satznummer"/>
        </w:rPr>
        <w:t>1</w:t>
      </w:r>
      <w:r>
        <w:t xml:space="preserve">Der Unterhaltsanspruch eines Kindes gegen einen Elternteil geht, soweit unter den Voraussetzungen des Absatzes 2 Satz 1 anstelle des Elternteils ein anderer, nicht unterhaltspflichtiger Verwandter oder der Ehegatte des anderen Elternteils Unterhalt leistet, auf diesen über. </w:t>
      </w:r>
      <w:r>
        <w:rPr>
          <w:rStyle w:val="Satznummer"/>
        </w:rPr>
        <w:t>2</w:t>
      </w:r>
      <w:r>
        <w:t>Satz 1 gilt entsprechend, wenn dem Kind ein Dritter als Vater Unterhalt gewährt.</w:t>
      </w:r>
    </w:p>
    <w:p>
      <w:r>
        <w:t>(4) Der Übergang des Unterhaltsanspruchs kann nicht zum Nachteil des Unterhaltsberechtigten geltend gemacht werden.</w:t>
      </w:r>
    </w:p>
    <w:p>
      <w:pPr>
        <w:pStyle w:val="Heading5"/>
      </w:pPr>
      <w:bookmarkStart w:id="2074" w:name="b2059"/>
      <w:r>
        <w:t>§ 1608 Haftung des Ehegatten oder Lebenspartners</w:t>
      </w:r>
      <w:r>
        <w:t xml:space="preserve"> </w:t>
      </w:r>
      <w:r>
        <w:rPr>
          <w:rStyle w:val="Suchmarke"/>
        </w:rPr>
        <w:t>#1608#</w:t>
      </w:r>
      <w:bookmarkEnd w:id="2074"/>
    </w:p>
    <w:p>
      <w:r>
        <w:t xml:space="preserve">(1) </w:t>
      </w:r>
      <w:r>
        <w:rPr>
          <w:rStyle w:val="Satznummer"/>
        </w:rPr>
        <w:t>1</w:t>
      </w:r>
      <w:r>
        <w:t xml:space="preserve">Der Ehegatte des Bedürftigen haftet vor dessen Verwandten. </w:t>
      </w:r>
      <w:r>
        <w:rPr>
          <w:rStyle w:val="Satznummer"/>
        </w:rPr>
        <w:t>2</w:t>
      </w:r>
      <w:r>
        <w:t xml:space="preserve">Soweit jedoch der Ehegatte bei Berücksichtigung seiner sonstigen Verpflichtungen außerstande ist, ohne Gefährdung seines angemessenen Unterhalts den Unterhalt zu gewähren, haften die Verwandten vor dem Ehegatten. </w:t>
      </w:r>
      <w:r>
        <w:rPr>
          <w:rStyle w:val="Satznummer"/>
        </w:rPr>
        <w:t>3</w:t>
      </w:r>
      <w:hyperlink w:anchor="b2058" w:history="1">
        <w:r>
          <w:rPr>
            <w:color w:val="0A3A8C"/>
            <w:u w:val="single"/>
          </w:rPr>
          <w:t xml:space="preserve">§ 1607</w:t>
        </w:r>
      </w:hyperlink>
      <w:r>
        <w:t xml:space="preserve"> Abs. 2 und 4 gilt entsprechend. </w:t>
      </w:r>
      <w:r>
        <w:rPr>
          <w:rStyle w:val="Satznummer"/>
        </w:rPr>
        <w:t>4</w:t>
      </w:r>
      <w:r>
        <w:t>Der Lebenspartner des Bedürftigen haftet in gleicher Weise wie ein Ehegatte.</w:t>
      </w:r>
    </w:p>
    <w:p>
      <w:r>
        <w:t>(2) (weggefallen)</w:t>
      </w:r>
    </w:p>
    <w:p>
      <w:pPr>
        <w:pStyle w:val="Heading5"/>
      </w:pPr>
      <w:bookmarkStart w:id="2075" w:name="b2060"/>
      <w:r>
        <w:t>§ 1609 Rangfolge mehrerer Unterhaltsberechtigter</w:t>
      </w:r>
      <w:r>
        <w:t xml:space="preserve"> </w:t>
      </w:r>
      <w:r>
        <w:rPr>
          <w:rStyle w:val="Suchmarke"/>
        </w:rPr>
        <w:t>#1609#</w:t>
      </w:r>
      <w:bookmarkEnd w:id="2075"/>
    </w:p>
    <w:p>
      <w:r>
        <w:t>Sind mehrere Unterhaltsberechtigte vorhanden und ist der Unterhaltspflichtige außerstande, allen Unterhalt zu gewähren, gilt folgende Rangfolge:</w:t>
      </w:r>
    </w:p>
    <w:p>
      <w:pPr>
        <w:tabs>
          <w:tab w:pos="567" w:val="left"/>
        </w:tabs>
        <w:ind w:left="567" w:hanging="567"/>
      </w:pPr>
      <w:r>
        <w:t>1.</w:t>
      </w:r>
      <w:r>
        <w:tab/>
      </w:r>
      <w:r>
        <w:t xml:space="preserve">minderjährige Kinder und Kinder im Sinne des </w:t>
      </w:r>
      <w:hyperlink w:anchor="b2054" w:history="1">
        <w:r>
          <w:rPr>
            <w:color w:val="0A3A8C"/>
            <w:u w:val="single"/>
          </w:rPr>
          <w:t xml:space="preserve">§ 1603</w:t>
        </w:r>
      </w:hyperlink>
      <w:r>
        <w:t xml:space="preserve"> Abs. 2 Satz 2,</w:t>
      </w:r>
    </w:p>
    <w:p>
      <w:pPr>
        <w:tabs>
          <w:tab w:pos="567" w:val="left"/>
        </w:tabs>
        <w:ind w:left="567" w:hanging="567"/>
      </w:pPr>
      <w:r>
        <w:t>2.</w:t>
      </w:r>
      <w:r>
        <w:tab/>
      </w:r>
      <w:r>
        <w:t xml:space="preserve">Elternteile, die wegen der Betreuung eines Kindes unterhaltsberechtigt sind oder im Fall einer Scheidung wären, sowie Ehegatten und geschiedene Ehegatten bei einer Ehe von langer Dauer; bei der Feststellung einer Ehe von langer Dauer sind auch Nachteile im Sinne des </w:t>
      </w:r>
      <w:hyperlink w:anchor="b2008" w:history="1">
        <w:r>
          <w:rPr>
            <w:color w:val="0A3A8C"/>
            <w:u w:val="single"/>
          </w:rPr>
          <w:t xml:space="preserve">§ 1578b</w:t>
        </w:r>
      </w:hyperlink>
      <w:r>
        <w:t xml:space="preserve"> Abs. 1 Satz 2 und 3 zu berücksichtigen,</w:t>
      </w:r>
    </w:p>
    <w:p>
      <w:pPr>
        <w:tabs>
          <w:tab w:pos="567" w:val="left"/>
        </w:tabs>
        <w:ind w:left="567" w:hanging="567"/>
      </w:pPr>
      <w:r>
        <w:t>3.</w:t>
      </w:r>
      <w:r>
        <w:tab/>
      </w:r>
      <w:r>
        <w:t>Ehegatten und geschiedene Ehegatten, die nicht unter Nummer 2 fallen,</w:t>
      </w:r>
    </w:p>
    <w:p>
      <w:pPr>
        <w:tabs>
          <w:tab w:pos="567" w:val="left"/>
        </w:tabs>
        <w:ind w:left="567" w:hanging="567"/>
      </w:pPr>
      <w:r>
        <w:t>4.</w:t>
      </w:r>
      <w:r>
        <w:tab/>
      </w:r>
      <w:r>
        <w:t>Kinder, die nicht unter Nummer 1 fallen,</w:t>
      </w:r>
    </w:p>
    <w:p>
      <w:pPr>
        <w:tabs>
          <w:tab w:pos="567" w:val="left"/>
        </w:tabs>
        <w:ind w:left="567" w:hanging="567"/>
      </w:pPr>
      <w:r>
        <w:t>5.</w:t>
      </w:r>
      <w:r>
        <w:tab/>
      </w:r>
      <w:r>
        <w:t>Enkelkinder und weitere Abkömmlinge,</w:t>
      </w:r>
    </w:p>
    <w:p>
      <w:pPr>
        <w:tabs>
          <w:tab w:pos="567" w:val="left"/>
        </w:tabs>
        <w:ind w:left="567" w:hanging="567"/>
      </w:pPr>
      <w:r>
        <w:t>6.</w:t>
      </w:r>
      <w:r>
        <w:tab/>
      </w:r>
      <w:r>
        <w:t>Eltern,</w:t>
      </w:r>
    </w:p>
    <w:p>
      <w:pPr>
        <w:tabs>
          <w:tab w:pos="567" w:val="left"/>
        </w:tabs>
        <w:ind w:left="567" w:hanging="567"/>
      </w:pPr>
      <w:r>
        <w:t>7.</w:t>
      </w:r>
      <w:r>
        <w:tab/>
      </w:r>
      <w:r>
        <w:t>weitere Verwandte der aufsteigenden Linie; unter ihnen gehen die Näheren den Entfernteren vor.</w:t>
      </w:r>
    </w:p>
    <w:p>
      <w:pPr>
        <w:pStyle w:val="Heading5"/>
      </w:pPr>
      <w:bookmarkStart w:id="2076" w:name="b2061"/>
      <w:r>
        <w:t>§ 1610 Maß des Unterhalts</w:t>
      </w:r>
      <w:r>
        <w:t xml:space="preserve"> </w:t>
      </w:r>
      <w:r>
        <w:rPr>
          <w:rStyle w:val="Suchmarke"/>
        </w:rPr>
        <w:t>#1610#</w:t>
      </w:r>
      <w:bookmarkEnd w:id="2076"/>
    </w:p>
    <w:p>
      <w:r>
        <w:t>(1) Das Maß des zu gewährenden Unterhalts bestimmt sich nach der Lebensstellung des Bedürftigen (angemessener Unterhalt).</w:t>
      </w:r>
    </w:p>
    <w:p>
      <w:r>
        <w:t>(2) Der Unterhalt umfasst den gesamten Lebensbedarf einschließlich der Kosten einer angemessenen Vorbildung zu einem Beruf, bei einer der Erziehung bedürftigen Person auch die Kosten der Erziehung.</w:t>
      </w:r>
    </w:p>
    <w:p>
      <w:pPr>
        <w:pStyle w:val="Heading5"/>
      </w:pPr>
      <w:bookmarkStart w:id="2077" w:name="b2062"/>
      <w:r>
        <w:t>§ 1610a Deckungsvermutung bei schadensbedingten Mehraufwendungen</w:t>
      </w:r>
      <w:r>
        <w:t xml:space="preserve"> </w:t>
      </w:r>
      <w:r>
        <w:rPr>
          <w:rStyle w:val="Suchmarke"/>
        </w:rPr>
        <w:t>#1610a#</w:t>
      </w:r>
      <w:bookmarkEnd w:id="2077"/>
    </w:p>
    <w:p>
      <w:r>
        <w:t>Werden für Aufwendungen infolge eines Körper- oder Gesundheitsschadens Sozialleistungen in Anspruch genommen, wird bei der Feststellung eines Unterhaltsanspruchs vermutet, dass die Kosten der Aufwendungen nicht geringer sind als die Höhe dieser Sozialleistungen.</w:t>
      </w:r>
    </w:p>
    <w:p>
      <w:pPr>
        <w:pStyle w:val="Heading5"/>
      </w:pPr>
      <w:bookmarkStart w:id="2078" w:name="b2063"/>
      <w:r>
        <w:t>§ 1611 Beschränkung oder Wegfall der Verpflichtung</w:t>
      </w:r>
      <w:r>
        <w:t xml:space="preserve"> </w:t>
      </w:r>
      <w:r>
        <w:rPr>
          <w:rStyle w:val="Suchmarke"/>
        </w:rPr>
        <w:t>#1611#</w:t>
      </w:r>
      <w:bookmarkEnd w:id="2078"/>
    </w:p>
    <w:p>
      <w:r>
        <w:t xml:space="preserve">(1) </w:t>
      </w:r>
      <w:r>
        <w:rPr>
          <w:rStyle w:val="Satznummer"/>
        </w:rPr>
        <w:t>1</w:t>
      </w:r>
      <w:r>
        <w:t xml:space="preserve">Ist der Unterhaltsberechtigte durch sein sittliches Verschulden bedürftig geworden, hat er seine eigene Unterhaltspflicht gegenüber dem Unterhaltspflichtigen gröblich vernachlässigt oder sich vorsätzlich einer schweren Verfehlung gegen den Unterhaltspflichtigen oder einen nahen Angehörigen des Unterhaltspflichtigen schuldig gemacht, so braucht der Verpflichtete nur einen Beitrag zum Unterhalt in der Höhe zu leisten, die der Billigkeit entspricht. </w:t>
      </w:r>
      <w:r>
        <w:rPr>
          <w:rStyle w:val="Satznummer"/>
        </w:rPr>
        <w:t>2</w:t>
      </w:r>
      <w:r>
        <w:t>Die Verpflichtung fällt ganz weg, wenn die Inanspruchnahme des Verpflichteten grob unbillig wäre.</w:t>
      </w:r>
    </w:p>
    <w:p>
      <w:r>
        <w:t>(2) Die Vorschriften des Absatzes 1 sind auf die Unterhaltspflicht von Eltern gegenüber ihren minderjährigen Kindern nicht anzuwenden.</w:t>
      </w:r>
    </w:p>
    <w:p>
      <w:r>
        <w:t>(3) Der Bedürftige kann wegen einer nach diesen Vorschriften eintretenden Beschränkung seines Anspruchs nicht andere Unterhaltspflichtige in Anspruch nehmen.</w:t>
      </w:r>
    </w:p>
    <w:p>
      <w:pPr>
        <w:pStyle w:val="Heading5"/>
      </w:pPr>
      <w:bookmarkStart w:id="2079" w:name="b2064"/>
      <w:r>
        <w:t>§ 1612 Art der Unterhaltsgewährung</w:t>
      </w:r>
      <w:r>
        <w:t xml:space="preserve"> </w:t>
      </w:r>
      <w:r>
        <w:rPr>
          <w:rStyle w:val="Suchmarke"/>
        </w:rPr>
        <w:t>#1612#</w:t>
      </w:r>
      <w:bookmarkEnd w:id="2079"/>
    </w:p>
    <w:p>
      <w:r>
        <w:t xml:space="preserve">(1) </w:t>
      </w:r>
      <w:r>
        <w:rPr>
          <w:rStyle w:val="Satznummer"/>
        </w:rPr>
        <w:t>1</w:t>
      </w:r>
      <w:r>
        <w:t xml:space="preserve">Der Unterhalt ist durch Entrichtung einer Geldrente zu gewähren. </w:t>
      </w:r>
      <w:r>
        <w:rPr>
          <w:rStyle w:val="Satznummer"/>
        </w:rPr>
        <w:t>2</w:t>
      </w:r>
      <w:r>
        <w:t>Der Verpflichtete kann verlangen, dass ihm die Gewährung des Unterhalts in anderer Art gestattet wird, wenn besondere Gründe es rechtfertigen.</w:t>
      </w:r>
    </w:p>
    <w:p>
      <w:r>
        <w:t xml:space="preserve">(2) </w:t>
      </w:r>
      <w:r>
        <w:rPr>
          <w:rStyle w:val="Satznummer"/>
        </w:rPr>
        <w:t>1</w:t>
      </w:r>
      <w:r>
        <w:t xml:space="preserve">Haben Eltern einem unverheirateten Kind Unterhalt zu gewähren, können sie bestimmen, in welcher Art und für welche Zeit im Voraus der Unterhalt gewährt werden soll, sofern auf die Belange des Kindes die gebotene Rücksicht genommen wird. </w:t>
      </w:r>
      <w:r>
        <w:rPr>
          <w:rStyle w:val="Satznummer"/>
        </w:rPr>
        <w:t>2</w:t>
      </w:r>
      <w:r>
        <w:t>Ist das Kind minderjährig, kann ein Elternteil, dem die Sorge für die Person des Kindes nicht zusteht, eine Bestimmung nur für die Zeit treffen, in der das Kind in seinen Haushalt aufgenommen ist.</w:t>
      </w:r>
    </w:p>
    <w:p>
      <w:r>
        <w:t xml:space="preserve">(3) </w:t>
      </w:r>
      <w:r>
        <w:rPr>
          <w:rStyle w:val="Satznummer"/>
        </w:rPr>
        <w:t>1</w:t>
      </w:r>
      <w:r>
        <w:t xml:space="preserve">Eine Geldrente ist monatlich im Voraus zu zahlen. </w:t>
      </w:r>
      <w:r>
        <w:rPr>
          <w:rStyle w:val="Satznummer"/>
        </w:rPr>
        <w:t>2</w:t>
      </w:r>
      <w:r>
        <w:t>Der Verpflichtete schuldet den vollen Monatsbetrag auch dann, wenn der Berechtigte im Laufe des Monats stirbt.</w:t>
      </w:r>
    </w:p>
    <w:p>
      <w:pPr>
        <w:pStyle w:val="Heading5"/>
      </w:pPr>
      <w:bookmarkStart w:id="2080" w:name="b2065"/>
      <w:r>
        <w:t>§ 1612a Mindestunterhalt minderjähriger Kinder; Verordnungsermächtigung</w:t>
      </w:r>
      <w:r>
        <w:t xml:space="preserve"> </w:t>
      </w:r>
      <w:r>
        <w:rPr>
          <w:rStyle w:val="Suchmarke"/>
        </w:rPr>
        <w:t>#1612a#</w:t>
      </w:r>
      <w:bookmarkEnd w:id="2080"/>
    </w:p>
    <w:p>
      <w:r>
        <w:t xml:space="preserve">(1) </w:t>
      </w:r>
      <w:r>
        <w:rPr>
          <w:rStyle w:val="Satznummer"/>
        </w:rPr>
        <w:t>1</w:t>
      </w:r>
      <w:r>
        <w:t xml:space="preserve">Ein minderjähriges Kind kann von einem Elternteil, mit dem es nicht in einem Haushalt lebt, den Unterhalt als Prozentsatz des jeweiligen Mindestunterhalts verlangen. </w:t>
      </w:r>
      <w:r>
        <w:rPr>
          <w:rStyle w:val="Satznummer"/>
        </w:rPr>
        <w:t>2</w:t>
      </w:r>
      <w:r>
        <w:t xml:space="preserve">Der Mindestunterhalt richtet sich nach dem steuerfrei zu stellenden sächlichen Existenzminimum des minderjährigen Kindes. </w:t>
      </w:r>
      <w:r>
        <w:rPr>
          <w:rStyle w:val="Satznummer"/>
        </w:rPr>
        <w:t>3</w:t>
      </w:r>
      <w:r>
        <w:t>Er beträgt monatlich entsprechend dem Alter des Kindes</w:t>
      </w:r>
    </w:p>
    <w:p>
      <w:pPr>
        <w:tabs>
          <w:tab w:pos="567" w:val="left"/>
        </w:tabs>
        <w:ind w:left="567" w:hanging="567"/>
      </w:pPr>
      <w:r>
        <w:t>1.</w:t>
      </w:r>
      <w:r>
        <w:tab/>
      </w:r>
      <w:r>
        <w:t>für die Zeit bis zur Vollendung des sechsten Lebensjahrs (erste Altersstufe) 87 Prozent,</w:t>
      </w:r>
    </w:p>
    <w:p>
      <w:pPr>
        <w:tabs>
          <w:tab w:pos="567" w:val="left"/>
        </w:tabs>
        <w:ind w:left="567" w:hanging="567"/>
      </w:pPr>
      <w:r>
        <w:t>2.</w:t>
      </w:r>
      <w:r>
        <w:tab/>
      </w:r>
      <w:r>
        <w:t>für die Zeit vom siebten bis zur Vollendung des zwölften Lebensjahrs (zweite Altersstufe) 100 Prozent und</w:t>
      </w:r>
    </w:p>
    <w:p>
      <w:pPr>
        <w:tabs>
          <w:tab w:pos="567" w:val="left"/>
        </w:tabs>
        <w:ind w:left="567" w:hanging="567"/>
      </w:pPr>
      <w:r>
        <w:t>3.</w:t>
      </w:r>
      <w:r>
        <w:tab/>
      </w:r>
      <w:r>
        <w:t>für die Zeit vom 13. Lebensjahr an (dritte Altersstufe) 117 Prozent</w:t>
      </w:r>
    </w:p>
    <w:p>
      <w:r>
        <w:t>des steuerfrei zu stellenden sächlichen Existenzminimums des minderjährigen Kindes.</w:t>
      </w:r>
    </w:p>
    <w:p>
      <w:r>
        <w:t xml:space="preserve">(2) </w:t>
      </w:r>
      <w:r>
        <w:rPr>
          <w:rStyle w:val="Satznummer"/>
        </w:rPr>
        <w:t>1</w:t>
      </w:r>
      <w:r>
        <w:t xml:space="preserve">Der Prozentsatz ist auf eine Dezimalstelle zu begrenzen; jede weitere sich ergebende Dezimalstelle wird nicht berücksichtigt. </w:t>
      </w:r>
      <w:r>
        <w:rPr>
          <w:rStyle w:val="Satznummer"/>
        </w:rPr>
        <w:t>2</w:t>
      </w:r>
      <w:r>
        <w:t>Der sich bei der Berechnung des Unterhalts ergebende Betrag ist auf volle Euro aufzurunden.</w:t>
      </w:r>
    </w:p>
    <w:p>
      <w:r>
        <w:t>(3) Der Unterhalt einer höheren Altersstufe ist ab dem Beginn des Monats maßgebend, in dem das Kind das betreffende Lebensjahr vollendet.</w:t>
      </w:r>
    </w:p>
    <w:p>
      <w:r>
        <w:t>(4) Das Bundesministerium der Justiz und für Verbraucherschutz hat den Mindestunterhalt erstmals zum 1. Januar 2016 und dann alle zwei Jahre durch Rechtsverordnung, die nicht der Zustimmung des Bundesrates bedarf, festzulegen.</w:t>
      </w:r>
    </w:p>
    <w:p>
      <w:r>
        <w:t>(5) (weggefallen)</w:t>
      </w:r>
    </w:p>
    <w:p>
      <w:pPr>
        <w:pStyle w:val="Heading5"/>
      </w:pPr>
      <w:bookmarkStart w:id="2081" w:name="b2066"/>
      <w:r>
        <w:t>§ 1612b Deckung des Barbedarfs durch Kindergeld</w:t>
      </w:r>
      <w:r>
        <w:t xml:space="preserve"> </w:t>
      </w:r>
      <w:r>
        <w:rPr>
          <w:rStyle w:val="Suchmarke"/>
        </w:rPr>
        <w:t>#1612b#</w:t>
      </w:r>
      <w:bookmarkEnd w:id="2081"/>
    </w:p>
    <w:p>
      <w:r>
        <w:t xml:space="preserve">(1) </w:t>
      </w:r>
      <w:r>
        <w:rPr>
          <w:rStyle w:val="Satznummer"/>
        </w:rPr>
        <w:t>1</w:t>
      </w:r>
      <w:r>
        <w:t>Das auf das Kind entfallende Kindergeld ist zur Deckung seines Barbedarfs zu verwenden:</w:t>
      </w:r>
    </w:p>
    <w:p>
      <w:pPr>
        <w:tabs>
          <w:tab w:pos="567" w:val="left"/>
        </w:tabs>
        <w:ind w:left="567" w:hanging="567"/>
      </w:pPr>
      <w:r>
        <w:t>1.</w:t>
      </w:r>
      <w:r>
        <w:tab/>
      </w:r>
      <w:r>
        <w:t>zur Hälfte, wenn ein Elternteil seine Unterhaltspflicht durch Betreuung des Kindes erfüllt (</w:t>
      </w:r>
      <w:hyperlink w:anchor="b2057" w:history="1">
        <w:r>
          <w:rPr>
            <w:color w:val="0A3A8C"/>
            <w:u w:val="single"/>
          </w:rPr>
          <w:t xml:space="preserve">§ 1606</w:t>
        </w:r>
      </w:hyperlink>
      <w:r>
        <w:t xml:space="preserve"> Abs. 3 Satz 2);</w:t>
      </w:r>
    </w:p>
    <w:p>
      <w:pPr>
        <w:tabs>
          <w:tab w:pos="567" w:val="left"/>
        </w:tabs>
        <w:ind w:left="567" w:hanging="567"/>
      </w:pPr>
      <w:r>
        <w:t>2.</w:t>
      </w:r>
      <w:r>
        <w:tab/>
      </w:r>
      <w:r>
        <w:t>in allen anderen Fällen in voller Höhe.</w:t>
      </w:r>
    </w:p>
    <w:p>
      <w:r>
        <w:rPr>
          <w:rStyle w:val="Satznummer"/>
        </w:rPr>
        <w:t>2</w:t>
      </w:r>
      <w:r>
        <w:t>In diesem Umfang mindert es den Barbedarf des Kindes.</w:t>
      </w:r>
    </w:p>
    <w:p>
      <w:r>
        <w:t>(2) Ist das Kindergeld wegen der Berücksichtigung eines nicht gemeinschaftlichen Kindes erhöht, ist es im Umfang der Erhöhung nicht bedarfsmindernd zu berücksichtigen.</w:t>
      </w:r>
    </w:p>
    <w:p>
      <w:pPr>
        <w:pStyle w:val="Heading5"/>
      </w:pPr>
      <w:bookmarkStart w:id="2082" w:name="b2067"/>
      <w:r>
        <w:t>§ 1612c Anrechnung anderer kindbezogener Leistungen</w:t>
      </w:r>
      <w:r>
        <w:t xml:space="preserve"> </w:t>
      </w:r>
      <w:r>
        <w:rPr>
          <w:rStyle w:val="Suchmarke"/>
        </w:rPr>
        <w:t>#1612c#</w:t>
      </w:r>
      <w:bookmarkEnd w:id="2082"/>
    </w:p>
    <w:p>
      <w:hyperlink w:anchor="b2066" w:history="1">
        <w:r>
          <w:rPr>
            <w:color w:val="0A3A8C"/>
            <w:u w:val="single"/>
          </w:rPr>
          <w:t xml:space="preserve">§ 1612b</w:t>
        </w:r>
      </w:hyperlink>
      <w:r>
        <w:t xml:space="preserve"> gilt entsprechend für regelmäßig wiederkehrende kindbezogene Leistungen, soweit sie den Anspruch auf Kindergeld ausschließen.</w:t>
      </w:r>
    </w:p>
    <w:p>
      <w:pPr>
        <w:pStyle w:val="Heading5"/>
      </w:pPr>
      <w:bookmarkStart w:id="2083" w:name="b2068"/>
      <w:r>
        <w:t>§ 1613 Unterhalt für die Vergangenheit</w:t>
      </w:r>
      <w:r>
        <w:t xml:space="preserve"> </w:t>
      </w:r>
      <w:r>
        <w:rPr>
          <w:rStyle w:val="Suchmarke"/>
        </w:rPr>
        <w:t>#1613#</w:t>
      </w:r>
      <w:bookmarkEnd w:id="2083"/>
    </w:p>
    <w:p>
      <w:r>
        <w:t xml:space="preserve">(1) </w:t>
      </w:r>
      <w:r>
        <w:rPr>
          <w:rStyle w:val="Satznummer"/>
        </w:rPr>
        <w:t>1</w:t>
      </w:r>
      <w:r>
        <w:t xml:space="preserve">Für die Vergangenheit kann der Berechtigte Erfüllung oder Schadensersatz wegen Nichterfüllung nur von dem Zeitpunkt an fordern, zu welchem der Verpflichtete zum Zwecke der Geltendmachung des Unterhaltsanspruchs aufgefordert worden ist, über seine Einkünfte und sein Vermögen Auskunft zu erteilen, zu welchem der Verpflichtete in Verzug gekommen oder der Unterhaltsanspruch rechtshängig geworden ist. </w:t>
      </w:r>
      <w:r>
        <w:rPr>
          <w:rStyle w:val="Satznummer"/>
        </w:rPr>
        <w:t>2</w:t>
      </w:r>
      <w:r>
        <w:t>Der Unterhalt wird ab dem Ersten des Monats, in den die bezeichneten Ereignisse fallen, geschuldet, wenn der Unterhaltsanspruch dem Grunde nach zu diesem Zeitpunkt bestanden hat.</w:t>
      </w:r>
    </w:p>
    <w:p>
      <w:r>
        <w:t>(2) Der Berechtigte kann für die Vergangenheit ohne die Einschränkung des Absatzes 1 Erfüllung verlangen</w:t>
      </w:r>
    </w:p>
    <w:p>
      <w:pPr>
        <w:tabs>
          <w:tab w:pos="567" w:val="left"/>
        </w:tabs>
        <w:ind w:left="567" w:hanging="567"/>
      </w:pPr>
      <w:r>
        <w:t>1.</w:t>
      </w:r>
      <w:r>
        <w:tab/>
      </w:r>
      <w:r>
        <w:t>wegen eines unregelmäßigen außergewöhnlich hohen Bedarfs (Sonderbedarf); nach Ablauf eines Jahres seit seiner Entstehung kann dieser Anspruch nur geltend gemacht werden, wenn vorher der Verpflichtete in Verzug gekommen oder der Anspruch rechtshängig geworden ist;</w:t>
      </w:r>
    </w:p>
    <w:p>
      <w:pPr>
        <w:tabs>
          <w:tab w:pos="567" w:val="left"/>
        </w:tabs>
        <w:ind w:left="567" w:hanging="567"/>
      </w:pPr>
      <w:r>
        <w:t>2.</w:t>
      </w:r>
      <w:r>
        <w:tab/>
      </w:r>
      <w:r>
        <w:t>für den Zeitraum, in dem er</w:t>
      </w:r>
    </w:p>
    <w:p>
      <w:pPr>
        <w:tabs>
          <w:tab w:pos="1134" w:val="left"/>
        </w:tabs>
        <w:ind w:left="1134" w:hanging="567"/>
      </w:pPr>
      <w:r>
        <w:t>a)</w:t>
      </w:r>
      <w:r>
        <w:tab/>
      </w:r>
      <w:r>
        <w:t>aus rechtlichen Gründen oder</w:t>
      </w:r>
    </w:p>
    <w:p>
      <w:pPr>
        <w:tabs>
          <w:tab w:pos="1134" w:val="left"/>
        </w:tabs>
        <w:ind w:left="1134" w:hanging="567"/>
      </w:pPr>
      <w:r>
        <w:t>b)</w:t>
      </w:r>
      <w:r>
        <w:tab/>
      </w:r>
      <w:r>
        <w:t>aus tatsächlichen Gründen, die in den Verantwortungsbereich des Unterhaltspflichtigen fallen,</w:t>
      </w:r>
    </w:p>
    <w:p>
      <w:pPr>
        <w:ind w:left="567"/>
      </w:pPr>
      <w:r>
        <w:t>an der Geltendmachung des Unterhaltsanspruchs gehindert war.</w:t>
      </w:r>
    </w:p>
    <w:p>
      <w:r>
        <w:t xml:space="preserve">(3) </w:t>
      </w:r>
      <w:r>
        <w:rPr>
          <w:rStyle w:val="Satznummer"/>
        </w:rPr>
        <w:t>1</w:t>
      </w:r>
      <w:r>
        <w:t xml:space="preserve">In den Fällen des Absatzes 2 Nr. 2 kann Erfüllung nicht, nur in Teilbeträgen oder erst zu einem späteren Zeitpunkt verlangt werden, soweit die volle oder die sofortige Erfüllung für den Verpflichteten eine unbillige Härte bedeuten würde. </w:t>
      </w:r>
      <w:r>
        <w:rPr>
          <w:rStyle w:val="Satznummer"/>
        </w:rPr>
        <w:t>2</w:t>
      </w:r>
      <w:r>
        <w:t>Dies gilt auch, soweit ein Dritter vom Verpflichteten Ersatz verlangt, weil er anstelle des Verpflichteten Unterhalt gewährt hat.</w:t>
      </w:r>
    </w:p>
    <w:p>
      <w:pPr>
        <w:pStyle w:val="Heading5"/>
      </w:pPr>
      <w:bookmarkStart w:id="2084" w:name="b2069"/>
      <w:r>
        <w:t>§ 1614 Verzicht auf den Unterhaltsanspruch; Vorausleistung</w:t>
      </w:r>
      <w:r>
        <w:t xml:space="preserve"> </w:t>
      </w:r>
      <w:r>
        <w:rPr>
          <w:rStyle w:val="Suchmarke"/>
        </w:rPr>
        <w:t>#1614#</w:t>
      </w:r>
      <w:bookmarkEnd w:id="2084"/>
    </w:p>
    <w:p>
      <w:r>
        <w:t>(1) Für die Zukunft kann auf den Unterhalt nicht verzichtet werden.</w:t>
      </w:r>
    </w:p>
    <w:p>
      <w:r>
        <w:t xml:space="preserve">(2) Durch eine Vorausleistung wird der Verpflichtete bei erneuter Bedürftigkeit des Berechtigten nur für den im </w:t>
      </w:r>
      <w:hyperlink w:anchor="b1205" w:history="1">
        <w:r>
          <w:rPr>
            <w:color w:val="0A3A8C"/>
            <w:u w:val="single"/>
          </w:rPr>
          <w:t xml:space="preserve">§ 760</w:t>
        </w:r>
      </w:hyperlink>
      <w:r>
        <w:t xml:space="preserve"> Abs. 2 bestimmten Zeitabschnitt oder, wenn er selbst den Zeitabschnitt zu bestimmen hatte, für einen den Umständen nach angemessenen Zeitabschnitt befreit.</w:t>
      </w:r>
    </w:p>
    <w:p>
      <w:pPr>
        <w:pStyle w:val="Heading5"/>
      </w:pPr>
      <w:bookmarkStart w:id="2085" w:name="b2070"/>
      <w:r>
        <w:t>§ 1615 Erlöschen des Unterhaltsanspruchs</w:t>
      </w:r>
      <w:r>
        <w:t xml:space="preserve"> </w:t>
      </w:r>
      <w:r>
        <w:rPr>
          <w:rStyle w:val="Suchmarke"/>
        </w:rPr>
        <w:t>#1615#</w:t>
      </w:r>
      <w:bookmarkEnd w:id="2085"/>
    </w:p>
    <w:p>
      <w:r>
        <w:t>(1) Der Unterhaltsanspruch erlischt mit dem Tode des Berechtigten oder des Verpflichteten, soweit er nicht auf Erfüllung oder Schadensersatz wegen Nichterfüllung für die Vergangenheit oder auf solche im Voraus zu bewirkende Leistungen gerichtet ist, die zur Zeit des Todes des Berechtigten oder des Verpflichteten fällig sind.</w:t>
      </w:r>
    </w:p>
    <w:p>
      <w:r>
        <w:t>(2) Im Falle des Todes des Berechtigten hat der Verpflichtete die Kosten der Beerdigung zu tragen, soweit ihre Bezahlung nicht von dem Erben zu erlangen ist.</w:t>
      </w:r>
    </w:p>
    <w:p>
      <w:pPr>
        <w:pStyle w:val="Heading4"/>
      </w:pPr>
      <w:bookmarkStart w:id="2086" w:name="b2071"/>
      <w:r>
        <w:t>Untertitel 2 Besondere Vorschriften für das Kind und seine nicht miteinander verheirateten Eltern</w:t>
      </w:r>
      <w:bookmarkEnd w:id="2086"/>
    </w:p>
    <w:p>
      <w:pPr>
        <w:pStyle w:val="Heading5"/>
      </w:pPr>
      <w:bookmarkStart w:id="2087" w:name="b2072"/>
      <w:r>
        <w:t>§ 1615a Anwendbare Vorschriften</w:t>
      </w:r>
      <w:r>
        <w:t xml:space="preserve"> </w:t>
      </w:r>
      <w:r>
        <w:rPr>
          <w:rStyle w:val="Suchmarke"/>
        </w:rPr>
        <w:t>#1615a#</w:t>
      </w:r>
      <w:bookmarkEnd w:id="2087"/>
    </w:p>
    <w:p>
      <w:r>
        <w:t xml:space="preserve">Besteht für ein Kind keine Vaterschaft nach </w:t>
      </w:r>
      <w:hyperlink w:anchor="b2035" w:history="1">
        <w:r>
          <w:rPr>
            <w:color w:val="0A3A8C"/>
            <w:u w:val="single"/>
          </w:rPr>
          <w:t xml:space="preserve">§ 1592</w:t>
        </w:r>
      </w:hyperlink>
      <w:r>
        <w:t xml:space="preserve"> Nr. 1, </w:t>
      </w:r>
      <w:hyperlink w:anchor="b2036" w:history="1">
        <w:r>
          <w:rPr>
            <w:color w:val="0A3A8C"/>
            <w:u w:val="single"/>
          </w:rPr>
          <w:t xml:space="preserve">§ 1593</w:t>
        </w:r>
      </w:hyperlink>
      <w:r>
        <w:t xml:space="preserve"> und haben die Eltern das Kind auch nicht während ihrer Ehe gezeugt oder nach seiner Geburt die Ehe miteinander geschlossen, gelten die allgemeinen Vorschriften, soweit sich nichts anderes aus den folgenden Vorschriften ergibt.</w:t>
      </w:r>
    </w:p>
    <w:p>
      <w:pPr>
        <w:pStyle w:val="Heading5"/>
      </w:pPr>
      <w:bookmarkStart w:id="2088" w:name="b2073"/>
      <w:r>
        <w:t>§§ 1615b bis 1615k (weggefallen)</w:t>
      </w:r>
      <w:bookmarkEnd w:id="2088"/>
    </w:p>
    <w:p>
      <w:pPr>
        <w:pStyle w:val="Heading5"/>
      </w:pPr>
      <w:bookmarkStart w:id="2089" w:name="b2074"/>
      <w:r>
        <w:t>§ 1615l Unterhaltsanspruch von Mutter und Vater aus Anlass der Geburt</w:t>
      </w:r>
      <w:r>
        <w:t xml:space="preserve"> </w:t>
      </w:r>
      <w:r>
        <w:rPr>
          <w:rStyle w:val="Suchmarke"/>
        </w:rPr>
        <w:t>#1615l#</w:t>
      </w:r>
      <w:bookmarkEnd w:id="2089"/>
    </w:p>
    <w:p>
      <w:r>
        <w:t xml:space="preserve">(1) </w:t>
      </w:r>
      <w:r>
        <w:rPr>
          <w:rStyle w:val="Satznummer"/>
        </w:rPr>
        <w:t>1</w:t>
      </w:r>
      <w:r>
        <w:t xml:space="preserve">Der Vater hat der Mutter für die Dauer von sechs Wochen vor und acht Wochen nach der Geburt des Kindes Unterhalt zu gewähren. </w:t>
      </w:r>
      <w:r>
        <w:rPr>
          <w:rStyle w:val="Satznummer"/>
        </w:rPr>
        <w:t>2</w:t>
      </w:r>
      <w:r>
        <w:t>Dies gilt auch hinsichtlich der Kosten, die infolge der Schwangerschaft oder der Entbindung außerhalb dieses Zeitraums entstehen.</w:t>
      </w:r>
    </w:p>
    <w:p>
      <w:r>
        <w:t xml:space="preserve">(2) </w:t>
      </w:r>
      <w:r>
        <w:rPr>
          <w:rStyle w:val="Satznummer"/>
        </w:rPr>
        <w:t>1</w:t>
      </w:r>
      <w:r>
        <w:t xml:space="preserve">Soweit die Mutter einer Erwerbstätigkeit nicht nachgeht, weil sie infolge der Schwangerschaft oder einer durch die Schwangerschaft oder die Entbindung verursachten Krankheit dazu außerstande ist, ist der Vater verpflichtet, ihr über die in Absatz 1 Satz 1 bezeichnete Zeit hinaus Unterhalt zu gewähren. </w:t>
      </w:r>
      <w:r>
        <w:rPr>
          <w:rStyle w:val="Satznummer"/>
        </w:rPr>
        <w:t>2</w:t>
      </w:r>
      <w:r>
        <w:t xml:space="preserve">Das Gleiche gilt, soweit von der Mutter wegen der Pflege oder Erziehung des Kindes eine Erwerbstätigkeit nicht erwartet werden kann. </w:t>
      </w:r>
      <w:r>
        <w:rPr>
          <w:rStyle w:val="Satznummer"/>
        </w:rPr>
        <w:t>3</w:t>
      </w:r>
      <w:r>
        <w:t xml:space="preserve">Die Unterhaltspflicht beginnt frühestens vier Monate vor der Geburt und besteht für mindestens drei Jahre nach der Geburt. </w:t>
      </w:r>
      <w:r>
        <w:rPr>
          <w:rStyle w:val="Satznummer"/>
        </w:rPr>
        <w:t>4</w:t>
      </w:r>
      <w:r>
        <w:t xml:space="preserve">Sie verlängert sich, solange und soweit dies der Billigkeit entspricht. </w:t>
      </w:r>
      <w:r>
        <w:rPr>
          <w:rStyle w:val="Satznummer"/>
        </w:rPr>
        <w:t>5</w:t>
      </w:r>
      <w:r>
        <w:t>Dabei sind insbesondere die Belange des Kindes und die bestehenden Möglichkeiten der Kinderbetreuung zu berücksichtigen.</w:t>
      </w:r>
    </w:p>
    <w:p>
      <w:r>
        <w:t xml:space="preserve">(3) </w:t>
      </w:r>
      <w:r>
        <w:rPr>
          <w:rStyle w:val="Satznummer"/>
        </w:rPr>
        <w:t>1</w:t>
      </w:r>
      <w:r>
        <w:t xml:space="preserve">Die Vorschriften über die Unterhaltspflicht zwischen Verwandten sind entsprechend anzuwenden. </w:t>
      </w:r>
      <w:r>
        <w:rPr>
          <w:rStyle w:val="Satznummer"/>
        </w:rPr>
        <w:t>2</w:t>
      </w:r>
      <w:r>
        <w:t xml:space="preserve">Die Verpflichtung des Vaters geht der Verpflichtung der Verwandten der Mutter vor. </w:t>
      </w:r>
      <w:r>
        <w:rPr>
          <w:rStyle w:val="Satznummer"/>
        </w:rPr>
        <w:t>3</w:t>
      </w:r>
      <w:hyperlink w:anchor="b2068" w:history="1">
        <w:r>
          <w:rPr>
            <w:color w:val="0A3A8C"/>
            <w:u w:val="single"/>
          </w:rPr>
          <w:t xml:space="preserve">§ 1613</w:t>
        </w:r>
      </w:hyperlink>
      <w:r>
        <w:t xml:space="preserve"> Abs. 2 gilt entsprechend. </w:t>
      </w:r>
      <w:r>
        <w:rPr>
          <w:rStyle w:val="Satznummer"/>
        </w:rPr>
        <w:t>4</w:t>
      </w:r>
      <w:r>
        <w:t>Der Anspruch erlischt nicht mit dem Tode des Vaters.</w:t>
      </w:r>
    </w:p>
    <w:p>
      <w:r>
        <w:t xml:space="preserve">(4) </w:t>
      </w:r>
      <w:r>
        <w:rPr>
          <w:rStyle w:val="Satznummer"/>
        </w:rPr>
        <w:t>1</w:t>
      </w:r>
      <w:r>
        <w:t xml:space="preserve">Wenn der Vater das Kind betreut, steht ihm der Anspruch nach Absatz 2 Satz 2 gegen die Mutter zu. </w:t>
      </w:r>
      <w:r>
        <w:rPr>
          <w:rStyle w:val="Satznummer"/>
        </w:rPr>
        <w:t>2</w:t>
      </w:r>
      <w:r>
        <w:t>In diesem Falle gilt Absatz 3 entsprechend.</w:t>
      </w:r>
    </w:p>
    <w:p>
      <w:pPr>
        <w:pStyle w:val="Heading5"/>
      </w:pPr>
      <w:bookmarkStart w:id="2090" w:name="b2075"/>
      <w:r>
        <w:t>§ 1615m Beerdigungskosten für die Mutter</w:t>
      </w:r>
      <w:r>
        <w:t xml:space="preserve"> </w:t>
      </w:r>
      <w:r>
        <w:rPr>
          <w:rStyle w:val="Suchmarke"/>
        </w:rPr>
        <w:t>#1615m#</w:t>
      </w:r>
      <w:bookmarkEnd w:id="2090"/>
    </w:p>
    <w:p>
      <w:r>
        <w:t>Stirbt die Mutter infolge der Schwangerschaft oder der Entbindung, so hat der Vater die Kosten der Beerdigung zu tragen, soweit ihre Bezahlung nicht von dem Erben der Mutter zu erlangen ist.</w:t>
      </w:r>
    </w:p>
    <w:p>
      <w:pPr>
        <w:pStyle w:val="Heading5"/>
      </w:pPr>
      <w:bookmarkStart w:id="2091" w:name="b2076"/>
      <w:r>
        <w:t>§ 1615n Kein Erlöschen bei Tod des Vaters oder Totgeburt</w:t>
      </w:r>
      <w:r>
        <w:t xml:space="preserve"> </w:t>
      </w:r>
      <w:r>
        <w:rPr>
          <w:rStyle w:val="Suchmarke"/>
        </w:rPr>
        <w:t>#1615n#</w:t>
      </w:r>
      <w:bookmarkEnd w:id="2091"/>
    </w:p>
    <w:p>
      <w:r>
        <w:rPr>
          <w:rStyle w:val="Satznummer"/>
        </w:rPr>
        <w:t>1</w:t>
      </w:r>
      <w:r>
        <w:t xml:space="preserve">Die Ansprüche nach den </w:t>
      </w:r>
      <w:hyperlink w:anchor="b2074" w:history="1">
        <w:r>
          <w:rPr>
            <w:color w:val="0A3A8C"/>
            <w:u w:val="single"/>
          </w:rPr>
          <w:t xml:space="preserve">§§ 1615l</w:t>
        </w:r>
      </w:hyperlink>
      <w:r>
        <w:t xml:space="preserve">, </w:t>
      </w:r>
      <w:hyperlink w:anchor="b2075" w:history="1">
        <w:r>
          <w:rPr>
            <w:color w:val="0A3A8C"/>
            <w:u w:val="single"/>
          </w:rPr>
          <w:t xml:space="preserve">1615m</w:t>
        </w:r>
      </w:hyperlink>
      <w:r>
        <w:t xml:space="preserve"> bestehen auch dann, wenn der Vater vor der Geburt des Kindes gestorben oder wenn das Kind tot geboren ist. </w:t>
      </w:r>
      <w:r>
        <w:rPr>
          <w:rStyle w:val="Satznummer"/>
        </w:rPr>
        <w:t>2</w:t>
      </w:r>
      <w:r>
        <w:t xml:space="preserve">Bei einer Fehlgeburt gelten die Vorschriften der </w:t>
      </w:r>
      <w:hyperlink w:anchor="b2074" w:history="1">
        <w:r>
          <w:rPr>
            <w:color w:val="0A3A8C"/>
            <w:u w:val="single"/>
          </w:rPr>
          <w:t xml:space="preserve">§§ 1615l</w:t>
        </w:r>
      </w:hyperlink>
      <w:r>
        <w:t xml:space="preserve">, </w:t>
      </w:r>
      <w:hyperlink w:anchor="b2075" w:history="1">
        <w:r>
          <w:rPr>
            <w:color w:val="0A3A8C"/>
            <w:u w:val="single"/>
          </w:rPr>
          <w:t xml:space="preserve">1615m</w:t>
        </w:r>
      </w:hyperlink>
      <w:r>
        <w:t xml:space="preserve"> sinngemäß.</w:t>
      </w:r>
    </w:p>
    <w:p>
      <w:pPr>
        <w:pStyle w:val="Heading3"/>
      </w:pPr>
      <w:bookmarkStart w:id="2092" w:name="b2077"/>
      <w:r>
        <w:t>Titel 4 Rechtsverhältnis zwischen den Eltern und dem Kind im Allgemeinen</w:t>
      </w:r>
      <w:bookmarkEnd w:id="2092"/>
    </w:p>
    <w:p>
      <w:pPr>
        <w:pStyle w:val="Heading4"/>
      </w:pPr>
      <w:bookmarkStart w:id="2093" w:name="b2078"/>
      <w:r>
        <w:t>§ 1616 Geburtsname bei Eltern mit Ehenamen</w:t>
      </w:r>
      <w:r>
        <w:t xml:space="preserve"> </w:t>
      </w:r>
      <w:r>
        <w:rPr>
          <w:rStyle w:val="Suchmarke"/>
        </w:rPr>
        <w:t>#1616#</w:t>
      </w:r>
      <w:bookmarkEnd w:id="2093"/>
    </w:p>
    <w:p>
      <w:r>
        <w:t>Das Kind erhält den Ehenamen seiner Eltern als Geburtsnamen.</w:t>
      </w:r>
    </w:p>
    <w:p>
      <w:pPr>
        <w:pStyle w:val="Heading4"/>
      </w:pPr>
      <w:bookmarkStart w:id="2094" w:name="b2079"/>
      <w:r>
        <w:t>§ 1617 Geburtsname bei Eltern ohne Ehenamen und gemeinsamer Sorge</w:t>
      </w:r>
      <w:r>
        <w:t xml:space="preserve"> </w:t>
      </w:r>
      <w:r>
        <w:rPr>
          <w:rStyle w:val="Suchmarke"/>
        </w:rPr>
        <w:t>#1617#</w:t>
      </w:r>
      <w:bookmarkEnd w:id="2094"/>
    </w:p>
    <w:p>
      <w:r>
        <w:t xml:space="preserve">(1) </w:t>
      </w:r>
      <w:r>
        <w:rPr>
          <w:rStyle w:val="Satznummer"/>
        </w:rPr>
        <w:t>1</w:t>
      </w:r>
      <w:r>
        <w:t>Führen die Eltern keinen Ehenamen und steht ihnen die elterliche Sorge gemeinsam zu, so bestimmen sie durch Erklärung gegenüber dem Standesamt einen der folgenden Namen zum Geburtsnamen des Kindes:</w:t>
      </w:r>
    </w:p>
    <w:p>
      <w:pPr>
        <w:tabs>
          <w:tab w:pos="567" w:val="left"/>
        </w:tabs>
        <w:ind w:left="567" w:hanging="567"/>
      </w:pPr>
      <w:r>
        <w:t>1.</w:t>
      </w:r>
      <w:r>
        <w:tab/>
      </w:r>
      <w:r>
        <w:t>den Familiennamen, den ein Elternteil zur Zeit der Erklärung führt, oder</w:t>
      </w:r>
    </w:p>
    <w:p>
      <w:pPr>
        <w:tabs>
          <w:tab w:pos="567" w:val="left"/>
        </w:tabs>
        <w:ind w:left="567" w:hanging="567"/>
      </w:pPr>
      <w:r>
        <w:t>2.</w:t>
      </w:r>
      <w:r>
        <w:tab/>
      </w:r>
      <w:r>
        <w:t>einen aus den Namen (Nummer 1) beider Elternteile gebildeten Doppelnamen.</w:t>
      </w:r>
    </w:p>
    <w:p>
      <w:r>
        <w:rPr>
          <w:rStyle w:val="Satznummer"/>
        </w:rPr>
        <w:t>2</w:t>
      </w:r>
      <w:r>
        <w:t>Im Fall des Satzes 1 Nummer 2 werden die für den Doppelnamen herangezogenen Namen durch einen Bindestrich verbunden, es sei denn, die Eltern bestimmen mit der Erklärung nach Satz 1, dass die Namen nicht durch einen Bindestrich verbunden werden.</w:t>
      </w:r>
    </w:p>
    <w:p>
      <w:r>
        <w:t>(2) Besteht der Name eines Elternteils, der nach Absatz 1 allein oder als einer der Namen eines Doppelnamens zum Geburtsnamen des Kindes bestimmt werden soll, aus mehreren Namen, so gilt zusätzlich:</w:t>
      </w:r>
    </w:p>
    <w:p>
      <w:pPr>
        <w:tabs>
          <w:tab w:pos="567" w:val="left"/>
        </w:tabs>
        <w:ind w:left="567" w:hanging="567"/>
      </w:pPr>
      <w:r>
        <w:t>1.</w:t>
      </w:r>
      <w:r>
        <w:tab/>
      </w:r>
      <w:r>
        <w:t>im Fall des Absatzes 1 Satz 1 Nummer 1 können anstelle des gesamten Namens auch nur einer oder einige der Namen, aus denen der Name besteht, zum Geburtsnamen des Kindes bestimmt werden,</w:t>
      </w:r>
    </w:p>
    <w:p>
      <w:pPr>
        <w:tabs>
          <w:tab w:pos="567" w:val="left"/>
        </w:tabs>
        <w:ind w:left="567" w:hanging="567"/>
      </w:pPr>
      <w:r>
        <w:t>2.</w:t>
      </w:r>
      <w:r>
        <w:tab/>
      </w:r>
      <w:r>
        <w:t>im Fall des Absatzes 1 Satz 1 Nummer 2 darf nur einer der Namen, aus denen der Name besteht, für die Bildung des Doppelnamens herangezogen werden.</w:t>
      </w:r>
    </w:p>
    <w:p>
      <w:r>
        <w:t>(3) Eine nach der Beurkundung der Geburt abgegebene Erklärung muss öffentlich beglaubigt werden.</w:t>
      </w:r>
    </w:p>
    <w:p>
      <w:r>
        <w:t xml:space="preserve">(4) </w:t>
      </w:r>
      <w:r>
        <w:rPr>
          <w:rStyle w:val="Satznummer"/>
        </w:rPr>
        <w:t>1</w:t>
      </w:r>
      <w:r>
        <w:t xml:space="preserve">Treffen die Eltern binnen eines Monats nach der Geburt des Kindes keine Bestimmung, so erhält das Kind einen in alphabetischer Reihenfolge aus den Namen (Absatz 1 Satz 1 Nummer 1) beider Elternteile gebildeten Doppelnamen. </w:t>
      </w:r>
      <w:r>
        <w:rPr>
          <w:rStyle w:val="Satznummer"/>
        </w:rPr>
        <w:t>2</w:t>
      </w:r>
      <w:r>
        <w:t xml:space="preserve">Besteht der Name eines Elternteils aus mehreren Namen, so wird der alphabetisch voranstehende Name für die Bildung des Doppelnamens herangezogen. </w:t>
      </w:r>
      <w:r>
        <w:rPr>
          <w:rStyle w:val="Satznummer"/>
        </w:rPr>
        <w:t>3</w:t>
      </w:r>
      <w:r>
        <w:t xml:space="preserve">Die herangezogenen Namen werden durch einen Bindestrich verbunden. </w:t>
      </w:r>
      <w:r>
        <w:rPr>
          <w:rStyle w:val="Satznummer"/>
        </w:rPr>
        <w:t>4</w:t>
      </w:r>
      <w:r>
        <w:t xml:space="preserve">Ergibt sich nach den Sätzen 1 bis 3 ein Geburtsname des Kindes, den zumindest ein Elternteil durch Erklärung gegenüber dem Standesamt ablehnt, so überträgt das Familiengericht das Recht zur Bestimmung des Geburtsnamens des Kindes einem Elternteil. </w:t>
      </w:r>
      <w:r>
        <w:rPr>
          <w:rStyle w:val="Satznummer"/>
        </w:rPr>
        <w:t>5</w:t>
      </w:r>
      <w:r>
        <w:t xml:space="preserve">Die Absätze 1 bis 3 und </w:t>
      </w:r>
      <w:hyperlink w:anchor="b2082" w:history="1">
        <w:r>
          <w:rPr>
            <w:color w:val="0A3A8C"/>
            <w:u w:val="single"/>
          </w:rPr>
          <w:t xml:space="preserve">§ 1617c</w:t>
        </w:r>
      </w:hyperlink>
      <w:r>
        <w:t xml:space="preserve"> Absatz 1 gelten entsprechend. </w:t>
      </w:r>
      <w:r>
        <w:rPr>
          <w:rStyle w:val="Satznummer"/>
        </w:rPr>
        <w:t>6</w:t>
      </w:r>
      <w:r>
        <w:t xml:space="preserve">Das Gericht kann dem Elternteil für die Ausübung des Bestimmungsrechts eine Frist setzen. </w:t>
      </w:r>
      <w:r>
        <w:rPr>
          <w:rStyle w:val="Satznummer"/>
        </w:rPr>
        <w:t>7</w:t>
      </w:r>
      <w:r>
        <w:t>Ist nach Ablauf der Frist das Bestimmungsrecht nicht ausgeübt worden, so erhält das Kind den sich nach den Sätzen 1 bis 3 ergebenden Geburtsnamen.</w:t>
      </w:r>
    </w:p>
    <w:p>
      <w:r>
        <w:t>(5) Der von den Eltern oder einem Elternteil bestimmte Geburtsname gilt auch für ihre weiteren gemeinsamen Kinder.</w:t>
      </w:r>
    </w:p>
    <w:p>
      <w:pPr>
        <w:pStyle w:val="Heading4"/>
      </w:pPr>
      <w:bookmarkStart w:id="2095" w:name="b2080"/>
      <w:r>
        <w:t>§ 1617a Geburtsname bei Eltern ohne Ehenamen und Alleinsorge</w:t>
      </w:r>
      <w:r>
        <w:t xml:space="preserve"> </w:t>
      </w:r>
      <w:r>
        <w:rPr>
          <w:rStyle w:val="Suchmarke"/>
        </w:rPr>
        <w:t>#1617a#</w:t>
      </w:r>
      <w:bookmarkEnd w:id="2095"/>
    </w:p>
    <w:p>
      <w:r>
        <w:t>(1) Führen die Eltern keinen Ehenamen und steht die elterliche Sorge nur einem Elternteil zu, so erhält das Kind den Familiennamen, den dieser Elternteil im Zeitpunkt der Geburt des Kindes führt, als Geburtsnamen.</w:t>
      </w:r>
    </w:p>
    <w:p>
      <w:r>
        <w:t>(2) Besteht der Name des Elternteils, dessen Name nach Absatz 1 der Geburtsname des Kindes geworden ist und dem die elterliche Sorge für das Kind allein zusteht, aus mehreren Namen, so kann dieser Elternteil dem Kind durch Erklärung gegenüber dem Standesamt nur einen oder einige der Namen, aus denen der Name besteht, erteilen.</w:t>
      </w:r>
    </w:p>
    <w:p>
      <w:r>
        <w:t xml:space="preserve">(3) </w:t>
      </w:r>
      <w:r>
        <w:rPr>
          <w:rStyle w:val="Satznummer"/>
        </w:rPr>
        <w:t>1</w:t>
      </w:r>
      <w:r>
        <w:t xml:space="preserve">Der Elternteil, dessen Name nach Absatz 1 oder 2 der Geburtsname des Kindes geworden ist und dem die elterliche Sorge für das Kind allein zusteht, kann dem Kind durch Erklärung gegenüber dem Standesamt den Familiennamen des anderen Elternteils oder einen aus den Familiennamen beider Elternteile gebildeten Doppelnamen erteilen. </w:t>
      </w:r>
      <w:r>
        <w:rPr>
          <w:rStyle w:val="Satznummer"/>
        </w:rPr>
        <w:t>2</w:t>
      </w:r>
      <w:hyperlink w:anchor="b2079" w:history="1">
        <w:r>
          <w:rPr>
            <w:color w:val="0A3A8C"/>
            <w:u w:val="single"/>
          </w:rPr>
          <w:t xml:space="preserve">§ 1617</w:t>
        </w:r>
      </w:hyperlink>
      <w:r>
        <w:t xml:space="preserve"> Absatz 1 Satz 2 und Absatz 2 gilt entsprechend.</w:t>
      </w:r>
    </w:p>
    <w:p>
      <w:r>
        <w:t xml:space="preserve">(4) </w:t>
      </w:r>
      <w:r>
        <w:rPr>
          <w:rStyle w:val="Satznummer"/>
        </w:rPr>
        <w:t>1</w:t>
      </w:r>
      <w:r>
        <w:t xml:space="preserve">Die Erteilung des Namens nach den Absätzen 2 und 3 bedarf, wenn das Kind das fünfte Lebensjahr vollendet hat, der Einwilligung des Kindes und in den Fällen des Absatzes 3 auch der Einwilligung des anderen Elternteils, es sei denn, dieser ist bereits verstorben. </w:t>
      </w:r>
      <w:r>
        <w:rPr>
          <w:rStyle w:val="Satznummer"/>
        </w:rPr>
        <w:t>2</w:t>
      </w:r>
      <w:r>
        <w:t xml:space="preserve">Die Erklärungen müssen öffentlich beglaubigt werden, die Erklärung nach Absatz 2 jedoch nur, wenn sie nach der Beurkundung der Geburt abgegeben wird. </w:t>
      </w:r>
      <w:r>
        <w:rPr>
          <w:rStyle w:val="Satznummer"/>
        </w:rPr>
        <w:t>3</w:t>
      </w:r>
      <w:r>
        <w:t xml:space="preserve">Für die Einwilligung des Kindes gilt </w:t>
      </w:r>
      <w:hyperlink w:anchor="b2082" w:history="1">
        <w:r>
          <w:rPr>
            <w:color w:val="0A3A8C"/>
            <w:u w:val="single"/>
          </w:rPr>
          <w:t xml:space="preserve">§ 1617c</w:t>
        </w:r>
      </w:hyperlink>
      <w:r>
        <w:t xml:space="preserve"> Absatz 1 Satz 2 entsprechend.</w:t>
      </w:r>
    </w:p>
    <w:p>
      <w:pPr>
        <w:pStyle w:val="Heading4"/>
      </w:pPr>
      <w:bookmarkStart w:id="2096" w:name="b2081"/>
      <w:r>
        <w:t>§ 1617b Name bei nachträglicher gemeinsamer Sorge oder Scheinvaterschaft</w:t>
      </w:r>
      <w:r>
        <w:t xml:space="preserve"> </w:t>
      </w:r>
      <w:r>
        <w:rPr>
          <w:rStyle w:val="Suchmarke"/>
        </w:rPr>
        <w:t>#1617b#</w:t>
      </w:r>
      <w:bookmarkEnd w:id="2096"/>
    </w:p>
    <w:p>
      <w:r>
        <w:t xml:space="preserve">(1) </w:t>
      </w:r>
      <w:r>
        <w:rPr>
          <w:rStyle w:val="Satznummer"/>
        </w:rPr>
        <w:t>1</w:t>
      </w:r>
      <w:r>
        <w:t xml:space="preserve">Wird eine gemeinsame Sorge der Eltern erst begründet, wenn das Kind bereits einen Geburtsnamen führt, so kann dieser neu bestimmt werden. </w:t>
      </w:r>
      <w:r>
        <w:rPr>
          <w:rStyle w:val="Satznummer"/>
        </w:rPr>
        <w:t>2</w:t>
      </w:r>
      <w:r>
        <w:t xml:space="preserve">Hat das Kind das fünfte Lebensjahr vollendet, so ist die Bestimmung nur wirksam, wenn es sich der Bestimmung anschließt. </w:t>
      </w:r>
      <w:r>
        <w:rPr>
          <w:rStyle w:val="Satznummer"/>
        </w:rPr>
        <w:t>3</w:t>
      </w:r>
      <w:hyperlink w:anchor="b2079" w:history="1">
        <w:r>
          <w:rPr>
            <w:color w:val="0A3A8C"/>
            <w:u w:val="single"/>
          </w:rPr>
          <w:t xml:space="preserve">§ 1617</w:t>
        </w:r>
      </w:hyperlink>
      <w:r>
        <w:t xml:space="preserve"> Absatz 1 bis 3 und 5 sowie </w:t>
      </w:r>
      <w:hyperlink w:anchor="b2082" w:history="1">
        <w:r>
          <w:rPr>
            <w:color w:val="0A3A8C"/>
            <w:u w:val="single"/>
          </w:rPr>
          <w:t xml:space="preserve">§ 1617c</w:t>
        </w:r>
      </w:hyperlink>
      <w:r>
        <w:t xml:space="preserve"> Absatz 1 Satz 2 gelten entsprechend.</w:t>
      </w:r>
    </w:p>
    <w:p>
      <w:r>
        <w:t xml:space="preserve">(2) </w:t>
      </w:r>
      <w:r>
        <w:rPr>
          <w:rStyle w:val="Satznummer"/>
        </w:rPr>
        <w:t>1</w:t>
      </w:r>
      <w:r>
        <w:t xml:space="preserve">Wird rechtskräftig festgestellt, dass ein Mann, dessen Familienname Geburtsname des Kindes geworden ist, nicht der Vater des Kindes ist, so erhält das Kind auf seinen Antrag oder, wenn das Kind das fünfte Lebensjahr noch nicht vollendet hat, auch auf Antrag des Mannes den Familiennamen, den die Mutter im Zeitpunkt der Geburt des Kindes führt, als Geburtsnamen. </w:t>
      </w:r>
      <w:r>
        <w:rPr>
          <w:rStyle w:val="Satznummer"/>
        </w:rPr>
        <w:t>2</w:t>
      </w:r>
      <w:r>
        <w:t xml:space="preserve">Der Antrag erfolgt durch Erklärung gegenüber dem Standesamt, die öffentlich beglaubigt werden muss. </w:t>
      </w:r>
      <w:r>
        <w:rPr>
          <w:rStyle w:val="Satznummer"/>
        </w:rPr>
        <w:t>3</w:t>
      </w:r>
      <w:r>
        <w:t xml:space="preserve">Für den Antrag des Kindes gilt </w:t>
      </w:r>
      <w:hyperlink w:anchor="b2082" w:history="1">
        <w:r>
          <w:rPr>
            <w:color w:val="0A3A8C"/>
            <w:u w:val="single"/>
          </w:rPr>
          <w:t xml:space="preserve">§ 1617c</w:t>
        </w:r>
      </w:hyperlink>
      <w:r>
        <w:t xml:space="preserve"> Absatz 1 Satz 2 und Absatz 3 entsprechend.</w:t>
      </w:r>
    </w:p>
    <w:p>
      <w:r>
        <w:t xml:space="preserve">(3) Erhält das Kind nach Absatz 2 den Familiennamen der Mutter als Geburtsnamen, so gilt </w:t>
      </w:r>
      <w:hyperlink w:anchor="b2080" w:history="1">
        <w:r>
          <w:rPr>
            <w:color w:val="0A3A8C"/>
            <w:u w:val="single"/>
          </w:rPr>
          <w:t xml:space="preserve">§ 1617a</w:t>
        </w:r>
      </w:hyperlink>
      <w:r>
        <w:t xml:space="preserve"> Absatz 2 und 4 entsprechend, wenn ihr Name aus mehreren Namen besteht.</w:t>
      </w:r>
    </w:p>
    <w:p>
      <w:pPr>
        <w:pStyle w:val="Heading4"/>
      </w:pPr>
      <w:bookmarkStart w:id="2097" w:name="b2082"/>
      <w:r>
        <w:t>§ 1617c Name bei Namensänderung der Eltern</w:t>
      </w:r>
      <w:r>
        <w:t xml:space="preserve"> </w:t>
      </w:r>
      <w:r>
        <w:rPr>
          <w:rStyle w:val="Suchmarke"/>
        </w:rPr>
        <w:t>#1617c#</w:t>
      </w:r>
      <w:bookmarkEnd w:id="2097"/>
    </w:p>
    <w:p>
      <w:r>
        <w:t xml:space="preserve">(1) </w:t>
      </w:r>
      <w:r>
        <w:rPr>
          <w:rStyle w:val="Satznummer"/>
        </w:rPr>
        <w:t>1</w:t>
      </w:r>
      <w:r>
        <w:t xml:space="preserve">Bestimmen die Eltern einen Ehenamen, nachdem das Kind das fünfte Lebensjahr vollendet hat, so erstreckt sich der Ehename auf den Geburtsnamen des Kindes nur dann, wenn es sich der Namensgebung anschließt. </w:t>
      </w:r>
      <w:r>
        <w:rPr>
          <w:rStyle w:val="Satznummer"/>
        </w:rPr>
        <w:t>2</w:t>
      </w:r>
      <w:r>
        <w:t xml:space="preserve">Ein in der Geschäftsfähigkeit beschränktes Kind, welches das 14. Lebensjahr vollendet hat, kann die Erklärung nur selbst abgeben; es bedarf hierzu der Zustimmung seines gesetzlichen Vertreters. </w:t>
      </w:r>
      <w:r>
        <w:rPr>
          <w:rStyle w:val="Satznummer"/>
        </w:rPr>
        <w:t>3</w:t>
      </w:r>
      <w:r>
        <w:t>Die Erklärung ist gegenüber dem Standesamt abzugeben; sie muss öffentlich beglaubigt werden.</w:t>
      </w:r>
    </w:p>
    <w:p>
      <w:r>
        <w:t>(2) Absatz 1 gilt entsprechend,</w:t>
      </w:r>
    </w:p>
    <w:p>
      <w:pPr>
        <w:tabs>
          <w:tab w:pos="567" w:val="left"/>
        </w:tabs>
        <w:ind w:left="567" w:hanging="567"/>
      </w:pPr>
      <w:r>
        <w:t>1.</w:t>
      </w:r>
      <w:r>
        <w:tab/>
      </w:r>
      <w:r>
        <w:t>wenn sich der Ehename, der Geburtsname eines Kindes geworden ist, ändert oder</w:t>
      </w:r>
    </w:p>
    <w:p>
      <w:pPr>
        <w:tabs>
          <w:tab w:pos="567" w:val="left"/>
        </w:tabs>
        <w:ind w:left="567" w:hanging="567"/>
      </w:pPr>
      <w:r>
        <w:t>2.</w:t>
      </w:r>
      <w:r>
        <w:tab/>
      </w:r>
      <w:r>
        <w:t>wenn sich in den Fällen der §§ 1617, 1617a und 1617b der Familienname eines Elternteils, der Geburtsname eines Kindes geworden ist, auf andere Weise als durch Eheschließung ändert.</w:t>
      </w:r>
    </w:p>
    <w:p>
      <w:r>
        <w:t>(3) Eine Änderung des Geburtsnamens erstreckt sich auf den Ehenamen des Kindes nur dann, wenn sich auch der Ehegatte der Namensänderung anschließt; Absatz 1 Satz 3 gilt entsprechend.</w:t>
      </w:r>
    </w:p>
    <w:p>
      <w:pPr>
        <w:pStyle w:val="Heading4"/>
      </w:pPr>
      <w:bookmarkStart w:id="2098" w:name="b2083"/>
      <w:r>
        <w:t>§ 1617d Name nach Scheidung der Eltern oder Tod eines Elternteils</w:t>
      </w:r>
      <w:r>
        <w:t xml:space="preserve"> </w:t>
      </w:r>
      <w:r>
        <w:rPr>
          <w:rStyle w:val="Suchmarke"/>
        </w:rPr>
        <w:t>#1617d#</w:t>
      </w:r>
      <w:bookmarkEnd w:id="2098"/>
    </w:p>
    <w:p>
      <w:r>
        <w:t xml:space="preserve">(1) </w:t>
      </w:r>
      <w:r>
        <w:rPr>
          <w:rStyle w:val="Satznummer"/>
        </w:rPr>
        <w:t>1</w:t>
      </w:r>
      <w:r>
        <w:t>Derjenige Elternteil, dessen Name nicht Ehename geworden ist, dem die elterliche Sorge für ein Kind nach der Scheidung der Eltern allein oder gemeinsam mit dem anderen Elternteil oder nach dem Tod des anderen Elternteils allein zusteht und der das Kind in seinen Haushalt aufgenommen hat, kann durch Erklärung gegenüber dem Standesamt dem Kind einen der folgenden Namen als Geburtsnamen erteilen:</w:t>
      </w:r>
    </w:p>
    <w:p>
      <w:pPr>
        <w:tabs>
          <w:tab w:pos="567" w:val="left"/>
        </w:tabs>
        <w:ind w:left="567" w:hanging="567"/>
      </w:pPr>
      <w:r>
        <w:t>1.</w:t>
      </w:r>
      <w:r>
        <w:tab/>
      </w:r>
      <w:r>
        <w:t xml:space="preserve">seinen gemäß </w:t>
      </w:r>
      <w:hyperlink w:anchor="b1815" w:history="1">
        <w:r>
          <w:rPr>
            <w:color w:val="0A3A8C"/>
            <w:u w:val="single"/>
          </w:rPr>
          <w:t xml:space="preserve">§ 1355</w:t>
        </w:r>
      </w:hyperlink>
      <w:r>
        <w:t xml:space="preserve"> Absatz 5 Satz 2 Nummer 1 und 2 wieder angenommenen Namen oder</w:t>
      </w:r>
    </w:p>
    <w:p>
      <w:pPr>
        <w:tabs>
          <w:tab w:pos="567" w:val="left"/>
        </w:tabs>
        <w:ind w:left="567" w:hanging="567"/>
      </w:pPr>
      <w:r>
        <w:t>2.</w:t>
      </w:r>
      <w:r>
        <w:tab/>
      </w:r>
      <w:r>
        <w:t>einen aus seinem wieder angenommenen Namen (Nummer 1) und dem von dem Kind zur Zeit der Erklärung geführten Geburtsnamen gebildeten Doppelnamen.</w:t>
      </w:r>
    </w:p>
    <w:p>
      <w:r>
        <w:rPr>
          <w:rStyle w:val="Satznummer"/>
        </w:rPr>
        <w:t>2</w:t>
      </w:r>
      <w:hyperlink w:anchor="b2079" w:history="1">
        <w:r>
          <w:rPr>
            <w:color w:val="0A3A8C"/>
            <w:u w:val="single"/>
          </w:rPr>
          <w:t xml:space="preserve">§ 1617</w:t>
        </w:r>
      </w:hyperlink>
      <w:r>
        <w:t xml:space="preserve"> Absatz 1 Satz 2 und Absatz 2 gilt entsprechend.</w:t>
      </w:r>
    </w:p>
    <w:p>
      <w:r>
        <w:t xml:space="preserve">(2) </w:t>
      </w:r>
      <w:r>
        <w:rPr>
          <w:rStyle w:val="Satznummer"/>
        </w:rPr>
        <w:t>1</w:t>
      </w:r>
      <w:r>
        <w:t xml:space="preserve">Wenn das Kind das fünfte Lebensjahr vollendet hat, bedarf die Erteilung des Geburtsnamens nach Absatz 1 seiner Einwilligung; </w:t>
      </w:r>
      <w:hyperlink w:anchor="b2082" w:history="1">
        <w:r>
          <w:rPr>
            <w:color w:val="0A3A8C"/>
            <w:u w:val="single"/>
          </w:rPr>
          <w:t xml:space="preserve">§ 1617c</w:t>
        </w:r>
      </w:hyperlink>
      <w:r>
        <w:t xml:space="preserve"> Absatz 1 Satz 2 gilt entsprechend. </w:t>
      </w:r>
      <w:r>
        <w:rPr>
          <w:rStyle w:val="Satznummer"/>
        </w:rPr>
        <w:t>2</w:t>
      </w:r>
      <w:r>
        <w:t xml:space="preserve">Im Fall der Scheidung der Eltern bedarf die Erteilung des Geburtsnamens nach Absatz 1 auch der Einwilligung des anderen Elternteils, wenn das Kind dessen Namen führt oder diesem Elternteil die elterliche Sorge gemeinsam mit dem den Namen erteilenden Elternteil zusteht. </w:t>
      </w:r>
      <w:r>
        <w:rPr>
          <w:rStyle w:val="Satznummer"/>
        </w:rPr>
        <w:t>3</w:t>
      </w:r>
      <w:r>
        <w:t>Das Familiengericht kann die Einwilligung des anderen Elternteils ersetzen, wenn die Erteilung dem Wohl des Kindes dient.</w:t>
      </w:r>
    </w:p>
    <w:p>
      <w:r>
        <w:t xml:space="preserve">(3) </w:t>
      </w:r>
      <w:r>
        <w:rPr>
          <w:rStyle w:val="Satznummer"/>
        </w:rPr>
        <w:t>1</w:t>
      </w:r>
      <w:r>
        <w:t>Ein volljähriges Kind, dessen einer Elternteil nach Scheidung der Eltern oder Tod des anderen Elternteils einen früheren Namen wieder angenommen hat (</w:t>
      </w:r>
      <w:hyperlink w:anchor="b1815" w:history="1">
        <w:r>
          <w:rPr>
            <w:color w:val="0A3A8C"/>
            <w:u w:val="single"/>
          </w:rPr>
          <w:t xml:space="preserve">§ 1355</w:t>
        </w:r>
      </w:hyperlink>
      <w:r>
        <w:t xml:space="preserve"> Absatz 5 Satz 2), kann durch Erklärung gegenüber dem Standesamt seinen Geburtsnamen neu bestimmen, indem es</w:t>
      </w:r>
    </w:p>
    <w:p>
      <w:pPr>
        <w:tabs>
          <w:tab w:pos="567" w:val="left"/>
        </w:tabs>
        <w:ind w:left="567" w:hanging="567"/>
      </w:pPr>
      <w:r>
        <w:t>1.</w:t>
      </w:r>
      <w:r>
        <w:tab/>
      </w:r>
      <w:r>
        <w:t>sich der Namensänderung dieses Elternteils anschließt oder</w:t>
      </w:r>
    </w:p>
    <w:p>
      <w:pPr>
        <w:tabs>
          <w:tab w:pos="567" w:val="left"/>
        </w:tabs>
        <w:ind w:left="567" w:hanging="567"/>
      </w:pPr>
      <w:r>
        <w:t>2.</w:t>
      </w:r>
      <w:r>
        <w:tab/>
      </w:r>
      <w:r>
        <w:t>aus seinem bisherigen Geburtsnamen und dem von diesem Elternteil wieder angenommenen Familiennamen einen Doppelnamen bildet.</w:t>
      </w:r>
    </w:p>
    <w:p>
      <w:r>
        <w:rPr>
          <w:rStyle w:val="Satznummer"/>
        </w:rPr>
        <w:t>2</w:t>
      </w:r>
      <w:r>
        <w:t xml:space="preserve">Die Neubestimmung des Geburtsnamens bedarf der Einwilligung dieses Elternteils. </w:t>
      </w:r>
      <w:r>
        <w:rPr>
          <w:rStyle w:val="Satznummer"/>
        </w:rPr>
        <w:t>3</w:t>
      </w:r>
      <w:hyperlink w:anchor="b2082" w:history="1">
        <w:r>
          <w:rPr>
            <w:color w:val="0A3A8C"/>
            <w:u w:val="single"/>
          </w:rPr>
          <w:t xml:space="preserve">§ 1617c</w:t>
        </w:r>
      </w:hyperlink>
      <w:r>
        <w:t xml:space="preserve"> Absatz 3 gilt entsprechend.</w:t>
      </w:r>
    </w:p>
    <w:p>
      <w:r>
        <w:t>(4) Die Erklärungen müssen öffentlich beglaubigt werden.</w:t>
      </w:r>
    </w:p>
    <w:p>
      <w:pPr>
        <w:pStyle w:val="Heading4"/>
      </w:pPr>
      <w:bookmarkStart w:id="2099" w:name="b2084"/>
      <w:r>
        <w:t>§ 1617e Einbenennung, Rückbenennung</w:t>
      </w:r>
      <w:r>
        <w:t xml:space="preserve"> </w:t>
      </w:r>
      <w:r>
        <w:rPr>
          <w:rStyle w:val="Suchmarke"/>
        </w:rPr>
        <w:t>#1617e#</w:t>
      </w:r>
      <w:bookmarkEnd w:id="2099"/>
    </w:p>
    <w:p>
      <w:r>
        <w:t xml:space="preserve">(1) </w:t>
      </w:r>
      <w:r>
        <w:rPr>
          <w:rStyle w:val="Satznummer"/>
        </w:rPr>
        <w:t>1</w:t>
      </w:r>
      <w:r>
        <w:t>Der Elternteil, dem die elterliche Sorge für ein Kind allein oder gemeinsam mit dem anderen Elternteil zusteht, und sein Ehegatte, der nicht Elternteil des Kindes ist, können dem Kind, das sie in ihren gemeinsamen Haushalt aufgenommen haben, durch Erklärung gegenüber dem Standesamt einen der folgenden Namen als Geburtsnamen erteilen (Einbenennung):</w:t>
      </w:r>
    </w:p>
    <w:p>
      <w:pPr>
        <w:tabs>
          <w:tab w:pos="567" w:val="left"/>
        </w:tabs>
        <w:ind w:left="567" w:hanging="567"/>
      </w:pPr>
      <w:r>
        <w:t>1.</w:t>
      </w:r>
      <w:r>
        <w:tab/>
      </w:r>
      <w:r>
        <w:t>ihren Ehenamen oder</w:t>
      </w:r>
    </w:p>
    <w:p>
      <w:pPr>
        <w:tabs>
          <w:tab w:pos="567" w:val="left"/>
        </w:tabs>
        <w:ind w:left="567" w:hanging="567"/>
      </w:pPr>
      <w:r>
        <w:t>2.</w:t>
      </w:r>
      <w:r>
        <w:tab/>
      </w:r>
      <w:r>
        <w:t>einen aus ihrem Ehenamen und dem von dem Kind zur Zeit der Erklärung geführten Geburtsnamen gebildeten Doppelnamen.</w:t>
      </w:r>
    </w:p>
    <w:p>
      <w:r>
        <w:rPr>
          <w:rStyle w:val="Satznummer"/>
        </w:rPr>
        <w:t>2</w:t>
      </w:r>
      <w:r>
        <w:t xml:space="preserve">Im Fall des Satzes 1 Nummer 2 gilt </w:t>
      </w:r>
      <w:hyperlink w:anchor="b2079" w:history="1">
        <w:r>
          <w:rPr>
            <w:color w:val="0A3A8C"/>
            <w:u w:val="single"/>
          </w:rPr>
          <w:t xml:space="preserve">§ 1617</w:t>
        </w:r>
      </w:hyperlink>
      <w:r>
        <w:t xml:space="preserve"> Absatz 1 Satz 2 und Absatz 2 Nummer 2 entsprechend.</w:t>
      </w:r>
    </w:p>
    <w:p>
      <w:r>
        <w:t xml:space="preserve">(2) </w:t>
      </w:r>
      <w:r>
        <w:rPr>
          <w:rStyle w:val="Satznummer"/>
        </w:rPr>
        <w:t>1</w:t>
      </w:r>
      <w:r>
        <w:t xml:space="preserve">Die Einbenennung bedarf der Einwilligung des anderen Elternteils, wenn das Kind dessen Namen führt oder diesem Elternteil die elterliche Sorge gemeinsam mit dem einbenennenden Elternteil zusteht. </w:t>
      </w:r>
      <w:r>
        <w:rPr>
          <w:rStyle w:val="Satznummer"/>
        </w:rPr>
        <w:t>2</w:t>
      </w:r>
      <w:r>
        <w:t xml:space="preserve">Das Familiengericht kann die Einwilligung des anderen Elternteils ersetzen, wenn die Einbenennung dem Wohl des Kindes dient. </w:t>
      </w:r>
      <w:r>
        <w:rPr>
          <w:rStyle w:val="Satznummer"/>
        </w:rPr>
        <w:t>3</w:t>
      </w:r>
      <w:r>
        <w:t>Wenn das Kind das fünfte Lebensjahr vollendet hat, bedarf die Einbenennung auch seiner Einwilligung.</w:t>
      </w:r>
    </w:p>
    <w:p>
      <w:r>
        <w:t>(3) Ein volljähriges Kind kann sich entsprechend Absatz 1, auch wenn es nicht im gemeinsamen Haushalt eines Elternteils und des Ehegatten dieses Elternteils lebt, mit deren Einwilligung durch Erklärung gegenüber dem Standesamt selbst einbenennen.</w:t>
      </w:r>
    </w:p>
    <w:p>
      <w:r>
        <w:t xml:space="preserve">(4) </w:t>
      </w:r>
      <w:r>
        <w:rPr>
          <w:rStyle w:val="Satznummer"/>
        </w:rPr>
        <w:t>1</w:t>
      </w:r>
      <w:r>
        <w:t>Wird die Ehe zwischen dem Elternteil und seinem Ehegatten, der nicht Elternteil des Kindes ist, aufgelöst oder scheidet das Kind aus dem gemeinsamen Haushalt aus, so können die Einbenennung durch Erklärung gegenüber dem Standesamt rückgängig machen (Rückbenennung):</w:t>
      </w:r>
    </w:p>
    <w:p>
      <w:pPr>
        <w:tabs>
          <w:tab w:pos="567" w:val="left"/>
        </w:tabs>
        <w:ind w:left="567" w:hanging="567"/>
      </w:pPr>
      <w:r>
        <w:t>1.</w:t>
      </w:r>
      <w:r>
        <w:tab/>
      </w:r>
      <w:r>
        <w:t>jeder Elternteil, dem die elterliche Sorge für das Kind allein oder gemeinsam mit dem anderen Elternteil zusteht, sowie</w:t>
      </w:r>
    </w:p>
    <w:p>
      <w:pPr>
        <w:tabs>
          <w:tab w:pos="567" w:val="left"/>
        </w:tabs>
        <w:ind w:left="567" w:hanging="567"/>
      </w:pPr>
      <w:r>
        <w:t>2.</w:t>
      </w:r>
      <w:r>
        <w:tab/>
      </w:r>
      <w:r>
        <w:t>das Kind selbst, sobald es volljährig ist.</w:t>
      </w:r>
    </w:p>
    <w:p>
      <w:r>
        <w:rPr>
          <w:rStyle w:val="Satznummer"/>
        </w:rPr>
        <w:t>2</w:t>
      </w:r>
      <w:r>
        <w:t>In den Fällen des Satzes 1 Nummer 1 gilt Absatz 2 entsprechend.</w:t>
      </w:r>
    </w:p>
    <w:p>
      <w:r>
        <w:t xml:space="preserve">(5) </w:t>
      </w:r>
      <w:r>
        <w:rPr>
          <w:rStyle w:val="Satznummer"/>
        </w:rPr>
        <w:t>1</w:t>
      </w:r>
      <w:r>
        <w:t xml:space="preserve">Die Erklärungen müssen öffentlich beglaubigt werden. </w:t>
      </w:r>
      <w:r>
        <w:rPr>
          <w:rStyle w:val="Satznummer"/>
        </w:rPr>
        <w:t>2</w:t>
      </w:r>
      <w:hyperlink w:anchor="b2082" w:history="1">
        <w:r>
          <w:rPr>
            <w:color w:val="0A3A8C"/>
            <w:u w:val="single"/>
          </w:rPr>
          <w:t xml:space="preserve">§ 1617c</w:t>
        </w:r>
      </w:hyperlink>
      <w:r>
        <w:t xml:space="preserve"> Absatz 1 Satz 2 und Absatz 3 gilt entsprechend.</w:t>
      </w:r>
    </w:p>
    <w:p>
      <w:pPr>
        <w:pStyle w:val="Heading4"/>
      </w:pPr>
      <w:bookmarkStart w:id="2100" w:name="b2085"/>
      <w:r>
        <w:t>§ 1617f Geschlechtsangepasste Form des Geburtsnamens nach sorbischer Tradition und ausländischen Rechtsordnungen</w:t>
      </w:r>
      <w:r>
        <w:t xml:space="preserve"> </w:t>
      </w:r>
      <w:r>
        <w:rPr>
          <w:rStyle w:val="Suchmarke"/>
        </w:rPr>
        <w:t>#1617f#</w:t>
      </w:r>
      <w:bookmarkEnd w:id="2100"/>
    </w:p>
    <w:p>
      <w:r>
        <w:t>(1) Der Geburtsname eines Kindes kann durch Erklärung gegenüber dem Standesamt seinem Geschlecht angepasst werden, wenn</w:t>
      </w:r>
    </w:p>
    <w:p>
      <w:pPr>
        <w:tabs>
          <w:tab w:pos="567" w:val="left"/>
        </w:tabs>
        <w:ind w:left="567" w:hanging="567"/>
      </w:pPr>
      <w:r>
        <w:t>1.</w:t>
      </w:r>
      <w:r>
        <w:tab/>
      </w:r>
      <w:r>
        <w:t>die Form der sorbischen Tradition entspricht und das Kind dem sorbischen Volk angehört,</w:t>
      </w:r>
    </w:p>
    <w:p>
      <w:pPr>
        <w:tabs>
          <w:tab w:pos="567" w:val="left"/>
        </w:tabs>
        <w:ind w:left="567" w:hanging="567"/>
      </w:pPr>
      <w:r>
        <w:t>2.</w:t>
      </w:r>
      <w:r>
        <w:tab/>
      </w:r>
      <w:r>
        <w:t>die Anpassung in der Rechtsordnung eines anderen Staates vorgesehen ist und der Herkunft des Kindes entspricht oder</w:t>
      </w:r>
    </w:p>
    <w:p>
      <w:pPr>
        <w:tabs>
          <w:tab w:pos="567" w:val="left"/>
        </w:tabs>
        <w:ind w:left="567" w:hanging="567"/>
      </w:pPr>
      <w:r>
        <w:t>3.</w:t>
      </w:r>
      <w:r>
        <w:tab/>
      </w:r>
      <w:r>
        <w:t>die Anpassung in der Rechtsordnung eines anderen Staates vorgesehen ist und der Name traditionell aus dem dortigen Sprachraum stammt.</w:t>
      </w:r>
    </w:p>
    <w:p>
      <w:r>
        <w:t xml:space="preserve">(2) </w:t>
      </w:r>
      <w:r>
        <w:rPr>
          <w:rStyle w:val="Satznummer"/>
        </w:rPr>
        <w:t>1</w:t>
      </w:r>
      <w:r>
        <w:t xml:space="preserve">Die Erklärung nach Absatz 1 kann jeder Elternteil abgeben, dem die elterliche Sorge allein oder gemeinsam mit dem anderen Elternteil zusteht. </w:t>
      </w:r>
      <w:r>
        <w:rPr>
          <w:rStyle w:val="Satznummer"/>
        </w:rPr>
        <w:t>2</w:t>
      </w:r>
      <w:r>
        <w:t xml:space="preserve">Die Anpassung des Geburtsnamens bedarf der Einwilligung des anderen Elternteils, wenn das Kind dessen Namen führt oder diesem Elternteil die elterliche Sorge gemeinsam mit dem erklärenden Elternteil zusteht. </w:t>
      </w:r>
      <w:r>
        <w:rPr>
          <w:rStyle w:val="Satznummer"/>
        </w:rPr>
        <w:t>3</w:t>
      </w:r>
      <w:r>
        <w:t xml:space="preserve">Das Familiengericht kann die Einwilligung des anderen Elternteils ersetzen, wenn die Anpassung dem Wohl des Kindes dient. </w:t>
      </w:r>
      <w:r>
        <w:rPr>
          <w:rStyle w:val="Satznummer"/>
        </w:rPr>
        <w:t>4</w:t>
      </w:r>
      <w:r>
        <w:t xml:space="preserve">Wenn das Kind das fünfte Lebensjahr vollendet hat, bedarf die Anpassung auch seiner Einwilligung; </w:t>
      </w:r>
      <w:hyperlink w:anchor="b2082" w:history="1">
        <w:r>
          <w:rPr>
            <w:color w:val="0A3A8C"/>
            <w:u w:val="single"/>
          </w:rPr>
          <w:t xml:space="preserve">§ 1617c</w:t>
        </w:r>
      </w:hyperlink>
      <w:r>
        <w:t xml:space="preserve"> Absatz 1 Satz 2 gilt entsprechend.</w:t>
      </w:r>
    </w:p>
    <w:p>
      <w:r>
        <w:t xml:space="preserve">(3) </w:t>
      </w:r>
      <w:r>
        <w:rPr>
          <w:rStyle w:val="Satznummer"/>
        </w:rPr>
        <w:t>1</w:t>
      </w:r>
      <w:r>
        <w:t xml:space="preserve">Ist das Kind volljährig, so kann es die Erklärung nach Absatz 1 selbst abgeben. </w:t>
      </w:r>
      <w:r>
        <w:rPr>
          <w:rStyle w:val="Satznummer"/>
        </w:rPr>
        <w:t>2</w:t>
      </w:r>
      <w:r>
        <w:t xml:space="preserve">Eine unverheiratete volljährige Frau, die dem sorbischen Volk angehört, kann eine Form des Geburtsnamens wählen oder zu einer solchen wechseln, die nach der sorbischen Tradition verheirateten Frauen vorbehalten ist. </w:t>
      </w:r>
      <w:r>
        <w:rPr>
          <w:rStyle w:val="Satznummer"/>
        </w:rPr>
        <w:t>3</w:t>
      </w:r>
      <w:r>
        <w:t>In den Fällen des Absatzes 1 Nummer 2 und 3 kann das volljährige Kind zu einer anderen Form des Geburtsnamens wechseln, wenn dies in der Rechtsordnung des anderen Staates vorgesehen ist.</w:t>
      </w:r>
    </w:p>
    <w:p>
      <w:r>
        <w:t xml:space="preserve">(4) </w:t>
      </w:r>
      <w:r>
        <w:rPr>
          <w:rStyle w:val="Satznummer"/>
        </w:rPr>
        <w:t>1</w:t>
      </w:r>
      <w:r>
        <w:t xml:space="preserve">Die Erklärung nach Absatz 1 kann gegenüber dem Standesamt widerrufen werden. </w:t>
      </w:r>
      <w:r>
        <w:rPr>
          <w:rStyle w:val="Satznummer"/>
        </w:rPr>
        <w:t>2</w:t>
      </w:r>
      <w:r>
        <w:t xml:space="preserve">Für minderjährige Kinder gilt Absatz 2 entsprechend. </w:t>
      </w:r>
      <w:r>
        <w:rPr>
          <w:rStyle w:val="Satznummer"/>
        </w:rPr>
        <w:t>3</w:t>
      </w:r>
      <w:r>
        <w:t xml:space="preserve">Ist das minderjährige Kind volljährig geworden, so tritt sein Widerruf an die Stelle des Widerrufs des Sorgeberechtigten. </w:t>
      </w:r>
      <w:r>
        <w:rPr>
          <w:rStyle w:val="Satznummer"/>
        </w:rPr>
        <w:t>4</w:t>
      </w:r>
      <w:r>
        <w:t>Im Fall des Widerrufs ist eine erneute Erklärung nach Absatz 1 nicht zulässig.</w:t>
      </w:r>
    </w:p>
    <w:p>
      <w:r>
        <w:t>(5) Nach der Beurkundung der Geburt abgegebene Erklärungen müssen öffentlich beglaubigt werden.</w:t>
      </w:r>
    </w:p>
    <w:p>
      <w:pPr>
        <w:pStyle w:val="Heading4"/>
      </w:pPr>
      <w:bookmarkStart w:id="2101" w:name="b2086"/>
      <w:r>
        <w:t>§ 1617g Geburtsname nach friesischer Tradition</w:t>
      </w:r>
      <w:r>
        <w:t xml:space="preserve"> </w:t>
      </w:r>
      <w:r>
        <w:rPr>
          <w:rStyle w:val="Suchmarke"/>
        </w:rPr>
        <w:t>#1617g#</w:t>
      </w:r>
      <w:bookmarkEnd w:id="2101"/>
    </w:p>
    <w:p>
      <w:r>
        <w:t xml:space="preserve">(1) Abweichend von </w:t>
      </w:r>
      <w:hyperlink w:anchor="b2078" w:history="1">
        <w:r>
          <w:rPr>
            <w:color w:val="0A3A8C"/>
            <w:u w:val="single"/>
          </w:rPr>
          <w:t xml:space="preserve">§ 1616</w:t>
        </w:r>
      </w:hyperlink>
      <w:r>
        <w:t xml:space="preserve"> und ergänzend zu den in den </w:t>
      </w:r>
      <w:hyperlink w:anchor="b2079" w:history="1">
        <w:r>
          <w:rPr>
            <w:color w:val="0A3A8C"/>
            <w:u w:val="single"/>
          </w:rPr>
          <w:t xml:space="preserve">§§ 1617</w:t>
        </w:r>
      </w:hyperlink>
      <w:r>
        <w:t xml:space="preserve"> bis </w:t>
      </w:r>
      <w:hyperlink w:anchor="b2081" w:history="1">
        <w:r>
          <w:rPr>
            <w:color w:val="0A3A8C"/>
            <w:u w:val="single"/>
          </w:rPr>
          <w:t xml:space="preserve">1617b</w:t>
        </w:r>
      </w:hyperlink>
      <w:r>
        <w:t xml:space="preserve"> genannten Möglichkeiten kann zum Geburtsnamen eines minderjährigen Kindes, das der friesischen Volksgruppe angehört, bestimmt werden:</w:t>
      </w:r>
    </w:p>
    <w:p>
      <w:pPr>
        <w:tabs>
          <w:tab w:pos="567" w:val="left"/>
        </w:tabs>
        <w:ind w:left="567" w:hanging="567"/>
      </w:pPr>
      <w:r>
        <w:t>1.</w:t>
      </w:r>
      <w:r>
        <w:tab/>
      </w:r>
      <w:r>
        <w:t>ein gemäß der friesischen Tradition von einem Vornamen eines Elternteils abgeleiteter Name oder</w:t>
      </w:r>
    </w:p>
    <w:p>
      <w:pPr>
        <w:tabs>
          <w:tab w:pos="567" w:val="left"/>
        </w:tabs>
        <w:ind w:left="567" w:hanging="567"/>
      </w:pPr>
      <w:r>
        <w:t>2.</w:t>
      </w:r>
      <w:r>
        <w:tab/>
      </w:r>
      <w:r>
        <w:t xml:space="preserve">ein nicht durch Bindestrich verbundener Doppelname, der sich aus einem Namen nach Nummer 1 und dem Familiennamen eines Elternteils zusammensetzt; </w:t>
      </w:r>
      <w:hyperlink w:anchor="b2079" w:history="1">
        <w:r>
          <w:rPr>
            <w:color w:val="0A3A8C"/>
            <w:u w:val="single"/>
          </w:rPr>
          <w:t xml:space="preserve">§ 1617</w:t>
        </w:r>
      </w:hyperlink>
      <w:r>
        <w:t xml:space="preserve"> Absatz 2 Nummer 2 gilt entsprechend.</w:t>
      </w:r>
    </w:p>
    <w:p>
      <w:r>
        <w:t xml:space="preserve">(2) </w:t>
      </w:r>
      <w:r>
        <w:rPr>
          <w:rStyle w:val="Satznummer"/>
        </w:rPr>
        <w:t>1</w:t>
      </w:r>
      <w:r>
        <w:t xml:space="preserve">Im Fall des </w:t>
      </w:r>
      <w:hyperlink w:anchor="b2078" w:history="1">
        <w:r>
          <w:rPr>
            <w:color w:val="0A3A8C"/>
            <w:u w:val="single"/>
          </w:rPr>
          <w:t xml:space="preserve">§ 1616</w:t>
        </w:r>
      </w:hyperlink>
      <w:r>
        <w:t xml:space="preserve"> können die gemeinsam sorgeberechtigten Eltern oder der alleinsorgeberechtigte Elternteil den Geburtsnamen des Kindes durch Erklärung gegenüber dem Standesamt, die öffentlich zu beglaubigen ist, nach Absatz 1 neu bestimmen. </w:t>
      </w:r>
      <w:r>
        <w:rPr>
          <w:rStyle w:val="Satznummer"/>
        </w:rPr>
        <w:t>2</w:t>
      </w:r>
      <w:r>
        <w:t xml:space="preserve">Die Bestimmung des Geburtsnamens durch einen Elternteil bedarf der Einwilligung des anderen Elternteils. </w:t>
      </w:r>
      <w:r>
        <w:rPr>
          <w:rStyle w:val="Satznummer"/>
        </w:rPr>
        <w:t>3</w:t>
      </w:r>
      <w:r>
        <w:t xml:space="preserve">Wenn das Kind das fünfte Lebensjahr vollendet hat, bedarf die Bestimmung auch seiner Einwilligung. </w:t>
      </w:r>
      <w:r>
        <w:rPr>
          <w:rStyle w:val="Satznummer"/>
        </w:rPr>
        <w:t>4</w:t>
      </w:r>
      <w:r>
        <w:t xml:space="preserve">Für die Einwilligung des Kindes gilt </w:t>
      </w:r>
      <w:hyperlink w:anchor="b2082" w:history="1">
        <w:r>
          <w:rPr>
            <w:color w:val="0A3A8C"/>
            <w:u w:val="single"/>
          </w:rPr>
          <w:t xml:space="preserve">§ 1617c</w:t>
        </w:r>
      </w:hyperlink>
      <w:r>
        <w:t xml:space="preserve"> Absatz 1 Satz 2 und 3 entsprechend.</w:t>
      </w:r>
    </w:p>
    <w:p>
      <w:r>
        <w:t xml:space="preserve">(3) </w:t>
      </w:r>
      <w:r>
        <w:rPr>
          <w:rStyle w:val="Satznummer"/>
        </w:rPr>
        <w:t>1</w:t>
      </w:r>
      <w:r>
        <w:t xml:space="preserve">Der nach </w:t>
      </w:r>
      <w:hyperlink w:anchor="b2080" w:history="1">
        <w:r>
          <w:rPr>
            <w:color w:val="0A3A8C"/>
            <w:u w:val="single"/>
          </w:rPr>
          <w:t xml:space="preserve">§ 1617a</w:t>
        </w:r>
      </w:hyperlink>
      <w:r>
        <w:t xml:space="preserve"> Absatz 4 erforderlichen Einwilligung des anderen Elternteils bedarf es auch dann, wenn das Kind einen Namen erhalten soll, der sich von einem Vornamen dieses Elternteils ableitet. </w:t>
      </w:r>
      <w:r>
        <w:rPr>
          <w:rStyle w:val="Satznummer"/>
        </w:rPr>
        <w:t>2</w:t>
      </w:r>
      <w:hyperlink w:anchor="b2081" w:history="1">
        <w:r>
          <w:rPr>
            <w:color w:val="0A3A8C"/>
            <w:u w:val="single"/>
          </w:rPr>
          <w:t xml:space="preserve">§ 1617b</w:t>
        </w:r>
      </w:hyperlink>
      <w:r>
        <w:t xml:space="preserve"> Absatz 2 gilt auch, wenn ein von einem Vornamen dieses Mannes abgeleiteter Name Geburtsname des Kindes geworden ist.</w:t>
      </w:r>
    </w:p>
    <w:p>
      <w:r>
        <w:t xml:space="preserve">(4) Ändert sich der Vorname des Elternteils, von dem der Geburtsname des Kindes abgeleitet wurde, gilt </w:t>
      </w:r>
      <w:hyperlink w:anchor="b2082" w:history="1">
        <w:r>
          <w:rPr>
            <w:color w:val="0A3A8C"/>
            <w:u w:val="single"/>
          </w:rPr>
          <w:t xml:space="preserve">§ 1617c</w:t>
        </w:r>
      </w:hyperlink>
      <w:r>
        <w:t xml:space="preserve"> Absatz 1 entsprechend.</w:t>
      </w:r>
    </w:p>
    <w:p>
      <w:r>
        <w:t xml:space="preserve">(5) Für die Änderung einer geschlechtsspezifischen Endung des Geburtsnamens des Kindes gilt </w:t>
      </w:r>
      <w:hyperlink w:anchor="b2085" w:history="1">
        <w:r>
          <w:rPr>
            <w:color w:val="0A3A8C"/>
            <w:u w:val="single"/>
          </w:rPr>
          <w:t xml:space="preserve">§ 1617f</w:t>
        </w:r>
      </w:hyperlink>
      <w:r>
        <w:t xml:space="preserve"> entsprechend.</w:t>
      </w:r>
    </w:p>
    <w:p>
      <w:pPr>
        <w:pStyle w:val="Heading4"/>
      </w:pPr>
      <w:bookmarkStart w:id="2102" w:name="b2087"/>
      <w:r>
        <w:t>§ 1617h Geburtsname nach dänischer Tradition</w:t>
      </w:r>
      <w:r>
        <w:t xml:space="preserve"> </w:t>
      </w:r>
      <w:r>
        <w:rPr>
          <w:rStyle w:val="Suchmarke"/>
        </w:rPr>
        <w:t>#1617h#</w:t>
      </w:r>
      <w:bookmarkEnd w:id="2102"/>
    </w:p>
    <w:p>
      <w:r>
        <w:t xml:space="preserve">(1) </w:t>
      </w:r>
      <w:r>
        <w:rPr>
          <w:rStyle w:val="Satznummer"/>
        </w:rPr>
        <w:t>1</w:t>
      </w:r>
      <w:r>
        <w:t xml:space="preserve">Abweichend von </w:t>
      </w:r>
      <w:hyperlink w:anchor="b2078" w:history="1">
        <w:r>
          <w:rPr>
            <w:color w:val="0A3A8C"/>
            <w:u w:val="single"/>
          </w:rPr>
          <w:t xml:space="preserve">§ 1616</w:t>
        </w:r>
      </w:hyperlink>
      <w:r>
        <w:t xml:space="preserve"> und ergänzend zu den in den </w:t>
      </w:r>
      <w:hyperlink w:anchor="b2079" w:history="1">
        <w:r>
          <w:rPr>
            <w:color w:val="0A3A8C"/>
            <w:u w:val="single"/>
          </w:rPr>
          <w:t xml:space="preserve">§§ 1617</w:t>
        </w:r>
      </w:hyperlink>
      <w:r>
        <w:t xml:space="preserve"> bis </w:t>
      </w:r>
      <w:hyperlink w:anchor="b2081" w:history="1">
        <w:r>
          <w:rPr>
            <w:color w:val="0A3A8C"/>
            <w:u w:val="single"/>
          </w:rPr>
          <w:t xml:space="preserve">1617b</w:t>
        </w:r>
      </w:hyperlink>
      <w:r>
        <w:t xml:space="preserve"> genannten Möglichkeiten kann zum Geburtsnamen eines minderjährigen Kindes, das der dänischen Minderheit angehört, ein nicht durch Bindestrich verbundener Doppelname bestimmt werden, der sich zusammensetzt aus</w:t>
      </w:r>
    </w:p>
    <w:p>
      <w:pPr>
        <w:tabs>
          <w:tab w:pos="567" w:val="left"/>
        </w:tabs>
        <w:ind w:left="567" w:hanging="567"/>
      </w:pPr>
      <w:r>
        <w:t>1.</w:t>
      </w:r>
      <w:r>
        <w:tab/>
      </w:r>
      <w:r>
        <w:t>dem Familiennamen eines nahen Angehörigen an erster Stelle des Doppelnamens und</w:t>
      </w:r>
    </w:p>
    <w:p>
      <w:pPr>
        <w:tabs>
          <w:tab w:pos="567" w:val="left"/>
        </w:tabs>
        <w:ind w:left="567" w:hanging="567"/>
      </w:pPr>
      <w:r>
        <w:t>2.</w:t>
      </w:r>
      <w:r>
        <w:tab/>
      </w:r>
      <w:r>
        <w:t>dem Familiennamen eines Elternteils an zweiter Stelle des Doppelnamens.</w:t>
      </w:r>
    </w:p>
    <w:p>
      <w:r>
        <w:rPr>
          <w:rStyle w:val="Satznummer"/>
        </w:rPr>
        <w:t>2</w:t>
      </w:r>
      <w:hyperlink w:anchor="b2079" w:history="1">
        <w:r>
          <w:rPr>
            <w:color w:val="0A3A8C"/>
            <w:u w:val="single"/>
          </w:rPr>
          <w:t xml:space="preserve">§ 1617</w:t>
        </w:r>
      </w:hyperlink>
      <w:r>
        <w:t xml:space="preserve"> Absatz 2 Nummer 2 gilt entsprechend.</w:t>
      </w:r>
    </w:p>
    <w:p>
      <w:r>
        <w:t xml:space="preserve">(2) </w:t>
      </w:r>
      <w:r>
        <w:rPr>
          <w:rStyle w:val="Satznummer"/>
        </w:rPr>
        <w:t>1</w:t>
      </w:r>
      <w:r>
        <w:t xml:space="preserve">Im Fall des </w:t>
      </w:r>
      <w:hyperlink w:anchor="b2078" w:history="1">
        <w:r>
          <w:rPr>
            <w:color w:val="0A3A8C"/>
            <w:u w:val="single"/>
          </w:rPr>
          <w:t xml:space="preserve">§ 1616</w:t>
        </w:r>
      </w:hyperlink>
      <w:r>
        <w:t xml:space="preserve"> können die gemeinsam sorgeberechtigten Eltern oder der alleinsorgeberechtigte Elternteil dem Geburtsnamen des Kindes durch Erklärung gegenüber dem Standesamt, die öffentlich zu beglaubigen ist, den Familiennamen eines nahen Angehörigen nach Absatz 1 voranstellen. </w:t>
      </w:r>
      <w:r>
        <w:rPr>
          <w:rStyle w:val="Satznummer"/>
        </w:rPr>
        <w:t>2</w:t>
      </w:r>
      <w:hyperlink w:anchor="b2086" w:history="1">
        <w:r>
          <w:rPr>
            <w:color w:val="0A3A8C"/>
            <w:u w:val="single"/>
          </w:rPr>
          <w:t xml:space="preserve">§ 1617g</w:t>
        </w:r>
      </w:hyperlink>
      <w:r>
        <w:t xml:space="preserve"> Absatz 2 Satz 2 bis 4 gilt entsprechend.</w:t>
      </w:r>
    </w:p>
    <w:p>
      <w:r>
        <w:t xml:space="preserve">(3) </w:t>
      </w:r>
      <w:r>
        <w:rPr>
          <w:rStyle w:val="Satznummer"/>
        </w:rPr>
        <w:t>1</w:t>
      </w:r>
      <w:r>
        <w:t xml:space="preserve">Die Bestimmung nach Absatz 1 und die Voranstellung nach Absatz 2 bedürfen der Einwilligung des nahen Angehörigen, es sei denn, dieser ist bereits verstorben. </w:t>
      </w:r>
      <w:r>
        <w:rPr>
          <w:rStyle w:val="Satznummer"/>
        </w:rPr>
        <w:t>2</w:t>
      </w:r>
      <w:r>
        <w:t>Die Einwilligung ist gegenüber dem Standesamt zu erklären; sie muss öffentlich beglaubigt werden.</w:t>
      </w:r>
    </w:p>
    <w:p>
      <w:pPr>
        <w:pStyle w:val="Heading4"/>
      </w:pPr>
      <w:bookmarkStart w:id="2103" w:name="b2088"/>
      <w:r>
        <w:t>§ 1617i Neubestimmung des Familiennamens durch volljährige Personen</w:t>
      </w:r>
      <w:r>
        <w:t xml:space="preserve"> </w:t>
      </w:r>
      <w:r>
        <w:rPr>
          <w:rStyle w:val="Suchmarke"/>
        </w:rPr>
        <w:t>#1617i#</w:t>
      </w:r>
      <w:bookmarkEnd w:id="2103"/>
    </w:p>
    <w:p>
      <w:r>
        <w:t xml:space="preserve">(1) </w:t>
      </w:r>
      <w:r>
        <w:rPr>
          <w:rStyle w:val="Satznummer"/>
        </w:rPr>
        <w:t>1</w:t>
      </w:r>
      <w:r>
        <w:t>Jede volljährige Person kann den Geburtsnamen, den sie als Minderjährige erworben hat, einmalig wie folgt neu bestimmen:</w:t>
      </w:r>
    </w:p>
    <w:p>
      <w:pPr>
        <w:tabs>
          <w:tab w:pos="567" w:val="left"/>
        </w:tabs>
        <w:ind w:left="567" w:hanging="567"/>
      </w:pPr>
      <w:r>
        <w:t>1.</w:t>
      </w:r>
      <w:r>
        <w:tab/>
      </w:r>
      <w:r>
        <w:t>wenn ihr Geburtsname aus mehreren Namen besteht: indem sie nur einen oder einige der Namen, aus denen der Name besteht, zu ihrem Geburtsnamen bestimmt,</w:t>
      </w:r>
    </w:p>
    <w:p>
      <w:pPr>
        <w:tabs>
          <w:tab w:pos="567" w:val="left"/>
        </w:tabs>
        <w:ind w:left="567" w:hanging="567"/>
      </w:pPr>
      <w:r>
        <w:t>2.</w:t>
      </w:r>
      <w:r>
        <w:tab/>
      </w:r>
      <w:r>
        <w:t>wenn sie den Familiennamen nur eines Elternteils als Geburtsnamen erhalten hat: indem sie</w:t>
      </w:r>
    </w:p>
    <w:p>
      <w:pPr>
        <w:tabs>
          <w:tab w:pos="1134" w:val="left"/>
        </w:tabs>
        <w:ind w:left="1134" w:hanging="567"/>
      </w:pPr>
      <w:r>
        <w:t>a)</w:t>
      </w:r>
      <w:r>
        <w:tab/>
      </w:r>
      <w:r>
        <w:t>diesen durch den Familiennamen des anderen Elternteils ersetzt oder</w:t>
      </w:r>
    </w:p>
    <w:p>
      <w:pPr>
        <w:tabs>
          <w:tab w:pos="1134" w:val="left"/>
        </w:tabs>
        <w:ind w:left="1134" w:hanging="567"/>
      </w:pPr>
      <w:r>
        <w:t>b)</w:t>
      </w:r>
      <w:r>
        <w:tab/>
      </w:r>
      <w:r>
        <w:t>diesem den Familiennamen des anderen Elternteils voranstellt oder anfügt.</w:t>
      </w:r>
    </w:p>
    <w:p>
      <w:r>
        <w:rPr>
          <w:rStyle w:val="Satznummer"/>
        </w:rPr>
        <w:t>2</w:t>
      </w:r>
      <w:r>
        <w:t xml:space="preserve">In den Fällen des Satzes 1 Nummer 2 Buchstabe a gilt </w:t>
      </w:r>
      <w:hyperlink w:anchor="b2079" w:history="1">
        <w:r>
          <w:rPr>
            <w:color w:val="0A3A8C"/>
            <w:u w:val="single"/>
          </w:rPr>
          <w:t xml:space="preserve">§ 1617</w:t>
        </w:r>
      </w:hyperlink>
      <w:r>
        <w:t xml:space="preserve"> Absatz 2 Nummer 1 entsprechend, in den Fällen des Satzes 1 Nummer 2 Buchstabe b gilt </w:t>
      </w:r>
      <w:hyperlink w:anchor="b2079" w:history="1">
        <w:r>
          <w:rPr>
            <w:color w:val="0A3A8C"/>
            <w:u w:val="single"/>
          </w:rPr>
          <w:t xml:space="preserve">§ 1617</w:t>
        </w:r>
      </w:hyperlink>
      <w:r>
        <w:t xml:space="preserve"> Absatz 1 Satz 2 und Absatz 2 Nummer 2 entsprechend. </w:t>
      </w:r>
      <w:r>
        <w:rPr>
          <w:rStyle w:val="Satznummer"/>
        </w:rPr>
        <w:t>3</w:t>
      </w:r>
      <w:r>
        <w:t>Die Neubestimmung bedarf der Einwilligung desjenigen Elternteils, dessen Name zum neuen Geburtsnamen bestimmt oder dem bisherigen Geburtsnamen vorangestellt oder angefügt wird, es sei denn, der Elternteil ist bereits verstorben.</w:t>
      </w:r>
    </w:p>
    <w:p>
      <w:r>
        <w:t xml:space="preserve">(2) </w:t>
      </w:r>
      <w:r>
        <w:rPr>
          <w:rStyle w:val="Satznummer"/>
        </w:rPr>
        <w:t>1</w:t>
      </w:r>
      <w:r>
        <w:t xml:space="preserve">Gehört eine volljährige Person der friesischen Volksgruppe oder der dänischen Minderheit an und hat sie einen Geburtsnamen nach </w:t>
      </w:r>
      <w:hyperlink w:anchor="b2086" w:history="1">
        <w:r>
          <w:rPr>
            <w:color w:val="0A3A8C"/>
            <w:u w:val="single"/>
          </w:rPr>
          <w:t xml:space="preserve">§ 1617g</w:t>
        </w:r>
      </w:hyperlink>
      <w:r>
        <w:t xml:space="preserve"> oder </w:t>
      </w:r>
      <w:hyperlink w:anchor="b2087" w:history="1">
        <w:r>
          <w:rPr>
            <w:color w:val="0A3A8C"/>
            <w:u w:val="single"/>
          </w:rPr>
          <w:t xml:space="preserve">§ 1617h</w:t>
        </w:r>
      </w:hyperlink>
      <w:r>
        <w:t xml:space="preserve"> erhalten, so gilt für die Neubestimmung des Geburtsnamens Absatz 1 sinngemäß. </w:t>
      </w:r>
      <w:r>
        <w:rPr>
          <w:rStyle w:val="Satznummer"/>
        </w:rPr>
        <w:t>2</w:t>
      </w:r>
      <w:r>
        <w:t xml:space="preserve">Hat eine volljährige Person, die der friesischen Volksgruppe oder der dänischen Minderheit angehört, keinen Geburtsnamen nach </w:t>
      </w:r>
      <w:hyperlink w:anchor="b2086" w:history="1">
        <w:r>
          <w:rPr>
            <w:color w:val="0A3A8C"/>
            <w:u w:val="single"/>
          </w:rPr>
          <w:t xml:space="preserve">§ 1617g</w:t>
        </w:r>
      </w:hyperlink>
      <w:r>
        <w:t xml:space="preserve"> oder </w:t>
      </w:r>
      <w:hyperlink w:anchor="b2087" w:history="1">
        <w:r>
          <w:rPr>
            <w:color w:val="0A3A8C"/>
            <w:u w:val="single"/>
          </w:rPr>
          <w:t xml:space="preserve">§ 1617h</w:t>
        </w:r>
      </w:hyperlink>
      <w:r>
        <w:t xml:space="preserve"> erhalten, so kann sie ihren Geburtsnamen entsprechend diesen Vorschriften einmalig neu bestimmen.</w:t>
      </w:r>
    </w:p>
    <w:p>
      <w:r>
        <w:t xml:space="preserve">(3) Hinsichtlich der nach den Absätzen 1 und 2 wählbaren Namen ist auf den Zeitpunkt der Geburt oder der Annahme als Kind abzustellen; </w:t>
      </w:r>
      <w:hyperlink w:anchor="b2082" w:history="1">
        <w:r>
          <w:rPr>
            <w:color w:val="0A3A8C"/>
            <w:u w:val="single"/>
          </w:rPr>
          <w:t xml:space="preserve">§ 1617c</w:t>
        </w:r>
      </w:hyperlink>
      <w:r>
        <w:t xml:space="preserve"> Absatz 2 Nummer 2 und Absatz 3 gilt entsprechend.</w:t>
      </w:r>
    </w:p>
    <w:p>
      <w:r>
        <w:t xml:space="preserve">(4) </w:t>
      </w:r>
      <w:r>
        <w:rPr>
          <w:rStyle w:val="Satznummer"/>
        </w:rPr>
        <w:t>1</w:t>
      </w:r>
      <w:r>
        <w:t>Führt eine volljährige Person einen Doppelnamen, so kann sie außer in den Fällen des Absatzes 2 bestimmen, dass</w:t>
      </w:r>
    </w:p>
    <w:p>
      <w:pPr>
        <w:tabs>
          <w:tab w:pos="567" w:val="left"/>
        </w:tabs>
        <w:ind w:left="567" w:hanging="567"/>
      </w:pPr>
      <w:r>
        <w:t>1.</w:t>
      </w:r>
      <w:r>
        <w:tab/>
      </w:r>
      <w:r>
        <w:t>ein vorhandener Bindestrich wegfällt oder</w:t>
      </w:r>
    </w:p>
    <w:p>
      <w:pPr>
        <w:tabs>
          <w:tab w:pos="567" w:val="left"/>
        </w:tabs>
        <w:ind w:left="567" w:hanging="567"/>
      </w:pPr>
      <w:r>
        <w:t>2.</w:t>
      </w:r>
      <w:r>
        <w:tab/>
      </w:r>
      <w:r>
        <w:t>ein Bindestrich hinzugefügt wird, wenn der Doppelname ohne einen Bindestrich gebildet wurde.</w:t>
      </w:r>
    </w:p>
    <w:p>
      <w:r>
        <w:rPr>
          <w:rStyle w:val="Satznummer"/>
        </w:rPr>
        <w:t>2</w:t>
      </w:r>
      <w:r>
        <w:t>Ehegatten, die einen Ehenamen führen, können diese Erklärung nur gemeinsam abgeben.</w:t>
      </w:r>
    </w:p>
    <w:p>
      <w:r>
        <w:t>(5) Die Erklärungen nach den Absätzen 1, 2 und 4 sind gegenüber dem Standesamt abzugeben und öffentlich zu beglaubigen.</w:t>
      </w:r>
    </w:p>
    <w:p>
      <w:pPr>
        <w:pStyle w:val="Heading4"/>
      </w:pPr>
      <w:bookmarkStart w:id="2104" w:name="b2089"/>
      <w:r>
        <w:t>§ 1618 Pflicht zu Beistand und Rücksicht</w:t>
      </w:r>
      <w:r>
        <w:t xml:space="preserve"> </w:t>
      </w:r>
      <w:r>
        <w:rPr>
          <w:rStyle w:val="Suchmarke"/>
        </w:rPr>
        <w:t>#1618#</w:t>
      </w:r>
      <w:bookmarkEnd w:id="2104"/>
    </w:p>
    <w:p>
      <w:r>
        <w:t>Eltern und Kinder sind einander Beistand und Rücksicht schuldig.</w:t>
      </w:r>
    </w:p>
    <w:p>
      <w:pPr>
        <w:pStyle w:val="Heading4"/>
      </w:pPr>
      <w:bookmarkStart w:id="2105" w:name="b2090"/>
      <w:r>
        <w:t>§ 1619 Dienstleistungen in Haus und Geschäft</w:t>
      </w:r>
      <w:r>
        <w:t xml:space="preserve"> </w:t>
      </w:r>
      <w:r>
        <w:rPr>
          <w:rStyle w:val="Suchmarke"/>
        </w:rPr>
        <w:t>#1619#</w:t>
      </w:r>
      <w:bookmarkEnd w:id="2105"/>
    </w:p>
    <w:p>
      <w:r>
        <w:t>Das Kind ist, solange es dem elterlichen Hausstand angehört und von den Eltern erzogen oder unterhalten wird, verpflichtet, in einer seinen Kräften und seiner Lebensstellung entsprechenden Weise den Eltern in ihrem Hauswesen und Geschäft Dienste zu leisten.</w:t>
      </w:r>
    </w:p>
    <w:p>
      <w:pPr>
        <w:pStyle w:val="Heading4"/>
      </w:pPr>
      <w:bookmarkStart w:id="2106" w:name="b2091"/>
      <w:r>
        <w:t>§ 1620 Aufwendungen des Kindes für den elterlichen Haushalt</w:t>
      </w:r>
      <w:r>
        <w:t xml:space="preserve"> </w:t>
      </w:r>
      <w:r>
        <w:rPr>
          <w:rStyle w:val="Suchmarke"/>
        </w:rPr>
        <w:t>#1620#</w:t>
      </w:r>
      <w:bookmarkEnd w:id="2106"/>
    </w:p>
    <w:p>
      <w:r>
        <w:t>Macht ein dem elterlichen Hausstand angehörendes volljähriges Kind zur Bestreitung der Kosten des Haushalts aus seinem Vermögen eine Aufwendung oder überlässt es den Eltern zu diesem Zwecke etwas aus seinem Vermögen, so ist im Zweifel anzunehmen, dass die Absicht fehlt, Ersatz zu verlangen.</w:t>
      </w:r>
    </w:p>
    <w:p>
      <w:pPr>
        <w:pStyle w:val="Heading4"/>
      </w:pPr>
      <w:bookmarkStart w:id="2107" w:name="b2092"/>
      <w:r>
        <w:t>§§ 1621 bis 1623 (weggefallen)</w:t>
      </w:r>
      <w:bookmarkEnd w:id="2107"/>
    </w:p>
    <w:p>
      <w:pPr>
        <w:pStyle w:val="Heading4"/>
      </w:pPr>
      <w:bookmarkStart w:id="2108" w:name="b2093"/>
      <w:r>
        <w:t>§ 1624 Ausstattung aus dem Elternvermögen</w:t>
      </w:r>
      <w:r>
        <w:t xml:space="preserve"> </w:t>
      </w:r>
      <w:r>
        <w:rPr>
          <w:rStyle w:val="Suchmarke"/>
        </w:rPr>
        <w:t>#1624#</w:t>
      </w:r>
      <w:bookmarkEnd w:id="2108"/>
    </w:p>
    <w:p>
      <w:r>
        <w:t>(1) Was einem Kind mit Rücksicht auf seine Verheiratung, auf seine Begründung einer Lebenspartnerschaft oder auf die Erlangung einer selbständigen Lebensstellung zur Begründung oder zur Erhaltung der Wirtschaft oder der Lebensstellung von dem Vater oder der Mutter zugewendet wird (Ausstattung), gilt, auch wenn eine Verpflichtung nicht besteht, nur insoweit als Schenkung, als die Ausstattung das den Umständen, insbesondere den Vermögensverhältnissen des Vaters oder der Mutter, entsprechende Maß übersteigt.</w:t>
      </w:r>
    </w:p>
    <w:p>
      <w:r>
        <w:t>(2) Die Verpflichtung des Ausstattenden zur Gewährleistung wegen eines Mangels im Recht oder wegen eines Fehlers der Sache bestimmt sich, auch soweit die Ausstattung nicht als Schenkung gilt, nach den für die Gewährleistungspflicht des Schenkers geltenden Vorschriften.</w:t>
      </w:r>
    </w:p>
    <w:p>
      <w:pPr>
        <w:pStyle w:val="Heading4"/>
      </w:pPr>
      <w:bookmarkStart w:id="2109" w:name="b2094"/>
      <w:r>
        <w:t>§ 1625 Ausstattung aus dem Kindesvermögen</w:t>
      </w:r>
      <w:r>
        <w:t xml:space="preserve"> </w:t>
      </w:r>
      <w:r>
        <w:rPr>
          <w:rStyle w:val="Suchmarke"/>
        </w:rPr>
        <w:t>#1625#</w:t>
      </w:r>
      <w:bookmarkEnd w:id="2109"/>
    </w:p>
    <w:p>
      <w:r>
        <w:rPr>
          <w:rStyle w:val="Satznummer"/>
        </w:rPr>
        <w:t>1</w:t>
      </w:r>
      <w:r>
        <w:t xml:space="preserve">Gewährt der Vater einem Kind, dessen Vermögen kraft elterlicher Sorge, Vormundschaft oder Betreuung seiner Verwaltung unterliegt, eine Ausstattung, so ist im Zweifel anzunehmen, dass er sie aus diesem Vermögen gewährt. </w:t>
      </w:r>
      <w:r>
        <w:rPr>
          <w:rStyle w:val="Satznummer"/>
        </w:rPr>
        <w:t>2</w:t>
      </w:r>
      <w:r>
        <w:t>Diese Vorschrift findet auf die Mutter entsprechende Anwendung.</w:t>
      </w:r>
    </w:p>
    <w:p>
      <w:pPr>
        <w:pStyle w:val="Heading3"/>
      </w:pPr>
      <w:bookmarkStart w:id="2110" w:name="b2095"/>
      <w:r>
        <w:t>Titel 5 Elterliche Sorge</w:t>
      </w:r>
      <w:bookmarkEnd w:id="2110"/>
    </w:p>
    <w:p>
      <w:pPr>
        <w:pStyle w:val="Heading4"/>
      </w:pPr>
      <w:bookmarkStart w:id="2111" w:name="b2096"/>
      <w:r>
        <w:t>§ 1626 Elterliche Sorge, Grundsätze</w:t>
      </w:r>
      <w:r>
        <w:t xml:space="preserve"> </w:t>
      </w:r>
      <w:r>
        <w:rPr>
          <w:rStyle w:val="Suchmarke"/>
        </w:rPr>
        <w:t>#1626#</w:t>
      </w:r>
      <w:bookmarkEnd w:id="2111"/>
    </w:p>
    <w:p>
      <w:r>
        <w:t xml:space="preserve">(1) </w:t>
      </w:r>
      <w:r>
        <w:rPr>
          <w:rStyle w:val="Satznummer"/>
        </w:rPr>
        <w:t>1</w:t>
      </w:r>
      <w:r>
        <w:t xml:space="preserve">Die Eltern haben die Pflicht und das Recht, für das minderjährige Kind zu sorgen (elterliche Sorge). </w:t>
      </w:r>
      <w:r>
        <w:rPr>
          <w:rStyle w:val="Satznummer"/>
        </w:rPr>
        <w:t>2</w:t>
      </w:r>
      <w:r>
        <w:t>Die elterliche Sorge umfasst die Sorge für die Person des Kindes (Personensorge) und das Vermögen des Kindes (Vermögenssorge).</w:t>
      </w:r>
    </w:p>
    <w:p>
      <w:r>
        <w:t xml:space="preserve">(2) </w:t>
      </w:r>
      <w:r>
        <w:rPr>
          <w:rStyle w:val="Satznummer"/>
        </w:rPr>
        <w:t>1</w:t>
      </w:r>
      <w:r>
        <w:t xml:space="preserve">Bei der Pflege und Erziehung berücksichtigen die Eltern die wachsende Fähigkeit und das wachsende Bedürfnis des Kindes zu selbständigem verantwortungsbewusstem Handeln. </w:t>
      </w:r>
      <w:r>
        <w:rPr>
          <w:rStyle w:val="Satznummer"/>
        </w:rPr>
        <w:t>2</w:t>
      </w:r>
      <w:r>
        <w:t>Sie besprechen mit dem Kind, soweit es nach dessen Entwicklungsstand angezeigt ist, Fragen der elterlichen Sorge und streben Einvernehmen an.</w:t>
      </w:r>
    </w:p>
    <w:p>
      <w:r>
        <w:t xml:space="preserve">(3) </w:t>
      </w:r>
      <w:r>
        <w:rPr>
          <w:rStyle w:val="Satznummer"/>
        </w:rPr>
        <w:t>1</w:t>
      </w:r>
      <w:r>
        <w:t xml:space="preserve">Zum Wohl des Kindes gehört in der Regel der Umgang mit beiden Elternteilen. </w:t>
      </w:r>
      <w:r>
        <w:rPr>
          <w:rStyle w:val="Satznummer"/>
        </w:rPr>
        <w:t>2</w:t>
      </w:r>
      <w:r>
        <w:t>Gleiches gilt für den Umgang mit anderen Personen, zu denen das Kind Bindungen besitzt, wenn ihre Aufrechterhaltung für seine Entwicklung förderlich ist.</w:t>
      </w:r>
    </w:p>
    <w:p>
      <w:pPr>
        <w:pStyle w:val="Heading4"/>
      </w:pPr>
      <w:bookmarkStart w:id="2112" w:name="b2097"/>
      <w:r>
        <w:t>§ 1626a Elterliche Sorge nicht miteinander verheirateter Eltern; Sorgeerklärungen</w:t>
      </w:r>
      <w:r>
        <w:t xml:space="preserve"> </w:t>
      </w:r>
      <w:r>
        <w:rPr>
          <w:rStyle w:val="Suchmarke"/>
        </w:rPr>
        <w:t>#1626a#</w:t>
      </w:r>
      <w:bookmarkEnd w:id="2112"/>
    </w:p>
    <w:p>
      <w:r>
        <w:t>(1) Sind die Eltern bei der Geburt des Kindes nicht miteinander verheiratet, so steht ihnen die elterliche Sorge gemeinsam zu,</w:t>
      </w:r>
    </w:p>
    <w:p>
      <w:pPr>
        <w:tabs>
          <w:tab w:pos="567" w:val="left"/>
        </w:tabs>
        <w:ind w:left="567" w:hanging="567"/>
      </w:pPr>
      <w:r>
        <w:t>1.</w:t>
      </w:r>
      <w:r>
        <w:tab/>
      </w:r>
      <w:r>
        <w:t>wenn sie erklären, dass sie die Sorge gemeinsam übernehmen wollen (Sorgeerklärungen),</w:t>
      </w:r>
    </w:p>
    <w:p>
      <w:pPr>
        <w:tabs>
          <w:tab w:pos="567" w:val="left"/>
        </w:tabs>
        <w:ind w:left="567" w:hanging="567"/>
      </w:pPr>
      <w:r>
        <w:t>2.</w:t>
      </w:r>
      <w:r>
        <w:tab/>
      </w:r>
      <w:r>
        <w:t>wenn sie einander heiraten oder</w:t>
      </w:r>
    </w:p>
    <w:p>
      <w:pPr>
        <w:tabs>
          <w:tab w:pos="567" w:val="left"/>
        </w:tabs>
        <w:ind w:left="567" w:hanging="567"/>
      </w:pPr>
      <w:r>
        <w:t>3.</w:t>
      </w:r>
      <w:r>
        <w:tab/>
      </w:r>
      <w:r>
        <w:t>soweit ihnen das Familiengericht die elterliche Sorge gemeinsam überträgt.</w:t>
      </w:r>
    </w:p>
    <w:p>
      <w:r>
        <w:t xml:space="preserve">(2) </w:t>
      </w:r>
      <w:r>
        <w:rPr>
          <w:rStyle w:val="Satznummer"/>
        </w:rPr>
        <w:t>1</w:t>
      </w:r>
      <w:r>
        <w:t xml:space="preserve">Das Familiengericht überträgt gemäß Absatz 1 Nummer 3 auf Antrag eines Elternteils die elterliche Sorge oder einen Teil der elterlichen Sorge beiden Eltern gemeinsam, wenn die Übertragung dem Kindeswohl nicht widerspricht. </w:t>
      </w:r>
      <w:r>
        <w:rPr>
          <w:rStyle w:val="Satznummer"/>
        </w:rPr>
        <w:t>2</w:t>
      </w:r>
      <w:r>
        <w:t>Trägt der andere Elternteil keine Gründe vor, die der Übertragung der gemeinsamen elterlichen Sorge entgegenstehen können, und sind solche Gründe auch sonst nicht ersichtlich, wird vermutet, dass die gemeinsame elterliche Sorge dem Kindeswohl nicht widerspricht.</w:t>
      </w:r>
    </w:p>
    <w:p>
      <w:r>
        <w:t>(3) Im Übrigen hat die Mutter die elterliche Sorge.</w:t>
      </w:r>
    </w:p>
    <w:p>
      <w:pPr>
        <w:pStyle w:val="Heading4"/>
      </w:pPr>
      <w:bookmarkStart w:id="2113" w:name="b2098"/>
      <w:r>
        <w:t>§ 1626b Besondere Wirksamkeitsvoraussetzungen der Sorgeerklärung</w:t>
      </w:r>
      <w:r>
        <w:t xml:space="preserve"> </w:t>
      </w:r>
      <w:r>
        <w:rPr>
          <w:rStyle w:val="Suchmarke"/>
        </w:rPr>
        <w:t>#1626b#</w:t>
      </w:r>
      <w:bookmarkEnd w:id="2113"/>
    </w:p>
    <w:p>
      <w:r>
        <w:t>(1) Eine Sorgeerklärung unter einer Bedingung oder einer Zeitbestimmung ist unwirksam.</w:t>
      </w:r>
    </w:p>
    <w:p>
      <w:r>
        <w:t>(2) Die Sorgeerklärung kann schon vor der Geburt des Kindes abgegeben werden.</w:t>
      </w:r>
    </w:p>
    <w:p>
      <w:r>
        <w:t xml:space="preserve">(3) Eine Sorgeerklärung ist unwirksam, soweit eine gerichtliche Entscheidung über die elterliche Sorge nach den </w:t>
      </w:r>
      <w:hyperlink w:anchor="b2097" w:history="1">
        <w:r>
          <w:rPr>
            <w:color w:val="0A3A8C"/>
            <w:u w:val="single"/>
          </w:rPr>
          <w:t xml:space="preserve">§ 1626a</w:t>
        </w:r>
      </w:hyperlink>
      <w:r>
        <w:t xml:space="preserve"> Absatz 1 Nummer 3 oder </w:t>
      </w:r>
      <w:hyperlink w:anchor="b2135" w:history="1">
        <w:r>
          <w:rPr>
            <w:color w:val="0A3A8C"/>
            <w:u w:val="single"/>
          </w:rPr>
          <w:t xml:space="preserve">§ 1671</w:t>
        </w:r>
      </w:hyperlink>
      <w:r>
        <w:t xml:space="preserve"> getroffen oder eine solche Entscheidung nach </w:t>
      </w:r>
      <w:hyperlink w:anchor="b2160" w:history="1">
        <w:r>
          <w:rPr>
            <w:color w:val="0A3A8C"/>
            <w:u w:val="single"/>
          </w:rPr>
          <w:t xml:space="preserve">§ 1696</w:t>
        </w:r>
      </w:hyperlink>
      <w:r>
        <w:t xml:space="preserve"> Absatz 1 Satz 1 geändert wurde.</w:t>
      </w:r>
    </w:p>
    <w:p>
      <w:pPr>
        <w:pStyle w:val="Heading4"/>
      </w:pPr>
      <w:bookmarkStart w:id="2114" w:name="b2099"/>
      <w:r>
        <w:t>§ 1626c Persönliche Abgabe; beschränkt geschäftsfähiger Elternteil</w:t>
      </w:r>
      <w:r>
        <w:t xml:space="preserve"> </w:t>
      </w:r>
      <w:r>
        <w:rPr>
          <w:rStyle w:val="Suchmarke"/>
        </w:rPr>
        <w:t>#1626c#</w:t>
      </w:r>
      <w:bookmarkEnd w:id="2114"/>
    </w:p>
    <w:p>
      <w:r>
        <w:t>(1) Die Eltern können die Sorgeerklärungen nur selbst abgeben.</w:t>
      </w:r>
    </w:p>
    <w:p>
      <w:r>
        <w:t xml:space="preserve">(2) </w:t>
      </w:r>
      <w:r>
        <w:rPr>
          <w:rStyle w:val="Satznummer"/>
        </w:rPr>
        <w:t>1</w:t>
      </w:r>
      <w:r>
        <w:t xml:space="preserve">Die Sorgeerklärung eines beschränkt geschäftsfähigen Elternteils bedarf der Zustimmung seines gesetzlichen Vertreters. </w:t>
      </w:r>
      <w:r>
        <w:rPr>
          <w:rStyle w:val="Satznummer"/>
        </w:rPr>
        <w:t>2</w:t>
      </w:r>
      <w:r>
        <w:t xml:space="preserve">Die Zustimmung kann nur von diesem selbst abgegeben werden; </w:t>
      </w:r>
      <w:hyperlink w:anchor="b2098" w:history="1">
        <w:r>
          <w:rPr>
            <w:color w:val="0A3A8C"/>
            <w:u w:val="single"/>
          </w:rPr>
          <w:t xml:space="preserve">§ 1626b</w:t>
        </w:r>
      </w:hyperlink>
      <w:r>
        <w:t xml:space="preserve"> Abs. 1 und 2 gilt entsprechend. </w:t>
      </w:r>
      <w:r>
        <w:rPr>
          <w:rStyle w:val="Satznummer"/>
        </w:rPr>
        <w:t>3</w:t>
      </w:r>
      <w:r>
        <w:t>Das Familiengericht hat die Zustimmung auf Antrag des beschränkt geschäftsfähigen Elternteils zu ersetzen, wenn die Sorgeerklärung dem Wohl dieses Elternteils nicht widerspricht.</w:t>
      </w:r>
    </w:p>
    <w:p>
      <w:pPr>
        <w:pStyle w:val="Heading4"/>
      </w:pPr>
      <w:bookmarkStart w:id="2115" w:name="b2100"/>
      <w:r>
        <w:t>§ 1626d Form; Mitteilungspflicht</w:t>
      </w:r>
      <w:r>
        <w:t xml:space="preserve"> </w:t>
      </w:r>
      <w:r>
        <w:rPr>
          <w:rStyle w:val="Suchmarke"/>
        </w:rPr>
        <w:t>#1626d#</w:t>
      </w:r>
      <w:bookmarkEnd w:id="2115"/>
    </w:p>
    <w:p>
      <w:r>
        <w:t>(1) Sorgeerklärungen und Zustimmungen müssen öffentlich beurkundet werden.</w:t>
      </w:r>
    </w:p>
    <w:p>
      <w:r>
        <w:t>(2) Die beurkundende Stelle teilt die Abgabe von Sorgeerklärungen und Zustimmungen unter Angabe des Geburtsdatums und des Geburtsorts des Kindes sowie des Namens, den das Kind zur Zeit der Beurkundung seiner Geburt geführt hat, dem nach § 87c Abs. 6 Satz 2 des Achten Buches Sozialgesetzbuch zuständigen Jugendamt zu den in § 58 des Achten Buches Sozialgesetzbuch genannten Zwecken unverzüglich mit.</w:t>
      </w:r>
    </w:p>
    <w:p>
      <w:pPr>
        <w:pStyle w:val="Heading4"/>
      </w:pPr>
      <w:bookmarkStart w:id="2116" w:name="b2101"/>
      <w:r>
        <w:t>§ 1626e Unwirksamkeit</w:t>
      </w:r>
      <w:r>
        <w:t xml:space="preserve"> </w:t>
      </w:r>
      <w:r>
        <w:rPr>
          <w:rStyle w:val="Suchmarke"/>
        </w:rPr>
        <w:t>#1626e#</w:t>
      </w:r>
      <w:bookmarkEnd w:id="2116"/>
    </w:p>
    <w:p>
      <w:r>
        <w:t>Sorgeerklärungen und Zustimmungen sind nur unwirksam, wenn sie den Erfordernissen der vorstehenden Vorschriften nicht genügen.</w:t>
      </w:r>
    </w:p>
    <w:p>
      <w:pPr>
        <w:pStyle w:val="Heading4"/>
      </w:pPr>
      <w:bookmarkStart w:id="2117" w:name="b2102"/>
      <w:r>
        <w:t>§ 1627 Ausübung der elterlichen Sorge</w:t>
      </w:r>
      <w:r>
        <w:t xml:space="preserve"> </w:t>
      </w:r>
      <w:r>
        <w:rPr>
          <w:rStyle w:val="Suchmarke"/>
        </w:rPr>
        <w:t>#1627#</w:t>
      </w:r>
      <w:bookmarkEnd w:id="2117"/>
    </w:p>
    <w:p>
      <w:r>
        <w:rPr>
          <w:rStyle w:val="Satznummer"/>
        </w:rPr>
        <w:t>1</w:t>
      </w:r>
      <w:r>
        <w:t xml:space="preserve">Die Eltern haben die elterliche Sorge in eigener Verantwortung und in gegenseitigem Einvernehmen zum Wohl des Kindes auszuüben. </w:t>
      </w:r>
      <w:r>
        <w:rPr>
          <w:rStyle w:val="Satznummer"/>
        </w:rPr>
        <w:t>2</w:t>
      </w:r>
      <w:r>
        <w:t>Bei Meinungsverschiedenheiten müssen sie versuchen, sich zu einigen.</w:t>
      </w:r>
    </w:p>
    <w:p>
      <w:pPr>
        <w:pStyle w:val="Heading4"/>
      </w:pPr>
      <w:bookmarkStart w:id="2118" w:name="b2103"/>
      <w:r>
        <w:t>§ 1628 Gerichtliche Entscheidung bei Meinungsverschiedenheiten der Eltern</w:t>
      </w:r>
      <w:r>
        <w:t xml:space="preserve"> </w:t>
      </w:r>
      <w:r>
        <w:rPr>
          <w:rStyle w:val="Suchmarke"/>
        </w:rPr>
        <w:t>#1628#</w:t>
      </w:r>
      <w:bookmarkEnd w:id="2118"/>
    </w:p>
    <w:p>
      <w:r>
        <w:rPr>
          <w:rStyle w:val="Satznummer"/>
        </w:rPr>
        <w:t>1</w:t>
      </w:r>
      <w:r>
        <w:t xml:space="preserve">Können sich die Eltern in einer einzelnen Angelegenheit oder in einer bestimmten Art von Angelegenheiten der elterlichen Sorge, deren Regelung für das Kind von erheblicher Bedeutung ist, nicht einigen, so kann das Familiengericht auf Antrag eines Elternteils die Entscheidung einem Elternteil übertragen. </w:t>
      </w:r>
      <w:r>
        <w:rPr>
          <w:rStyle w:val="Satznummer"/>
        </w:rPr>
        <w:t>2</w:t>
      </w:r>
      <w:r>
        <w:t>Die Übertragung kann mit Beschränkungen oder mit Auflagen verbunden werden.</w:t>
      </w:r>
    </w:p>
    <w:p>
      <w:pPr>
        <w:pStyle w:val="Heading4"/>
      </w:pPr>
      <w:bookmarkStart w:id="2119" w:name="b2104"/>
      <w:r>
        <w:t>§ 1629 Vertretung des Kindes</w:t>
      </w:r>
      <w:r>
        <w:t xml:space="preserve"> </w:t>
      </w:r>
      <w:r>
        <w:rPr>
          <w:rStyle w:val="Suchmarke"/>
        </w:rPr>
        <w:t>#1629#</w:t>
      </w:r>
      <w:bookmarkEnd w:id="2119"/>
    </w:p>
    <w:p>
      <w:r>
        <w:t xml:space="preserve">(1) </w:t>
      </w:r>
      <w:r>
        <w:rPr>
          <w:rStyle w:val="Satznummer"/>
        </w:rPr>
        <w:t>1</w:t>
      </w:r>
      <w:r>
        <w:t xml:space="preserve">Die elterliche Sorge umfasst die Vertretung des Kindes. </w:t>
      </w:r>
      <w:r>
        <w:rPr>
          <w:rStyle w:val="Satznummer"/>
        </w:rPr>
        <w:t>2</w:t>
      </w:r>
      <w:r>
        <w:t xml:space="preserve">Die Eltern vertreten das Kind gemeinschaftlich; ist eine Willenserklärung gegenüber dem Kind abzugeben, so genügt die Abgabe gegenüber einem Elternteil. </w:t>
      </w:r>
      <w:r>
        <w:rPr>
          <w:rStyle w:val="Satznummer"/>
        </w:rPr>
        <w:t>3</w:t>
      </w:r>
      <w:r>
        <w:t xml:space="preserve">Ein Elternteil vertritt das Kind allein, soweit er die elterliche Sorge allein ausübt oder ihm die Entscheidung nach </w:t>
      </w:r>
      <w:hyperlink w:anchor="b2103" w:history="1">
        <w:r>
          <w:rPr>
            <w:color w:val="0A3A8C"/>
            <w:u w:val="single"/>
          </w:rPr>
          <w:t xml:space="preserve">§ 1628</w:t>
        </w:r>
      </w:hyperlink>
      <w:r>
        <w:t xml:space="preserve"> übertragen ist. </w:t>
      </w:r>
      <w:r>
        <w:rPr>
          <w:rStyle w:val="Satznummer"/>
        </w:rPr>
        <w:t>4</w:t>
      </w:r>
      <w:r>
        <w:t>Bei Gefahr im Verzug ist jeder Elternteil dazu berechtigt, alle Rechtshandlungen vorzunehmen, die zum Wohl des Kindes notwendig sind; der andere Elternteil ist unverzüglich zu unterrichten.</w:t>
      </w:r>
    </w:p>
    <w:p>
      <w:r>
        <w:t xml:space="preserve">(2) </w:t>
      </w:r>
      <w:r>
        <w:rPr>
          <w:rStyle w:val="Satznummer"/>
        </w:rPr>
        <w:t>1</w:t>
      </w:r>
      <w:r>
        <w:t xml:space="preserve">Der Vater und die Mutter können das Kind insoweit nicht vertreten, als nach </w:t>
      </w:r>
      <w:hyperlink w:anchor="b2281" w:history="1">
        <w:r>
          <w:rPr>
            <w:color w:val="0A3A8C"/>
            <w:u w:val="single"/>
          </w:rPr>
          <w:t xml:space="preserve">§ 1824</w:t>
        </w:r>
      </w:hyperlink>
      <w:r>
        <w:t xml:space="preserve"> ein Betreuer von der Vertretung des Betreuten ausgeschlossen ist. </w:t>
      </w:r>
      <w:r>
        <w:rPr>
          <w:rStyle w:val="Satznummer"/>
        </w:rPr>
        <w:t>2</w:t>
      </w:r>
      <w:r>
        <w:t xml:space="preserve">Steht die elterliche Sorge für ein Kind den Eltern gemeinsam zu, so kann der Elternteil, in dessen Obhut sich das Kind befindet, Unterhaltsansprüche des Kindes gegen den anderen Elternteil geltend machen. </w:t>
      </w:r>
      <w:r>
        <w:rPr>
          <w:rStyle w:val="Satznummer"/>
        </w:rPr>
        <w:t>3</w:t>
      </w:r>
      <w:r>
        <w:t xml:space="preserve">Das Familiengericht kann dem Vater und der Mutter nach </w:t>
      </w:r>
      <w:hyperlink w:anchor="b2236" w:history="1">
        <w:r>
          <w:rPr>
            <w:color w:val="0A3A8C"/>
            <w:u w:val="single"/>
          </w:rPr>
          <w:t xml:space="preserve">§ 1789</w:t>
        </w:r>
      </w:hyperlink>
      <w:r>
        <w:t xml:space="preserve"> Absatz 2 Satz 3 und 4 die Vertretung entziehen; dies gilt nicht für die Feststellung der Vaterschaft.</w:t>
      </w:r>
    </w:p>
    <w:p>
      <w:r>
        <w:t xml:space="preserve">(2a) Der Vater und die Mutter können das Kind in einem gerichtlichen Verfahren nach </w:t>
      </w:r>
      <w:hyperlink w:anchor="b2043" w:history="1">
        <w:r>
          <w:rPr>
            <w:color w:val="0A3A8C"/>
            <w:u w:val="single"/>
          </w:rPr>
          <w:t xml:space="preserve">§ 1598a</w:t>
        </w:r>
      </w:hyperlink>
      <w:r>
        <w:t xml:space="preserve"> Abs. 2 nicht vertreten.</w:t>
      </w:r>
    </w:p>
    <w:p>
      <w:r>
        <w:t xml:space="preserve">(3) </w:t>
      </w:r>
      <w:r>
        <w:rPr>
          <w:rStyle w:val="Satznummer"/>
        </w:rPr>
        <w:t>1</w:t>
      </w:r>
      <w:r>
        <w:t>Sind die Eltern des Kindes miteinander verheiratet oder besteht zwischen ihnen eine Lebenspartnerschaft, so kann ein Elternteil Unterhaltsansprüche des Kindes gegen den anderen Elternteil nur im eigenen Namen geltend machen, solange</w:t>
      </w:r>
    </w:p>
    <w:p>
      <w:pPr>
        <w:tabs>
          <w:tab w:pos="567" w:val="left"/>
        </w:tabs>
        <w:ind w:left="567" w:hanging="567"/>
      </w:pPr>
      <w:r>
        <w:t>1.</w:t>
      </w:r>
      <w:r>
        <w:tab/>
      </w:r>
      <w:r>
        <w:t>die Eltern getrennt leben oder</w:t>
      </w:r>
    </w:p>
    <w:p>
      <w:pPr>
        <w:tabs>
          <w:tab w:pos="567" w:val="left"/>
        </w:tabs>
        <w:ind w:left="567" w:hanging="567"/>
      </w:pPr>
      <w:r>
        <w:t>2.</w:t>
      </w:r>
      <w:r>
        <w:tab/>
      </w:r>
      <w:r>
        <w:t>eine Ehesache oder eine Lebenspartnerschaftssache im Sinne von § 269 Absatz 1 Nummer 1 oder 2 des Gesetzes über das Verfahren in Familiensachen und in den Angelegenheiten der freiwilligen Gerichtsbarkeit zwischen ihnen anhängig ist.</w:t>
      </w:r>
    </w:p>
    <w:p>
      <w:r>
        <w:rPr>
          <w:rStyle w:val="Satznummer"/>
        </w:rPr>
        <w:t>2</w:t>
      </w:r>
      <w:r>
        <w:t>Eine von einem Elternteil erwirkte gerichtliche Entscheidung und ein zwischen den Eltern geschlossener gerichtlicher Vergleich wirken auch für und gegen das Kind.</w:t>
      </w:r>
    </w:p>
    <w:p>
      <w:pPr>
        <w:pStyle w:val="Heading4"/>
      </w:pPr>
      <w:bookmarkStart w:id="2120" w:name="b2105"/>
      <w:r>
        <w:t>§ 1629a Beschränkung der Minderjährigenhaftung</w:t>
      </w:r>
      <w:r>
        <w:t xml:space="preserve"> </w:t>
      </w:r>
      <w:r>
        <w:rPr>
          <w:rStyle w:val="Suchmarke"/>
        </w:rPr>
        <w:t>#1629a#</w:t>
      </w:r>
      <w:bookmarkEnd w:id="2120"/>
    </w:p>
    <w:p>
      <w:r>
        <w:t xml:space="preserve">(1) </w:t>
      </w:r>
      <w:r>
        <w:rPr>
          <w:rStyle w:val="Satznummer"/>
        </w:rPr>
        <w:t>1</w:t>
      </w:r>
      <w:r>
        <w:t xml:space="preserve">Die Haftung für Verbindlichkeiten, die die Eltern im Rahmen ihrer gesetzlichen Vertretungsmacht oder sonstige vertretungsberechtigte Personen im Rahmen ihrer Vertretungsmacht durch Rechtsgeschäft oder eine sonstige Handlung mit Wirkung für das Kind begründet haben, oder die auf Grund eines während der Minderjährigkeit erfolgten Erwerbs von Todes wegen entstanden sind, beschränkt sich auf den Bestand des bei Eintritt der Volljährigkeit vorhandenen Vermögens des Kindes; dasselbe gilt für Verbindlichkeiten aus Rechtsgeschäften, die der Minderjährige gemäß </w:t>
      </w:r>
      <w:hyperlink w:anchor="b135" w:history="1">
        <w:r>
          <w:rPr>
            <w:color w:val="0A3A8C"/>
            <w:u w:val="single"/>
          </w:rPr>
          <w:t xml:space="preserve">§§ 107</w:t>
        </w:r>
      </w:hyperlink>
      <w:r>
        <w:t xml:space="preserve">, </w:t>
      </w:r>
      <w:hyperlink w:anchor="b136" w:history="1">
        <w:r>
          <w:rPr>
            <w:color w:val="0A3A8C"/>
            <w:u w:val="single"/>
          </w:rPr>
          <w:t xml:space="preserve">108</w:t>
        </w:r>
      </w:hyperlink>
      <w:r>
        <w:t xml:space="preserve"> oder </w:t>
      </w:r>
      <w:hyperlink w:anchor="b139" w:history="1">
        <w:r>
          <w:rPr>
            <w:color w:val="0A3A8C"/>
            <w:u w:val="single"/>
          </w:rPr>
          <w:t xml:space="preserve">§ 111</w:t>
        </w:r>
      </w:hyperlink>
      <w:r>
        <w:t xml:space="preserve"> mit Zustimmung seiner Eltern vorgenommen hat oder für Verbindlichkeiten aus Rechtsgeschäften, zu denen die Eltern die Genehmigung des Familiengerichts erhalten haben. </w:t>
      </w:r>
      <w:r>
        <w:rPr>
          <w:rStyle w:val="Satznummer"/>
        </w:rPr>
        <w:t>2</w:t>
      </w:r>
      <w:r>
        <w:t xml:space="preserve">Beruft sich der volljährig Gewordene auf die Beschränkung der Haftung, so finden die für die Haftung des Erben geltenden Vorschriften der </w:t>
      </w:r>
      <w:hyperlink w:anchor="b2435" w:history="1">
        <w:r>
          <w:rPr>
            <w:color w:val="0A3A8C"/>
            <w:u w:val="single"/>
          </w:rPr>
          <w:t xml:space="preserve">§§ 1990</w:t>
        </w:r>
      </w:hyperlink>
      <w:r>
        <w:t xml:space="preserve">, </w:t>
      </w:r>
      <w:hyperlink w:anchor="b2436" w:history="1">
        <w:r>
          <w:rPr>
            <w:color w:val="0A3A8C"/>
            <w:u w:val="single"/>
          </w:rPr>
          <w:t xml:space="preserve">1991</w:t>
        </w:r>
      </w:hyperlink>
      <w:r>
        <w:t xml:space="preserve"> entsprechende Anwendung.</w:t>
      </w:r>
    </w:p>
    <w:p>
      <w:r>
        <w:t xml:space="preserve">(2) Absatz 1 gilt nicht für Verbindlichkeiten aus dem selbständigen Betrieb eines Erwerbsgeschäfts, soweit der Minderjährige hierzu nach </w:t>
      </w:r>
      <w:hyperlink w:anchor="b140" w:history="1">
        <w:r>
          <w:rPr>
            <w:color w:val="0A3A8C"/>
            <w:u w:val="single"/>
          </w:rPr>
          <w:t xml:space="preserve">§ 112</w:t>
        </w:r>
      </w:hyperlink>
      <w:r>
        <w:t xml:space="preserve"> ermächtigt war, und für Verbindlichkeiten aus Rechtsgeschäften, die allein der Befriedigung seiner persönlichen Bedürfnisse dienten.</w:t>
      </w:r>
    </w:p>
    <w:p>
      <w:r>
        <w:t>(3) Die Rechte der Gläubiger gegen Mitschuldner und Mithaftende sowie deren Rechte aus einer für die Forderung bestellten Sicherheit oder aus einer deren Bestellung sichernden Vormerkung werden von Absatz 1 nicht berührt.</w:t>
      </w:r>
    </w:p>
    <w:p>
      <w:r>
        <w:t xml:space="preserve">(4) </w:t>
      </w:r>
      <w:r>
        <w:rPr>
          <w:rStyle w:val="Satznummer"/>
        </w:rPr>
        <w:t>1</w:t>
      </w:r>
      <w:r>
        <w:t xml:space="preserve">Hat das volljährig gewordene Mitglied einer Erbengemeinschaft oder Gesellschaft nicht binnen drei Monaten nach Eintritt der Volljährigkeit die Auseinandersetzung des Nachlasses verlangt oder die Kündigung der Gesellschaft erklärt, ist im Zweifel anzunehmen, dass die aus einem solchen Verhältnis herrührende Verbindlichkeit nach dem Eintritt der Volljährigkeit entstanden ist; Entsprechendes gilt für den volljährig gewordenen Inhaber eines Handelsgeschäfts, der dieses nicht binnen drei Monaten nach Eintritt der Volljährigkeit einstellt. </w:t>
      </w:r>
      <w:r>
        <w:rPr>
          <w:rStyle w:val="Satznummer"/>
        </w:rPr>
        <w:t>2</w:t>
      </w:r>
      <w:r>
        <w:t>Unter den in Satz 1 bezeichneten Voraussetzungen wird ferner vermutet, dass das gegenwärtige Vermögen des volljährig Gewordenen bereits bei Eintritt der Volljährigkeit vorhanden war.</w:t>
      </w:r>
    </w:p>
    <w:p>
      <w:pPr>
        <w:pStyle w:val="Heading4"/>
      </w:pPr>
      <w:bookmarkStart w:id="2121" w:name="b2106"/>
      <w:r>
        <w:t>§ 1630 Elterliche Sorge bei Pflegerbestellung oder Familienpflege</w:t>
      </w:r>
      <w:r>
        <w:t xml:space="preserve"> </w:t>
      </w:r>
      <w:r>
        <w:rPr>
          <w:rStyle w:val="Suchmarke"/>
        </w:rPr>
        <w:t>#1630#</w:t>
      </w:r>
      <w:bookmarkEnd w:id="2121"/>
    </w:p>
    <w:p>
      <w:r>
        <w:t>(1) Die elterliche Sorge erstreckt sich nicht auf Angelegenheiten des Kindes, für die ein Pfleger bestellt ist.</w:t>
      </w:r>
    </w:p>
    <w:p>
      <w:r>
        <w:t>(2) Steht die Personensorge oder die Vermögenssorge einem Pfleger zu, so entscheidet das Familiengericht, falls sich die Eltern und der Pfleger in einer Angelegenheit nicht einigen können, die sowohl die Person als auch das Vermögen des Kindes betrifft.</w:t>
      </w:r>
    </w:p>
    <w:p>
      <w:r>
        <w:t xml:space="preserve">(3) </w:t>
      </w:r>
      <w:r>
        <w:rPr>
          <w:rStyle w:val="Satznummer"/>
        </w:rPr>
        <w:t>1</w:t>
      </w:r>
      <w:r>
        <w:t xml:space="preserve">Geben die Eltern das Kind für längere Zeit in Familienpflege, so kann das Familiengericht auf Antrag der Eltern oder der Pflegeperson Angelegenheiten der elterlichen Sorge auf die Pflegeperson übertragen. </w:t>
      </w:r>
      <w:r>
        <w:rPr>
          <w:rStyle w:val="Satznummer"/>
        </w:rPr>
        <w:t>2</w:t>
      </w:r>
      <w:r>
        <w:t xml:space="preserve">Für die Übertragung auf Antrag der Pflegeperson ist die Zustimmung der Eltern erforderlich. </w:t>
      </w:r>
      <w:r>
        <w:rPr>
          <w:rStyle w:val="Satznummer"/>
        </w:rPr>
        <w:t>3</w:t>
      </w:r>
      <w:r>
        <w:t>Im Umfang der Übertragung hat die Pflegeperson die Rechte und Pflichten eines Pflegers.</w:t>
      </w:r>
    </w:p>
    <w:p>
      <w:pPr>
        <w:pStyle w:val="Heading4"/>
      </w:pPr>
      <w:bookmarkStart w:id="2122" w:name="b2107"/>
      <w:r>
        <w:t>§ 1631 Inhalt und Grenzen der Personensorge</w:t>
      </w:r>
      <w:r>
        <w:t xml:space="preserve"> </w:t>
      </w:r>
      <w:r>
        <w:rPr>
          <w:rStyle w:val="Suchmarke"/>
        </w:rPr>
        <w:t>#1631#</w:t>
      </w:r>
      <w:bookmarkEnd w:id="2122"/>
    </w:p>
    <w:p>
      <w:r>
        <w:t>(1) Die Personensorge umfasst insbesondere die Pflicht und das Recht, das Kind zu pflegen, zu erziehen, zu beaufsichtigen und seinen Aufenthalt zu bestimmen.</w:t>
      </w:r>
    </w:p>
    <w:p>
      <w:r>
        <w:t>(2) Das Kind hat ein Recht auf Pflege und Erziehung unter Ausschluss von Gewalt, körperlichen Bestrafungen, seelischen Verletzungen und anderen entwürdigenden Maßnahmen.</w:t>
      </w:r>
    </w:p>
    <w:p>
      <w:r>
        <w:t>(3) Das Familiengericht hat die Eltern auf Antrag bei der Ausübung der Personensorge in geeigneten Fällen zu unterstützen.</w:t>
      </w:r>
    </w:p>
    <w:p>
      <w:pPr>
        <w:pStyle w:val="Heading4"/>
      </w:pPr>
      <w:bookmarkStart w:id="2123" w:name="b2108"/>
      <w:r>
        <w:t>§ 1631a Ausbildung und Beruf</w:t>
      </w:r>
      <w:r>
        <w:t xml:space="preserve"> </w:t>
      </w:r>
      <w:r>
        <w:rPr>
          <w:rStyle w:val="Suchmarke"/>
        </w:rPr>
        <w:t>#1631a#</w:t>
      </w:r>
      <w:bookmarkEnd w:id="2123"/>
    </w:p>
    <w:p>
      <w:r>
        <w:rPr>
          <w:rStyle w:val="Satznummer"/>
        </w:rPr>
        <w:t>1</w:t>
      </w:r>
      <w:r>
        <w:t xml:space="preserve">In Angelegenheiten der Ausbildung und des Berufs nehmen die Eltern insbesondere auf Eignung und Neigung des Kindes Rücksicht. </w:t>
      </w:r>
      <w:r>
        <w:rPr>
          <w:rStyle w:val="Satznummer"/>
        </w:rPr>
        <w:t>2</w:t>
      </w:r>
      <w:r>
        <w:t>Bestehen Zweifel, so soll der Rat eines Lehrers oder einer anderen geeigneten Person eingeholt werden.</w:t>
      </w:r>
    </w:p>
    <w:p>
      <w:pPr>
        <w:pStyle w:val="Heading4"/>
      </w:pPr>
      <w:bookmarkStart w:id="2124" w:name="b2109"/>
      <w:r>
        <w:t>§ 1631b Freiheitsentziehende Unterbringung und freiheitsentziehende Maßnahmen</w:t>
      </w:r>
      <w:r>
        <w:t xml:space="preserve"> </w:t>
      </w:r>
      <w:r>
        <w:rPr>
          <w:rStyle w:val="Suchmarke"/>
        </w:rPr>
        <w:t>#1631b#</w:t>
      </w:r>
      <w:bookmarkEnd w:id="2124"/>
    </w:p>
    <w:p>
      <w:r>
        <w:t xml:space="preserve">(1) </w:t>
      </w:r>
      <w:r>
        <w:rPr>
          <w:rStyle w:val="Satznummer"/>
        </w:rPr>
        <w:t>1</w:t>
      </w:r>
      <w:r>
        <w:t xml:space="preserve">Eine Unterbringung des Kindes, die mit Freiheitsentziehung verbunden ist, bedarf der Genehmigung des Familiengerichts. </w:t>
      </w:r>
      <w:r>
        <w:rPr>
          <w:rStyle w:val="Satznummer"/>
        </w:rPr>
        <w:t>2</w:t>
      </w:r>
      <w:r>
        <w:t xml:space="preserve">Die Unterbringung ist zulässig, solange sie zum Wohl des Kindes, insbesondere zur Abwendung einer erheblichen Selbst- oder Fremdgefährdung, erforderlich ist und der Gefahr nicht auf andere Weise, auch nicht durch andere öffentliche Hilfen, begegnet werden kann. </w:t>
      </w:r>
      <w:r>
        <w:rPr>
          <w:rStyle w:val="Satznummer"/>
        </w:rPr>
        <w:t>3</w:t>
      </w:r>
      <w:r>
        <w:t>Ohne die Genehmigung ist die Unterbringung nur zulässig, wenn mit dem Aufschub Gefahr verbunden ist; die Genehmigung ist unverzüglich nachzuholen.</w:t>
      </w:r>
    </w:p>
    <w:p>
      <w:r>
        <w:t xml:space="preserve">(2) </w:t>
      </w:r>
      <w:r>
        <w:rPr>
          <w:rStyle w:val="Satznummer"/>
        </w:rPr>
        <w:t>1</w:t>
      </w:r>
      <w:r>
        <w:t xml:space="preserve">Die Genehmigung des Familiengerichts ist auch erforderlich, wenn dem Kind, das sich in einem Krankenhaus, einem Heim oder einer sonstigen Einrichtung aufhält, durch mechanische Vorrichtungen, Medikamente oder auf andere Weise über einen längeren Zeitraum oder regelmäßig in nicht altersgerechter Weise die Freiheit entzogen werden soll. </w:t>
      </w:r>
      <w:r>
        <w:rPr>
          <w:rStyle w:val="Satznummer"/>
        </w:rPr>
        <w:t>2</w:t>
      </w:r>
      <w:r>
        <w:t>Absatz 1 Satz 2 und 3 gilt entsprechend.</w:t>
      </w:r>
    </w:p>
    <w:p>
      <w:pPr>
        <w:pStyle w:val="Heading4"/>
      </w:pPr>
      <w:bookmarkStart w:id="2125" w:name="b2110"/>
      <w:r>
        <w:t>§ 1631c Verbot der Sterilisation</w:t>
      </w:r>
      <w:r>
        <w:t xml:space="preserve"> </w:t>
      </w:r>
      <w:r>
        <w:rPr>
          <w:rStyle w:val="Suchmarke"/>
        </w:rPr>
        <w:t>#1631c#</w:t>
      </w:r>
      <w:bookmarkEnd w:id="2125"/>
    </w:p>
    <w:p>
      <w:r>
        <w:rPr>
          <w:rStyle w:val="Satznummer"/>
        </w:rPr>
        <w:t>1</w:t>
      </w:r>
      <w:r>
        <w:t xml:space="preserve">Die Eltern können nicht in eine Sterilisation des Kindes einwilligen. </w:t>
      </w:r>
      <w:r>
        <w:rPr>
          <w:rStyle w:val="Satznummer"/>
        </w:rPr>
        <w:t>2</w:t>
      </w:r>
      <w:r>
        <w:t xml:space="preserve">Auch das Kind selbst kann nicht in die Sterilisation einwilligen. </w:t>
      </w:r>
      <w:r>
        <w:rPr>
          <w:rStyle w:val="Satznummer"/>
        </w:rPr>
        <w:t>3</w:t>
      </w:r>
      <w:hyperlink w:anchor="b2262" w:history="1">
        <w:r>
          <w:rPr>
            <w:color w:val="0A3A8C"/>
            <w:u w:val="single"/>
          </w:rPr>
          <w:t xml:space="preserve">§ 1809</w:t>
        </w:r>
      </w:hyperlink>
      <w:r>
        <w:t xml:space="preserve"> findet keine Anwendung.</w:t>
      </w:r>
    </w:p>
    <w:p>
      <w:pPr>
        <w:pStyle w:val="Heading4"/>
      </w:pPr>
      <w:bookmarkStart w:id="2126" w:name="b2111"/>
      <w:r>
        <w:t>§ 1631d Beschneidung des männlichen Kindes</w:t>
      </w:r>
      <w:r>
        <w:t xml:space="preserve"> </w:t>
      </w:r>
      <w:r>
        <w:rPr>
          <w:rStyle w:val="Suchmarke"/>
        </w:rPr>
        <w:t>#1631d#</w:t>
      </w:r>
      <w:bookmarkEnd w:id="2126"/>
    </w:p>
    <w:p>
      <w:r>
        <w:t xml:space="preserve">(1) </w:t>
      </w:r>
      <w:r>
        <w:rPr>
          <w:rStyle w:val="Satznummer"/>
        </w:rPr>
        <w:t>1</w:t>
      </w:r>
      <w:r>
        <w:t xml:space="preserve">Die Personensorge umfasst auch das Recht, in eine medizinisch nicht erforderliche Beschneidung des nicht einsichts- und urteilsfähigen männlichen Kindes einzuwilligen, wenn diese nach den Regeln der ärztlichen Kunst durchgeführt werden soll. </w:t>
      </w:r>
      <w:r>
        <w:rPr>
          <w:rStyle w:val="Satznummer"/>
        </w:rPr>
        <w:t>2</w:t>
      </w:r>
      <w:r>
        <w:t>Dies gilt nicht, wenn durch die Beschneidung auch unter Berücksichtigung ihres Zwecks das Kindeswohl gefährdet wird.</w:t>
      </w:r>
    </w:p>
    <w:p>
      <w:r>
        <w:t>(2) In den ersten sechs Monaten nach der Geburt des Kindes dürfen auch von einer Religionsgesellschaft dazu vorgesehene Personen Beschneidungen gemäß Absatz 1 durchführen, wenn sie dafür besonders ausgebildet und, ohne Arzt zu sein, für die Durchführung der Beschneidung vergleichbar befähigt sind.</w:t>
      </w:r>
    </w:p>
    <w:p>
      <w:pPr>
        <w:pStyle w:val="Heading4"/>
      </w:pPr>
      <w:bookmarkStart w:id="2127" w:name="b2112"/>
      <w:r>
        <w:t>§ 1631e Behandlung von Kindern mit Varianten der Geschlechtsentwicklung</w:t>
      </w:r>
      <w:r>
        <w:t xml:space="preserve"> </w:t>
      </w:r>
      <w:r>
        <w:rPr>
          <w:rStyle w:val="Suchmarke"/>
        </w:rPr>
        <w:t>#1631e#</w:t>
      </w:r>
      <w:bookmarkEnd w:id="2127"/>
    </w:p>
    <w:p>
      <w:r>
        <w:t>(1) Die Personensorge umfasst nicht das Recht, in eine Behandlung eines nicht einwilligungsfähigen Kindes mit einer Variante der Geschlechtsentwicklung einzuwilligen oder selbst diese Behandlung durchzuführen, die, ohne dass ein weiterer Grund für die Behandlung hinzutritt, allein in der Absicht erfolgt, das körperliche Erscheinungsbild des Kindes an das des männlichen oder des weiblichen Geschlechts anzugleichen.</w:t>
      </w:r>
    </w:p>
    <w:p>
      <w:r>
        <w:t xml:space="preserve">(2) </w:t>
      </w:r>
      <w:r>
        <w:rPr>
          <w:rStyle w:val="Satznummer"/>
        </w:rPr>
        <w:t>1</w:t>
      </w:r>
      <w:r>
        <w:t xml:space="preserve">In operative Eingriffe an den inneren oder äußeren Geschlechtsmerkmalen des nicht einwilligungsfähigen Kindes mit einer Variante der Geschlechtsentwicklung, die eine Angleichung des körperlichen Erscheinungsbilds des Kindes an das des männlichen oder des weiblichen Geschlechts zur Folge haben könnten und für die nicht bereits nach Absatz 1 die Einwilligungsbefugnis fehlt, können die Eltern nur einwilligen, wenn der Eingriff nicht bis zu einer selbstbestimmten Entscheidung des Kindes aufgeschoben werden kann. </w:t>
      </w:r>
      <w:r>
        <w:rPr>
          <w:rStyle w:val="Satznummer"/>
        </w:rPr>
        <w:t>2</w:t>
      </w:r>
      <w:hyperlink w:anchor="b2262" w:history="1">
        <w:r>
          <w:rPr>
            <w:color w:val="0A3A8C"/>
            <w:u w:val="single"/>
          </w:rPr>
          <w:t xml:space="preserve">§ 1809</w:t>
        </w:r>
      </w:hyperlink>
      <w:r>
        <w:t xml:space="preserve"> ist nicht anzuwenden.</w:t>
      </w:r>
    </w:p>
    <w:p>
      <w:r>
        <w:t xml:space="preserve">(3) </w:t>
      </w:r>
      <w:r>
        <w:rPr>
          <w:rStyle w:val="Satznummer"/>
        </w:rPr>
        <w:t>1</w:t>
      </w:r>
      <w:r>
        <w:t xml:space="preserve">Die Einwilligung nach Absatz 2 Satz 1 bedarf der Genehmigung des Familiengerichts, es sei denn, der operative Eingriff ist zur Abwehr einer Gefahr für das Leben oder für die Gesundheit des Kindes erforderlich und kann nicht bis zur Erteilung der Genehmigung aufgeschoben werden. </w:t>
      </w:r>
      <w:r>
        <w:rPr>
          <w:rStyle w:val="Satznummer"/>
        </w:rPr>
        <w:t>2</w:t>
      </w:r>
      <w:r>
        <w:t xml:space="preserve">Die Genehmigung ist auf Antrag der Eltern zu erteilen, wenn der geplante Eingriff dem Wohl des Kindes am besten entspricht. </w:t>
      </w:r>
      <w:r>
        <w:rPr>
          <w:rStyle w:val="Satznummer"/>
        </w:rPr>
        <w:t>3</w:t>
      </w:r>
      <w:r>
        <w:t>Legen die Eltern dem Familiengericht eine den Eingriff befürwortende Stellungnahme einer interdisziplinären Kommission nach Absatz 4 vor, wird vermutet, dass der geplante Eingriff dem Wohl des Kindes am besten entspricht.</w:t>
      </w:r>
    </w:p>
    <w:p>
      <w:r>
        <w:t xml:space="preserve">(4) </w:t>
      </w:r>
      <w:r>
        <w:rPr>
          <w:rStyle w:val="Satznummer"/>
        </w:rPr>
        <w:t>1</w:t>
      </w:r>
      <w:r>
        <w:t>Einer interdisziplinären Kommission sollen zumindest die folgenden Personen angehören:</w:t>
      </w:r>
    </w:p>
    <w:p>
      <w:pPr>
        <w:tabs>
          <w:tab w:pos="567" w:val="left"/>
        </w:tabs>
        <w:ind w:left="567" w:hanging="567"/>
      </w:pPr>
      <w:r>
        <w:t>1.</w:t>
      </w:r>
      <w:r>
        <w:tab/>
      </w:r>
      <w:r>
        <w:t xml:space="preserve">der das Kind Behandelnde gemäß </w:t>
      </w:r>
      <w:hyperlink w:anchor="b917" w:history="1">
        <w:r>
          <w:rPr>
            <w:color w:val="0A3A8C"/>
            <w:u w:val="single"/>
          </w:rPr>
          <w:t xml:space="preserve">§ 630a</w:t>
        </w:r>
      </w:hyperlink>
      <w:r>
        <w:t>,</w:t>
      </w:r>
    </w:p>
    <w:p>
      <w:pPr>
        <w:tabs>
          <w:tab w:pos="567" w:val="left"/>
        </w:tabs>
        <w:ind w:left="567" w:hanging="567"/>
      </w:pPr>
      <w:r>
        <w:t>2.</w:t>
      </w:r>
      <w:r>
        <w:tab/>
      </w:r>
      <w:r>
        <w:t>mindestens eine weitere ärztliche Person,</w:t>
      </w:r>
    </w:p>
    <w:p>
      <w:pPr>
        <w:tabs>
          <w:tab w:pos="567" w:val="left"/>
        </w:tabs>
        <w:ind w:left="567" w:hanging="567"/>
      </w:pPr>
      <w:r>
        <w:t>3.</w:t>
      </w:r>
      <w:r>
        <w:tab/>
      </w:r>
      <w:r>
        <w:t>eine Person, die über eine psychologische, kinder- und jugendlichenpsychotherapeutische oder kinder- und jugendpsychiatrische Berufsqualifikation verfügt, und</w:t>
      </w:r>
    </w:p>
    <w:p>
      <w:pPr>
        <w:tabs>
          <w:tab w:pos="567" w:val="left"/>
        </w:tabs>
        <w:ind w:left="567" w:hanging="567"/>
      </w:pPr>
      <w:r>
        <w:t>4.</w:t>
      </w:r>
      <w:r>
        <w:tab/>
      </w:r>
      <w:r>
        <w:t>eine in Ethik aus-, weiter- oder fortgebildete Person.</w:t>
      </w:r>
    </w:p>
    <w:p>
      <w:r>
        <w:rPr>
          <w:rStyle w:val="Satznummer"/>
        </w:rPr>
        <w:t>2</w:t>
      </w:r>
      <w:r>
        <w:t xml:space="preserve">Die ärztlichen Kommissionsmitglieder müssen unterschiedliche kinderheilkundliche Spezialisierungen aufweisen. </w:t>
      </w:r>
      <w:r>
        <w:rPr>
          <w:rStyle w:val="Satznummer"/>
        </w:rPr>
        <w:t>3</w:t>
      </w:r>
      <w:r>
        <w:t xml:space="preserve">Unter ihnen muss ein Facharzt für Kinder- und Jugendmedizin mit dem Schwerpunkt Kinderendokrinologie und -diabetologie sein. </w:t>
      </w:r>
      <w:r>
        <w:rPr>
          <w:rStyle w:val="Satznummer"/>
        </w:rPr>
        <w:t>4</w:t>
      </w:r>
      <w:r>
        <w:t xml:space="preserve">Ein Kommissionsmitglied nach Satz 1 Nummer 2 darf nicht in der Einrichtung der medizinischen Versorgung beschäftigt sein, in der der operative Eingriff durchgeführt werden soll. </w:t>
      </w:r>
      <w:r>
        <w:rPr>
          <w:rStyle w:val="Satznummer"/>
        </w:rPr>
        <w:t>5</w:t>
      </w:r>
      <w:r>
        <w:t xml:space="preserve">Sämtliche Kommissionsmitglieder müssen Erfahrung im Umgang mit Kindern mit Varianten der Geschlechtsentwicklung haben. </w:t>
      </w:r>
      <w:r>
        <w:rPr>
          <w:rStyle w:val="Satznummer"/>
        </w:rPr>
        <w:t>6</w:t>
      </w:r>
      <w:r>
        <w:t>Auf Wunsch der Eltern soll die Kommission eine Beratungsperson mit einer Variante der Geschlechtsentwicklung beteiligen.</w:t>
      </w:r>
    </w:p>
    <w:p>
      <w:r>
        <w:t xml:space="preserve">(5) </w:t>
      </w:r>
      <w:r>
        <w:rPr>
          <w:rStyle w:val="Satznummer"/>
        </w:rPr>
        <w:t>1</w:t>
      </w:r>
      <w:r>
        <w:t>Die den operativen Eingriff nach Absatz 2 Satz 1 befürwortende Stellungnahme der interdisziplinären Kommission hat insbesondere folgende Angaben zu enthalten:</w:t>
      </w:r>
    </w:p>
    <w:p>
      <w:pPr>
        <w:tabs>
          <w:tab w:pos="567" w:val="left"/>
        </w:tabs>
        <w:ind w:left="567" w:hanging="567"/>
      </w:pPr>
      <w:r>
        <w:t>1.</w:t>
      </w:r>
      <w:r>
        <w:tab/>
      </w:r>
      <w:r>
        <w:t>die Bezeichnung der Mitglieder der Kommission und Informationen zu ihrer Befähigung,</w:t>
      </w:r>
    </w:p>
    <w:p>
      <w:pPr>
        <w:tabs>
          <w:tab w:pos="567" w:val="left"/>
        </w:tabs>
        <w:ind w:left="567" w:hanging="567"/>
      </w:pPr>
      <w:r>
        <w:t>2.</w:t>
      </w:r>
      <w:r>
        <w:tab/>
      </w:r>
      <w:r>
        <w:t>das Alter des Kindes und ob und welche Variante der Geschlechtsentwicklung es aufweist,</w:t>
      </w:r>
    </w:p>
    <w:p>
      <w:pPr>
        <w:tabs>
          <w:tab w:pos="567" w:val="left"/>
        </w:tabs>
        <w:ind w:left="567" w:hanging="567"/>
      </w:pPr>
      <w:r>
        <w:t>3.</w:t>
      </w:r>
      <w:r>
        <w:tab/>
      </w:r>
      <w:r>
        <w:t>die Bezeichnung des geplanten Eingriffs und welche Indikation für diesen besteht,</w:t>
      </w:r>
    </w:p>
    <w:p>
      <w:pPr>
        <w:tabs>
          <w:tab w:pos="567" w:val="left"/>
        </w:tabs>
        <w:ind w:left="567" w:hanging="567"/>
      </w:pPr>
      <w:r>
        <w:t>4.</w:t>
      </w:r>
      <w:r>
        <w:tab/>
      </w:r>
      <w:r>
        <w:t>warum die Kommission den Eingriff unter Berücksichtigung des Kindeswohls befürwortet und ob er aus ihrer Sicht dem Wohl des Kindes am besten entspricht, insbesondere welche Risiken mit diesem Eingriff, mit einer anderen Behandlung oder mit dem Verzicht auf einen Eingriff bis zu einer selbstbestimmten Entscheidung des Kindes verbunden sind,</w:t>
      </w:r>
    </w:p>
    <w:p>
      <w:pPr>
        <w:tabs>
          <w:tab w:pos="567" w:val="left"/>
        </w:tabs>
        <w:ind w:left="567" w:hanging="567"/>
      </w:pPr>
      <w:r>
        <w:t>5.</w:t>
      </w:r>
      <w:r>
        <w:tab/>
      </w:r>
      <w:r>
        <w:t>ob und durch welche Kommissionsmitglieder ein Gespräch mit den Eltern und dem Kind geführt wurde und ob und durch welche Kommissionsmitglieder die Eltern und das Kind zum Umgang mit dieser Variante der Geschlechtsentwicklung aufgeklärt und beraten wurden,</w:t>
      </w:r>
    </w:p>
    <w:p>
      <w:pPr>
        <w:tabs>
          <w:tab w:pos="567" w:val="left"/>
        </w:tabs>
        <w:ind w:left="567" w:hanging="567"/>
      </w:pPr>
      <w:r>
        <w:t>6.</w:t>
      </w:r>
      <w:r>
        <w:tab/>
      </w:r>
      <w:r>
        <w:t>ob eine Beratung der Eltern und des Kindes durch eine Beratungsperson mit einer Variante der Geschlechtsentwicklung stattgefunden hat,</w:t>
      </w:r>
    </w:p>
    <w:p>
      <w:pPr>
        <w:tabs>
          <w:tab w:pos="567" w:val="left"/>
        </w:tabs>
        <w:ind w:left="567" w:hanging="567"/>
      </w:pPr>
      <w:r>
        <w:t>7.</w:t>
      </w:r>
      <w:r>
        <w:tab/>
      </w:r>
      <w:r>
        <w:t>inwieweit das Kind in der Lage ist, sich eine Meinung zu bilden und zu äußern und ob der geplante Eingriff seinem Willen entspricht, sowie</w:t>
      </w:r>
    </w:p>
    <w:p>
      <w:pPr>
        <w:tabs>
          <w:tab w:pos="567" w:val="left"/>
        </w:tabs>
        <w:ind w:left="567" w:hanging="567"/>
      </w:pPr>
      <w:r>
        <w:t>8.</w:t>
      </w:r>
      <w:r>
        <w:tab/>
      </w:r>
      <w:r>
        <w:t>ob die nach Absatz 4 Satz 6 beteiligte Beratungsperson mit einer Variante der Geschlechtsentwicklung die befürwortende Stellungnahme mitträgt.</w:t>
      </w:r>
    </w:p>
    <w:p>
      <w:r>
        <w:rPr>
          <w:rStyle w:val="Satznummer"/>
        </w:rPr>
        <w:t>2</w:t>
      </w:r>
      <w:r>
        <w:t>Die Stellungnahme muss von allen Mitgliedern der interdisziplinären Kommission unterschrieben sein.</w:t>
      </w:r>
    </w:p>
    <w:p>
      <w:r>
        <w:t xml:space="preserve">(6) Der Behandelnde gemäß </w:t>
      </w:r>
      <w:hyperlink w:anchor="b917" w:history="1">
        <w:r>
          <w:rPr>
            <w:color w:val="0A3A8C"/>
            <w:u w:val="single"/>
          </w:rPr>
          <w:t xml:space="preserve">§ 630a</w:t>
        </w:r>
      </w:hyperlink>
      <w:r>
        <w:t xml:space="preserve"> hat, wenn eine Behandlung an den inneren oder äußeren Geschlechtsmerkmalen erfolgt ist, die Behandlungsakte bis zu dem Tag aufzubewahren, an dem die behandelte Person ihr 48. Lebensjahr vollendet.</w:t>
      </w:r>
    </w:p>
    <w:p>
      <w:pPr>
        <w:pStyle w:val="Heading4"/>
      </w:pPr>
      <w:bookmarkStart w:id="2128" w:name="b2113"/>
      <w:r>
        <w:t>§ 1632 Herausgabe des Kindes; Bestimmung des Umgangs; Verbleibensanordnung bei Familienpflege</w:t>
      </w:r>
      <w:r>
        <w:t xml:space="preserve"> </w:t>
      </w:r>
      <w:r>
        <w:rPr>
          <w:rStyle w:val="Suchmarke"/>
        </w:rPr>
        <w:t>#1632#</w:t>
      </w:r>
      <w:bookmarkEnd w:id="2128"/>
    </w:p>
    <w:p>
      <w:r>
        <w:t>(1) Die Personensorge umfasst das Recht, die Herausgabe des Kindes von jedem zu verlangen, der es den Eltern oder einem Elternteil widerrechtlich vorenthält.</w:t>
      </w:r>
    </w:p>
    <w:p>
      <w:r>
        <w:t>(2) Die Personensorge umfasst ferner das Recht, den Umgang des Kindes auch mit Wirkung für und gegen Dritte zu bestimmen.</w:t>
      </w:r>
    </w:p>
    <w:p>
      <w:r>
        <w:t>(3) Über Streitigkeiten, die eine Angelegenheit nach Absatz 1 oder 2 betreffen, entscheidet das Familiengericht auf Antrag eines Elternteils.</w:t>
      </w:r>
    </w:p>
    <w:p>
      <w:r>
        <w:t xml:space="preserve">(4) </w:t>
      </w:r>
      <w:r>
        <w:rPr>
          <w:rStyle w:val="Satznummer"/>
        </w:rPr>
        <w:t>1</w:t>
      </w:r>
      <w:r>
        <w:t xml:space="preserve">Lebt das Kind seit längerer Zeit in Familienpflege und wollen die Eltern das Kind von der Pflegeperson wegnehmen, so kann das Familiengericht von Amts wegen oder auf Antrag der Pflegeperson anordnen, dass das Kind bei der Pflegeperson verbleibt, wenn und solange das Kindeswohl durch die Wegnahme gefährdet würde. </w:t>
      </w:r>
      <w:r>
        <w:rPr>
          <w:rStyle w:val="Satznummer"/>
        </w:rPr>
        <w:t>2</w:t>
      </w:r>
      <w:r>
        <w:t>Das Familiengericht kann in Verfahren nach Satz 1 von Amts wegen oder auf Antrag der Pflegeperson zusätzlich anordnen, dass der Verbleib bei der Pflegeperson auf Dauer ist, wenn</w:t>
      </w:r>
    </w:p>
    <w:p>
      <w:pPr>
        <w:tabs>
          <w:tab w:pos="567" w:val="left"/>
        </w:tabs>
        <w:ind w:left="567" w:hanging="567"/>
      </w:pPr>
      <w:r>
        <w:t>1.</w:t>
      </w:r>
      <w:r>
        <w:tab/>
      </w:r>
      <w:r>
        <w:t>sich innerhalb eines im Hinblick auf die Entwicklung des Kindes vertretbaren Zeitraums trotz angebotener geeigneter Beratungs- und Unterstützungsmaßnahmen die Erziehungsverhältnisse bei den Eltern nicht nachhaltig verbessert haben und eine derartige Verbesserung mit hoher Wahrscheinlichkeit auch zukünftig nicht zu erwarten ist und</w:t>
      </w:r>
    </w:p>
    <w:p>
      <w:pPr>
        <w:tabs>
          <w:tab w:pos="567" w:val="left"/>
        </w:tabs>
        <w:ind w:left="567" w:hanging="567"/>
      </w:pPr>
      <w:r>
        <w:t>2.</w:t>
      </w:r>
      <w:r>
        <w:tab/>
      </w:r>
      <w:r>
        <w:t>die Anordnung zum Wohl des Kindes erforderlich ist.</w:t>
      </w:r>
    </w:p>
    <w:p>
      <w:pPr>
        <w:pStyle w:val="Heading4"/>
      </w:pPr>
      <w:bookmarkStart w:id="2129" w:name="b2114"/>
      <w:r>
        <w:t>§ 1633 (weggefallen)</w:t>
      </w:r>
      <w:r>
        <w:t xml:space="preserve"> </w:t>
      </w:r>
      <w:r>
        <w:rPr>
          <w:rStyle w:val="Suchmarke"/>
        </w:rPr>
        <w:t>#1633#</w:t>
      </w:r>
      <w:bookmarkEnd w:id="2129"/>
    </w:p>
    <w:p>
      <w:pPr>
        <w:pStyle w:val="Heading4"/>
      </w:pPr>
      <w:bookmarkStart w:id="2130" w:name="b2115"/>
      <w:r>
        <w:t>§§ 1634 bis 1637 (weggefallen)</w:t>
      </w:r>
      <w:bookmarkEnd w:id="2130"/>
    </w:p>
    <w:p>
      <w:pPr>
        <w:pStyle w:val="Heading4"/>
      </w:pPr>
      <w:bookmarkStart w:id="2131" w:name="b2116"/>
      <w:r>
        <w:t>§ 1638 Beschränkung der Vermögenssorge</w:t>
      </w:r>
      <w:r>
        <w:t xml:space="preserve"> </w:t>
      </w:r>
      <w:r>
        <w:rPr>
          <w:rStyle w:val="Suchmarke"/>
        </w:rPr>
        <w:t>#1638#</w:t>
      </w:r>
      <w:bookmarkEnd w:id="2131"/>
    </w:p>
    <w:p>
      <w:r>
        <w:t>(1) Die Vermögenssorge erstreckt sich nicht auf das Vermögen, welches das Kind von Todes wegen, durch unentgeltliche Zuwendung auf den Todesfall oder unter Lebenden erwirbt, wenn der Erblasser durch letztwillige Verfügung, der Zuwendende bei der Zuwendung bestimmt hat, dass die Eltern das Vermögen nicht verwalten sollen.</w:t>
      </w:r>
    </w:p>
    <w:p>
      <w:r>
        <w:t>(2) Was das Kind auf Grund eines zu einem solchen Vermögen gehörenden Rechts oder als Ersatz für die Zerstörung, Beschädigung oder Entziehung eines zu dem Vermögen gehörenden Gegenstands oder durch ein Rechtsgeschäft erwirbt, das sich auf das Vermögen bezieht, können die Eltern gleichfalls nicht verwalten.</w:t>
      </w:r>
    </w:p>
    <w:p>
      <w:r>
        <w:t xml:space="preserve">(3) </w:t>
      </w:r>
      <w:r>
        <w:rPr>
          <w:rStyle w:val="Satznummer"/>
        </w:rPr>
        <w:t>1</w:t>
      </w:r>
      <w:r>
        <w:t xml:space="preserve">Ist durch letztwillige Verfügung oder bei der Zuwendung bestimmt, dass ein Elternteil das Vermögen nicht verwalten soll, so verwaltet es der andere Elternteil. </w:t>
      </w:r>
      <w:r>
        <w:rPr>
          <w:rStyle w:val="Satznummer"/>
        </w:rPr>
        <w:t>2</w:t>
      </w:r>
      <w:r>
        <w:t>Insoweit vertritt dieser das Kind.</w:t>
      </w:r>
    </w:p>
    <w:p>
      <w:pPr>
        <w:pStyle w:val="Heading4"/>
      </w:pPr>
      <w:bookmarkStart w:id="2132" w:name="b2117"/>
      <w:r>
        <w:t>§ 1639 Anordnungen des Erblassers oder Zuwendenden</w:t>
      </w:r>
      <w:r>
        <w:t xml:space="preserve"> </w:t>
      </w:r>
      <w:r>
        <w:rPr>
          <w:rStyle w:val="Suchmarke"/>
        </w:rPr>
        <w:t>#1639#</w:t>
      </w:r>
      <w:bookmarkEnd w:id="2132"/>
    </w:p>
    <w:p>
      <w:r>
        <w:t>(1) Was das Kind von Todes wegen, durch unentgeltliche Zuwendung auf den Todesfall oder unter Lebenden erwirbt, haben die Eltern nach den Anordnungen zu verwalten, die durch letztwillige Verfügung oder bei der Zuwendung getroffen worden sind.</w:t>
      </w:r>
    </w:p>
    <w:p>
      <w:r>
        <w:t xml:space="preserve">(2) </w:t>
      </w:r>
      <w:hyperlink w:anchor="b2297" w:history="1">
        <w:r>
          <w:rPr>
            <w:color w:val="0A3A8C"/>
            <w:u w:val="single"/>
          </w:rPr>
          <w:t xml:space="preserve">§ 1837</w:t>
        </w:r>
      </w:hyperlink>
      <w:r>
        <w:t xml:space="preserve"> Absatz 2 gilt entsprechend.</w:t>
      </w:r>
    </w:p>
    <w:p>
      <w:pPr>
        <w:pStyle w:val="Heading4"/>
      </w:pPr>
      <w:bookmarkStart w:id="2133" w:name="b2118"/>
      <w:r>
        <w:t>§ 1640 Vermögensverzeichnis</w:t>
      </w:r>
      <w:r>
        <w:t xml:space="preserve"> </w:t>
      </w:r>
      <w:r>
        <w:rPr>
          <w:rStyle w:val="Suchmarke"/>
        </w:rPr>
        <w:t>#1640#</w:t>
      </w:r>
      <w:bookmarkEnd w:id="2133"/>
    </w:p>
    <w:p>
      <w:r>
        <w:t xml:space="preserve">(1) </w:t>
      </w:r>
      <w:r>
        <w:rPr>
          <w:rStyle w:val="Satznummer"/>
        </w:rPr>
        <w:t>1</w:t>
      </w:r>
      <w:r>
        <w:t xml:space="preserve">Die Eltern haben das ihrer Verwaltung unterliegende Vermögen, welches das Kind von Todes wegen erwirbt, zu verzeichnen, das Verzeichnis mit der Versicherung der Richtigkeit und Vollständigkeit zu versehen und dem Familiengericht einzureichen. </w:t>
      </w:r>
      <w:r>
        <w:rPr>
          <w:rStyle w:val="Satznummer"/>
        </w:rPr>
        <w:t>2</w:t>
      </w:r>
      <w:r>
        <w:t xml:space="preserve">Gleiches gilt für Vermögen, welches das Kind sonst anlässlich eines Sterbefalls erwirbt, sowie für Abfindungen, die anstelle von Unterhalt gewährt werden, und unentgeltliche Zuwendungen. </w:t>
      </w:r>
      <w:r>
        <w:rPr>
          <w:rStyle w:val="Satznummer"/>
        </w:rPr>
        <w:t>3</w:t>
      </w:r>
      <w:r>
        <w:t>Bei Haushaltsgegenständen genügt die Angabe des Gesamtwerts.</w:t>
      </w:r>
    </w:p>
    <w:p>
      <w:r>
        <w:t>(2) Absatz 1 gilt nicht,</w:t>
      </w:r>
    </w:p>
    <w:p>
      <w:pPr>
        <w:tabs>
          <w:tab w:pos="567" w:val="left"/>
        </w:tabs>
        <w:ind w:left="567" w:hanging="567"/>
      </w:pPr>
      <w:r>
        <w:t>1.</w:t>
      </w:r>
      <w:r>
        <w:tab/>
      </w:r>
      <w:r>
        <w:t>wenn der Wert eines Vermögenserwerbs 15.000 Euro nicht übersteigt oder</w:t>
      </w:r>
    </w:p>
    <w:p>
      <w:pPr>
        <w:tabs>
          <w:tab w:pos="567" w:val="left"/>
        </w:tabs>
        <w:ind w:left="567" w:hanging="567"/>
      </w:pPr>
      <w:r>
        <w:t>2.</w:t>
      </w:r>
      <w:r>
        <w:tab/>
      </w:r>
      <w:r>
        <w:t>soweit der Erblasser durch letztwillige Verfügung oder der Zuwendende bei der Zuwendung eine abweichende Anordnung getroffen hat.</w:t>
      </w:r>
    </w:p>
    <w:p>
      <w:r>
        <w:t>(3) Reichen die Eltern entgegen Absatz 1, 2 ein Verzeichnis nicht ein oder ist das eingereichte Verzeichnis ungenügend, so kann das Familiengericht anordnen, dass das Verzeichnis durch eine zuständige Behörde oder einen zuständigen Beamten oder Notar aufgenommen wird.</w:t>
      </w:r>
    </w:p>
    <w:p>
      <w:pPr>
        <w:pStyle w:val="Heading4"/>
      </w:pPr>
      <w:bookmarkStart w:id="2134" w:name="b2119"/>
      <w:r>
        <w:t>§ 1641 Schenkungsverbot</w:t>
      </w:r>
      <w:r>
        <w:t xml:space="preserve"> </w:t>
      </w:r>
      <w:r>
        <w:rPr>
          <w:rStyle w:val="Suchmarke"/>
        </w:rPr>
        <w:t>#1641#</w:t>
      </w:r>
      <w:bookmarkEnd w:id="2134"/>
    </w:p>
    <w:p>
      <w:r>
        <w:rPr>
          <w:rStyle w:val="Satznummer"/>
        </w:rPr>
        <w:t>1</w:t>
      </w:r>
      <w:r>
        <w:t xml:space="preserve">Die Eltern können nicht in Vertretung des Kindes Schenkungen machen. </w:t>
      </w:r>
      <w:r>
        <w:rPr>
          <w:rStyle w:val="Satznummer"/>
        </w:rPr>
        <w:t>2</w:t>
      </w:r>
      <w:r>
        <w:t>Ausgenommen sind Schenkungen, durch die einer sittlichen Pflicht oder einer auf den Anstand zu nehmenden Rücksicht entsprochen wird.</w:t>
      </w:r>
    </w:p>
    <w:p>
      <w:pPr>
        <w:pStyle w:val="Heading4"/>
      </w:pPr>
      <w:bookmarkStart w:id="2135" w:name="b2120"/>
      <w:r>
        <w:t>§ 1642 Anlegung von Geld</w:t>
      </w:r>
      <w:r>
        <w:t xml:space="preserve"> </w:t>
      </w:r>
      <w:r>
        <w:rPr>
          <w:rStyle w:val="Suchmarke"/>
        </w:rPr>
        <w:t>#1642#</w:t>
      </w:r>
      <w:bookmarkEnd w:id="2135"/>
    </w:p>
    <w:p>
      <w:r>
        <w:t>Die Eltern haben das ihrer Verwaltung unterliegende Geld des Kindes nach den Grundsätzen einer wirtschaftlichen Vermögensverwaltung anzulegen, soweit es nicht zur Bestreitung von Ausgaben bereitzuhalten ist.</w:t>
      </w:r>
    </w:p>
    <w:p>
      <w:pPr>
        <w:pStyle w:val="Heading4"/>
      </w:pPr>
      <w:bookmarkStart w:id="2136" w:name="b2121"/>
      <w:r>
        <w:t>§ 1643 Genehmigungsbedürftige Rechtsgeschäfte</w:t>
      </w:r>
      <w:r>
        <w:t xml:space="preserve"> </w:t>
      </w:r>
      <w:r>
        <w:rPr>
          <w:rStyle w:val="Suchmarke"/>
        </w:rPr>
        <w:t>#1643#</w:t>
      </w:r>
      <w:bookmarkEnd w:id="2136"/>
    </w:p>
    <w:p>
      <w:r>
        <w:t>(1) Die Eltern bedürfen der Genehmigung des Familiengerichts in den Fällen, in denen ein Betreuer nach den §§ 1850 bis 1854 der Genehmigung des Betreuungsgerichts bedarf, soweit sich nicht aus den Absätzen 2 bis 5 etwas anderes ergibt.</w:t>
      </w:r>
    </w:p>
    <w:p>
      <w:r>
        <w:t xml:space="preserve">(2) Nicht genehmigungsbedürftig gemäß </w:t>
      </w:r>
      <w:hyperlink w:anchor="b2313" w:history="1">
        <w:r>
          <w:rPr>
            <w:color w:val="0A3A8C"/>
            <w:u w:val="single"/>
          </w:rPr>
          <w:t xml:space="preserve">§ 1850</w:t>
        </w:r>
      </w:hyperlink>
      <w:r>
        <w:t xml:space="preserve"> sind Verfügungen über Grundpfandrechte sowie Verpflichtungen zu einer solchen Verfügung.</w:t>
      </w:r>
    </w:p>
    <w:p>
      <w:r>
        <w:t xml:space="preserve">(3) </w:t>
      </w:r>
      <w:r>
        <w:rPr>
          <w:rStyle w:val="Satznummer"/>
        </w:rPr>
        <w:t>1</w:t>
      </w:r>
      <w:r>
        <w:t xml:space="preserve">Tritt der Anfall einer Erbschaft oder eines Vermächtnisses an das Kind erst infolge der Ausschlagung eines Elternteils ein, der das Kind allein oder gemeinsam mit dem anderen Elternteil vertritt, ist die Genehmigung abweichend von </w:t>
      </w:r>
      <w:hyperlink w:anchor="b2314" w:history="1">
        <w:r>
          <w:rPr>
            <w:color w:val="0A3A8C"/>
            <w:u w:val="single"/>
          </w:rPr>
          <w:t xml:space="preserve">§ 1851</w:t>
        </w:r>
      </w:hyperlink>
      <w:r>
        <w:t xml:space="preserve"> Nummer 1 nur dann erforderlich, wenn der Elternteil neben dem Kind berufen war. </w:t>
      </w:r>
      <w:r>
        <w:rPr>
          <w:rStyle w:val="Satznummer"/>
        </w:rPr>
        <w:t>2</w:t>
      </w:r>
      <w:r>
        <w:t>Ein Auseinandersetzungsvertrag und eine Vereinbarung, mit der das Kind aus einer Erbengemeinschaft ausscheidet, bedarf keiner Genehmigung.</w:t>
      </w:r>
    </w:p>
    <w:p>
      <w:r>
        <w:t xml:space="preserve">(4) </w:t>
      </w:r>
      <w:r>
        <w:rPr>
          <w:rStyle w:val="Satznummer"/>
        </w:rPr>
        <w:t>1</w:t>
      </w:r>
      <w:r>
        <w:t xml:space="preserve">Die Eltern bedürfen abweichend von § 1853 Satz 1 Nummer 1 der Genehmigung zum Abschluss eines Miet- oder Pachtvertrags oder eines anderen Vertrags, durch den das Kind zu wiederkehrenden Leistungen verpflichtet wird, wenn das Vertragsverhältnis länger als ein Jahr nach dem Eintritt der Volljährigkeit des Kindes fortdauern soll. </w:t>
      </w:r>
      <w:r>
        <w:rPr>
          <w:rStyle w:val="Satznummer"/>
        </w:rPr>
        <w:t>2</w:t>
      </w:r>
      <w:r>
        <w:t>Eine Genehmigung ist nicht erforderlich, wenn</w:t>
      </w:r>
    </w:p>
    <w:p>
      <w:pPr>
        <w:tabs>
          <w:tab w:pos="567" w:val="left"/>
        </w:tabs>
        <w:ind w:left="567" w:hanging="567"/>
      </w:pPr>
      <w:r>
        <w:t>1.</w:t>
      </w:r>
      <w:r>
        <w:tab/>
      </w:r>
      <w:r>
        <w:t>es sich um einen Ausbildungs-, Dienst- oder Arbeitsvertrag handelt,</w:t>
      </w:r>
    </w:p>
    <w:p>
      <w:pPr>
        <w:tabs>
          <w:tab w:pos="567" w:val="left"/>
        </w:tabs>
        <w:ind w:left="567" w:hanging="567"/>
      </w:pPr>
      <w:r>
        <w:t>2.</w:t>
      </w:r>
      <w:r>
        <w:tab/>
      </w:r>
      <w:r>
        <w:t>der Vertrag geringe wirtschaftliche Bedeutung für das Kind hat oder</w:t>
      </w:r>
    </w:p>
    <w:p>
      <w:pPr>
        <w:tabs>
          <w:tab w:pos="567" w:val="left"/>
        </w:tabs>
        <w:ind w:left="567" w:hanging="567"/>
      </w:pPr>
      <w:r>
        <w:t>3.</w:t>
      </w:r>
      <w:r>
        <w:tab/>
      </w:r>
      <w:r>
        <w:t>das Vertragsverhältnis von dem Kind nach Eintritt der Volljährigkeit spätestens zum Ablauf des 19. Lebensjahres ohne eigene Nachteile gekündigt werden kann.</w:t>
      </w:r>
    </w:p>
    <w:p>
      <w:r>
        <w:rPr>
          <w:rStyle w:val="Satznummer"/>
        </w:rPr>
        <w:t>3</w:t>
      </w:r>
      <w:hyperlink w:anchor="b2316" w:history="1">
        <w:r>
          <w:rPr>
            <w:color w:val="0A3A8C"/>
            <w:u w:val="single"/>
          </w:rPr>
          <w:t xml:space="preserve">§ 1853</w:t>
        </w:r>
      </w:hyperlink>
      <w:r>
        <w:t xml:space="preserve"> Satz 1 Nummer 2 ist nicht anzuwenden.</w:t>
      </w:r>
    </w:p>
    <w:p>
      <w:r>
        <w:t xml:space="preserve">(5) </w:t>
      </w:r>
      <w:hyperlink w:anchor="b2317" w:history="1">
        <w:r>
          <w:rPr>
            <w:color w:val="0A3A8C"/>
            <w:u w:val="single"/>
          </w:rPr>
          <w:t xml:space="preserve">§ 1854</w:t>
        </w:r>
      </w:hyperlink>
      <w:r>
        <w:t xml:space="preserve"> Nummer 6 bis 8 ist nicht anzuwenden.</w:t>
      </w:r>
    </w:p>
    <w:p>
      <w:pPr>
        <w:pStyle w:val="Heading4"/>
      </w:pPr>
      <w:bookmarkStart w:id="2137" w:name="b2122"/>
      <w:r>
        <w:t>§ 1644 Ergänzende Vorschriften für genehmigungsbedürftige Rechtsgeschäfte</w:t>
      </w:r>
      <w:r>
        <w:t xml:space="preserve"> </w:t>
      </w:r>
      <w:r>
        <w:rPr>
          <w:rStyle w:val="Suchmarke"/>
        </w:rPr>
        <w:t>#1644#</w:t>
      </w:r>
      <w:bookmarkEnd w:id="2137"/>
    </w:p>
    <w:p>
      <w:r>
        <w:t>(1) Das Familiengericht erteilt die Genehmigung, wenn das Rechtsgeschäft dem Wohl des Kindes unter Berücksichtigung der Grundsätze einer wirtschaftlichen Vermögensverwaltung nicht widerspricht.</w:t>
      </w:r>
    </w:p>
    <w:p>
      <w:r>
        <w:t xml:space="preserve">(2) </w:t>
      </w:r>
      <w:hyperlink w:anchor="b2325" w:history="1">
        <w:r>
          <w:rPr>
            <w:color w:val="0A3A8C"/>
            <w:u w:val="single"/>
          </w:rPr>
          <w:t xml:space="preserve">§ 1860</w:t>
        </w:r>
      </w:hyperlink>
      <w:r>
        <w:t xml:space="preserve"> Absatz 2 gilt entsprechend.</w:t>
      </w:r>
    </w:p>
    <w:p>
      <w:r>
        <w:t xml:space="preserve">(3) </w:t>
      </w:r>
      <w:r>
        <w:rPr>
          <w:rStyle w:val="Satznummer"/>
        </w:rPr>
        <w:t>1</w:t>
      </w:r>
      <w:r>
        <w:t xml:space="preserve">Für die Erteilung der Genehmigung gelten die </w:t>
      </w:r>
      <w:hyperlink w:anchor="b2319" w:history="1">
        <w:r>
          <w:rPr>
            <w:color w:val="0A3A8C"/>
            <w:u w:val="single"/>
          </w:rPr>
          <w:t xml:space="preserve">§§ 1855</w:t>
        </w:r>
      </w:hyperlink>
      <w:r>
        <w:t xml:space="preserve"> bis </w:t>
      </w:r>
      <w:hyperlink w:anchor="b2320" w:history="1">
        <w:r>
          <w:rPr>
            <w:color w:val="0A3A8C"/>
            <w:u w:val="single"/>
          </w:rPr>
          <w:t xml:space="preserve">1856</w:t>
        </w:r>
      </w:hyperlink>
      <w:r>
        <w:t xml:space="preserve"> Absatz 2 sowie die </w:t>
      </w:r>
      <w:hyperlink w:anchor="b2321" w:history="1">
        <w:r>
          <w:rPr>
            <w:color w:val="0A3A8C"/>
            <w:u w:val="single"/>
          </w:rPr>
          <w:t xml:space="preserve">§§ 1857</w:t>
        </w:r>
      </w:hyperlink>
      <w:r>
        <w:t xml:space="preserve"> und </w:t>
      </w:r>
      <w:hyperlink w:anchor="b2322" w:history="1">
        <w:r>
          <w:rPr>
            <w:color w:val="0A3A8C"/>
            <w:u w:val="single"/>
          </w:rPr>
          <w:t xml:space="preserve">1858</w:t>
        </w:r>
      </w:hyperlink>
      <w:r>
        <w:t xml:space="preserve"> entsprechend. </w:t>
      </w:r>
      <w:r>
        <w:rPr>
          <w:rStyle w:val="Satznummer"/>
        </w:rPr>
        <w:t>2</w:t>
      </w:r>
      <w:r>
        <w:t>Ist das Kind volljährig geworden, so tritt seine Genehmigung an die Stelle der Genehmigung des Familiengerichts.</w:t>
      </w:r>
    </w:p>
    <w:p>
      <w:pPr>
        <w:pStyle w:val="Heading4"/>
      </w:pPr>
      <w:bookmarkStart w:id="2138" w:name="b2123"/>
      <w:r>
        <w:t>§ 1645 Anzeigepflicht für Erwerbsgeschäfte</w:t>
      </w:r>
      <w:r>
        <w:t xml:space="preserve"> </w:t>
      </w:r>
      <w:r>
        <w:rPr>
          <w:rStyle w:val="Suchmarke"/>
        </w:rPr>
        <w:t>#1645#</w:t>
      </w:r>
      <w:bookmarkEnd w:id="2138"/>
    </w:p>
    <w:p>
      <w:r>
        <w:t>Die Eltern haben Beginn, Art und Umfang eines neuen Erwerbsgeschäfts im Namen des Kindes beim Familiengericht anzuzeigen.</w:t>
      </w:r>
    </w:p>
    <w:p>
      <w:pPr>
        <w:pStyle w:val="Heading4"/>
      </w:pPr>
      <w:bookmarkStart w:id="2139" w:name="b2124"/>
      <w:r>
        <w:t>§ 1646 Erwerb mit Mitteln des Kindes</w:t>
      </w:r>
      <w:r>
        <w:t xml:space="preserve"> </w:t>
      </w:r>
      <w:r>
        <w:rPr>
          <w:rStyle w:val="Suchmarke"/>
        </w:rPr>
        <w:t>#1646#</w:t>
      </w:r>
      <w:bookmarkEnd w:id="2139"/>
    </w:p>
    <w:p>
      <w:r>
        <w:t xml:space="preserve">(1) </w:t>
      </w:r>
      <w:r>
        <w:rPr>
          <w:rStyle w:val="Satznummer"/>
        </w:rPr>
        <w:t>1</w:t>
      </w:r>
      <w:r>
        <w:t xml:space="preserve">Erwerben die Eltern mit Mitteln des Kindes bewegliche Sachen, so geht mit dem Erwerb das Eigentum auf das Kind über, es sei denn, dass die Eltern nicht für Rechnung des Kindes erwerben wollen. </w:t>
      </w:r>
      <w:r>
        <w:rPr>
          <w:rStyle w:val="Satznummer"/>
        </w:rPr>
        <w:t>2</w:t>
      </w:r>
      <w:r>
        <w:t>Dies gilt insbesondere auch von Inhaberpapieren und von Orderpapieren, die mit Blankoindossament versehen sind.</w:t>
      </w:r>
    </w:p>
    <w:p>
      <w:r>
        <w:t>(2) Die Vorschriften des Absatzes 1 sind entsprechend anzuwenden, wenn die Eltern mit Mitteln des Kindes ein Recht an Sachen der bezeichneten Art oder ein anderes Recht erwerben, zu dessen Übertragung der Abtretungsvertrag genügt.</w:t>
      </w:r>
    </w:p>
    <w:p>
      <w:pPr>
        <w:pStyle w:val="Heading4"/>
      </w:pPr>
      <w:bookmarkStart w:id="2140" w:name="b2125"/>
      <w:r>
        <w:t>§ 1647</w:t>
      </w:r>
      <w:r>
        <w:t xml:space="preserve"> </w:t>
      </w:r>
      <w:r>
        <w:rPr>
          <w:rStyle w:val="Suchmarke"/>
        </w:rPr>
        <w:t>#1647#</w:t>
      </w:r>
      <w:bookmarkEnd w:id="2140"/>
    </w:p>
    <w:p>
      <w:r>
        <w:t>(weggefallen)</w:t>
      </w:r>
    </w:p>
    <w:p>
      <w:pPr>
        <w:pStyle w:val="Heading4"/>
      </w:pPr>
      <w:bookmarkStart w:id="2141" w:name="b2126"/>
      <w:r>
        <w:t>§ 1648 Ersatz von Aufwendungen</w:t>
      </w:r>
      <w:r>
        <w:t xml:space="preserve"> </w:t>
      </w:r>
      <w:r>
        <w:rPr>
          <w:rStyle w:val="Suchmarke"/>
        </w:rPr>
        <w:t>#1648#</w:t>
      </w:r>
      <w:bookmarkEnd w:id="2141"/>
    </w:p>
    <w:p>
      <w:r>
        <w:t>Machen die Eltern bei der Ausübung der Personensorge oder der Vermögenssorge Aufwendungen, die sie den Umständen nach für erforderlich halten dürfen, so können sie von dem Kind Ersatz verlangen, sofern nicht die Aufwendungen ihnen selbst zur Last fallen.</w:t>
      </w:r>
    </w:p>
    <w:p>
      <w:pPr>
        <w:pStyle w:val="Heading4"/>
      </w:pPr>
      <w:bookmarkStart w:id="2142" w:name="b2127"/>
      <w:r>
        <w:t>§ 1649 Verwendung der Einkünfte des Kindesvermögens</w:t>
      </w:r>
      <w:r>
        <w:t xml:space="preserve"> </w:t>
      </w:r>
      <w:r>
        <w:rPr>
          <w:rStyle w:val="Suchmarke"/>
        </w:rPr>
        <w:t>#1649#</w:t>
      </w:r>
      <w:bookmarkEnd w:id="2142"/>
    </w:p>
    <w:p>
      <w:r>
        <w:t xml:space="preserve">(1) </w:t>
      </w:r>
      <w:r>
        <w:rPr>
          <w:rStyle w:val="Satznummer"/>
        </w:rPr>
        <w:t>1</w:t>
      </w:r>
      <w:r>
        <w:t xml:space="preserve">Die Einkünfte des Kindesvermögens, die zur ordnungsmäßigen Verwaltung des Vermögens nicht benötigt werden, sind für den Unterhalt des Kindes zu verwenden. </w:t>
      </w:r>
      <w:r>
        <w:rPr>
          <w:rStyle w:val="Satznummer"/>
        </w:rPr>
        <w:t>2</w:t>
      </w:r>
      <w:r>
        <w:t xml:space="preserve">Soweit die Vermögenseinkünfte nicht ausreichen, können die Einkünfte verwendet werden, die das Kind durch seine Arbeit oder durch den ihm nach </w:t>
      </w:r>
      <w:hyperlink w:anchor="b140" w:history="1">
        <w:r>
          <w:rPr>
            <w:color w:val="0A3A8C"/>
            <w:u w:val="single"/>
          </w:rPr>
          <w:t xml:space="preserve">§ 112</w:t>
        </w:r>
      </w:hyperlink>
      <w:r>
        <w:t xml:space="preserve"> gestatteten selbständigen Betrieb eines Erwerbsgeschäfts erwirbt.</w:t>
      </w:r>
    </w:p>
    <w:p>
      <w:r>
        <w:t>(2) Die Eltern können die Einkünfte des Vermögens, die zur ordnungsmäßigen Verwaltung des Vermögens und für den Unterhalt des Kindes nicht benötigt werden, für ihren eigenen Unterhalt und für den Unterhalt der minderjährigen Geschwister des Kindes verwenden, soweit dies unter Berücksichtigung der Vermögens- und Erwerbsverhältnisse der Beteiligten der Billigkeit entspricht.</w:t>
      </w:r>
    </w:p>
    <w:p>
      <w:pPr>
        <w:pStyle w:val="Heading4"/>
      </w:pPr>
      <w:bookmarkStart w:id="2143" w:name="b2128"/>
      <w:r>
        <w:t>§§ 1650 bis 1663 (weggefallen)</w:t>
      </w:r>
      <w:bookmarkEnd w:id="2143"/>
    </w:p>
    <w:p>
      <w:pPr>
        <w:pStyle w:val="Heading4"/>
      </w:pPr>
      <w:bookmarkStart w:id="2144" w:name="b2129"/>
      <w:r>
        <w:t>§ 1664 Beschränkte Haftung der Eltern</w:t>
      </w:r>
      <w:r>
        <w:t xml:space="preserve"> </w:t>
      </w:r>
      <w:r>
        <w:rPr>
          <w:rStyle w:val="Suchmarke"/>
        </w:rPr>
        <w:t>#1664#</w:t>
      </w:r>
      <w:bookmarkEnd w:id="2144"/>
    </w:p>
    <w:p>
      <w:r>
        <w:t>(1) Die Eltern haben bei der Ausübung der elterlichen Sorge dem Kind gegenüber nur für die Sorgfalt einzustehen, die sie in eigenen Angelegenheiten anzuwenden pflegen.</w:t>
      </w:r>
    </w:p>
    <w:p>
      <w:r>
        <w:t>(2) Sind für einen Schaden beide Eltern verantwortlich, so haften sie als Gesamtschuldner.</w:t>
      </w:r>
    </w:p>
    <w:p>
      <w:pPr>
        <w:pStyle w:val="Heading4"/>
      </w:pPr>
      <w:bookmarkStart w:id="2145" w:name="b2130"/>
      <w:r>
        <w:t>§ 1665</w:t>
      </w:r>
      <w:r>
        <w:t xml:space="preserve"> </w:t>
      </w:r>
      <w:r>
        <w:rPr>
          <w:rStyle w:val="Suchmarke"/>
        </w:rPr>
        <w:t>#1665#</w:t>
      </w:r>
      <w:bookmarkEnd w:id="2145"/>
    </w:p>
    <w:p>
      <w:r>
        <w:t>(weggefallen)</w:t>
      </w:r>
    </w:p>
    <w:p>
      <w:pPr>
        <w:pStyle w:val="Heading4"/>
      </w:pPr>
      <w:bookmarkStart w:id="2146" w:name="b2131"/>
      <w:r>
        <w:t>§ 1666 Gerichtliche Maßnahmen bei Gefährdung des Kindeswohls</w:t>
      </w:r>
      <w:r>
        <w:t xml:space="preserve"> </w:t>
      </w:r>
      <w:r>
        <w:rPr>
          <w:rStyle w:val="Suchmarke"/>
        </w:rPr>
        <w:t>#1666#</w:t>
      </w:r>
      <w:bookmarkEnd w:id="2146"/>
    </w:p>
    <w:p>
      <w:r>
        <w:t>(1) Wird das körperliche, geistige oder seelische Wohl des Kindes oder sein Vermögen gefährdet und sind die Eltern nicht gewillt oder nicht in der Lage, die Gefahr abzuwenden, so hat das Familiengericht die Maßnahmen zu treffen, die zur Abwendung der Gefahr erforderlich sind.</w:t>
      </w:r>
    </w:p>
    <w:p>
      <w:r>
        <w:t>(2) In der Regel ist anzunehmen, dass das Vermögen des Kindes gefährdet ist, wenn der Inhaber der Vermögenssorge seine Unterhaltspflicht gegenüber dem Kind oder seine mit der Vermögenssorge verbundenen Pflichten verletzt oder Anordnungen des Gerichts, die sich auf die Vermögenssorge beziehen, nicht befolgt.</w:t>
      </w:r>
    </w:p>
    <w:p>
      <w:r>
        <w:t>(3) Zu den gerichtlichen Maßnahmen nach Absatz 1 gehören insbesondere</w:t>
      </w:r>
    </w:p>
    <w:p>
      <w:pPr>
        <w:tabs>
          <w:tab w:pos="567" w:val="left"/>
        </w:tabs>
        <w:ind w:left="567" w:hanging="567"/>
      </w:pPr>
      <w:r>
        <w:t>1.</w:t>
      </w:r>
      <w:r>
        <w:tab/>
      </w:r>
      <w:r>
        <w:t>Gebote, öffentliche Hilfen wie zum Beispiel Leistungen der Kinder- und Jugendhilfe und der Gesundheitsfürsorge in Anspruch zu nehmen,</w:t>
      </w:r>
    </w:p>
    <w:p>
      <w:pPr>
        <w:tabs>
          <w:tab w:pos="567" w:val="left"/>
        </w:tabs>
        <w:ind w:left="567" w:hanging="567"/>
      </w:pPr>
      <w:r>
        <w:t>2.</w:t>
      </w:r>
      <w:r>
        <w:tab/>
      </w:r>
      <w:r>
        <w:t>Gebote, für die Einhaltung der Schulpflicht zu sorgen,</w:t>
      </w:r>
    </w:p>
    <w:p>
      <w:pPr>
        <w:tabs>
          <w:tab w:pos="567" w:val="left"/>
        </w:tabs>
        <w:ind w:left="567" w:hanging="567"/>
      </w:pPr>
      <w:r>
        <w:t>3.</w:t>
      </w:r>
      <w:r>
        <w:tab/>
      </w:r>
      <w:r>
        <w:t>Verbote, vorübergehend oder auf unbestimmte Zeit die Familienwohnung oder eine andere Wohnung zu nutzen, sich in einem bestimmten Umkreis der Wohnung aufzuhalten oder zu bestimmende andere Orte aufzusuchen, an denen sich das Kind regelmäßig aufhält,</w:t>
      </w:r>
    </w:p>
    <w:p>
      <w:pPr>
        <w:tabs>
          <w:tab w:pos="567" w:val="left"/>
        </w:tabs>
        <w:ind w:left="567" w:hanging="567"/>
      </w:pPr>
      <w:r>
        <w:t>4.</w:t>
      </w:r>
      <w:r>
        <w:tab/>
      </w:r>
      <w:r>
        <w:t>Verbote, Verbindung zum Kind aufzunehmen oder ein Zusammentreffen mit dem Kind herbeizuführen,</w:t>
      </w:r>
    </w:p>
    <w:p>
      <w:pPr>
        <w:tabs>
          <w:tab w:pos="567" w:val="left"/>
        </w:tabs>
        <w:ind w:left="567" w:hanging="567"/>
      </w:pPr>
      <w:r>
        <w:t>5.</w:t>
      </w:r>
      <w:r>
        <w:tab/>
      </w:r>
      <w:r>
        <w:t>die Ersetzung von Erklärungen des Inhabers der elterlichen Sorge,</w:t>
      </w:r>
    </w:p>
    <w:p>
      <w:pPr>
        <w:tabs>
          <w:tab w:pos="567" w:val="left"/>
        </w:tabs>
        <w:ind w:left="567" w:hanging="567"/>
      </w:pPr>
      <w:r>
        <w:t>6.</w:t>
      </w:r>
      <w:r>
        <w:tab/>
      </w:r>
      <w:r>
        <w:t>die teilweise oder vollständige Entziehung der elterlichen Sorge.</w:t>
      </w:r>
    </w:p>
    <w:p>
      <w:r>
        <w:t>(4) In Angelegenheiten der Personensorge kann das Gericht auch Maßnahmen mit Wirkung gegen einen Dritten treffen.</w:t>
      </w:r>
    </w:p>
    <w:p>
      <w:pPr>
        <w:pStyle w:val="Heading4"/>
      </w:pPr>
      <w:bookmarkStart w:id="2147" w:name="b2132"/>
      <w:r>
        <w:t>§ 1666a Grundsatz der Verhältnismäßigkeit; Vorrang öffentlicher Hilfen</w:t>
      </w:r>
      <w:r>
        <w:t xml:space="preserve"> </w:t>
      </w:r>
      <w:r>
        <w:rPr>
          <w:rStyle w:val="Suchmarke"/>
        </w:rPr>
        <w:t>#1666a#</w:t>
      </w:r>
      <w:bookmarkEnd w:id="2147"/>
    </w:p>
    <w:p>
      <w:r>
        <w:t xml:space="preserve">(1) </w:t>
      </w:r>
      <w:r>
        <w:rPr>
          <w:rStyle w:val="Satznummer"/>
        </w:rPr>
        <w:t>1</w:t>
      </w:r>
      <w:r>
        <w:t xml:space="preserve">Maßnahmen, mit denen eine Trennung des Kindes von der elterlichen Familie verbunden ist, sind nur zulässig, wenn der Gefahr nicht auf andere Weise, auch nicht durch öffentliche Hilfen, begegnet werden kann. </w:t>
      </w:r>
      <w:r>
        <w:rPr>
          <w:rStyle w:val="Satznummer"/>
        </w:rPr>
        <w:t>2</w:t>
      </w:r>
      <w:r>
        <w:t xml:space="preserve">Dies gilt auch, wenn einem Elternteil vorübergehend oder auf unbestimmte Zeit die Nutzung der Familienwohnung untersagt werden soll. </w:t>
      </w:r>
      <w:r>
        <w:rPr>
          <w:rStyle w:val="Satznummer"/>
        </w:rPr>
        <w:t>3</w:t>
      </w:r>
      <w:r>
        <w:t>Wird einem Elternteil oder einem Dritten die Nutzung der vom Kind mitbewohnten oder einer anderen Wohnung untersagt, ist bei der Bemessung der Dauer der Maßnahme auch zu berücksichtigen, ob diesem das Eigentum, das Erbbaurecht oder der Nießbrauch an dem Grundstück zusteht, auf dem sich die Wohnung befindet; Entsprechendes gilt für das Wohnungseigentum, das Dauerwohnrecht, das dingliche Wohnrecht oder wenn der Elternteil oder Dritte Mieter der Wohnung ist.</w:t>
      </w:r>
    </w:p>
    <w:p>
      <w:r>
        <w:t>(2) Die gesamte Personensorge darf nur entzogen werden, wenn andere Maßnahmen erfolglos geblieben sind oder wenn anzunehmen ist, dass sie zur Abwendung der Gefahr nicht ausreichen.</w:t>
      </w:r>
    </w:p>
    <w:p>
      <w:pPr>
        <w:pStyle w:val="Heading4"/>
      </w:pPr>
      <w:bookmarkStart w:id="2148" w:name="b2133"/>
      <w:r>
        <w:t>§ 1667 Gerichtliche Maßnahmen bei Gefährdung des Kindesvermögens</w:t>
      </w:r>
      <w:r>
        <w:t xml:space="preserve"> </w:t>
      </w:r>
      <w:r>
        <w:rPr>
          <w:rStyle w:val="Suchmarke"/>
        </w:rPr>
        <w:t>#1667#</w:t>
      </w:r>
      <w:bookmarkEnd w:id="2148"/>
    </w:p>
    <w:p>
      <w:r>
        <w:t xml:space="preserve">(1) </w:t>
      </w:r>
      <w:r>
        <w:rPr>
          <w:rStyle w:val="Satznummer"/>
        </w:rPr>
        <w:t>1</w:t>
      </w:r>
      <w:r>
        <w:t xml:space="preserve">Das Familiengericht kann anordnen, dass die Eltern ein Verzeichnis des Vermögens des Kindes einreichen und über die Verwaltung Rechnung legen. </w:t>
      </w:r>
      <w:r>
        <w:rPr>
          <w:rStyle w:val="Satznummer"/>
        </w:rPr>
        <w:t>2</w:t>
      </w:r>
      <w:r>
        <w:t xml:space="preserve">Die Eltern haben das Verzeichnis mit der Versicherung der Richtigkeit und Vollständigkeit zu versehen. </w:t>
      </w:r>
      <w:r>
        <w:rPr>
          <w:rStyle w:val="Satznummer"/>
        </w:rPr>
        <w:t>3</w:t>
      </w:r>
      <w:r>
        <w:t>Ist das eingereichte Verzeichnis ungenügend, so kann das Familiengericht anordnen, dass das Verzeichnis durch eine zuständige Behörde oder durch einen zuständigen Beamten oder Notar aufgenommen wird.</w:t>
      </w:r>
    </w:p>
    <w:p>
      <w:r>
        <w:t xml:space="preserve">(2) </w:t>
      </w:r>
      <w:r>
        <w:rPr>
          <w:rStyle w:val="Satznummer"/>
        </w:rPr>
        <w:t>1</w:t>
      </w:r>
      <w:r>
        <w:t xml:space="preserve">Das Familiengericht kann anordnen, dass das Geld des Kindes in bestimmter Weise anzulegen und zur Abhebung seine Genehmigung erforderlich ist. </w:t>
      </w:r>
      <w:r>
        <w:rPr>
          <w:rStyle w:val="Satznummer"/>
        </w:rPr>
        <w:t>2</w:t>
      </w:r>
      <w:r>
        <w:t xml:space="preserve">Gehören Wertpapiere oder Wertgegenstände zum Vermögen des Kindes, so kann das Familiengericht dem Elternteil, der das Kind vertritt, die gleichen Verpflichtungen auferlegen, die nach den </w:t>
      </w:r>
      <w:hyperlink w:anchor="b2304" w:history="1">
        <w:r>
          <w:rPr>
            <w:color w:val="0A3A8C"/>
            <w:u w:val="single"/>
          </w:rPr>
          <w:t xml:space="preserve">§§ 1843</w:t>
        </w:r>
      </w:hyperlink>
      <w:r>
        <w:t xml:space="preserve"> bis </w:t>
      </w:r>
      <w:hyperlink w:anchor="b2306" w:history="1">
        <w:r>
          <w:rPr>
            <w:color w:val="0A3A8C"/>
            <w:u w:val="single"/>
          </w:rPr>
          <w:t xml:space="preserve">1845</w:t>
        </w:r>
      </w:hyperlink>
      <w:r>
        <w:t xml:space="preserve"> einem Betreuer obliegen; die </w:t>
      </w:r>
      <w:hyperlink w:anchor="b2303" w:history="1">
        <w:r>
          <w:rPr>
            <w:color w:val="0A3A8C"/>
            <w:u w:val="single"/>
          </w:rPr>
          <w:t xml:space="preserve">§§ 1842</w:t>
        </w:r>
      </w:hyperlink>
      <w:r>
        <w:t xml:space="preserve"> und </w:t>
      </w:r>
      <w:hyperlink w:anchor="b2312" w:history="1">
        <w:r>
          <w:rPr>
            <w:color w:val="0A3A8C"/>
            <w:u w:val="single"/>
          </w:rPr>
          <w:t xml:space="preserve">1849</w:t>
        </w:r>
      </w:hyperlink>
      <w:r>
        <w:t xml:space="preserve"> Absatz 1 sind entsprechend anzuwenden.</w:t>
      </w:r>
    </w:p>
    <w:p>
      <w:r>
        <w:t xml:space="preserve">(3) </w:t>
      </w:r>
      <w:r>
        <w:rPr>
          <w:rStyle w:val="Satznummer"/>
        </w:rPr>
        <w:t>1</w:t>
      </w:r>
      <w:r>
        <w:t xml:space="preserve">Das Familiengericht kann dem Elternteil, der das Vermögen des Kindes gefährdet, Sicherheitsleistung für das seiner Verwaltung unterliegende Vermögen auferlegen. </w:t>
      </w:r>
      <w:r>
        <w:rPr>
          <w:rStyle w:val="Satznummer"/>
        </w:rPr>
        <w:t>2</w:t>
      </w:r>
      <w:r>
        <w:t xml:space="preserve">Die Art und den Umfang der Sicherheitsleistung bestimmt das Familiengericht nach seinem Ermessen. </w:t>
      </w:r>
      <w:r>
        <w:rPr>
          <w:rStyle w:val="Satznummer"/>
        </w:rPr>
        <w:t>3</w:t>
      </w:r>
      <w:r>
        <w:t xml:space="preserve">Bei der Bestellung und Aufhebung der Sicherheit wird die Mitwirkung des Kindes durch die Anordnung des Familiengerichts ersetzt. </w:t>
      </w:r>
      <w:r>
        <w:rPr>
          <w:rStyle w:val="Satznummer"/>
        </w:rPr>
        <w:t>4</w:t>
      </w:r>
      <w:r>
        <w:t xml:space="preserve">Die Sicherheitsleistung darf nur dadurch erzwungen werden, dass die Vermögenssorge gemäß </w:t>
      </w:r>
      <w:hyperlink w:anchor="b2131" w:history="1">
        <w:r>
          <w:rPr>
            <w:color w:val="0A3A8C"/>
            <w:u w:val="single"/>
          </w:rPr>
          <w:t xml:space="preserve">§ 1666</w:t>
        </w:r>
      </w:hyperlink>
      <w:r>
        <w:t xml:space="preserve"> Abs. 1 ganz oder teilweise entzogen wird.</w:t>
      </w:r>
    </w:p>
    <w:p>
      <w:r>
        <w:t>(4) Die Kosten der angeordneten Maßnahmen trägt der Elternteil, der sie veranlasst hat.</w:t>
      </w:r>
    </w:p>
    <w:p>
      <w:pPr>
        <w:pStyle w:val="Heading4"/>
      </w:pPr>
      <w:bookmarkStart w:id="2149" w:name="b2134"/>
      <w:r>
        <w:t>§§ 1668 bis 1670 (weggefallen)</w:t>
      </w:r>
      <w:bookmarkEnd w:id="2149"/>
    </w:p>
    <w:p>
      <w:pPr>
        <w:pStyle w:val="Heading4"/>
      </w:pPr>
      <w:bookmarkStart w:id="2150" w:name="b2135"/>
      <w:r>
        <w:t>§ 1671 Übertragung der Alleinsorge bei Getrenntleben der Eltern</w:t>
      </w:r>
      <w:r>
        <w:t xml:space="preserve"> </w:t>
      </w:r>
      <w:r>
        <w:rPr>
          <w:rStyle w:val="Suchmarke"/>
        </w:rPr>
        <w:t>#1671#</w:t>
      </w:r>
      <w:bookmarkEnd w:id="2150"/>
    </w:p>
    <w:p>
      <w:r>
        <w:t xml:space="preserve">(1) </w:t>
      </w:r>
      <w:r>
        <w:rPr>
          <w:rStyle w:val="Satznummer"/>
        </w:rPr>
        <w:t>1</w:t>
      </w:r>
      <w:r>
        <w:t xml:space="preserve">Leben Eltern nicht nur vorübergehend getrennt und steht ihnen die elterliche Sorge gemeinsam zu, so kann jeder Elternteil beantragen, dass ihm das Familiengericht die elterliche Sorge oder einen Teil der elterlichen Sorge allein überträgt. </w:t>
      </w:r>
      <w:r>
        <w:rPr>
          <w:rStyle w:val="Satznummer"/>
        </w:rPr>
        <w:t>2</w:t>
      </w:r>
      <w:r>
        <w:t>Dem Antrag ist stattzugeben, soweit</w:t>
      </w:r>
    </w:p>
    <w:p>
      <w:pPr>
        <w:tabs>
          <w:tab w:pos="567" w:val="left"/>
        </w:tabs>
        <w:ind w:left="567" w:hanging="567"/>
      </w:pPr>
      <w:r>
        <w:t>1.</w:t>
      </w:r>
      <w:r>
        <w:tab/>
      </w:r>
      <w:r>
        <w:t>der andere Elternteil zustimmt, es sei denn, das Kind hat das 14. Lebensjahr vollendet und widerspricht der Übertragung, oder</w:t>
      </w:r>
    </w:p>
    <w:p>
      <w:pPr>
        <w:tabs>
          <w:tab w:pos="567" w:val="left"/>
        </w:tabs>
        <w:ind w:left="567" w:hanging="567"/>
      </w:pPr>
      <w:r>
        <w:t>2.</w:t>
      </w:r>
      <w:r>
        <w:tab/>
      </w:r>
      <w:r>
        <w:t>zu erwarten ist, dass die Aufhebung der gemeinsamen Sorge und die Übertragung auf den Antragsteller dem Wohl des Kindes am besten entspricht.</w:t>
      </w:r>
    </w:p>
    <w:p>
      <w:r>
        <w:t xml:space="preserve">(2) </w:t>
      </w:r>
      <w:r>
        <w:rPr>
          <w:rStyle w:val="Satznummer"/>
        </w:rPr>
        <w:t>1</w:t>
      </w:r>
      <w:r>
        <w:t xml:space="preserve">Leben Eltern nicht nur vorübergehend getrennt und steht die elterliche Sorge nach § 1626a Absatz 3 der Mutter zu, so kann der Vater beantragen, dass ihm das Familiengericht die elterliche Sorge oder einen Teil der elterlichen Sorge allein überträgt. </w:t>
      </w:r>
      <w:r>
        <w:rPr>
          <w:rStyle w:val="Satznummer"/>
        </w:rPr>
        <w:t>2</w:t>
      </w:r>
      <w:r>
        <w:t>Dem Antrag ist stattzugeben, soweit</w:t>
      </w:r>
    </w:p>
    <w:p>
      <w:pPr>
        <w:tabs>
          <w:tab w:pos="567" w:val="left"/>
        </w:tabs>
        <w:ind w:left="567" w:hanging="567"/>
      </w:pPr>
      <w:r>
        <w:t>1.</w:t>
      </w:r>
      <w:r>
        <w:tab/>
      </w:r>
      <w:r>
        <w:t>die Mutter zustimmt, es sei denn, die Übertragung widerspricht dem Wohl des Kindes oder das Kind hat das 14. Lebensjahr vollendet und widerspricht der Übertragung, oder</w:t>
      </w:r>
    </w:p>
    <w:p>
      <w:pPr>
        <w:tabs>
          <w:tab w:pos="567" w:val="left"/>
        </w:tabs>
        <w:ind w:left="567" w:hanging="567"/>
      </w:pPr>
      <w:r>
        <w:t>2.</w:t>
      </w:r>
      <w:r>
        <w:tab/>
      </w:r>
      <w:r>
        <w:t>eine gemeinsame Sorge nicht in Betracht kommt und zu erwarten ist, dass die Übertragung auf den Vater dem Wohl des Kindes am besten entspricht.</w:t>
      </w:r>
    </w:p>
    <w:p>
      <w:r>
        <w:t xml:space="preserve">(3) </w:t>
      </w:r>
      <w:r>
        <w:rPr>
          <w:rStyle w:val="Satznummer"/>
        </w:rPr>
        <w:t>1</w:t>
      </w:r>
      <w:r>
        <w:t xml:space="preserve">Ruht die elterliche Sorge der Mutter nach </w:t>
      </w:r>
      <w:hyperlink w:anchor="b2187" w:history="1">
        <w:r>
          <w:rPr>
            <w:color w:val="0A3A8C"/>
            <w:u w:val="single"/>
          </w:rPr>
          <w:t xml:space="preserve">§ 1751</w:t>
        </w:r>
      </w:hyperlink>
      <w:r>
        <w:t xml:space="preserve"> Absatz 1 Satz 1, so gilt der Antrag des Vaters auf Übertragung der gemeinsamen elterlichen Sorge nach </w:t>
      </w:r>
      <w:hyperlink w:anchor="b2097" w:history="1">
        <w:r>
          <w:rPr>
            <w:color w:val="0A3A8C"/>
            <w:u w:val="single"/>
          </w:rPr>
          <w:t xml:space="preserve">§ 1626a</w:t>
        </w:r>
      </w:hyperlink>
      <w:r>
        <w:t xml:space="preserve"> Absatz 2 als Antrag nach Absatz 2. </w:t>
      </w:r>
      <w:r>
        <w:rPr>
          <w:rStyle w:val="Satznummer"/>
        </w:rPr>
        <w:t>2</w:t>
      </w:r>
      <w:r>
        <w:t>Dem Antrag ist stattzugeben, soweit die Übertragung der elterlichen Sorge auf den Vater dem Wohl des Kindes nicht widerspricht.</w:t>
      </w:r>
    </w:p>
    <w:p>
      <w:r>
        <w:t>(4) Den Anträgen nach den Absätzen 1 und 2 ist nicht stattzugeben, soweit die elterliche Sorge auf Grund anderer Vorschriften abweichend geregelt werden muss.</w:t>
      </w:r>
    </w:p>
    <w:p>
      <w:pPr>
        <w:pStyle w:val="Heading4"/>
      </w:pPr>
      <w:bookmarkStart w:id="2151" w:name="b2136"/>
      <w:r>
        <w:t>§ 1672 (weggefallen)</w:t>
      </w:r>
      <w:r>
        <w:t xml:space="preserve"> </w:t>
      </w:r>
      <w:r>
        <w:rPr>
          <w:rStyle w:val="Suchmarke"/>
        </w:rPr>
        <w:t>#1672#</w:t>
      </w:r>
      <w:bookmarkEnd w:id="2151"/>
    </w:p>
    <w:p>
      <w:pPr>
        <w:pStyle w:val="Heading4"/>
      </w:pPr>
      <w:bookmarkStart w:id="2152" w:name="b2137"/>
      <w:r>
        <w:t>§ 1673 Ruhen der elterlichen Sorge bei rechtlichem Hindernis</w:t>
      </w:r>
      <w:r>
        <w:t xml:space="preserve"> </w:t>
      </w:r>
      <w:r>
        <w:rPr>
          <w:rStyle w:val="Suchmarke"/>
        </w:rPr>
        <w:t>#1673#</w:t>
      </w:r>
      <w:bookmarkEnd w:id="2152"/>
    </w:p>
    <w:p>
      <w:r>
        <w:t>(1) Die elterliche Sorge eines Elternteils ruht, wenn er geschäftsunfähig ist.</w:t>
      </w:r>
    </w:p>
    <w:p>
      <w:r>
        <w:t xml:space="preserve">(2) </w:t>
      </w:r>
      <w:r>
        <w:rPr>
          <w:rStyle w:val="Satznummer"/>
        </w:rPr>
        <w:t>1</w:t>
      </w:r>
      <w:r>
        <w:t xml:space="preserve">Das Gleiche gilt, wenn er in der Geschäftsfähigkeit beschränkt ist. </w:t>
      </w:r>
      <w:r>
        <w:rPr>
          <w:rStyle w:val="Satznummer"/>
        </w:rPr>
        <w:t>2</w:t>
      </w:r>
      <w:r>
        <w:t xml:space="preserve">Die Personensorge für das Kind steht ihm neben dem gesetzlichen Vertreter des Kindes zu; zur Vertretung des Kindes ist er nicht berechtigt. </w:t>
      </w:r>
      <w:r>
        <w:rPr>
          <w:rStyle w:val="Satznummer"/>
        </w:rPr>
        <w:t>3</w:t>
      </w:r>
      <w:r>
        <w:t xml:space="preserve">Bei einer Meinungsverschiedenheit geht die Meinung des minderjährigen Elternteils vor, wenn der gesetzliche Vertreter des Kindes ein Vormund oder Pfleger ist; andernfalls gelten </w:t>
      </w:r>
      <w:hyperlink w:anchor="b2102" w:history="1">
        <w:r>
          <w:rPr>
            <w:color w:val="0A3A8C"/>
            <w:u w:val="single"/>
          </w:rPr>
          <w:t xml:space="preserve">§ 1627</w:t>
        </w:r>
      </w:hyperlink>
      <w:r>
        <w:t xml:space="preserve"> Satz 2 und </w:t>
      </w:r>
      <w:hyperlink w:anchor="b2103" w:history="1">
        <w:r>
          <w:rPr>
            <w:color w:val="0A3A8C"/>
            <w:u w:val="single"/>
          </w:rPr>
          <w:t xml:space="preserve">§ 1628</w:t>
        </w:r>
      </w:hyperlink>
      <w:r>
        <w:t>.</w:t>
      </w:r>
    </w:p>
    <w:p>
      <w:pPr>
        <w:pStyle w:val="Heading4"/>
      </w:pPr>
      <w:bookmarkStart w:id="2153" w:name="b2138"/>
      <w:r>
        <w:t>§ 1674 Ruhen der elterlichen Sorge bei tatsächlichem Hindernis</w:t>
      </w:r>
      <w:r>
        <w:t xml:space="preserve"> </w:t>
      </w:r>
      <w:r>
        <w:rPr>
          <w:rStyle w:val="Suchmarke"/>
        </w:rPr>
        <w:t>#1674#</w:t>
      </w:r>
      <w:bookmarkEnd w:id="2153"/>
    </w:p>
    <w:p>
      <w:r>
        <w:t>(1) Die elterliche Sorge eines Elternteils ruht, wenn das Familiengericht feststellt, dass er auf längere Zeit die elterliche Sorge tatsächlich nicht ausüben kann.</w:t>
      </w:r>
    </w:p>
    <w:p>
      <w:r>
        <w:t>(2) Die elterliche Sorge lebt wieder auf, wenn das Familiengericht feststellt, dass der Grund des Ruhens nicht mehr besteht.</w:t>
      </w:r>
    </w:p>
    <w:p>
      <w:pPr>
        <w:pStyle w:val="Heading4"/>
      </w:pPr>
      <w:bookmarkStart w:id="2154" w:name="b2139"/>
      <w:r>
        <w:t>§ 1674a Ruhen der elterlichen Sorge für ein vertraulich geborenes Kind</w:t>
      </w:r>
      <w:r>
        <w:t xml:space="preserve"> </w:t>
      </w:r>
      <w:r>
        <w:rPr>
          <w:rStyle w:val="Suchmarke"/>
        </w:rPr>
        <w:t>#1674a#</w:t>
      </w:r>
      <w:bookmarkEnd w:id="2154"/>
    </w:p>
    <w:p>
      <w:r>
        <w:rPr>
          <w:rStyle w:val="Satznummer"/>
        </w:rPr>
        <w:t>1</w:t>
      </w:r>
      <w:r>
        <w:t xml:space="preserve">Die elterliche Sorge der Eltern für ein nach § 25 Absatz 1 des Schwangerschaftskonfliktgesetzes vertraulich geborenes Kind ruht. </w:t>
      </w:r>
      <w:r>
        <w:rPr>
          <w:rStyle w:val="Satznummer"/>
        </w:rPr>
        <w:t>2</w:t>
      </w:r>
      <w:r>
        <w:t>Die elterliche Sorge lebt wieder auf, wenn das Familiengericht feststellt, dass ein Elternteil ihm gegenüber die für den Geburtseintrag des Kindes erforderlichen Angaben gemacht hat.</w:t>
      </w:r>
    </w:p>
    <w:p>
      <w:pPr>
        <w:pStyle w:val="Heading4"/>
      </w:pPr>
      <w:bookmarkStart w:id="2155" w:name="b2140"/>
      <w:r>
        <w:t>§ 1675 Wirkung des Ruhens</w:t>
      </w:r>
      <w:r>
        <w:t xml:space="preserve"> </w:t>
      </w:r>
      <w:r>
        <w:rPr>
          <w:rStyle w:val="Suchmarke"/>
        </w:rPr>
        <w:t>#1675#</w:t>
      </w:r>
      <w:bookmarkEnd w:id="2155"/>
    </w:p>
    <w:p>
      <w:r>
        <w:t>Solange die elterliche Sorge ruht, ist ein Elternteil nicht berechtigt, sie auszuüben.</w:t>
      </w:r>
    </w:p>
    <w:p>
      <w:pPr>
        <w:pStyle w:val="Heading4"/>
      </w:pPr>
      <w:bookmarkStart w:id="2156" w:name="b2141"/>
      <w:r>
        <w:t>§ 1676</w:t>
      </w:r>
      <w:r>
        <w:t xml:space="preserve"> </w:t>
      </w:r>
      <w:r>
        <w:rPr>
          <w:rStyle w:val="Suchmarke"/>
        </w:rPr>
        <w:t>#1676#</w:t>
      </w:r>
      <w:bookmarkEnd w:id="2156"/>
    </w:p>
    <w:p>
      <w:r>
        <w:t>(weggefallen)</w:t>
      </w:r>
    </w:p>
    <w:p>
      <w:pPr>
        <w:pStyle w:val="Heading4"/>
      </w:pPr>
      <w:bookmarkStart w:id="2157" w:name="b2142"/>
      <w:r>
        <w:t>§ 1677 Beendigung der Sorge durch Todeserklärung</w:t>
      </w:r>
      <w:r>
        <w:t xml:space="preserve"> </w:t>
      </w:r>
      <w:r>
        <w:rPr>
          <w:rStyle w:val="Suchmarke"/>
        </w:rPr>
        <w:t>#1677#</w:t>
      </w:r>
      <w:bookmarkEnd w:id="2157"/>
    </w:p>
    <w:p>
      <w:r>
        <w:t>Die elterliche Sorge eines Elternteils endet, wenn er für tot erklärt oder seine Todeszeit nach den Vorschriften des Verschollenheitsgesetzes festgestellt wird, mit dem Zeitpunkt, der als Zeitpunkt des Todes gilt.</w:t>
      </w:r>
    </w:p>
    <w:p>
      <w:pPr>
        <w:pStyle w:val="Heading4"/>
      </w:pPr>
      <w:bookmarkStart w:id="2158" w:name="b2143"/>
      <w:r>
        <w:t>§ 1678 Folgen der tatsächlichen Verhinderung oder des Ruhens für den anderen Elternteil</w:t>
      </w:r>
      <w:r>
        <w:t xml:space="preserve"> </w:t>
      </w:r>
      <w:r>
        <w:rPr>
          <w:rStyle w:val="Suchmarke"/>
        </w:rPr>
        <w:t>#1678#</w:t>
      </w:r>
      <w:bookmarkEnd w:id="2158"/>
    </w:p>
    <w:p>
      <w:r>
        <w:t xml:space="preserve">(1) Ist ein Elternteil tatsächlich verhindert, die elterliche Sorge auszuüben, oder ruht seine elterliche Sorge, so übt der andere Teil die elterliche Sorge allein aus; dies gilt nicht, wenn die elterliche Sorge dem Elternteil nach </w:t>
      </w:r>
      <w:hyperlink w:anchor="b2097" w:history="1">
        <w:r>
          <w:rPr>
            <w:color w:val="0A3A8C"/>
            <w:u w:val="single"/>
          </w:rPr>
          <w:t xml:space="preserve">§ 1626a</w:t>
        </w:r>
      </w:hyperlink>
      <w:r>
        <w:t xml:space="preserve"> Absatz 3 oder </w:t>
      </w:r>
      <w:hyperlink w:anchor="b2135" w:history="1">
        <w:r>
          <w:rPr>
            <w:color w:val="0A3A8C"/>
            <w:u w:val="single"/>
          </w:rPr>
          <w:t xml:space="preserve">§ 1671</w:t>
        </w:r>
      </w:hyperlink>
      <w:r>
        <w:t xml:space="preserve"> allein zustand.</w:t>
      </w:r>
    </w:p>
    <w:p>
      <w:r>
        <w:t xml:space="preserve">(2) Ruht die elterliche Sorge des Elternteils, dem sie gemäß </w:t>
      </w:r>
      <w:hyperlink w:anchor="b2097" w:history="1">
        <w:r>
          <w:rPr>
            <w:color w:val="0A3A8C"/>
            <w:u w:val="single"/>
          </w:rPr>
          <w:t xml:space="preserve">§ 1626a</w:t>
        </w:r>
      </w:hyperlink>
      <w:r>
        <w:t xml:space="preserve"> Absatz 3 oder </w:t>
      </w:r>
      <w:hyperlink w:anchor="b2135" w:history="1">
        <w:r>
          <w:rPr>
            <w:color w:val="0A3A8C"/>
            <w:u w:val="single"/>
          </w:rPr>
          <w:t xml:space="preserve">§ 1671</w:t>
        </w:r>
      </w:hyperlink>
      <w:r>
        <w:t xml:space="preserve"> allein zustand, und besteht keine Aussicht, dass der Grund des Ruhens wegfallen werde, so hat das Familiengericht die elterliche Sorge dem anderen Elternteil zu übertragen, wenn dies dem Wohl des Kindes nicht widerspricht.</w:t>
      </w:r>
    </w:p>
    <w:p>
      <w:pPr>
        <w:pStyle w:val="Heading4"/>
      </w:pPr>
      <w:bookmarkStart w:id="2159" w:name="b2144"/>
      <w:r>
        <w:t>§ 1679</w:t>
      </w:r>
      <w:r>
        <w:t xml:space="preserve"> </w:t>
      </w:r>
      <w:r>
        <w:rPr>
          <w:rStyle w:val="Suchmarke"/>
        </w:rPr>
        <w:t>#1679#</w:t>
      </w:r>
      <w:bookmarkEnd w:id="2159"/>
    </w:p>
    <w:p>
      <w:r>
        <w:t>(weggefallen)</w:t>
      </w:r>
    </w:p>
    <w:p>
      <w:pPr>
        <w:pStyle w:val="Heading4"/>
      </w:pPr>
      <w:bookmarkStart w:id="2160" w:name="b2145"/>
      <w:r>
        <w:t>§ 1680 Tod eines Elternteils oder Entziehung des Sorgerechts</w:t>
      </w:r>
      <w:r>
        <w:t xml:space="preserve"> </w:t>
      </w:r>
      <w:r>
        <w:rPr>
          <w:rStyle w:val="Suchmarke"/>
        </w:rPr>
        <w:t>#1680#</w:t>
      </w:r>
      <w:bookmarkEnd w:id="2160"/>
    </w:p>
    <w:p>
      <w:r>
        <w:t>(1) Stand die elterliche Sorge den Eltern gemeinsam zu und ist ein Elternteil gestorben, so steht die elterliche Sorge dem überlebenden Elternteil zu.</w:t>
      </w:r>
    </w:p>
    <w:p>
      <w:r>
        <w:t xml:space="preserve">(2) Ist ein Elternteil, dem die elterliche Sorge gemäß </w:t>
      </w:r>
      <w:hyperlink w:anchor="b2097" w:history="1">
        <w:r>
          <w:rPr>
            <w:color w:val="0A3A8C"/>
            <w:u w:val="single"/>
          </w:rPr>
          <w:t xml:space="preserve">§ 1626a</w:t>
        </w:r>
      </w:hyperlink>
      <w:r>
        <w:t xml:space="preserve"> Absatz 3 oder </w:t>
      </w:r>
      <w:hyperlink w:anchor="b2135" w:history="1">
        <w:r>
          <w:rPr>
            <w:color w:val="0A3A8C"/>
            <w:u w:val="single"/>
          </w:rPr>
          <w:t xml:space="preserve">§ 1671</w:t>
        </w:r>
      </w:hyperlink>
      <w:r>
        <w:t xml:space="preserve"> allein zustand, gestorben, so hat das Familiengericht die elterliche Sorge dem überlebenden Elternteil zu übertragen, wenn dies dem Wohl des Kindes nicht widerspricht.</w:t>
      </w:r>
    </w:p>
    <w:p>
      <w:r>
        <w:t>(3) Die Absätze 1 und 2 gelten entsprechend, soweit einem Elternteil die elterliche Sorge entzogen wird.</w:t>
      </w:r>
    </w:p>
    <w:p>
      <w:pPr>
        <w:pStyle w:val="Heading4"/>
      </w:pPr>
      <w:bookmarkStart w:id="2161" w:name="b2146"/>
      <w:r>
        <w:t>§ 1681 Todeserklärung eines Elternteils</w:t>
      </w:r>
      <w:r>
        <w:t xml:space="preserve"> </w:t>
      </w:r>
      <w:r>
        <w:rPr>
          <w:rStyle w:val="Suchmarke"/>
        </w:rPr>
        <w:t>#1681#</w:t>
      </w:r>
      <w:bookmarkEnd w:id="2161"/>
    </w:p>
    <w:p>
      <w:r>
        <w:t xml:space="preserve">(1) </w:t>
      </w:r>
      <w:hyperlink w:anchor="b2145" w:history="1">
        <w:r>
          <w:rPr>
            <w:color w:val="0A3A8C"/>
            <w:u w:val="single"/>
          </w:rPr>
          <w:t xml:space="preserve">§ 1680</w:t>
        </w:r>
      </w:hyperlink>
      <w:r>
        <w:t xml:space="preserve"> Abs. 1 und 2 gilt entsprechend, wenn die elterliche Sorge eines Elternteils endet, weil er für tot erklärt oder seine Todeszeit nach den Vorschriften des Verschollenheitsgesetzes festgestellt worden ist.</w:t>
      </w:r>
    </w:p>
    <w:p>
      <w:r>
        <w:t xml:space="preserve">(2) Lebt dieser Elternteil noch, so hat ihm das Familiengericht auf Antrag die elterliche Sorge in dem Umfang zu übertragen, in dem sie ihm vor dem nach </w:t>
      </w:r>
      <w:hyperlink w:anchor="b2142" w:history="1">
        <w:r>
          <w:rPr>
            <w:color w:val="0A3A8C"/>
            <w:u w:val="single"/>
          </w:rPr>
          <w:t xml:space="preserve">§ 1677</w:t>
        </w:r>
      </w:hyperlink>
      <w:r>
        <w:t xml:space="preserve"> maßgebenden Zeitpunkt zustand, wenn dies dem Wohl des Kindes nicht widerspricht.</w:t>
      </w:r>
    </w:p>
    <w:p>
      <w:pPr>
        <w:pStyle w:val="Heading4"/>
      </w:pPr>
      <w:bookmarkStart w:id="2162" w:name="b2147"/>
      <w:r>
        <w:t>§ 1682 Verbleibensanordnung zugunsten von Bezugspersonen</w:t>
      </w:r>
      <w:r>
        <w:t xml:space="preserve"> </w:t>
      </w:r>
      <w:r>
        <w:rPr>
          <w:rStyle w:val="Suchmarke"/>
        </w:rPr>
        <w:t>#1682#</w:t>
      </w:r>
      <w:bookmarkEnd w:id="2162"/>
    </w:p>
    <w:p>
      <w:r>
        <w:rPr>
          <w:rStyle w:val="Satznummer"/>
        </w:rPr>
        <w:t>1</w:t>
      </w:r>
      <w:r>
        <w:t xml:space="preserve">Hat das Kind seit längerer Zeit in einem Haushalt mit einem Elternteil und dessen Ehegatten gelebt und will der andere Elternteil, der nach den §§ 1678, 1680, 1681 den Aufenthalt des Kindes nunmehr allein bestimmen kann, das Kind von dem Ehegatten wegnehmen, so kann das Familiengericht von Amts wegen oder auf Antrag des Ehegatten anordnen, dass das Kind bei dem Ehegatten verbleibt, wenn und solange das Kindeswohl durch die Wegnahme gefährdet würde. </w:t>
      </w:r>
      <w:r>
        <w:rPr>
          <w:rStyle w:val="Satznummer"/>
        </w:rPr>
        <w:t>2</w:t>
      </w:r>
      <w:r>
        <w:t xml:space="preserve">Satz 1 gilt entsprechend, wenn das Kind seit längerer Zeit in einem Haushalt mit einem Elternteil und dessen Lebenspartner oder einer nach </w:t>
      </w:r>
      <w:hyperlink w:anchor="b2150" w:history="1">
        <w:r>
          <w:rPr>
            <w:color w:val="0A3A8C"/>
            <w:u w:val="single"/>
          </w:rPr>
          <w:t xml:space="preserve">§ 1685</w:t>
        </w:r>
      </w:hyperlink>
      <w:r>
        <w:t xml:space="preserve"> Abs. 1 umgangsberechtigten volljährigen Person gelebt hat.</w:t>
      </w:r>
    </w:p>
    <w:p>
      <w:pPr>
        <w:pStyle w:val="Heading4"/>
      </w:pPr>
      <w:bookmarkStart w:id="2163" w:name="b2148"/>
      <w:r>
        <w:t>§ 1683 (weggefallen)</w:t>
      </w:r>
      <w:r>
        <w:t xml:space="preserve"> </w:t>
      </w:r>
      <w:r>
        <w:rPr>
          <w:rStyle w:val="Suchmarke"/>
        </w:rPr>
        <w:t>#1683#</w:t>
      </w:r>
      <w:bookmarkEnd w:id="2163"/>
    </w:p>
    <w:p>
      <w:r>
        <w:t>-</w:t>
      </w:r>
    </w:p>
    <w:p>
      <w:pPr>
        <w:pStyle w:val="Heading4"/>
      </w:pPr>
      <w:bookmarkStart w:id="2164" w:name="b2149"/>
      <w:r>
        <w:t>§ 1684 Umgang des Kindes mit den Eltern</w:t>
      </w:r>
      <w:r>
        <w:t xml:space="preserve"> </w:t>
      </w:r>
      <w:r>
        <w:rPr>
          <w:rStyle w:val="Suchmarke"/>
        </w:rPr>
        <w:t>#1684#</w:t>
      </w:r>
      <w:bookmarkEnd w:id="2164"/>
    </w:p>
    <w:p>
      <w:r>
        <w:t>(1) Das Kind hat das Recht auf Umgang mit jedem Elternteil; jeder Elternteil ist zum Umgang mit dem Kind verpflichtet und berechtigt.</w:t>
      </w:r>
    </w:p>
    <w:p>
      <w:r>
        <w:t xml:space="preserve">(2) </w:t>
      </w:r>
      <w:r>
        <w:rPr>
          <w:rStyle w:val="Satznummer"/>
        </w:rPr>
        <w:t>1</w:t>
      </w:r>
      <w:r>
        <w:t xml:space="preserve">Die Eltern haben alles zu unterlassen, was das Verhältnis des Kindes zum jeweils anderen Elternteil beeinträchtigt oder die Erziehung erschwert. </w:t>
      </w:r>
      <w:r>
        <w:rPr>
          <w:rStyle w:val="Satznummer"/>
        </w:rPr>
        <w:t>2</w:t>
      </w:r>
      <w:r>
        <w:t>Entsprechendes gilt, wenn sich das Kind in der Obhut einer anderen Person befindet.</w:t>
      </w:r>
    </w:p>
    <w:p>
      <w:r>
        <w:t xml:space="preserve">(3) </w:t>
      </w:r>
      <w:r>
        <w:rPr>
          <w:rStyle w:val="Satznummer"/>
        </w:rPr>
        <w:t>1</w:t>
      </w:r>
      <w:r>
        <w:t xml:space="preserve">Das Familiengericht kann über den Umfang des Umgangsrechts entscheiden und seine Ausübung, auch gegenüber Dritten, näher regeln. </w:t>
      </w:r>
      <w:r>
        <w:rPr>
          <w:rStyle w:val="Satznummer"/>
        </w:rPr>
        <w:t>2</w:t>
      </w:r>
      <w:r>
        <w:t xml:space="preserve">Es kann die Beteiligten durch Anordnungen zur Erfüllung der in Absatz 2 geregelten Pflicht anhalten. </w:t>
      </w:r>
      <w:r>
        <w:rPr>
          <w:rStyle w:val="Satznummer"/>
        </w:rPr>
        <w:t>3</w:t>
      </w:r>
      <w:r>
        <w:t xml:space="preserve">Wird die Pflicht nach Absatz 2 dauerhaft oder wiederholt erheblich verletzt, kann das Familiengericht auch eine Pflegschaft für die Durchführung des Umgangs anordnen (Umgangspflegschaft). </w:t>
      </w:r>
      <w:r>
        <w:rPr>
          <w:rStyle w:val="Satznummer"/>
        </w:rPr>
        <w:t>4</w:t>
      </w:r>
      <w:r>
        <w:t xml:space="preserve">Die Umgangspflegschaft umfasst das Recht, die Herausgabe des Kindes zur Durchführung des Umgangs zu verlangen und für die Dauer des Umgangs dessen Aufenthalt zu bestimmen. </w:t>
      </w:r>
      <w:r>
        <w:rPr>
          <w:rStyle w:val="Satznummer"/>
        </w:rPr>
        <w:t>5</w:t>
      </w:r>
      <w:r>
        <w:t xml:space="preserve">Die Anordnung ist zu befristen. </w:t>
      </w:r>
      <w:r>
        <w:rPr>
          <w:rStyle w:val="Satznummer"/>
        </w:rPr>
        <w:t>6</w:t>
      </w:r>
      <w:r>
        <w:t>Für den Ersatz von Aufwendungen und die Vergütung des Umgangspflegers gilt § 277 des Gesetzes über das Verfahren in Familiensachen und in den Angelegenheiten der freiwilligen Gerichtsbarkeit, auch in Verbindung mit § 17 des Vormünder- und Betreuervergütungsgesetzes, entsprechend.</w:t>
      </w:r>
    </w:p>
    <w:p>
      <w:r>
        <w:t xml:space="preserve">(4) </w:t>
      </w:r>
      <w:r>
        <w:rPr>
          <w:rStyle w:val="Satznummer"/>
        </w:rPr>
        <w:t>1</w:t>
      </w:r>
      <w:r>
        <w:t xml:space="preserve">Das Familiengericht kann das Umgangsrecht oder den Vollzug früherer Entscheidungen über das Umgangsrecht einschränken oder ausschließen, soweit dies zum Wohl des Kindes erforderlich ist. </w:t>
      </w:r>
      <w:r>
        <w:rPr>
          <w:rStyle w:val="Satznummer"/>
        </w:rPr>
        <w:t>2</w:t>
      </w:r>
      <w:r>
        <w:t xml:space="preserve">Eine Entscheidung, die das Umgangsrecht oder seinen Vollzug für längere Zeit oder auf Dauer einschränkt oder ausschließt, kann nur ergehen, wenn andernfalls das Wohl des Kindes gefährdet wäre. </w:t>
      </w:r>
      <w:r>
        <w:rPr>
          <w:rStyle w:val="Satznummer"/>
        </w:rPr>
        <w:t>3</w:t>
      </w:r>
      <w:r>
        <w:t xml:space="preserve">Das Familiengericht kann insbesondere anordnen, dass der Umgang nur stattfinden darf, wenn ein mitwirkungsbereiter Dritter anwesend ist. </w:t>
      </w:r>
      <w:r>
        <w:rPr>
          <w:rStyle w:val="Satznummer"/>
        </w:rPr>
        <w:t>4</w:t>
      </w:r>
      <w:r>
        <w:t>Dritter kann auch ein Träger der Jugendhilfe oder ein Verein sein; dieser bestimmt dann jeweils, welche Einzelperson die Aufgabe wahrnimmt.</w:t>
      </w:r>
    </w:p>
    <w:p>
      <w:pPr>
        <w:pStyle w:val="Heading4"/>
      </w:pPr>
      <w:bookmarkStart w:id="2165" w:name="b2150"/>
      <w:r>
        <w:t>§ 1685 Umgang des Kindes mit anderen Bezugspersonen</w:t>
      </w:r>
      <w:r>
        <w:t xml:space="preserve"> </w:t>
      </w:r>
      <w:r>
        <w:rPr>
          <w:rStyle w:val="Suchmarke"/>
        </w:rPr>
        <w:t>#1685#</w:t>
      </w:r>
      <w:bookmarkEnd w:id="2165"/>
    </w:p>
    <w:p>
      <w:r>
        <w:t>(1) Großeltern und Geschwister haben ein Recht auf Umgang mit dem Kind, wenn dieser dem Wohl des Kindes dient.</w:t>
      </w:r>
    </w:p>
    <w:p>
      <w:r>
        <w:t xml:space="preserve">(2) </w:t>
      </w:r>
      <w:r>
        <w:rPr>
          <w:rStyle w:val="Satznummer"/>
        </w:rPr>
        <w:t>1</w:t>
      </w:r>
      <w:r>
        <w:t xml:space="preserve">Gleiches gilt für enge Bezugspersonen des Kindes, wenn diese für das Kind tatsächliche Verantwortung tragen oder getragen haben (sozial-familiäre Beziehung). </w:t>
      </w:r>
      <w:r>
        <w:rPr>
          <w:rStyle w:val="Satznummer"/>
        </w:rPr>
        <w:t>2</w:t>
      </w:r>
      <w:r>
        <w:t>Eine Übernahme tatsächlicher Verantwortung ist in der Regel anzunehmen, wenn die Person mit dem Kind längere Zeit in häuslicher Gemeinschaft zusammengelebt hat.</w:t>
      </w:r>
    </w:p>
    <w:p>
      <w:r>
        <w:t xml:space="preserve">(3) </w:t>
      </w:r>
      <w:r>
        <w:rPr>
          <w:rStyle w:val="Satznummer"/>
        </w:rPr>
        <w:t>1</w:t>
      </w:r>
      <w:hyperlink w:anchor="b2149" w:history="1">
        <w:r>
          <w:rPr>
            <w:color w:val="0A3A8C"/>
            <w:u w:val="single"/>
          </w:rPr>
          <w:t xml:space="preserve">§ 1684</w:t>
        </w:r>
      </w:hyperlink>
      <w:r>
        <w:t xml:space="preserve"> Abs. 2 bis 4 gilt entsprechend. </w:t>
      </w:r>
      <w:r>
        <w:rPr>
          <w:rStyle w:val="Satznummer"/>
        </w:rPr>
        <w:t>2</w:t>
      </w:r>
      <w:r>
        <w:t xml:space="preserve">Eine Umgangspflegschaft nach </w:t>
      </w:r>
      <w:hyperlink w:anchor="b2149" w:history="1">
        <w:r>
          <w:rPr>
            <w:color w:val="0A3A8C"/>
            <w:u w:val="single"/>
          </w:rPr>
          <w:t xml:space="preserve">§ 1684</w:t>
        </w:r>
      </w:hyperlink>
      <w:r>
        <w:t xml:space="preserve"> Abs. 3 Satz 3 bis 5 kann das Familiengericht nur anordnen, wenn die Voraussetzungen des </w:t>
      </w:r>
      <w:hyperlink w:anchor="b2131" w:history="1">
        <w:r>
          <w:rPr>
            <w:color w:val="0A3A8C"/>
            <w:u w:val="single"/>
          </w:rPr>
          <w:t xml:space="preserve">§ 1666</w:t>
        </w:r>
      </w:hyperlink>
      <w:r>
        <w:t xml:space="preserve"> Abs. 1 erfüllt sind.</w:t>
      </w:r>
    </w:p>
    <w:p>
      <w:pPr>
        <w:pStyle w:val="Heading4"/>
      </w:pPr>
      <w:bookmarkStart w:id="2166" w:name="b2151"/>
      <w:r>
        <w:t>§ 1686 Auskunft über die persönlichen Verhältnisse des Kindes</w:t>
      </w:r>
      <w:r>
        <w:t xml:space="preserve"> </w:t>
      </w:r>
      <w:r>
        <w:rPr>
          <w:rStyle w:val="Suchmarke"/>
        </w:rPr>
        <w:t>#1686#</w:t>
      </w:r>
      <w:bookmarkEnd w:id="2166"/>
    </w:p>
    <w:p>
      <w:r>
        <w:t>Jeder Elternteil kann vom anderen Elternteil bei berechtigtem Interesse Auskunft über die persönlichen Verhältnisse des Kindes verlangen, soweit dies dem Wohl des Kindes nicht widerspricht.</w:t>
      </w:r>
    </w:p>
    <w:p>
      <w:pPr>
        <w:pStyle w:val="Heading4"/>
      </w:pPr>
      <w:bookmarkStart w:id="2167" w:name="b2152"/>
      <w:r>
        <w:t>§ 1686a Rechte des leiblichen, nicht rechtlichen Vaters</w:t>
      </w:r>
      <w:r>
        <w:t xml:space="preserve"> </w:t>
      </w:r>
      <w:r>
        <w:rPr>
          <w:rStyle w:val="Suchmarke"/>
        </w:rPr>
        <w:t>#1686a#</w:t>
      </w:r>
      <w:bookmarkEnd w:id="2167"/>
    </w:p>
    <w:p>
      <w:r>
        <w:t>(1) Solange die Vaterschaft eines anderen Mannes besteht, hat der leibliche Vater, der ernsthaftes Interesse an dem Kind gezeigt hat,</w:t>
      </w:r>
    </w:p>
    <w:p>
      <w:pPr>
        <w:tabs>
          <w:tab w:pos="567" w:val="left"/>
        </w:tabs>
        <w:ind w:left="567" w:hanging="567"/>
      </w:pPr>
      <w:r>
        <w:t>1.</w:t>
      </w:r>
      <w:r>
        <w:tab/>
      </w:r>
      <w:r>
        <w:t>ein Recht auf Umgang mit dem Kind, wenn der Umgang dem Kindeswohl dient, und</w:t>
      </w:r>
    </w:p>
    <w:p>
      <w:pPr>
        <w:tabs>
          <w:tab w:pos="567" w:val="left"/>
        </w:tabs>
        <w:ind w:left="567" w:hanging="567"/>
      </w:pPr>
      <w:r>
        <w:t>2.</w:t>
      </w:r>
      <w:r>
        <w:tab/>
      </w:r>
      <w:r>
        <w:t>ein Recht auf Auskunft von jedem Elternteil über die persönlichen Verhältnisse des Kindes, soweit er ein berechtigtes Interesse hat und dies dem Wohl des Kindes nicht widerspricht.</w:t>
      </w:r>
    </w:p>
    <w:p>
      <w:r>
        <w:t xml:space="preserve">(2) </w:t>
      </w:r>
      <w:r>
        <w:rPr>
          <w:rStyle w:val="Satznummer"/>
        </w:rPr>
        <w:t>1</w:t>
      </w:r>
      <w:r>
        <w:t xml:space="preserve">Hinsichtlich des Rechts auf Umgang mit dem Kind nach Absatz 1 Nummer 1 gilt </w:t>
      </w:r>
      <w:hyperlink w:anchor="b2149" w:history="1">
        <w:r>
          <w:rPr>
            <w:color w:val="0A3A8C"/>
            <w:u w:val="single"/>
          </w:rPr>
          <w:t xml:space="preserve">§ 1684</w:t>
        </w:r>
      </w:hyperlink>
      <w:r>
        <w:t xml:space="preserve"> Absatz 2 bis 4 entsprechend. </w:t>
      </w:r>
      <w:r>
        <w:rPr>
          <w:rStyle w:val="Satznummer"/>
        </w:rPr>
        <w:t>2</w:t>
      </w:r>
      <w:r>
        <w:t xml:space="preserve">Eine Umgangspflegschaft nach </w:t>
      </w:r>
      <w:hyperlink w:anchor="b2149" w:history="1">
        <w:r>
          <w:rPr>
            <w:color w:val="0A3A8C"/>
            <w:u w:val="single"/>
          </w:rPr>
          <w:t xml:space="preserve">§ 1684</w:t>
        </w:r>
      </w:hyperlink>
      <w:r>
        <w:t xml:space="preserve"> Absatz 3 Satz 3 bis 5 kann das Familiengericht nur anordnen, wenn die Voraussetzungen des </w:t>
      </w:r>
      <w:hyperlink w:anchor="b2131" w:history="1">
        <w:r>
          <w:rPr>
            <w:color w:val="0A3A8C"/>
            <w:u w:val="single"/>
          </w:rPr>
          <w:t xml:space="preserve">§ 1666</w:t>
        </w:r>
      </w:hyperlink>
      <w:r>
        <w:t xml:space="preserve"> Absatz 1 erfüllt sind.</w:t>
      </w:r>
    </w:p>
    <w:p>
      <w:pPr>
        <w:pStyle w:val="Heading4"/>
      </w:pPr>
      <w:bookmarkStart w:id="2168" w:name="b2153"/>
      <w:r>
        <w:t>§ 1687 Ausübung der gemeinsamen Sorge bei Getrenntleben</w:t>
      </w:r>
      <w:r>
        <w:t xml:space="preserve"> </w:t>
      </w:r>
      <w:r>
        <w:rPr>
          <w:rStyle w:val="Suchmarke"/>
        </w:rPr>
        <w:t>#1687#</w:t>
      </w:r>
      <w:bookmarkEnd w:id="2168"/>
    </w:p>
    <w:p>
      <w:r>
        <w:t xml:space="preserve">(1) </w:t>
      </w:r>
      <w:r>
        <w:rPr>
          <w:rStyle w:val="Satznummer"/>
        </w:rPr>
        <w:t>1</w:t>
      </w:r>
      <w:r>
        <w:t xml:space="preserve">Leben Eltern, denen die elterliche Sorge gemeinsam zusteht, nicht nur vorübergehend getrennt, so ist bei Entscheidungen in Angelegenheiten, deren Regelung für das Kind von erheblicher Bedeutung ist, ihr gegenseitiges Einvernehmen erforderlich. </w:t>
      </w:r>
      <w:r>
        <w:rPr>
          <w:rStyle w:val="Satznummer"/>
        </w:rPr>
        <w:t>2</w:t>
      </w:r>
      <w:r>
        <w:t xml:space="preserve">Der Elternteil, bei dem sich das Kind mit Einwilligung des anderen Elternteils oder auf Grund einer gerichtlichen Entscheidung gewöhnlich aufhält, hat die Befugnis zur alleinigen Entscheidung in Angelegenheiten des täglichen Lebens. </w:t>
      </w:r>
      <w:r>
        <w:rPr>
          <w:rStyle w:val="Satznummer"/>
        </w:rPr>
        <w:t>3</w:t>
      </w:r>
      <w:r>
        <w:t xml:space="preserve">Entscheidungen in Angelegenheiten des täglichen Lebens sind in der Regel solche, die häufig vorkommen und die keine schwer abzuändernden Auswirkungen auf die Entwicklung des Kindes haben. </w:t>
      </w:r>
      <w:r>
        <w:rPr>
          <w:rStyle w:val="Satznummer"/>
        </w:rPr>
        <w:t>4</w:t>
      </w:r>
      <w:r>
        <w:t xml:space="preserve">Solange sich das Kind mit Einwilligung dieses Elternteils oder auf Grund einer gerichtlichen Entscheidung bei dem anderen Elternteil aufhält, hat dieser die Befugnis zur alleinigen Entscheidung in Angelegenheiten der tatsächlichen Betreuung. </w:t>
      </w:r>
      <w:r>
        <w:rPr>
          <w:rStyle w:val="Satznummer"/>
        </w:rPr>
        <w:t>5</w:t>
      </w:r>
      <w:hyperlink w:anchor="b2104" w:history="1">
        <w:r>
          <w:rPr>
            <w:color w:val="0A3A8C"/>
            <w:u w:val="single"/>
          </w:rPr>
          <w:t xml:space="preserve">§ 1629</w:t>
        </w:r>
      </w:hyperlink>
      <w:r>
        <w:t xml:space="preserve"> Abs. 1 Satz 4 und </w:t>
      </w:r>
      <w:hyperlink w:anchor="b2149" w:history="1">
        <w:r>
          <w:rPr>
            <w:color w:val="0A3A8C"/>
            <w:u w:val="single"/>
          </w:rPr>
          <w:t xml:space="preserve">§ 1684</w:t>
        </w:r>
      </w:hyperlink>
      <w:r>
        <w:t xml:space="preserve"> Abs. 2 Satz 1 gelten entsprechend.</w:t>
      </w:r>
    </w:p>
    <w:p>
      <w:r>
        <w:t>(2) Das Familiengericht kann die Befugnisse nach Absatz 1 Satz 2 und 4 einschränken oder ausschließen, wenn dies zum Wohl des Kindes erforderlich ist.</w:t>
      </w:r>
    </w:p>
    <w:p>
      <w:pPr>
        <w:pStyle w:val="Heading4"/>
      </w:pPr>
      <w:bookmarkStart w:id="2169" w:name="b2154"/>
      <w:r>
        <w:t>§ 1687a Entscheidungsbefugnisse des nicht sorgeberechtigten Elternteils</w:t>
      </w:r>
      <w:r>
        <w:t xml:space="preserve"> </w:t>
      </w:r>
      <w:r>
        <w:rPr>
          <w:rStyle w:val="Suchmarke"/>
        </w:rPr>
        <w:t>#1687a#</w:t>
      </w:r>
      <w:bookmarkEnd w:id="2169"/>
    </w:p>
    <w:p>
      <w:r>
        <w:t xml:space="preserve">Für jeden Elternteil, der nicht Inhaber der elterlichen Sorge ist und bei dem sich das Kind mit Einwilligung des anderen Elternteils oder eines sonstigen Inhabers der Sorge oder auf Grund einer gerichtlichen Entscheidung aufhält, gilt </w:t>
      </w:r>
      <w:hyperlink w:anchor="b2153" w:history="1">
        <w:r>
          <w:rPr>
            <w:color w:val="0A3A8C"/>
            <w:u w:val="single"/>
          </w:rPr>
          <w:t xml:space="preserve">§ 1687</w:t>
        </w:r>
      </w:hyperlink>
      <w:r>
        <w:t xml:space="preserve"> Abs. 1 Satz 4 und 5 und Abs. 2 entsprechend.</w:t>
      </w:r>
    </w:p>
    <w:p>
      <w:pPr>
        <w:pStyle w:val="Heading4"/>
      </w:pPr>
      <w:bookmarkStart w:id="2170" w:name="b2155"/>
      <w:r>
        <w:t>§ 1687b Sorgerechtliche Befugnisse des Ehegatten</w:t>
      </w:r>
      <w:r>
        <w:t xml:space="preserve"> </w:t>
      </w:r>
      <w:r>
        <w:rPr>
          <w:rStyle w:val="Suchmarke"/>
        </w:rPr>
        <w:t>#1687b#</w:t>
      </w:r>
      <w:bookmarkEnd w:id="2170"/>
    </w:p>
    <w:p>
      <w:r>
        <w:t xml:space="preserve">(1) </w:t>
      </w:r>
      <w:r>
        <w:rPr>
          <w:rStyle w:val="Satznummer"/>
        </w:rPr>
        <w:t>1</w:t>
      </w:r>
      <w:r>
        <w:t xml:space="preserve">Der Ehegatte eines allein sorgeberechtigten Elternteils, der nicht Elternteil des Kindes ist, hat im Einvernehmen mit dem sorgeberechtigten Elternteil die Befugnis zur Mitentscheidung in Angelegenheiten des täglichen Lebens des Kindes. </w:t>
      </w:r>
      <w:r>
        <w:rPr>
          <w:rStyle w:val="Satznummer"/>
        </w:rPr>
        <w:t>2</w:t>
      </w:r>
      <w:hyperlink w:anchor="b2104" w:history="1">
        <w:r>
          <w:rPr>
            <w:color w:val="0A3A8C"/>
            <w:u w:val="single"/>
          </w:rPr>
          <w:t xml:space="preserve">§ 1629</w:t>
        </w:r>
      </w:hyperlink>
      <w:r>
        <w:t xml:space="preserve"> Abs. 2 Satz 1 gilt entsprechend.</w:t>
      </w:r>
    </w:p>
    <w:p>
      <w:r>
        <w:t>(2) Bei Gefahr im Verzug ist der Ehegatte dazu berechtigt, alle Rechtshandlungen vorzunehmen, die zum Wohl des Kindes notwendig sind; der sorgeberechtigte Elternteil ist unverzüglich zu unterrichten.</w:t>
      </w:r>
    </w:p>
    <w:p>
      <w:r>
        <w:t>(3) Das Familiengericht kann die Befugnisse nach Absatz 1 einschränken oder ausschließen, wenn dies zum Wohl des Kindes erforderlich ist.</w:t>
      </w:r>
    </w:p>
    <w:p>
      <w:r>
        <w:t>(4) Die Befugnisse nach Absatz 1 bestehen nicht, wenn die Ehegatten nicht nur vorübergehend getrennt leben.</w:t>
      </w:r>
    </w:p>
    <w:p>
      <w:pPr>
        <w:pStyle w:val="Heading4"/>
      </w:pPr>
      <w:bookmarkStart w:id="2171" w:name="b2156"/>
      <w:r>
        <w:t>§ 1688 Entscheidungsbefugnisse der Pflegeperson</w:t>
      </w:r>
      <w:r>
        <w:t xml:space="preserve"> </w:t>
      </w:r>
      <w:r>
        <w:rPr>
          <w:rStyle w:val="Suchmarke"/>
        </w:rPr>
        <w:t>#1688#</w:t>
      </w:r>
      <w:bookmarkEnd w:id="2171"/>
    </w:p>
    <w:p>
      <w:r>
        <w:t xml:space="preserve">(1) </w:t>
      </w:r>
      <w:r>
        <w:rPr>
          <w:rStyle w:val="Satznummer"/>
        </w:rPr>
        <w:t>1</w:t>
      </w:r>
      <w:r>
        <w:t xml:space="preserve">Lebt ein Kind für längere Zeit in Familienpflege, so ist die Pflegeperson berechtigt, in Angelegenheiten des täglichen Lebens zu entscheiden sowie den Inhaber der elterlichen Sorge in solchen Angelegenheiten zu vertreten. </w:t>
      </w:r>
      <w:r>
        <w:rPr>
          <w:rStyle w:val="Satznummer"/>
        </w:rPr>
        <w:t>2</w:t>
      </w:r>
      <w:r>
        <w:t xml:space="preserve">Sie ist befugt, den Arbeitsverdienst des Kindes zu verwalten sowie Unterhalts-, Versicherungs-, Versorgungs- und sonstige Sozialleistungen für das Kind geltend zu machen und zu verwalten. </w:t>
      </w:r>
      <w:r>
        <w:rPr>
          <w:rStyle w:val="Satznummer"/>
        </w:rPr>
        <w:t>3</w:t>
      </w:r>
      <w:hyperlink w:anchor="b2104" w:history="1">
        <w:r>
          <w:rPr>
            <w:color w:val="0A3A8C"/>
            <w:u w:val="single"/>
          </w:rPr>
          <w:t xml:space="preserve">§ 1629</w:t>
        </w:r>
      </w:hyperlink>
      <w:r>
        <w:t xml:space="preserve"> Abs. 1 Satz 4 gilt entsprechend.</w:t>
      </w:r>
    </w:p>
    <w:p>
      <w:r>
        <w:t>(2) Der Pflegeperson steht eine Person gleich, die im Rahmen der Hilfe nach den §§ 34, 35 und 35a Absatz 2 Nummer 3 und 4 des Achten Buches Sozialgesetzbuch die Erziehung und Betreuung eines Kindes übernommen hat.</w:t>
      </w:r>
    </w:p>
    <w:p>
      <w:r>
        <w:t xml:space="preserve">(3) </w:t>
      </w:r>
      <w:r>
        <w:rPr>
          <w:rStyle w:val="Satznummer"/>
        </w:rPr>
        <w:t>1</w:t>
      </w:r>
      <w:r>
        <w:t xml:space="preserve">Die Absätze 1 und 2 gelten nicht, wenn der Inhaber der elterlichen Sorge etwas anderes erklärt. </w:t>
      </w:r>
      <w:r>
        <w:rPr>
          <w:rStyle w:val="Satznummer"/>
        </w:rPr>
        <w:t>2</w:t>
      </w:r>
      <w:r>
        <w:t>Das Familiengericht kann die Befugnisse nach den Absätzen 1 und 2 einschränken oder ausschließen, wenn dies zum Wohl des Kindes erforderlich ist.</w:t>
      </w:r>
    </w:p>
    <w:p>
      <w:r>
        <w:t xml:space="preserve">(4) Für eine Person, bei der sich das Kind auf Grund einer gerichtlichen Entscheidung nach </w:t>
      </w:r>
      <w:hyperlink w:anchor="b2113" w:history="1">
        <w:r>
          <w:rPr>
            <w:color w:val="0A3A8C"/>
            <w:u w:val="single"/>
          </w:rPr>
          <w:t xml:space="preserve">§ 1632</w:t>
        </w:r>
      </w:hyperlink>
      <w:r>
        <w:t xml:space="preserve"> Abs. 4 oder </w:t>
      </w:r>
      <w:hyperlink w:anchor="b2147" w:history="1">
        <w:r>
          <w:rPr>
            <w:color w:val="0A3A8C"/>
            <w:u w:val="single"/>
          </w:rPr>
          <w:t xml:space="preserve">§ 1682</w:t>
        </w:r>
      </w:hyperlink>
      <w:r>
        <w:t xml:space="preserve"> aufhält, gelten die Absätze 1 und 3 mit der Maßgabe, dass die genannten Befugnisse nur das Familiengericht einschränken oder ausschließen kann.</w:t>
      </w:r>
    </w:p>
    <w:p>
      <w:pPr>
        <w:pStyle w:val="Heading4"/>
      </w:pPr>
      <w:bookmarkStart w:id="2172" w:name="b2157"/>
      <w:r>
        <w:t>§§ 1689 bis 1692 (weggefallen)</w:t>
      </w:r>
      <w:bookmarkEnd w:id="2172"/>
    </w:p>
    <w:p>
      <w:pPr>
        <w:pStyle w:val="Heading4"/>
      </w:pPr>
      <w:bookmarkStart w:id="2173" w:name="b2158"/>
      <w:r>
        <w:t>§ 1693 Gerichtliche Maßnahmen bei Verhinderung der Eltern</w:t>
      </w:r>
      <w:r>
        <w:t xml:space="preserve"> </w:t>
      </w:r>
      <w:r>
        <w:rPr>
          <w:rStyle w:val="Suchmarke"/>
        </w:rPr>
        <w:t>#1693#</w:t>
      </w:r>
      <w:bookmarkEnd w:id="2173"/>
    </w:p>
    <w:p>
      <w:r>
        <w:t>Sind die Eltern verhindert, die elterliche Sorge auszuüben, so hat das Familiengericht die im Interesse des Kindes erforderlichen Maßregeln zu treffen.</w:t>
      </w:r>
    </w:p>
    <w:p>
      <w:pPr>
        <w:pStyle w:val="Heading4"/>
      </w:pPr>
      <w:bookmarkStart w:id="2174" w:name="b2159"/>
      <w:r>
        <w:t>§§ 1694 und 1695 (weggefallen)</w:t>
      </w:r>
      <w:bookmarkEnd w:id="2174"/>
    </w:p>
    <w:p>
      <w:pPr>
        <w:pStyle w:val="Heading4"/>
      </w:pPr>
      <w:bookmarkStart w:id="2175" w:name="b2160"/>
      <w:r>
        <w:t>§ 1696 Abänderung gerichtlicher Entscheidungen und gerichtlich gebilligter Vergleiche</w:t>
      </w:r>
      <w:r>
        <w:t xml:space="preserve"> </w:t>
      </w:r>
      <w:r>
        <w:rPr>
          <w:rStyle w:val="Suchmarke"/>
        </w:rPr>
        <w:t>#1696#</w:t>
      </w:r>
      <w:bookmarkEnd w:id="2175"/>
    </w:p>
    <w:p>
      <w:r>
        <w:t xml:space="preserve">(1) </w:t>
      </w:r>
      <w:r>
        <w:rPr>
          <w:rStyle w:val="Satznummer"/>
        </w:rPr>
        <w:t>1</w:t>
      </w:r>
      <w:r>
        <w:t xml:space="preserve">Eine Entscheidung zum Sorge- oder Umgangsrecht oder ein gerichtlich gebilligter Vergleich ist zu ändern, wenn dies aus triftigen, das Wohl des Kindes nachhaltig berührenden Gründen angezeigt ist. </w:t>
      </w:r>
      <w:r>
        <w:rPr>
          <w:rStyle w:val="Satznummer"/>
        </w:rPr>
        <w:t>2</w:t>
      </w:r>
      <w:r>
        <w:t xml:space="preserve">Entscheidungen nach </w:t>
      </w:r>
      <w:hyperlink w:anchor="b2097" w:history="1">
        <w:r>
          <w:rPr>
            <w:color w:val="0A3A8C"/>
            <w:u w:val="single"/>
          </w:rPr>
          <w:t xml:space="preserve">§ 1626a</w:t>
        </w:r>
      </w:hyperlink>
      <w:r>
        <w:t xml:space="preserve"> Absatz 2 können gemäß </w:t>
      </w:r>
      <w:hyperlink w:anchor="b2135" w:history="1">
        <w:r>
          <w:rPr>
            <w:color w:val="0A3A8C"/>
            <w:u w:val="single"/>
          </w:rPr>
          <w:t xml:space="preserve">§ 1671</w:t>
        </w:r>
      </w:hyperlink>
      <w:r>
        <w:t xml:space="preserve"> Absatz 1 geändert werden; </w:t>
      </w:r>
      <w:hyperlink w:anchor="b2135" w:history="1">
        <w:r>
          <w:rPr>
            <w:color w:val="0A3A8C"/>
            <w:u w:val="single"/>
          </w:rPr>
          <w:t xml:space="preserve">§ 1671</w:t>
        </w:r>
      </w:hyperlink>
      <w:r>
        <w:t xml:space="preserve"> Absatz 4 gilt entsprechend. </w:t>
      </w:r>
      <w:r>
        <w:rPr>
          <w:rStyle w:val="Satznummer"/>
        </w:rPr>
        <w:t>3</w:t>
      </w:r>
      <w:hyperlink w:anchor="b2143" w:history="1">
        <w:r>
          <w:rPr>
            <w:color w:val="0A3A8C"/>
            <w:u w:val="single"/>
          </w:rPr>
          <w:t xml:space="preserve">§ 1678</w:t>
        </w:r>
      </w:hyperlink>
      <w:r>
        <w:t xml:space="preserve"> Absatz 2, </w:t>
      </w:r>
      <w:hyperlink w:anchor="b2145" w:history="1">
        <w:r>
          <w:rPr>
            <w:color w:val="0A3A8C"/>
            <w:u w:val="single"/>
          </w:rPr>
          <w:t xml:space="preserve">§ 1680</w:t>
        </w:r>
      </w:hyperlink>
      <w:r>
        <w:t xml:space="preserve"> Absatz 2 sowie </w:t>
      </w:r>
      <w:hyperlink w:anchor="b2146" w:history="1">
        <w:r>
          <w:rPr>
            <w:color w:val="0A3A8C"/>
            <w:u w:val="single"/>
          </w:rPr>
          <w:t xml:space="preserve">§ 1681</w:t>
        </w:r>
      </w:hyperlink>
      <w:r>
        <w:t xml:space="preserve"> Absatz 1 und 2 bleiben unberührt.</w:t>
      </w:r>
    </w:p>
    <w:p>
      <w:r>
        <w:t xml:space="preserve">(2) Eine Maßnahme nach den </w:t>
      </w:r>
      <w:hyperlink w:anchor="b2131" w:history="1">
        <w:r>
          <w:rPr>
            <w:color w:val="0A3A8C"/>
            <w:u w:val="single"/>
          </w:rPr>
          <w:t xml:space="preserve">§§ 1666</w:t>
        </w:r>
      </w:hyperlink>
      <w:r>
        <w:t xml:space="preserve"> bis </w:t>
      </w:r>
      <w:hyperlink w:anchor="b2133" w:history="1">
        <w:r>
          <w:rPr>
            <w:color w:val="0A3A8C"/>
            <w:u w:val="single"/>
          </w:rPr>
          <w:t xml:space="preserve">1667</w:t>
        </w:r>
      </w:hyperlink>
      <w:r>
        <w:t xml:space="preserve"> oder einer anderen Vorschrift des Bürgerlichen Gesetzbuchs, die nur ergriffen werden darf, wenn dies zur Abwendung einer Kindeswohlgefährdung oder zum Wohl des Kindes erforderlich ist (kindesschutzrechtliche Maßnahme), ist aufzuheben, wenn eine Gefahr für das Wohl des Kindes nicht mehr besteht oder die Erforderlichkeit der Maßnahme entfallen ist.</w:t>
      </w:r>
    </w:p>
    <w:p>
      <w:r>
        <w:t xml:space="preserve">(3) Eine Anordnung nach </w:t>
      </w:r>
      <w:hyperlink w:anchor="b2113" w:history="1">
        <w:r>
          <w:rPr>
            <w:color w:val="0A3A8C"/>
            <w:u w:val="single"/>
          </w:rPr>
          <w:t xml:space="preserve">§ 1632</w:t>
        </w:r>
      </w:hyperlink>
      <w:r>
        <w:t xml:space="preserve"> Absatz 4 ist auf Antrag der Eltern aufzuheben, wenn die Wegnahme des Kindes von der Pflegeperson das Kindeswohl nicht gefährdet.</w:t>
      </w:r>
    </w:p>
    <w:p>
      <w:pPr>
        <w:pStyle w:val="Heading4"/>
      </w:pPr>
      <w:bookmarkStart w:id="2176" w:name="b2161"/>
      <w:r>
        <w:t>§ 1697 (weggefallen)</w:t>
      </w:r>
      <w:r>
        <w:t xml:space="preserve"> </w:t>
      </w:r>
      <w:r>
        <w:rPr>
          <w:rStyle w:val="Suchmarke"/>
        </w:rPr>
        <w:t>#1697#</w:t>
      </w:r>
      <w:bookmarkEnd w:id="2176"/>
    </w:p>
    <w:p>
      <w:r>
        <w:t>-</w:t>
      </w:r>
    </w:p>
    <w:p>
      <w:pPr>
        <w:pStyle w:val="Heading4"/>
      </w:pPr>
      <w:bookmarkStart w:id="2177" w:name="b2162"/>
      <w:r>
        <w:t>§ 1697a Kindeswohlprinzip</w:t>
      </w:r>
      <w:r>
        <w:t xml:space="preserve"> </w:t>
      </w:r>
      <w:r>
        <w:rPr>
          <w:rStyle w:val="Suchmarke"/>
        </w:rPr>
        <w:t>#1697a#</w:t>
      </w:r>
      <w:bookmarkEnd w:id="2177"/>
    </w:p>
    <w:p>
      <w:r>
        <w:t>(1) Soweit nichts anderes bestimmt ist, trifft das Gericht in Verfahren über die in diesem Titel geregelten Angelegenheiten diejenige Entscheidung, die unter Berücksichtigung der tatsächlichen Gegebenheiten und Möglichkeiten sowie der berechtigten Interessen der Beteiligten dem Wohl des Kindes am besten entspricht.</w:t>
      </w:r>
    </w:p>
    <w:p>
      <w:r>
        <w:t xml:space="preserve">(2) </w:t>
      </w:r>
      <w:r>
        <w:rPr>
          <w:rStyle w:val="Satznummer"/>
        </w:rPr>
        <w:t>1</w:t>
      </w:r>
      <w:r>
        <w:t xml:space="preserve">Lebt das Kind in Familienpflege, so hat das Gericht, soweit nichts anderes bestimmt ist, in Verfahren über die in diesem Titel geregelten Angelegenheiten auch zu berücksichtigen, ob und inwieweit sich innerhalb eines im Hinblick auf die Entwicklung des Kindes vertretbaren Zeitraums die Erziehungsverhältnisse bei den Eltern derart verbessert haben, dass diese das Kind selbst erziehen können. </w:t>
      </w:r>
      <w:r>
        <w:rPr>
          <w:rStyle w:val="Satznummer"/>
        </w:rPr>
        <w:t>2</w:t>
      </w:r>
      <w:r>
        <w:t xml:space="preserve">Liegen die Voraussetzungen des </w:t>
      </w:r>
      <w:hyperlink w:anchor="b2113" w:history="1">
        <w:r>
          <w:rPr>
            <w:color w:val="0A3A8C"/>
            <w:u w:val="single"/>
          </w:rPr>
          <w:t xml:space="preserve">§ 1632</w:t>
        </w:r>
      </w:hyperlink>
      <w:r>
        <w:t xml:space="preserve"> Absatz 4 Satz 2 Nummer 1 vor, so hat das Gericht bei seiner Entscheidung auch das Bedürfnis des Kindes nach kontinuierlichen und stabilen Lebensverhältnissen zu berücksichtigen. </w:t>
      </w:r>
      <w:r>
        <w:rPr>
          <w:rStyle w:val="Satznummer"/>
        </w:rPr>
        <w:t>3</w:t>
      </w:r>
      <w:r>
        <w:t>Die Sätze 1 und 2 gelten entsprechend, wenn das Kind im Rahmen einer Hilfe nach § 34 oder 35a Absatz 2 Nummer 4 des Achten Buches Sozialgesetzbuch erzogen und betreut wird.</w:t>
      </w:r>
    </w:p>
    <w:p>
      <w:pPr>
        <w:pStyle w:val="Heading4"/>
      </w:pPr>
      <w:bookmarkStart w:id="2178" w:name="b2163"/>
      <w:r>
        <w:t>§ 1698 Herausgabe des Kindesvermögens; Rechnungslegung</w:t>
      </w:r>
      <w:r>
        <w:t xml:space="preserve"> </w:t>
      </w:r>
      <w:r>
        <w:rPr>
          <w:rStyle w:val="Suchmarke"/>
        </w:rPr>
        <w:t>#1698#</w:t>
      </w:r>
      <w:bookmarkEnd w:id="2178"/>
    </w:p>
    <w:p>
      <w:r>
        <w:t>(1) Endet oder ruht die elterliche Sorge der Eltern oder hört aus einem anderen Grunde ihre Vermögenssorge auf, so haben sie dem Kind das Vermögen herauszugeben und auf Verlangen über die Verwaltung Rechenschaft abzulegen.</w:t>
      </w:r>
    </w:p>
    <w:p>
      <w:r>
        <w:t xml:space="preserve">(2) Über die Nutzungen des Kindesvermögens brauchen die Eltern nur insoweit Rechenschaft abzulegen, als Grund zu der Annahme besteht, dass sie die Nutzungen entgegen der Vorschrift des </w:t>
      </w:r>
      <w:hyperlink w:anchor="b2127" w:history="1">
        <w:r>
          <w:rPr>
            <w:color w:val="0A3A8C"/>
            <w:u w:val="single"/>
          </w:rPr>
          <w:t xml:space="preserve">§ 1649</w:t>
        </w:r>
      </w:hyperlink>
      <w:r>
        <w:t xml:space="preserve"> verwendet haben.</w:t>
      </w:r>
    </w:p>
    <w:p>
      <w:pPr>
        <w:pStyle w:val="Heading4"/>
      </w:pPr>
      <w:bookmarkStart w:id="2179" w:name="b2164"/>
      <w:r>
        <w:t>§ 1698a Fortführung der Geschäfte in Unkenntnis der Beendigung der elterlichen Sorge</w:t>
      </w:r>
      <w:r>
        <w:t xml:space="preserve"> </w:t>
      </w:r>
      <w:r>
        <w:rPr>
          <w:rStyle w:val="Suchmarke"/>
        </w:rPr>
        <w:t>#1698a#</w:t>
      </w:r>
      <w:bookmarkEnd w:id="2179"/>
    </w:p>
    <w:p>
      <w:r>
        <w:t xml:space="preserve">(1) </w:t>
      </w:r>
      <w:r>
        <w:rPr>
          <w:rStyle w:val="Satznummer"/>
        </w:rPr>
        <w:t>1</w:t>
      </w:r>
      <w:r>
        <w:t xml:space="preserve">Die Eltern dürfen die mit der Personensorge und mit der Vermögenssorge für das Kind verbundenen Geschäfte fortführen, bis sie von der Beendigung der elterlichen Sorge Kenntnis erlangen oder sie kennen müssen. </w:t>
      </w:r>
      <w:r>
        <w:rPr>
          <w:rStyle w:val="Satznummer"/>
        </w:rPr>
        <w:t>2</w:t>
      </w:r>
      <w:r>
        <w:t>Ein Dritter kann sich auf diese Befugnis nicht berufen, wenn er bei der Vornahme eines Rechtsgeschäfts die Beendigung kennt oder kennen muss.</w:t>
      </w:r>
    </w:p>
    <w:p>
      <w:r>
        <w:t>(2) Diese Vorschriften sind entsprechend anzuwenden, wenn die elterliche Sorge ruht.</w:t>
      </w:r>
    </w:p>
    <w:p>
      <w:pPr>
        <w:pStyle w:val="Heading4"/>
      </w:pPr>
      <w:bookmarkStart w:id="2180" w:name="b2165"/>
      <w:r>
        <w:t>§ 1698b Fortführung dringender Geschäfte nach Tod des Kindes</w:t>
      </w:r>
      <w:r>
        <w:t xml:space="preserve"> </w:t>
      </w:r>
      <w:r>
        <w:rPr>
          <w:rStyle w:val="Suchmarke"/>
        </w:rPr>
        <w:t>#1698b#</w:t>
      </w:r>
      <w:bookmarkEnd w:id="2180"/>
    </w:p>
    <w:p>
      <w:r>
        <w:t>Endet die elterliche Sorge durch den Tod des Kindes, so haben die Eltern die Geschäfte, die nicht ohne Gefahr aufgeschoben werden können, zu besorgen, bis der Erbe anderweit Fürsorge treffen kann.</w:t>
      </w:r>
    </w:p>
    <w:p>
      <w:pPr>
        <w:pStyle w:val="Heading4"/>
      </w:pPr>
      <w:bookmarkStart w:id="2181" w:name="b2166"/>
      <w:r>
        <w:t>§§ 1699 bis 1711 (weggefallen)</w:t>
      </w:r>
      <w:bookmarkEnd w:id="2181"/>
    </w:p>
    <w:p>
      <w:pPr>
        <w:pStyle w:val="Heading3"/>
      </w:pPr>
      <w:bookmarkStart w:id="2182" w:name="b2167"/>
      <w:r>
        <w:t>Titel 6 Beistandschaft</w:t>
      </w:r>
      <w:bookmarkEnd w:id="2182"/>
    </w:p>
    <w:p>
      <w:pPr>
        <w:pStyle w:val="Heading4"/>
      </w:pPr>
      <w:bookmarkStart w:id="2183" w:name="b2168"/>
      <w:r>
        <w:t>§ 1712 Beistandschaft des Jugendamts; Aufgaben</w:t>
      </w:r>
      <w:r>
        <w:t xml:space="preserve"> </w:t>
      </w:r>
      <w:r>
        <w:rPr>
          <w:rStyle w:val="Suchmarke"/>
        </w:rPr>
        <w:t>#1712#</w:t>
      </w:r>
      <w:bookmarkEnd w:id="2183"/>
    </w:p>
    <w:p>
      <w:r>
        <w:t>(1) Auf schriftlichen Antrag eines Elternteils wird das Jugendamt Beistand des Kindes für folgende Aufgaben:</w:t>
      </w:r>
    </w:p>
    <w:p>
      <w:pPr>
        <w:tabs>
          <w:tab w:pos="567" w:val="left"/>
        </w:tabs>
        <w:ind w:left="567" w:hanging="567"/>
      </w:pPr>
      <w:r>
        <w:t>1.</w:t>
      </w:r>
      <w:r>
        <w:tab/>
      </w:r>
      <w:r>
        <w:t>die Feststellung der Vaterschaft,</w:t>
      </w:r>
    </w:p>
    <w:p>
      <w:pPr>
        <w:tabs>
          <w:tab w:pos="567" w:val="left"/>
        </w:tabs>
        <w:ind w:left="567" w:hanging="567"/>
      </w:pPr>
      <w:r>
        <w:t>2.</w:t>
      </w:r>
      <w:r>
        <w:tab/>
      </w:r>
      <w:r>
        <w:t>die Geltendmachung von Unterhaltsansprüchen sowie die Verfügung über diese Ansprüche; ist das Kind bei einem Dritten entgeltlich in Pflege, so ist der Beistand berechtigt, aus dem vom Unterhaltspflichtigen Geleisteten den Dritten zu befriedigen.</w:t>
      </w:r>
    </w:p>
    <w:p>
      <w:r>
        <w:t>(2) Der Antrag kann auf einzelne der in Absatz 1 bezeichneten Aufgaben beschränkt werden.</w:t>
      </w:r>
    </w:p>
    <w:p>
      <w:pPr>
        <w:pStyle w:val="Heading4"/>
      </w:pPr>
      <w:bookmarkStart w:id="2184" w:name="b2169"/>
      <w:r>
        <w:t>§ 1713 Antragsberechtigte</w:t>
      </w:r>
      <w:r>
        <w:t xml:space="preserve"> </w:t>
      </w:r>
      <w:r>
        <w:rPr>
          <w:rStyle w:val="Suchmarke"/>
        </w:rPr>
        <w:t>#1713#</w:t>
      </w:r>
      <w:bookmarkEnd w:id="2184"/>
    </w:p>
    <w:p>
      <w:r>
        <w:t xml:space="preserve">(1) </w:t>
      </w:r>
      <w:r>
        <w:rPr>
          <w:rStyle w:val="Satznummer"/>
        </w:rPr>
        <w:t>1</w:t>
      </w:r>
      <w:r>
        <w:t xml:space="preserve">Den Antrag kann ein Elternteil stellen, dem für den Aufgabenkreis der beantragten Beistandschaft die alleinige elterliche Sorge zusteht oder zustünde, wenn das Kind bereits geboren wäre. </w:t>
      </w:r>
      <w:r>
        <w:rPr>
          <w:rStyle w:val="Satznummer"/>
        </w:rPr>
        <w:t>2</w:t>
      </w:r>
      <w:r>
        <w:t xml:space="preserve">Steht die elterliche Sorge für das Kind den Eltern gemeinsam zu, kann der Antrag von dem Elternteil gestellt werden, in dessen Obhut sich das Kind befindet. </w:t>
      </w:r>
      <w:r>
        <w:rPr>
          <w:rStyle w:val="Satznummer"/>
        </w:rPr>
        <w:t>3</w:t>
      </w:r>
      <w:r>
        <w:t xml:space="preserve">Der Antrag kann auch von einem ehrenamtlichen Vormund, sowie von einer Pflegeperson, der nach § 1630 Absatz 3 Angelegenheiten der elterlichen Sorge übertragen wurden, gestellt werden. </w:t>
      </w:r>
      <w:r>
        <w:rPr>
          <w:rStyle w:val="Satznummer"/>
        </w:rPr>
        <w:t>4</w:t>
      </w:r>
      <w:r>
        <w:t>Er kann nicht durch einen Vertreter gestellt werden.</w:t>
      </w:r>
    </w:p>
    <w:p>
      <w:r>
        <w:t xml:space="preserve">(2) </w:t>
      </w:r>
      <w:r>
        <w:rPr>
          <w:rStyle w:val="Satznummer"/>
        </w:rPr>
        <w:t>1</w:t>
      </w:r>
      <w:r>
        <w:t xml:space="preserve">Vor der Geburt des Kindes kann die werdende Mutter den Antrag auch dann stellen, wenn das Kind, sofern es bereits geboren wäre, unter Vormundschaft stünde. </w:t>
      </w:r>
      <w:r>
        <w:rPr>
          <w:rStyle w:val="Satznummer"/>
        </w:rPr>
        <w:t>2</w:t>
      </w:r>
      <w:r>
        <w:t xml:space="preserve">Ist die werdende Mutter in der Geschäftsfähigkeit beschränkt, so kann sie den Antrag nur selbst stellen; sie bedarf hierzu nicht der Zustimmung ihres gesetzlichen Vertreters. </w:t>
      </w:r>
      <w:r>
        <w:rPr>
          <w:rStyle w:val="Satznummer"/>
        </w:rPr>
        <w:t>3</w:t>
      </w:r>
      <w:r>
        <w:t>Für eine geschäftsunfähige werdende Mutter kann nur ihr gesetzlicher Vertreter den Antrag stellen.</w:t>
      </w:r>
    </w:p>
    <w:p>
      <w:pPr>
        <w:pStyle w:val="Heading4"/>
      </w:pPr>
      <w:bookmarkStart w:id="2185" w:name="b2170"/>
      <w:r>
        <w:t>§ 1714 Eintritt der Beistandschaft</w:t>
      </w:r>
      <w:r>
        <w:t xml:space="preserve"> </w:t>
      </w:r>
      <w:r>
        <w:rPr>
          <w:rStyle w:val="Suchmarke"/>
        </w:rPr>
        <w:t>#1714#</w:t>
      </w:r>
      <w:bookmarkEnd w:id="2185"/>
    </w:p>
    <w:p>
      <w:r>
        <w:rPr>
          <w:rStyle w:val="Satznummer"/>
        </w:rPr>
        <w:t>1</w:t>
      </w:r>
      <w:r>
        <w:t xml:space="preserve">Die Beistandschaft tritt ein, sobald der Antrag dem Jugendamt zugeht. </w:t>
      </w:r>
      <w:r>
        <w:rPr>
          <w:rStyle w:val="Satznummer"/>
        </w:rPr>
        <w:t>2</w:t>
      </w:r>
      <w:r>
        <w:t>Dies gilt auch, wenn der Antrag vor der Geburt des Kindes gestellt wird.</w:t>
      </w:r>
    </w:p>
    <w:p>
      <w:pPr>
        <w:pStyle w:val="Heading4"/>
      </w:pPr>
      <w:bookmarkStart w:id="2186" w:name="b2171"/>
      <w:r>
        <w:t>§ 1715 Beendigung der Beistandschaft</w:t>
      </w:r>
      <w:r>
        <w:t xml:space="preserve"> </w:t>
      </w:r>
      <w:r>
        <w:rPr>
          <w:rStyle w:val="Suchmarke"/>
        </w:rPr>
        <w:t>#1715#</w:t>
      </w:r>
      <w:bookmarkEnd w:id="2186"/>
    </w:p>
    <w:p>
      <w:r>
        <w:t xml:space="preserve">(1) </w:t>
      </w:r>
      <w:r>
        <w:rPr>
          <w:rStyle w:val="Satznummer"/>
        </w:rPr>
        <w:t>1</w:t>
      </w:r>
      <w:r>
        <w:t xml:space="preserve">Die Beistandschaft endet, wenn der Antragsteller dies schriftlich verlangt. </w:t>
      </w:r>
      <w:r>
        <w:rPr>
          <w:rStyle w:val="Satznummer"/>
        </w:rPr>
        <w:t>2</w:t>
      </w:r>
      <w:hyperlink w:anchor="b2168" w:history="1">
        <w:r>
          <w:rPr>
            <w:color w:val="0A3A8C"/>
            <w:u w:val="single"/>
          </w:rPr>
          <w:t xml:space="preserve">§ 1712</w:t>
        </w:r>
      </w:hyperlink>
      <w:r>
        <w:t xml:space="preserve"> Abs. 2 und </w:t>
      </w:r>
      <w:hyperlink w:anchor="b2170" w:history="1">
        <w:r>
          <w:rPr>
            <w:color w:val="0A3A8C"/>
            <w:u w:val="single"/>
          </w:rPr>
          <w:t xml:space="preserve">§ 1714</w:t>
        </w:r>
      </w:hyperlink>
      <w:r>
        <w:t xml:space="preserve"> gelten entsprechend.</w:t>
      </w:r>
    </w:p>
    <w:p>
      <w:r>
        <w:t xml:space="preserve">(2) Die Beistandschaft endet auch, sobald der Antragsteller keine der in </w:t>
      </w:r>
      <w:hyperlink w:anchor="b2169" w:history="1">
        <w:r>
          <w:rPr>
            <w:color w:val="0A3A8C"/>
            <w:u w:val="single"/>
          </w:rPr>
          <w:t xml:space="preserve">§ 1713</w:t>
        </w:r>
      </w:hyperlink>
      <w:r>
        <w:t xml:space="preserve"> genannten Voraussetzungen mehr erfüllt.</w:t>
      </w:r>
    </w:p>
    <w:p>
      <w:pPr>
        <w:pStyle w:val="Heading4"/>
      </w:pPr>
      <w:bookmarkStart w:id="2187" w:name="b2172"/>
      <w:r>
        <w:t>§ 1716 Wirkungen der Beistandschaft</w:t>
      </w:r>
      <w:r>
        <w:t xml:space="preserve"> </w:t>
      </w:r>
      <w:r>
        <w:rPr>
          <w:rStyle w:val="Suchmarke"/>
        </w:rPr>
        <w:t>#1716#</w:t>
      </w:r>
      <w:bookmarkEnd w:id="2187"/>
    </w:p>
    <w:p>
      <w:r>
        <w:rPr>
          <w:rStyle w:val="Satznummer"/>
        </w:rPr>
        <w:t>1</w:t>
      </w:r>
      <w:r>
        <w:t xml:space="preserve">Durch die Beistandschaft wird die elterliche Sorge nicht eingeschränkt. </w:t>
      </w:r>
      <w:r>
        <w:rPr>
          <w:rStyle w:val="Satznummer"/>
        </w:rPr>
        <w:t>2</w:t>
      </w:r>
      <w:r>
        <w:t>Im Übrigen gelten die Vorschriften über die Pflegschaft für Minderjährige mit Ausnahme derjenigen über die Aufsicht des Familiengerichts und die Rechnungslegung sinngemäß.</w:t>
      </w:r>
    </w:p>
    <w:p>
      <w:pPr>
        <w:pStyle w:val="Heading4"/>
      </w:pPr>
      <w:bookmarkStart w:id="2188" w:name="b2173"/>
      <w:r>
        <w:t>§ 1717 Erfordernis des gewöhnlichen Aufenthalts im Inland</w:t>
      </w:r>
      <w:r>
        <w:t xml:space="preserve"> </w:t>
      </w:r>
      <w:r>
        <w:rPr>
          <w:rStyle w:val="Suchmarke"/>
        </w:rPr>
        <w:t>#1717#</w:t>
      </w:r>
      <w:bookmarkEnd w:id="2188"/>
    </w:p>
    <w:p>
      <w:r>
        <w:rPr>
          <w:rStyle w:val="Satznummer"/>
        </w:rPr>
        <w:t>1</w:t>
      </w:r>
      <w:r>
        <w:t xml:space="preserve">Die Beistandschaft tritt nur ein, wenn das Kind seinen gewöhnlichen Aufenthalt im Inland hat; sie endet, wenn das Kind seinen gewöhnlichen Aufenthalt im Ausland begründet. </w:t>
      </w:r>
      <w:r>
        <w:rPr>
          <w:rStyle w:val="Satznummer"/>
        </w:rPr>
        <w:t>2</w:t>
      </w:r>
      <w:r>
        <w:t>Dies gilt für die Beistandschaft vor der Geburt des Kindes entsprechend.</w:t>
      </w:r>
    </w:p>
    <w:p>
      <w:pPr>
        <w:pStyle w:val="Heading4"/>
      </w:pPr>
      <w:bookmarkStart w:id="2189" w:name="b2174"/>
      <w:r>
        <w:t>§§ 1718 bis 1740 (weggefallen)</w:t>
      </w:r>
      <w:bookmarkEnd w:id="2189"/>
    </w:p>
    <w:p>
      <w:pPr>
        <w:pStyle w:val="Heading3"/>
      </w:pPr>
      <w:bookmarkStart w:id="2190" w:name="b2175"/>
      <w:r>
        <w:t>Titel 7 Annahme als Kind</w:t>
      </w:r>
      <w:bookmarkEnd w:id="2190"/>
    </w:p>
    <w:p>
      <w:pPr>
        <w:pStyle w:val="Heading4"/>
      </w:pPr>
      <w:bookmarkStart w:id="2191" w:name="b2176"/>
      <w:r>
        <w:t>Untertitel 1 Annahme Minderjähriger</w:t>
      </w:r>
      <w:bookmarkEnd w:id="2191"/>
    </w:p>
    <w:p>
      <w:pPr>
        <w:pStyle w:val="Heading5"/>
      </w:pPr>
      <w:bookmarkStart w:id="2192" w:name="b2177"/>
      <w:r>
        <w:t>§ 1741 Zulässigkeit der Annahme</w:t>
      </w:r>
      <w:r>
        <w:t xml:space="preserve"> </w:t>
      </w:r>
      <w:r>
        <w:rPr>
          <w:rStyle w:val="Suchmarke"/>
        </w:rPr>
        <w:t>#1741#</w:t>
      </w:r>
      <w:bookmarkEnd w:id="2192"/>
    </w:p>
    <w:p>
      <w:r>
        <w:t xml:space="preserve">(1) </w:t>
      </w:r>
      <w:r>
        <w:rPr>
          <w:rStyle w:val="Satznummer"/>
        </w:rPr>
        <w:t>1</w:t>
      </w:r>
      <w:r>
        <w:t xml:space="preserve">Die Annahme als Kind ist zulässig, wenn sie dem Wohl des Kindes dient und zu erwarten ist, dass zwischen dem Annehmenden und dem Kind ein Eltern-Kind-Verhältnis entsteht. </w:t>
      </w:r>
      <w:r>
        <w:rPr>
          <w:rStyle w:val="Satznummer"/>
        </w:rPr>
        <w:t>2</w:t>
      </w:r>
      <w:r>
        <w:t>Wer an einer gesetzes- oder sittenwidrigen Vermittlung oder Verbringung eines Kindes zum Zwecke der Annahme mitgewirkt oder einen Dritten hiermit beauftragt oder hierfür belohnt hat, soll ein Kind nur dann annehmen, wenn dies zum Wohl des Kindes erforderlich ist.</w:t>
      </w:r>
    </w:p>
    <w:p>
      <w:r>
        <w:t xml:space="preserve">(2) </w:t>
      </w:r>
      <w:r>
        <w:rPr>
          <w:rStyle w:val="Satznummer"/>
        </w:rPr>
        <w:t>1</w:t>
      </w:r>
      <w:r>
        <w:t xml:space="preserve">Wer nicht verheiratet ist, kann ein Kind nur allein annehmen. </w:t>
      </w:r>
      <w:r>
        <w:rPr>
          <w:rStyle w:val="Satznummer"/>
        </w:rPr>
        <w:t>2</w:t>
      </w:r>
      <w:r>
        <w:t xml:space="preserve">Ein Ehepaar kann ein Kind nur gemeinschaftlich annehmen. </w:t>
      </w:r>
      <w:r>
        <w:rPr>
          <w:rStyle w:val="Satznummer"/>
        </w:rPr>
        <w:t>3</w:t>
      </w:r>
      <w:r>
        <w:t xml:space="preserve">Ein Ehegatte kann ein Kind seines Ehegatten allein annehmen. </w:t>
      </w:r>
      <w:r>
        <w:rPr>
          <w:rStyle w:val="Satznummer"/>
        </w:rPr>
        <w:t>4</w:t>
      </w:r>
      <w:r>
        <w:t>Er kann ein Kind auch dann allein annehmen, wenn der andere Ehegatte das Kind nicht annehmen kann, weil er geschäftsunfähig ist oder das 21. Lebensjahr noch nicht vollendet hat.</w:t>
      </w:r>
    </w:p>
    <w:p>
      <w:pPr>
        <w:pStyle w:val="Heading5"/>
      </w:pPr>
      <w:bookmarkStart w:id="2193" w:name="b2178"/>
      <w:r>
        <w:t>§ 1742 Annahme nur als gemeinschaftliches Kind</w:t>
      </w:r>
      <w:r>
        <w:t xml:space="preserve"> </w:t>
      </w:r>
      <w:r>
        <w:rPr>
          <w:rStyle w:val="Suchmarke"/>
        </w:rPr>
        <w:t>#1742#</w:t>
      </w:r>
      <w:bookmarkEnd w:id="2193"/>
    </w:p>
    <w:p>
      <w:r>
        <w:t>Ein angenommenes Kind kann, solange das Annahmeverhältnis besteht, bei Lebzeiten eines Annehmenden nur von dessen Ehegatten angenommen werden.</w:t>
      </w:r>
    </w:p>
    <w:p>
      <w:pPr>
        <w:pStyle w:val="Heading5"/>
      </w:pPr>
      <w:bookmarkStart w:id="2194" w:name="b2179"/>
      <w:r>
        <w:t>§ 1743 Mindestalter</w:t>
      </w:r>
      <w:r>
        <w:t xml:space="preserve"> </w:t>
      </w:r>
      <w:r>
        <w:rPr>
          <w:rStyle w:val="Suchmarke"/>
        </w:rPr>
        <w:t>#1743#</w:t>
      </w:r>
      <w:bookmarkEnd w:id="2194"/>
    </w:p>
    <w:p>
      <w:r>
        <w:rPr>
          <w:rStyle w:val="Satznummer"/>
        </w:rPr>
        <w:t>1</w:t>
      </w:r>
      <w:r>
        <w:t xml:space="preserve">Der Annehmende muss das 25., in den Fällen des </w:t>
      </w:r>
      <w:hyperlink w:anchor="b2177" w:history="1">
        <w:r>
          <w:rPr>
            <w:color w:val="0A3A8C"/>
            <w:u w:val="single"/>
          </w:rPr>
          <w:t xml:space="preserve">§ 1741</w:t>
        </w:r>
      </w:hyperlink>
      <w:r>
        <w:t xml:space="preserve"> Abs. 2 Satz 3 das 21. Lebensjahr vollendet haben. </w:t>
      </w:r>
      <w:r>
        <w:rPr>
          <w:rStyle w:val="Satznummer"/>
        </w:rPr>
        <w:t>2</w:t>
      </w:r>
      <w:r>
        <w:t xml:space="preserve">In den Fällen des </w:t>
      </w:r>
      <w:hyperlink w:anchor="b2177" w:history="1">
        <w:r>
          <w:rPr>
            <w:color w:val="0A3A8C"/>
            <w:u w:val="single"/>
          </w:rPr>
          <w:t xml:space="preserve">§ 1741</w:t>
        </w:r>
      </w:hyperlink>
      <w:r>
        <w:t xml:space="preserve"> Abs. 2 Satz 2 muss ein Ehegatte das 25. Lebensjahr, der andere Ehegatte das 21. Lebensjahr vollendet haben.</w:t>
      </w:r>
    </w:p>
    <w:p>
      <w:pPr>
        <w:pStyle w:val="Heading5"/>
      </w:pPr>
      <w:bookmarkStart w:id="2195" w:name="b2180"/>
      <w:r>
        <w:t>§ 1744 Probezeit</w:t>
      </w:r>
      <w:r>
        <w:t xml:space="preserve"> </w:t>
      </w:r>
      <w:r>
        <w:rPr>
          <w:rStyle w:val="Suchmarke"/>
        </w:rPr>
        <w:t>#1744#</w:t>
      </w:r>
      <w:bookmarkEnd w:id="2195"/>
    </w:p>
    <w:p>
      <w:r>
        <w:t>Die Annahme soll in der Regel erst ausgesprochen werden, wenn der Annehmende das Kind eine angemessene Zeit in Pflege gehabt hat.</w:t>
      </w:r>
    </w:p>
    <w:p>
      <w:pPr>
        <w:pStyle w:val="Heading5"/>
      </w:pPr>
      <w:bookmarkStart w:id="2196" w:name="b2181"/>
      <w:r>
        <w:t>§ 1745 Verbot der Annahme</w:t>
      </w:r>
      <w:r>
        <w:t xml:space="preserve"> </w:t>
      </w:r>
      <w:r>
        <w:rPr>
          <w:rStyle w:val="Suchmarke"/>
        </w:rPr>
        <w:t>#1745#</w:t>
      </w:r>
      <w:bookmarkEnd w:id="2196"/>
    </w:p>
    <w:p>
      <w:r>
        <w:rPr>
          <w:rStyle w:val="Satznummer"/>
        </w:rPr>
        <w:t>1</w:t>
      </w:r>
      <w:r>
        <w:t xml:space="preserve">Die Annahme darf nicht ausgesprochen werden, wenn ihr überwiegende Interessen der Kinder des Annehmenden oder des Anzunehmenden entgegenstehen oder wenn zu befürchten ist, dass Interessen des Anzunehmenden durch Kinder des Annehmenden gefährdet werden. </w:t>
      </w:r>
      <w:r>
        <w:rPr>
          <w:rStyle w:val="Satznummer"/>
        </w:rPr>
        <w:t>2</w:t>
      </w:r>
      <w:r>
        <w:t>Vermögensrechtliche Interessen sollen nicht ausschlaggebend sein.</w:t>
      </w:r>
    </w:p>
    <w:p>
      <w:pPr>
        <w:pStyle w:val="Heading5"/>
      </w:pPr>
      <w:bookmarkStart w:id="2197" w:name="b2182"/>
      <w:r>
        <w:t>§ 1746 Einwilligung des Kindes</w:t>
      </w:r>
      <w:r>
        <w:t xml:space="preserve"> </w:t>
      </w:r>
      <w:r>
        <w:rPr>
          <w:rStyle w:val="Suchmarke"/>
        </w:rPr>
        <w:t>#1746#</w:t>
      </w:r>
      <w:bookmarkEnd w:id="2197"/>
    </w:p>
    <w:p>
      <w:r>
        <w:t xml:space="preserve">(1) </w:t>
      </w:r>
      <w:r>
        <w:rPr>
          <w:rStyle w:val="Satznummer"/>
        </w:rPr>
        <w:t>1</w:t>
      </w:r>
      <w:r>
        <w:t xml:space="preserve">Zur Annahme ist die Einwilligung des Kindes erforderlich. </w:t>
      </w:r>
      <w:r>
        <w:rPr>
          <w:rStyle w:val="Satznummer"/>
        </w:rPr>
        <w:t>2</w:t>
      </w:r>
      <w:r>
        <w:t xml:space="preserve">Für ein Kind, das geschäftsunfähig oder noch nicht 14 Jahre alt ist, kann nur sein gesetzlicher Vertreter die Einwilligung erteilen. </w:t>
      </w:r>
      <w:r>
        <w:rPr>
          <w:rStyle w:val="Satznummer"/>
        </w:rPr>
        <w:t>3</w:t>
      </w:r>
      <w:r>
        <w:t>Im Übrigen kann das Kind die Einwilligung nur selbst erteilen; es bedarf hierzu der Zustimmung seines gesetzlichen Vertreters.</w:t>
      </w:r>
    </w:p>
    <w:p>
      <w:r>
        <w:t xml:space="preserve">(2) </w:t>
      </w:r>
      <w:r>
        <w:rPr>
          <w:rStyle w:val="Satznummer"/>
        </w:rPr>
        <w:t>1</w:t>
      </w:r>
      <w:r>
        <w:t xml:space="preserve">Hat das Kind das 14. Lebensjahr vollendet und ist es nicht geschäftsunfähig, so kann es die Einwilligung bis zum Wirksamwerden des Ausspruchs der Annahme gegenüber dem Familiengericht widerrufen. </w:t>
      </w:r>
      <w:r>
        <w:rPr>
          <w:rStyle w:val="Satznummer"/>
        </w:rPr>
        <w:t>2</w:t>
      </w:r>
      <w:r>
        <w:t xml:space="preserve">Der Widerruf bedarf der öffentlichen Beurkundung. </w:t>
      </w:r>
      <w:r>
        <w:rPr>
          <w:rStyle w:val="Satznummer"/>
        </w:rPr>
        <w:t>3</w:t>
      </w:r>
      <w:r>
        <w:t>Eine Zustimmung des gesetzlichen Vertreters ist nicht erforderlich.</w:t>
      </w:r>
    </w:p>
    <w:p>
      <w:r>
        <w:t xml:space="preserve">(3) Verweigert der Vormund oder Pfleger die Einwilligung oder Zustimmung ohne triftigen Grund, so kann das Familiengericht sie ersetzen; einer Erklärung nach Absatz 1 durch die Eltern bedarf es nicht, soweit diese nach den </w:t>
      </w:r>
      <w:hyperlink w:anchor="b2183" w:history="1">
        <w:r>
          <w:rPr>
            <w:color w:val="0A3A8C"/>
            <w:u w:val="single"/>
          </w:rPr>
          <w:t xml:space="preserve">§§ 1747</w:t>
        </w:r>
      </w:hyperlink>
      <w:r>
        <w:t xml:space="preserve">, </w:t>
      </w:r>
      <w:hyperlink w:anchor="b2186" w:history="1">
        <w:r>
          <w:rPr>
            <w:color w:val="0A3A8C"/>
            <w:u w:val="single"/>
          </w:rPr>
          <w:t xml:space="preserve">1750</w:t>
        </w:r>
      </w:hyperlink>
      <w:r>
        <w:t xml:space="preserve"> unwiderruflich in die Annahme eingewilligt haben oder ihre Einwilligung nach </w:t>
      </w:r>
      <w:hyperlink w:anchor="b2184" w:history="1">
        <w:r>
          <w:rPr>
            <w:color w:val="0A3A8C"/>
            <w:u w:val="single"/>
          </w:rPr>
          <w:t xml:space="preserve">§ 1748</w:t>
        </w:r>
      </w:hyperlink>
      <w:r>
        <w:t xml:space="preserve"> durch das Familiengericht ersetzt worden ist.</w:t>
      </w:r>
    </w:p>
    <w:p>
      <w:pPr>
        <w:pStyle w:val="Heading5"/>
      </w:pPr>
      <w:bookmarkStart w:id="2198" w:name="b2183"/>
      <w:r>
        <w:t>§ 1747 Einwilligung der Eltern des Kindes</w:t>
      </w:r>
      <w:r>
        <w:t xml:space="preserve"> </w:t>
      </w:r>
      <w:r>
        <w:rPr>
          <w:rStyle w:val="Suchmarke"/>
        </w:rPr>
        <w:t>#1747#</w:t>
      </w:r>
      <w:bookmarkEnd w:id="2198"/>
    </w:p>
    <w:p>
      <w:r>
        <w:t xml:space="preserve">(1) </w:t>
      </w:r>
      <w:r>
        <w:rPr>
          <w:rStyle w:val="Satznummer"/>
        </w:rPr>
        <w:t>1</w:t>
      </w:r>
      <w:r>
        <w:t xml:space="preserve">Zur Annahme eines Kindes ist die Einwilligung der Eltern erforderlich. </w:t>
      </w:r>
      <w:r>
        <w:rPr>
          <w:rStyle w:val="Satznummer"/>
        </w:rPr>
        <w:t>2</w:t>
      </w:r>
      <w:r>
        <w:t xml:space="preserve">Sofern kein anderer Mann nach </w:t>
      </w:r>
      <w:hyperlink w:anchor="b2035" w:history="1">
        <w:r>
          <w:rPr>
            <w:color w:val="0A3A8C"/>
            <w:u w:val="single"/>
          </w:rPr>
          <w:t xml:space="preserve">§ 1592</w:t>
        </w:r>
      </w:hyperlink>
      <w:r>
        <w:t xml:space="preserve"> als Vater anzusehen ist, gilt im Sinne des Satzes 1 und des </w:t>
      </w:r>
      <w:hyperlink w:anchor="b2184" w:history="1">
        <w:r>
          <w:rPr>
            <w:color w:val="0A3A8C"/>
            <w:u w:val="single"/>
          </w:rPr>
          <w:t xml:space="preserve">§ 1748</w:t>
        </w:r>
      </w:hyperlink>
      <w:r>
        <w:t xml:space="preserve"> Abs. 4 als Vater, wer die Voraussetzung des </w:t>
      </w:r>
      <w:hyperlink w:anchor="b2049" w:history="1">
        <w:r>
          <w:rPr>
            <w:color w:val="0A3A8C"/>
            <w:u w:val="single"/>
          </w:rPr>
          <w:t xml:space="preserve">§ 1600d</w:t>
        </w:r>
      </w:hyperlink>
      <w:r>
        <w:t xml:space="preserve"> Abs. 2 Satz 1 glaubhaft macht.</w:t>
      </w:r>
    </w:p>
    <w:p>
      <w:r>
        <w:t xml:space="preserve">(2) </w:t>
      </w:r>
      <w:r>
        <w:rPr>
          <w:rStyle w:val="Satznummer"/>
        </w:rPr>
        <w:t>1</w:t>
      </w:r>
      <w:r>
        <w:t xml:space="preserve">Die Einwilligung kann erst erteilt werden, wenn das Kind acht Wochen alt ist. </w:t>
      </w:r>
      <w:r>
        <w:rPr>
          <w:rStyle w:val="Satznummer"/>
        </w:rPr>
        <w:t>2</w:t>
      </w:r>
      <w:r>
        <w:t>Sie ist auch dann wirksam, wenn der Einwilligende die schon feststehenden Annehmenden nicht kennt.</w:t>
      </w:r>
    </w:p>
    <w:p>
      <w:r>
        <w:t>(3) Steht nicht miteinander verheirateten Eltern die elterliche Sorge nicht gemeinsam zu, so</w:t>
      </w:r>
    </w:p>
    <w:p>
      <w:pPr>
        <w:tabs>
          <w:tab w:pos="567" w:val="left"/>
        </w:tabs>
        <w:ind w:left="567" w:hanging="567"/>
      </w:pPr>
      <w:r>
        <w:t>1.</w:t>
      </w:r>
      <w:r>
        <w:tab/>
      </w:r>
      <w:r>
        <w:t>kann die Einwilligung des Vaters bereits vor der Geburt erteilt werden;</w:t>
      </w:r>
    </w:p>
    <w:p>
      <w:pPr>
        <w:tabs>
          <w:tab w:pos="567" w:val="left"/>
        </w:tabs>
        <w:ind w:left="567" w:hanging="567"/>
      </w:pPr>
      <w:r>
        <w:t>2.</w:t>
      </w:r>
      <w:r>
        <w:tab/>
      </w:r>
      <w:r>
        <w:t xml:space="preserve">kann der Vater durch öffentlich beurkundete Erklärung darauf verzichten, die Übertragung der Sorge nach </w:t>
      </w:r>
      <w:hyperlink w:anchor="b2097" w:history="1">
        <w:r>
          <w:rPr>
            <w:color w:val="0A3A8C"/>
            <w:u w:val="single"/>
          </w:rPr>
          <w:t xml:space="preserve">§ 1626a</w:t>
        </w:r>
      </w:hyperlink>
      <w:r>
        <w:t xml:space="preserve"> Absatz 2 und </w:t>
      </w:r>
      <w:hyperlink w:anchor="b2135" w:history="1">
        <w:r>
          <w:rPr>
            <w:color w:val="0A3A8C"/>
            <w:u w:val="single"/>
          </w:rPr>
          <w:t xml:space="preserve">§ 1671</w:t>
        </w:r>
      </w:hyperlink>
      <w:r>
        <w:t xml:space="preserve"> Absatz 2 zu beantragen; </w:t>
      </w:r>
      <w:hyperlink w:anchor="b2186" w:history="1">
        <w:r>
          <w:rPr>
            <w:color w:val="0A3A8C"/>
            <w:u w:val="single"/>
          </w:rPr>
          <w:t xml:space="preserve">§ 1750</w:t>
        </w:r>
      </w:hyperlink>
      <w:r>
        <w:t xml:space="preserve"> gilt sinngemäß mit Ausnahme von Absatz 1 Satz 2 und Absatz 4 Satz 1;</w:t>
      </w:r>
    </w:p>
    <w:p>
      <w:pPr>
        <w:tabs>
          <w:tab w:pos="567" w:val="left"/>
        </w:tabs>
        <w:ind w:left="567" w:hanging="567"/>
      </w:pPr>
      <w:r>
        <w:t>3.</w:t>
      </w:r>
      <w:r>
        <w:tab/>
      </w:r>
      <w:r>
        <w:t xml:space="preserve">darf, wenn der Vater die Übertragung der Sorge nach </w:t>
      </w:r>
      <w:hyperlink w:anchor="b2097" w:history="1">
        <w:r>
          <w:rPr>
            <w:color w:val="0A3A8C"/>
            <w:u w:val="single"/>
          </w:rPr>
          <w:t xml:space="preserve">§ 1626a</w:t>
        </w:r>
      </w:hyperlink>
      <w:r>
        <w:t xml:space="preserve"> Absatz 2 oder </w:t>
      </w:r>
      <w:hyperlink w:anchor="b2135" w:history="1">
        <w:r>
          <w:rPr>
            <w:color w:val="0A3A8C"/>
            <w:u w:val="single"/>
          </w:rPr>
          <w:t xml:space="preserve">§ 1671</w:t>
        </w:r>
      </w:hyperlink>
      <w:r>
        <w:t xml:space="preserve"> Absatz 2 beantragt hat, eine Annahme erst ausgesprochen werden, nachdem über den Antrag des Vaters entschieden worden ist.</w:t>
      </w:r>
    </w:p>
    <w:p>
      <w:r>
        <w:t xml:space="preserve">(4) </w:t>
      </w:r>
      <w:r>
        <w:rPr>
          <w:rStyle w:val="Satznummer"/>
        </w:rPr>
        <w:t>1</w:t>
      </w:r>
      <w:r>
        <w:t xml:space="preserve">Die Einwilligung eines Elternteils ist nicht erforderlich, wenn er zur Abgabe einer Erklärung dauernd außerstande oder sein Aufenthalt dauernd unbekannt ist. </w:t>
      </w:r>
      <w:r>
        <w:rPr>
          <w:rStyle w:val="Satznummer"/>
        </w:rPr>
        <w:t>2</w:t>
      </w:r>
      <w:r>
        <w:t>Der Aufenthalt der Mutter eines gemäß § 25 Absatz 1 des Schwangerschaftskonfliktgesetzes vertraulich geborenen Kindes gilt als dauernd unbekannt, bis sie gegenüber dem Familiengericht die für den Geburtseintrag ihres Kindes erforderlichen Angaben macht.</w:t>
      </w:r>
    </w:p>
    <w:p>
      <w:pPr>
        <w:pStyle w:val="Heading5"/>
      </w:pPr>
      <w:bookmarkStart w:id="2199" w:name="b2184"/>
      <w:r>
        <w:t>§ 1748 Ersetzung der Einwilligung eines Elternteils</w:t>
      </w:r>
      <w:r>
        <w:t xml:space="preserve"> </w:t>
      </w:r>
      <w:r>
        <w:rPr>
          <w:rStyle w:val="Suchmarke"/>
        </w:rPr>
        <w:t>#1748#</w:t>
      </w:r>
      <w:bookmarkEnd w:id="2199"/>
    </w:p>
    <w:p>
      <w:r>
        <w:t xml:space="preserve">(1) </w:t>
      </w:r>
      <w:r>
        <w:rPr>
          <w:rStyle w:val="Satznummer"/>
        </w:rPr>
        <w:t>1</w:t>
      </w:r>
      <w:r>
        <w:t xml:space="preserve">Das Familiengericht hat auf Antrag des Kindes die Einwilligung eines Elternteils zu ersetzen, wenn dieser seine Pflichten gegenüber dem Kind anhaltend gröblich verletzt hat oder durch sein Verhalten gezeigt hat, dass ihm das Kind gleichgültig ist, und wenn das Unterbleiben der Annahme dem Kind zu unverhältnismäßigem Nachteil gereichen würde. </w:t>
      </w:r>
      <w:r>
        <w:rPr>
          <w:rStyle w:val="Satznummer"/>
        </w:rPr>
        <w:t>2</w:t>
      </w:r>
      <w:r>
        <w:t>Die Einwilligung kann auch ersetzt werden, wenn die Pflichtverletzung zwar nicht anhaltend, aber besonders schwer ist und das Kind voraussichtlich dauernd nicht mehr der Obhut des Elternteils anvertraut werden kann.</w:t>
      </w:r>
    </w:p>
    <w:p>
      <w:r>
        <w:t xml:space="preserve">(2) </w:t>
      </w:r>
      <w:r>
        <w:rPr>
          <w:rStyle w:val="Satznummer"/>
        </w:rPr>
        <w:t>1</w:t>
      </w:r>
      <w:r>
        <w:t xml:space="preserve">Wegen Gleichgültigkeit, die nicht zugleich eine anhaltende gröbliche Pflichtverletzung ist, darf die Einwilligung nicht ersetzt werden, bevor der Elternteil vom Jugendamt über die Möglichkeit ihrer Ersetzung belehrt und nach Maßgabe des § 51 Abs. 2 des Achten Buches Sozialgesetzbuch beraten worden ist und seit der Belehrung wenigstens drei Monate verstrichen sind; in der Belehrung ist auf die Frist hinzuweisen. </w:t>
      </w:r>
      <w:r>
        <w:rPr>
          <w:rStyle w:val="Satznummer"/>
        </w:rPr>
        <w:t>2</w:t>
      </w:r>
      <w:r>
        <w:t xml:space="preserve">Der Belehrung bedarf es nicht, wenn der Elternteil seinen Aufenthaltsort ohne Hinterlassung seiner neuen Anschrift gewechselt hat und der Aufenthaltsort vom Jugendamt während eines Zeitraums von drei Monaten trotz angemessener Nachforschungen nicht ermittelt werden konnte; in diesem Falle beginnt die Frist mit der ersten auf die Belehrung und Beratung oder auf die Ermittlung des Aufenthaltsorts gerichteten Handlung des Jugendamts. </w:t>
      </w:r>
      <w:r>
        <w:rPr>
          <w:rStyle w:val="Satznummer"/>
        </w:rPr>
        <w:t>3</w:t>
      </w:r>
      <w:r>
        <w:t>Die Fristen laufen frühestens fünf Monate nach der Geburt des Kindes ab.</w:t>
      </w:r>
    </w:p>
    <w:p>
      <w:r>
        <w:t>(3) Die Einwilligung eines Elternteils kann ferner ersetzt werden, wenn er wegen einer besonders schweren psychischen Krankheit oder einer besonders schweren geistigen oder seelischen Behinderung zur Pflege und Erziehung des Kindes dauernd unfähig ist und wenn das Kind bei Unterbleiben der Annahme nicht in einer Familie aufwachsen könnte und dadurch in seiner Entwicklung schwer gefährdet wäre.</w:t>
      </w:r>
    </w:p>
    <w:p>
      <w:r>
        <w:t xml:space="preserve">(4) In den Fällen des </w:t>
      </w:r>
      <w:hyperlink w:anchor="b2097" w:history="1">
        <w:r>
          <w:rPr>
            <w:color w:val="0A3A8C"/>
            <w:u w:val="single"/>
          </w:rPr>
          <w:t xml:space="preserve">§ 1626a</w:t>
        </w:r>
      </w:hyperlink>
      <w:r>
        <w:t xml:space="preserve"> Absatz 3 hat das Familiengericht die Einwilligung des Vaters zu ersetzen, wenn das Unterbleiben der Annahme dem Kind zu unverhältnismäßigem Nachteil gereichen würde.</w:t>
      </w:r>
    </w:p>
    <w:p>
      <w:pPr>
        <w:pStyle w:val="Heading5"/>
      </w:pPr>
      <w:bookmarkStart w:id="2200" w:name="b2185"/>
      <w:r>
        <w:t>§ 1749 Einwilligung des Ehegatten</w:t>
      </w:r>
      <w:r>
        <w:t xml:space="preserve"> </w:t>
      </w:r>
      <w:r>
        <w:rPr>
          <w:rStyle w:val="Suchmarke"/>
        </w:rPr>
        <w:t>#1749#</w:t>
      </w:r>
      <w:bookmarkEnd w:id="2200"/>
    </w:p>
    <w:p>
      <w:r>
        <w:t xml:space="preserve">(1) </w:t>
      </w:r>
      <w:r>
        <w:rPr>
          <w:rStyle w:val="Satznummer"/>
        </w:rPr>
        <w:t>1</w:t>
      </w:r>
      <w:r>
        <w:t xml:space="preserve">Zur Annahme eines Kindes durch einen Ehegatten allein ist die Einwilligung des anderen Ehegatten erforderlich. </w:t>
      </w:r>
      <w:r>
        <w:rPr>
          <w:rStyle w:val="Satznummer"/>
        </w:rPr>
        <w:t>2</w:t>
      </w:r>
      <w:r>
        <w:t xml:space="preserve">Das Familiengericht kann auf Antrag des Annehmenden die Einwilligung ersetzen. </w:t>
      </w:r>
      <w:r>
        <w:rPr>
          <w:rStyle w:val="Satznummer"/>
        </w:rPr>
        <w:t>3</w:t>
      </w:r>
      <w:r>
        <w:t>Die Einwilligung darf nicht ersetzt werden, wenn berechtigte Interessen des anderen Ehegatten und der Familie der Annahme entgegenstehen.</w:t>
      </w:r>
    </w:p>
    <w:p>
      <w:r>
        <w:t>(2) Die Einwilligung des Ehegatten ist nicht erforderlich, wenn er zur Abgabe der Erklärung dauernd außerstande oder sein Aufenthalt dauernd unbekannt ist.</w:t>
      </w:r>
    </w:p>
    <w:p>
      <w:pPr>
        <w:pStyle w:val="Heading5"/>
      </w:pPr>
      <w:bookmarkStart w:id="2201" w:name="b2186"/>
      <w:r>
        <w:t>§ 1750 Einwilligungserklärung</w:t>
      </w:r>
      <w:r>
        <w:t xml:space="preserve"> </w:t>
      </w:r>
      <w:r>
        <w:rPr>
          <w:rStyle w:val="Suchmarke"/>
        </w:rPr>
        <w:t>#1750#</w:t>
      </w:r>
      <w:bookmarkEnd w:id="2201"/>
    </w:p>
    <w:p>
      <w:r>
        <w:t xml:space="preserve">(1) </w:t>
      </w:r>
      <w:r>
        <w:rPr>
          <w:rStyle w:val="Satznummer"/>
        </w:rPr>
        <w:t>1</w:t>
      </w:r>
      <w:r>
        <w:t xml:space="preserve">Die Einwilligung nach </w:t>
      </w:r>
      <w:hyperlink w:anchor="b2182" w:history="1">
        <w:r>
          <w:rPr>
            <w:color w:val="0A3A8C"/>
            <w:u w:val="single"/>
          </w:rPr>
          <w:t xml:space="preserve">§§ 1746</w:t>
        </w:r>
      </w:hyperlink>
      <w:r>
        <w:t xml:space="preserve">, </w:t>
      </w:r>
      <w:hyperlink w:anchor="b2183" w:history="1">
        <w:r>
          <w:rPr>
            <w:color w:val="0A3A8C"/>
            <w:u w:val="single"/>
          </w:rPr>
          <w:t xml:space="preserve">1747</w:t>
        </w:r>
      </w:hyperlink>
      <w:r>
        <w:t xml:space="preserve"> und </w:t>
      </w:r>
      <w:hyperlink w:anchor="b2185" w:history="1">
        <w:r>
          <w:rPr>
            <w:color w:val="0A3A8C"/>
            <w:u w:val="single"/>
          </w:rPr>
          <w:t xml:space="preserve">1749</w:t>
        </w:r>
      </w:hyperlink>
      <w:r>
        <w:t xml:space="preserve"> ist dem Familiengericht gegenüber zu erklären. </w:t>
      </w:r>
      <w:r>
        <w:rPr>
          <w:rStyle w:val="Satznummer"/>
        </w:rPr>
        <w:t>2</w:t>
      </w:r>
      <w:r>
        <w:t xml:space="preserve">Die Erklärung bedarf der notariellen Beurkundung. </w:t>
      </w:r>
      <w:r>
        <w:rPr>
          <w:rStyle w:val="Satznummer"/>
        </w:rPr>
        <w:t>3</w:t>
      </w:r>
      <w:r>
        <w:t>Die Einwilligung wird in dem Zeitpunkt wirksam, in dem sie dem Familiengericht zugeht.</w:t>
      </w:r>
    </w:p>
    <w:p>
      <w:r>
        <w:t xml:space="preserve">(2) </w:t>
      </w:r>
      <w:r>
        <w:rPr>
          <w:rStyle w:val="Satznummer"/>
        </w:rPr>
        <w:t>1</w:t>
      </w:r>
      <w:r>
        <w:t xml:space="preserve">Die Einwilligung kann nicht unter einer Bedingung oder einer Zeitbestimmung erteilt werden. </w:t>
      </w:r>
      <w:r>
        <w:rPr>
          <w:rStyle w:val="Satznummer"/>
        </w:rPr>
        <w:t>2</w:t>
      </w:r>
      <w:r>
        <w:t xml:space="preserve">Sie ist unwiderruflich; die Vorschrift des </w:t>
      </w:r>
      <w:hyperlink w:anchor="b2182" w:history="1">
        <w:r>
          <w:rPr>
            <w:color w:val="0A3A8C"/>
            <w:u w:val="single"/>
          </w:rPr>
          <w:t xml:space="preserve">§ 1746</w:t>
        </w:r>
      </w:hyperlink>
      <w:r>
        <w:t xml:space="preserve"> Abs. 2 bleibt unberührt.</w:t>
      </w:r>
    </w:p>
    <w:p>
      <w:r>
        <w:t xml:space="preserve">(3) </w:t>
      </w:r>
      <w:r>
        <w:rPr>
          <w:rStyle w:val="Satznummer"/>
        </w:rPr>
        <w:t>1</w:t>
      </w:r>
      <w:r>
        <w:t xml:space="preserve">Die Einwilligung kann nicht durch einen Vertreter erteilt werden. </w:t>
      </w:r>
      <w:r>
        <w:rPr>
          <w:rStyle w:val="Satznummer"/>
        </w:rPr>
        <w:t>2</w:t>
      </w:r>
      <w:r>
        <w:t xml:space="preserve">Ist der Einwilligende in der Geschäftsfähigkeit beschränkt, so bedarf seine Einwilligung nicht der Zustimmung seines gesetzlichen Vertreters. </w:t>
      </w:r>
      <w:r>
        <w:rPr>
          <w:rStyle w:val="Satznummer"/>
        </w:rPr>
        <w:t>3</w:t>
      </w:r>
      <w:r>
        <w:t xml:space="preserve">Die Vorschrift des </w:t>
      </w:r>
      <w:hyperlink w:anchor="b2182" w:history="1">
        <w:r>
          <w:rPr>
            <w:color w:val="0A3A8C"/>
            <w:u w:val="single"/>
          </w:rPr>
          <w:t xml:space="preserve">§ 1746</w:t>
        </w:r>
      </w:hyperlink>
      <w:r>
        <w:t xml:space="preserve"> Abs. 1 Satz 2, 3 bleibt unberührt.</w:t>
      </w:r>
    </w:p>
    <w:p>
      <w:r>
        <w:t xml:space="preserve">(4) </w:t>
      </w:r>
      <w:r>
        <w:rPr>
          <w:rStyle w:val="Satznummer"/>
        </w:rPr>
        <w:t>1</w:t>
      </w:r>
      <w:r>
        <w:t xml:space="preserve">Die Einwilligung verliert ihre Kraft, wenn der Antrag zurückgenommen oder die Annahme versagt wird. </w:t>
      </w:r>
      <w:r>
        <w:rPr>
          <w:rStyle w:val="Satznummer"/>
        </w:rPr>
        <w:t>2</w:t>
      </w:r>
      <w:r>
        <w:t>Die Einwilligung eines Elternteils verliert ferner ihre Kraft, wenn das Kind nicht innerhalb von drei Jahren seit dem Wirksamwerden der Einwilligung angenommen wird.</w:t>
      </w:r>
    </w:p>
    <w:p>
      <w:pPr>
        <w:pStyle w:val="Heading5"/>
      </w:pPr>
      <w:bookmarkStart w:id="2202" w:name="b2187"/>
      <w:r>
        <w:t>§ 1751 Wirkung der elterlichen Einwilligung, Verpflichtung zum Unterhalt</w:t>
      </w:r>
      <w:r>
        <w:t xml:space="preserve"> </w:t>
      </w:r>
      <w:r>
        <w:rPr>
          <w:rStyle w:val="Suchmarke"/>
        </w:rPr>
        <w:t>#1751#</w:t>
      </w:r>
      <w:bookmarkEnd w:id="2202"/>
    </w:p>
    <w:p>
      <w:r>
        <w:t xml:space="preserve">(1) </w:t>
      </w:r>
      <w:r>
        <w:rPr>
          <w:rStyle w:val="Satznummer"/>
        </w:rPr>
        <w:t>1</w:t>
      </w:r>
      <w:r>
        <w:t xml:space="preserve">Mit der Einwilligung eines Elternteils in die Annahme ruht die elterliche Sorge dieses Elternteils; die Befugnis zum persönlichen Umgang mit dem Kind darf nicht ausgeübt werden. </w:t>
      </w:r>
      <w:r>
        <w:rPr>
          <w:rStyle w:val="Satznummer"/>
        </w:rPr>
        <w:t>2</w:t>
      </w:r>
      <w:r>
        <w:t xml:space="preserve">Das Jugendamt wird Vormund; dies gilt nicht, wenn der andere Elternteil die elterliche Sorge allein ausübt oder wenn bereits ein Vormund bestellt ist. </w:t>
      </w:r>
      <w:r>
        <w:rPr>
          <w:rStyle w:val="Satznummer"/>
        </w:rPr>
        <w:t>3</w:t>
      </w:r>
      <w:r>
        <w:t xml:space="preserve">Eine bestehende Pflegschaft bleibt unberührt. </w:t>
      </w:r>
      <w:r>
        <w:rPr>
          <w:rStyle w:val="Satznummer"/>
        </w:rPr>
        <w:t>4</w:t>
      </w:r>
      <w:r>
        <w:t xml:space="preserve">Für den Annehmenden gilt während der Zeit der Adoptionspflege </w:t>
      </w:r>
      <w:hyperlink w:anchor="b2156" w:history="1">
        <w:r>
          <w:rPr>
            <w:color w:val="0A3A8C"/>
            <w:u w:val="single"/>
          </w:rPr>
          <w:t xml:space="preserve">§ 1688</w:t>
        </w:r>
      </w:hyperlink>
      <w:r>
        <w:t xml:space="preserve"> Abs. 1 und 3 entsprechend.</w:t>
      </w:r>
    </w:p>
    <w:p>
      <w:r>
        <w:t>(2) Absatz 1 ist nicht anzuwenden auf einen Ehegatten, dessen Kind vom anderen Ehegatten angenommen wird.</w:t>
      </w:r>
    </w:p>
    <w:p>
      <w:r>
        <w:t>(3) Hat die Einwilligung eines Elternteils ihre Kraft verloren, so hat das Familiengericht die elterliche Sorge dem Elternteil zu übertragen, wenn und soweit dies dem Wohl des Kindes nicht widerspricht.</w:t>
      </w:r>
    </w:p>
    <w:p>
      <w:r>
        <w:t xml:space="preserve">(4) </w:t>
      </w:r>
      <w:r>
        <w:rPr>
          <w:rStyle w:val="Satznummer"/>
        </w:rPr>
        <w:t>1</w:t>
      </w:r>
      <w:r>
        <w:t xml:space="preserve">Der Annehmende ist dem Kind vor den Verwandten des Kindes zur Gewährung des Unterhalts verpflichtet, sobald die Eltern des Kindes die erforderliche Einwilligung erteilt haben und das Kind in die Obhut des Annehmenden mit dem Ziel der Annahme aufgenommen ist. </w:t>
      </w:r>
      <w:r>
        <w:rPr>
          <w:rStyle w:val="Satznummer"/>
        </w:rPr>
        <w:t>2</w:t>
      </w:r>
      <w:r>
        <w:t>Will ein Ehegatte ein Kind seines Ehegatten annehmen, so sind die Ehegatten dem Kind vor den anderen Verwandten des Kindes zur Gewährung des Unterhalts verpflichtet, sobald die erforderliche Einwilligung der Eltern des Kindes erteilt und das Kind in die Obhut der Ehegatten aufgenommen ist.</w:t>
      </w:r>
    </w:p>
    <w:p>
      <w:pPr>
        <w:pStyle w:val="Heading5"/>
      </w:pPr>
      <w:bookmarkStart w:id="2203" w:name="b2188"/>
      <w:r>
        <w:t>§ 1752 Beschluss des Familiengerichts, Antrag</w:t>
      </w:r>
      <w:r>
        <w:t xml:space="preserve"> </w:t>
      </w:r>
      <w:r>
        <w:rPr>
          <w:rStyle w:val="Suchmarke"/>
        </w:rPr>
        <w:t>#1752#</w:t>
      </w:r>
      <w:bookmarkEnd w:id="2203"/>
    </w:p>
    <w:p>
      <w:r>
        <w:t>(1) Die Annahme als Kind wird auf Antrag des Annehmenden vom Familiengericht ausgesprochen.</w:t>
      </w:r>
    </w:p>
    <w:p>
      <w:r>
        <w:t xml:space="preserve">(2) </w:t>
      </w:r>
      <w:r>
        <w:rPr>
          <w:rStyle w:val="Satznummer"/>
        </w:rPr>
        <w:t>1</w:t>
      </w:r>
      <w:r>
        <w:t xml:space="preserve">Der Antrag kann nicht unter einer Bedingung oder einer Zeitbestimmung oder durch einen Vertreter gestellt werden. </w:t>
      </w:r>
      <w:r>
        <w:rPr>
          <w:rStyle w:val="Satznummer"/>
        </w:rPr>
        <w:t>2</w:t>
      </w:r>
      <w:r>
        <w:t>Er bedarf der notariellen Beurkundung.</w:t>
      </w:r>
    </w:p>
    <w:p>
      <w:pPr>
        <w:pStyle w:val="Heading5"/>
      </w:pPr>
      <w:bookmarkStart w:id="2204" w:name="b2189"/>
      <w:r>
        <w:t>§ 1753 Annahme nach dem Tode</w:t>
      </w:r>
      <w:r>
        <w:t xml:space="preserve"> </w:t>
      </w:r>
      <w:r>
        <w:rPr>
          <w:rStyle w:val="Suchmarke"/>
        </w:rPr>
        <w:t>#1753#</w:t>
      </w:r>
      <w:bookmarkEnd w:id="2204"/>
    </w:p>
    <w:p>
      <w:r>
        <w:t>(1) Der Ausspruch der Annahme kann nicht nach dem Tode des Kindes erfolgen.</w:t>
      </w:r>
    </w:p>
    <w:p>
      <w:r>
        <w:t>(2) Nach dem Tode des Annehmenden ist der Ausspruch nur zulässig, wenn der Annehmende den Antrag beim Familiengericht eingereicht oder bei oder nach der notariellen Beurkundung des Antrags den Notar damit betraut hat, den Antrag einzureichen.</w:t>
      </w:r>
    </w:p>
    <w:p>
      <w:r>
        <w:t>(3) Wird die Annahme nach dem Tode des Annehmenden ausgesprochen, so hat sie die gleiche Wirkung, wie wenn sie vor dem Tode erfolgt wäre.</w:t>
      </w:r>
    </w:p>
    <w:p>
      <w:pPr>
        <w:pStyle w:val="Heading5"/>
      </w:pPr>
      <w:bookmarkStart w:id="2205" w:name="b2190"/>
      <w:r>
        <w:t>§ 1754 Wirkung der Annahme</w:t>
      </w:r>
      <w:r>
        <w:t xml:space="preserve"> </w:t>
      </w:r>
      <w:r>
        <w:rPr>
          <w:rStyle w:val="Suchmarke"/>
        </w:rPr>
        <w:t>#1754#</w:t>
      </w:r>
      <w:bookmarkEnd w:id="2205"/>
    </w:p>
    <w:p>
      <w:r>
        <w:t>(1) Nimmt ein Ehepaar ein Kind an oder nimmt ein Ehegatte ein Kind des anderen Ehegatten an, so erlangt das Kind die rechtliche Stellung eines gemeinschaftlichen Kindes der Ehegatten.</w:t>
      </w:r>
    </w:p>
    <w:p>
      <w:r>
        <w:t>(2) In den anderen Fällen erlangt das Kind die rechtliche Stellung eines Kindes des Annehmenden.</w:t>
      </w:r>
    </w:p>
    <w:p>
      <w:r>
        <w:t>(3) Die elterliche Sorge steht in den Fällen des Absatzes 1 den Ehegatten gemeinsam, in den Fällen des Absatzes 2 dem Annehmenden zu.</w:t>
      </w:r>
    </w:p>
    <w:p>
      <w:pPr>
        <w:pStyle w:val="Heading5"/>
      </w:pPr>
      <w:bookmarkStart w:id="2206" w:name="b2191"/>
      <w:r>
        <w:t>§ 1755 Erlöschen von Verwandtschaftsverhältnissen</w:t>
      </w:r>
      <w:r>
        <w:t xml:space="preserve"> </w:t>
      </w:r>
      <w:r>
        <w:rPr>
          <w:rStyle w:val="Suchmarke"/>
        </w:rPr>
        <w:t>#1755#</w:t>
      </w:r>
      <w:bookmarkEnd w:id="2206"/>
    </w:p>
    <w:p>
      <w:r>
        <w:t xml:space="preserve">(1) </w:t>
      </w:r>
      <w:r>
        <w:rPr>
          <w:rStyle w:val="Satznummer"/>
        </w:rPr>
        <w:t>1</w:t>
      </w:r>
      <w:r>
        <w:t xml:space="preserve">Mit der Annahme erlöschen das Verwandtschaftsverhältnis des Kindes und seiner Abkömmlinge zu den bisherigen Verwandten und die sich aus ihm ergebenden Rechte und Pflichten. </w:t>
      </w:r>
      <w:r>
        <w:rPr>
          <w:rStyle w:val="Satznummer"/>
        </w:rPr>
        <w:t>2</w:t>
      </w:r>
      <w:r>
        <w:t>Ansprüche des Kindes, die bis zur Annahme entstanden sind, insbesondere auf Renten, Waisengeld und andere entsprechende wiederkehrende Leistungen, werden durch die Annahme nicht berührt; dies gilt nicht für Unterhaltsansprüche.</w:t>
      </w:r>
    </w:p>
    <w:p>
      <w:r>
        <w:t>(2) Nimmt ein Ehegatte das Kind seines Ehegatten an, so tritt das Erlöschen nur im Verhältnis zu dem anderen Elternteil und dessen Verwandten ein.</w:t>
      </w:r>
    </w:p>
    <w:p>
      <w:pPr>
        <w:pStyle w:val="Heading5"/>
      </w:pPr>
      <w:bookmarkStart w:id="2207" w:name="b2192"/>
      <w:r>
        <w:t>§ 1756 Bestehenbleiben von Verwandtschaftsverhältnissen</w:t>
      </w:r>
      <w:r>
        <w:t xml:space="preserve"> </w:t>
      </w:r>
      <w:r>
        <w:rPr>
          <w:rStyle w:val="Suchmarke"/>
        </w:rPr>
        <w:t>#1756#</w:t>
      </w:r>
      <w:bookmarkEnd w:id="2207"/>
    </w:p>
    <w:p>
      <w:r>
        <w:t>(1) Sind die Annehmenden mit dem Kind im zweiten oder dritten Grad verwandt oder verschwägert, so erlöschen nur das Verwandtschaftsverhältnis des Kindes und seiner Abkömmlinge zu den Eltern des Kindes und die sich aus ihm ergebenden Rechte und Pflichten.</w:t>
      </w:r>
    </w:p>
    <w:p>
      <w:r>
        <w:t>(2) Nimmt ein Ehegatte das Kind seines Ehegatten an, so erlischt das Verwandtschaftsverhältnis nicht im Verhältnis zu den Verwandten des anderen Elternteils, wenn dieser die elterliche Sorge hatte und verstorben ist.</w:t>
      </w:r>
    </w:p>
    <w:p>
      <w:pPr>
        <w:pStyle w:val="Heading5"/>
      </w:pPr>
      <w:bookmarkStart w:id="2208" w:name="b2193"/>
      <w:r>
        <w:t>§ 1757 Name des Kindes</w:t>
      </w:r>
      <w:r>
        <w:t xml:space="preserve"> </w:t>
      </w:r>
      <w:r>
        <w:rPr>
          <w:rStyle w:val="Suchmarke"/>
        </w:rPr>
        <w:t>#1757#</w:t>
      </w:r>
      <w:bookmarkEnd w:id="2208"/>
    </w:p>
    <w:p>
      <w:r>
        <w:t xml:space="preserve">(1) </w:t>
      </w:r>
      <w:r>
        <w:rPr>
          <w:rStyle w:val="Satznummer"/>
        </w:rPr>
        <w:t>1</w:t>
      </w:r>
      <w:r>
        <w:t xml:space="preserve">Das Kind erhält als Geburtsnamen den Familiennamen des Annehmenden. </w:t>
      </w:r>
      <w:r>
        <w:rPr>
          <w:rStyle w:val="Satznummer"/>
        </w:rPr>
        <w:t>2</w:t>
      </w:r>
      <w:hyperlink w:anchor="b2080" w:history="1">
        <w:r>
          <w:rPr>
            <w:color w:val="0A3A8C"/>
            <w:u w:val="single"/>
          </w:rPr>
          <w:t xml:space="preserve">§ 1617a</w:t>
        </w:r>
      </w:hyperlink>
      <w:r>
        <w:t xml:space="preserve"> Absatz 2 und 4 gilt entsprechend, wobei die Erklärungen vor dem Ausspruch der Annahme gegenüber dem Familiengericht zu erfolgen haben.</w:t>
      </w:r>
    </w:p>
    <w:p>
      <w:r>
        <w:t xml:space="preserve">(2) </w:t>
      </w:r>
      <w:r>
        <w:rPr>
          <w:rStyle w:val="Satznummer"/>
        </w:rPr>
        <w:t>1</w:t>
      </w:r>
      <w:r>
        <w:t xml:space="preserve">Nimmt ein Ehepaar ein Kind an oder nimmt ein Ehegatte ein Kind des anderen Ehegatten an und führen die Ehegatten keinen Ehenamen, so bestimmen sie den Geburtsnamen des Kindes vor dem Ausspruch der Annahme durch Erklärung gegenüber dem Familiengericht; </w:t>
      </w:r>
      <w:hyperlink w:anchor="b2079" w:history="1">
        <w:r>
          <w:rPr>
            <w:color w:val="0A3A8C"/>
            <w:u w:val="single"/>
          </w:rPr>
          <w:t xml:space="preserve">§ 1617</w:t>
        </w:r>
      </w:hyperlink>
      <w:r>
        <w:t xml:space="preserve"> Absatz 1 bis 3 und 5 gilt entsprechend. </w:t>
      </w:r>
      <w:r>
        <w:rPr>
          <w:rStyle w:val="Satznummer"/>
        </w:rPr>
        <w:t>2</w:t>
      </w:r>
      <w:r>
        <w:t xml:space="preserve">Hat das Kind das fünfte Lebensjahr vollendet, so ist die Bestimmung nur wirksam, wenn es sich der Bestimmung vor dem Ausspruch der Annahme durch Erklärung gegenüber dem Familiengericht anschließt; </w:t>
      </w:r>
      <w:hyperlink w:anchor="b2082" w:history="1">
        <w:r>
          <w:rPr>
            <w:color w:val="0A3A8C"/>
            <w:u w:val="single"/>
          </w:rPr>
          <w:t xml:space="preserve">§ 1617c</w:t>
        </w:r>
      </w:hyperlink>
      <w:r>
        <w:t xml:space="preserve"> Abs. 1 Satz 2 gilt entsprechend.</w:t>
      </w:r>
    </w:p>
    <w:p>
      <w:r>
        <w:t xml:space="preserve">(3) </w:t>
      </w:r>
      <w:r>
        <w:rPr>
          <w:rStyle w:val="Satznummer"/>
        </w:rPr>
        <w:t>1</w:t>
      </w:r>
      <w:r>
        <w:t>Das Familiengericht kann auf Antrag des Annehmenden mit Einwilligung des Kindes mit dem Ausspruch der Annahme</w:t>
      </w:r>
    </w:p>
    <w:p>
      <w:pPr>
        <w:tabs>
          <w:tab w:pos="567" w:val="left"/>
        </w:tabs>
        <w:ind w:left="567" w:hanging="567"/>
      </w:pPr>
      <w:r>
        <w:t>1.</w:t>
      </w:r>
      <w:r>
        <w:tab/>
      </w:r>
      <w:r>
        <w:t>Vornamen des Kindes ändern oder ihm einen oder mehrere neue Vornamen beigeben, wenn dies dem Wohl des Kindes entspricht;</w:t>
      </w:r>
    </w:p>
    <w:p>
      <w:pPr>
        <w:tabs>
          <w:tab w:pos="567" w:val="left"/>
        </w:tabs>
        <w:ind w:left="567" w:hanging="567"/>
      </w:pPr>
      <w:r>
        <w:t>2.</w:t>
      </w:r>
      <w:r>
        <w:tab/>
      </w:r>
      <w:r>
        <w:t>dem neuen Familiennamen des Kindes den bisherigen Familiennamen voranstellen oder anfügen, wenn dies aus schwerwiegenden Gründen zum Wohl des Kindes erforderlich ist.</w:t>
      </w:r>
    </w:p>
    <w:p>
      <w:r>
        <w:rPr>
          <w:rStyle w:val="Satznummer"/>
        </w:rPr>
        <w:t>2</w:t>
      </w:r>
      <w:hyperlink w:anchor="b2182" w:history="1">
        <w:r>
          <w:rPr>
            <w:color w:val="0A3A8C"/>
            <w:u w:val="single"/>
          </w:rPr>
          <w:t xml:space="preserve">§ 1746</w:t>
        </w:r>
      </w:hyperlink>
      <w:r>
        <w:t xml:space="preserve"> Abs. 1 Satz 2, 3, Abs. 3 erster Halbsatz ist entsprechend anzuwenden.</w:t>
      </w:r>
    </w:p>
    <w:p>
      <w:r>
        <w:t xml:space="preserve">(4) Die </w:t>
      </w:r>
      <w:hyperlink w:anchor="b2085" w:history="1">
        <w:r>
          <w:rPr>
            <w:color w:val="0A3A8C"/>
            <w:u w:val="single"/>
          </w:rPr>
          <w:t xml:space="preserve">§§ 1617f</w:t>
        </w:r>
      </w:hyperlink>
      <w:r>
        <w:t xml:space="preserve"> bis </w:t>
      </w:r>
      <w:hyperlink w:anchor="b2087" w:history="1">
        <w:r>
          <w:rPr>
            <w:color w:val="0A3A8C"/>
            <w:u w:val="single"/>
          </w:rPr>
          <w:t xml:space="preserve">1617h</w:t>
        </w:r>
      </w:hyperlink>
      <w:r>
        <w:t xml:space="preserve"> gelten entsprechend.</w:t>
      </w:r>
    </w:p>
    <w:p>
      <w:pPr>
        <w:pStyle w:val="Heading5"/>
      </w:pPr>
      <w:bookmarkStart w:id="2209" w:name="b2194"/>
      <w:r>
        <w:t>§ 1758 Offenbarungs- und Ausforschungsverbot</w:t>
      </w:r>
      <w:r>
        <w:t xml:space="preserve"> </w:t>
      </w:r>
      <w:r>
        <w:rPr>
          <w:rStyle w:val="Suchmarke"/>
        </w:rPr>
        <w:t>#1758#</w:t>
      </w:r>
      <w:bookmarkEnd w:id="2209"/>
    </w:p>
    <w:p>
      <w:r>
        <w:t>(1) Tatsachen, die geeignet sind, die Annahme und ihre Umstände aufzudecken, dürfen ohne Zustimmung des Annehmenden und des Kindes nicht offenbart oder ausgeforscht werden, es sei denn, dass besondere Gründe des öffentlichen Interesses dies erfordern.</w:t>
      </w:r>
    </w:p>
    <w:p>
      <w:r>
        <w:t xml:space="preserve">(2) </w:t>
      </w:r>
      <w:r>
        <w:rPr>
          <w:rStyle w:val="Satznummer"/>
        </w:rPr>
        <w:t>1</w:t>
      </w:r>
      <w:r>
        <w:t xml:space="preserve">Absatz 1 gilt sinngemäß, wenn die nach </w:t>
      </w:r>
      <w:hyperlink w:anchor="b2183" w:history="1">
        <w:r>
          <w:rPr>
            <w:color w:val="0A3A8C"/>
            <w:u w:val="single"/>
          </w:rPr>
          <w:t xml:space="preserve">§ 1747</w:t>
        </w:r>
      </w:hyperlink>
      <w:r>
        <w:t xml:space="preserve"> erforderliche Einwilligung erteilt ist. </w:t>
      </w:r>
      <w:r>
        <w:rPr>
          <w:rStyle w:val="Satznummer"/>
        </w:rPr>
        <w:t>2</w:t>
      </w:r>
      <w:r>
        <w:t>Das Familiengericht kann anordnen, dass die Wirkungen des Absatzes 1 eintreten, wenn ein Antrag auf Ersetzung der Einwilligung eines Elternteils gestellt worden ist.</w:t>
      </w:r>
    </w:p>
    <w:p>
      <w:pPr>
        <w:pStyle w:val="Heading5"/>
      </w:pPr>
      <w:bookmarkStart w:id="2210" w:name="b2195"/>
      <w:r>
        <w:t>§ 1759 Aufhebung des Annahmeverhältnisses</w:t>
      </w:r>
      <w:r>
        <w:t xml:space="preserve"> </w:t>
      </w:r>
      <w:r>
        <w:rPr>
          <w:rStyle w:val="Suchmarke"/>
        </w:rPr>
        <w:t>#1759#</w:t>
      </w:r>
      <w:bookmarkEnd w:id="2210"/>
    </w:p>
    <w:p>
      <w:r>
        <w:t xml:space="preserve">Das Annahmeverhältnis kann nur in den Fällen der </w:t>
      </w:r>
      <w:hyperlink w:anchor="b2196" w:history="1">
        <w:r>
          <w:rPr>
            <w:color w:val="0A3A8C"/>
            <w:u w:val="single"/>
          </w:rPr>
          <w:t xml:space="preserve">§§ 1760</w:t>
        </w:r>
      </w:hyperlink>
      <w:r>
        <w:t xml:space="preserve">, </w:t>
      </w:r>
      <w:hyperlink w:anchor="b2199" w:history="1">
        <w:r>
          <w:rPr>
            <w:color w:val="0A3A8C"/>
            <w:u w:val="single"/>
          </w:rPr>
          <w:t xml:space="preserve">1763</w:t>
        </w:r>
      </w:hyperlink>
      <w:r>
        <w:t xml:space="preserve"> aufgehoben werden.</w:t>
      </w:r>
    </w:p>
    <w:p>
      <w:pPr>
        <w:pStyle w:val="Heading5"/>
      </w:pPr>
      <w:bookmarkStart w:id="2211" w:name="b2196"/>
      <w:r>
        <w:t>§ 1760 Aufhebung wegen fehlender Erklärungen</w:t>
      </w:r>
      <w:r>
        <w:t xml:space="preserve"> </w:t>
      </w:r>
      <w:r>
        <w:rPr>
          <w:rStyle w:val="Suchmarke"/>
        </w:rPr>
        <w:t>#1760#</w:t>
      </w:r>
      <w:bookmarkEnd w:id="2211"/>
    </w:p>
    <w:p>
      <w:r>
        <w:t>(1) Das Annahmeverhältnis kann auf Antrag vom Familiengericht aufgehoben werden, wenn es ohne Antrag des Annehmenden, ohne die Einwilligung des Kindes oder ohne die erforderliche Einwilligung eines Elternteils begründet worden ist.</w:t>
      </w:r>
    </w:p>
    <w:p>
      <w:r>
        <w:t>(2) Der Antrag oder eine Einwilligung ist nur dann unwirksam, wenn der Erklärende</w:t>
      </w:r>
    </w:p>
    <w:p>
      <w:pPr>
        <w:tabs>
          <w:tab w:pos="567" w:val="left"/>
        </w:tabs>
        <w:ind w:left="567" w:hanging="567"/>
      </w:pPr>
      <w:r>
        <w:t>a)</w:t>
      </w:r>
      <w:r>
        <w:tab/>
      </w:r>
      <w:r>
        <w:t>zur Zeit der Erklärung sich im Zustand der Bewusstlosigkeit oder vorübergehenden Störung der Geistestätigkeit befand, wenn der Antragsteller geschäftsunfähig war oder das geschäftsunfähige oder noch nicht 14 Jahre alte Kind die Einwilligung selbst erteilt hat,</w:t>
      </w:r>
    </w:p>
    <w:p>
      <w:pPr>
        <w:tabs>
          <w:tab w:pos="567" w:val="left"/>
        </w:tabs>
        <w:ind w:left="567" w:hanging="567"/>
      </w:pPr>
      <w:r>
        <w:t>b)</w:t>
      </w:r>
      <w:r>
        <w:tab/>
      </w:r>
      <w:r>
        <w:t>nicht gewusst hat, dass es sich um eine Annahme als Kind handelt, oder wenn er dies zwar gewusst hat, aber einen Annahmeantrag nicht hat stellen oder eine Einwilligung zur Annahme nicht hat abgeben wollen oder wenn sich der Annehmende in der Person des anzunehmenden Kindes oder wenn sich das anzunehmende Kind in der Person des Annehmenden geirrt hat,</w:t>
      </w:r>
    </w:p>
    <w:p>
      <w:pPr>
        <w:tabs>
          <w:tab w:pos="567" w:val="left"/>
        </w:tabs>
        <w:ind w:left="567" w:hanging="567"/>
      </w:pPr>
      <w:r>
        <w:t>c)</w:t>
      </w:r>
      <w:r>
        <w:tab/>
      </w:r>
      <w:r>
        <w:t>durch arglistige Täuschung über wesentliche Umstände zur Erklärung bestimmt worden ist,</w:t>
      </w:r>
    </w:p>
    <w:p>
      <w:pPr>
        <w:tabs>
          <w:tab w:pos="567" w:val="left"/>
        </w:tabs>
        <w:ind w:left="567" w:hanging="567"/>
      </w:pPr>
      <w:r>
        <w:t>d)</w:t>
      </w:r>
      <w:r>
        <w:tab/>
      </w:r>
      <w:r>
        <w:t>widerrechtlich durch Drohung zur Erklärung bestimmt worden ist,</w:t>
      </w:r>
    </w:p>
    <w:p>
      <w:pPr>
        <w:tabs>
          <w:tab w:pos="567" w:val="left"/>
        </w:tabs>
        <w:ind w:left="567" w:hanging="567"/>
      </w:pPr>
      <w:r>
        <w:t>e)</w:t>
      </w:r>
      <w:r>
        <w:tab/>
      </w:r>
      <w:r>
        <w:t xml:space="preserve">die Einwilligung vor Ablauf der in </w:t>
      </w:r>
      <w:hyperlink w:anchor="b2183" w:history="1">
        <w:r>
          <w:rPr>
            <w:color w:val="0A3A8C"/>
            <w:u w:val="single"/>
          </w:rPr>
          <w:t xml:space="preserve">§ 1747</w:t>
        </w:r>
      </w:hyperlink>
      <w:r>
        <w:t xml:space="preserve"> Abs. 2 Satz 1 bestimmten Frist erteilt hat.</w:t>
      </w:r>
    </w:p>
    <w:p>
      <w:r>
        <w:t xml:space="preserve">(3) </w:t>
      </w:r>
      <w:r>
        <w:rPr>
          <w:rStyle w:val="Satznummer"/>
        </w:rPr>
        <w:t>1</w:t>
      </w:r>
      <w:r>
        <w:t xml:space="preserve">Die Aufhebung ist ausgeschlossen, wenn der Erklärende nach Wegfall der Geschäftsunfähigkeit, der Bewusstlosigkeit, der Störung der Geistestätigkeit, der durch die Drohung bestimmten Zwangslage, nach der Entdeckung des Irrtums oder nach Ablauf der in </w:t>
      </w:r>
      <w:hyperlink w:anchor="b2183" w:history="1">
        <w:r>
          <w:rPr>
            <w:color w:val="0A3A8C"/>
            <w:u w:val="single"/>
          </w:rPr>
          <w:t xml:space="preserve">§ 1747</w:t>
        </w:r>
      </w:hyperlink>
      <w:r>
        <w:t xml:space="preserve"> Abs. 2 Satz 1 bestimmten Frist den Antrag oder die Einwilligung nachgeholt oder sonst zu erkennen gegeben hat, dass das Annahmeverhältnis aufrechterhalten werden soll. </w:t>
      </w:r>
      <w:r>
        <w:rPr>
          <w:rStyle w:val="Satznummer"/>
        </w:rPr>
        <w:t>2</w:t>
      </w:r>
      <w:r>
        <w:t xml:space="preserve">Die Vorschriften des </w:t>
      </w:r>
      <w:hyperlink w:anchor="b2182" w:history="1">
        <w:r>
          <w:rPr>
            <w:color w:val="0A3A8C"/>
            <w:u w:val="single"/>
          </w:rPr>
          <w:t xml:space="preserve">§ 1746</w:t>
        </w:r>
      </w:hyperlink>
      <w:r>
        <w:t xml:space="preserve"> Abs. 1 Satz 2, 3 und des </w:t>
      </w:r>
      <w:hyperlink w:anchor="b2186" w:history="1">
        <w:r>
          <w:rPr>
            <w:color w:val="0A3A8C"/>
            <w:u w:val="single"/>
          </w:rPr>
          <w:t xml:space="preserve">§ 1750</w:t>
        </w:r>
      </w:hyperlink>
      <w:r>
        <w:t xml:space="preserve"> Abs. 3 Satz 1, 2 sind entsprechend anzuwenden.</w:t>
      </w:r>
    </w:p>
    <w:p>
      <w:r>
        <w:t>(4) Die Aufhebung wegen arglistiger Täuschung über wesentliche Umstände ist ferner ausgeschlossen, wenn über Vermögensverhältnisse des Annehmenden oder des Kindes getäuscht worden ist oder wenn die Täuschung ohne Wissen eines Antrags- oder Einwilligungsberechtigten von jemand verübt worden ist, der weder antrags- noch einwilligungsberechtigt noch zur Vermittlung der Annahme befugt war.</w:t>
      </w:r>
    </w:p>
    <w:p>
      <w:r>
        <w:t xml:space="preserve">(5) </w:t>
      </w:r>
      <w:r>
        <w:rPr>
          <w:rStyle w:val="Satznummer"/>
        </w:rPr>
        <w:t>1</w:t>
      </w:r>
      <w:r>
        <w:t xml:space="preserve">Ist beim Ausspruch der Annahme zu Unrecht angenommen worden, dass ein Elternteil zur Abgabe der Erklärung dauernd außerstande oder sein Aufenthalt dauernd unbekannt sei, so ist die Aufhebung ausgeschlossen, wenn der Elternteil die Einwilligung nachgeholt oder sonst zu erkennen gegeben hat, dass das Annahmeverhältnis aufrechterhalten werden soll. </w:t>
      </w:r>
      <w:r>
        <w:rPr>
          <w:rStyle w:val="Satznummer"/>
        </w:rPr>
        <w:t>2</w:t>
      </w:r>
      <w:r>
        <w:t xml:space="preserve">Die Vorschrift des </w:t>
      </w:r>
      <w:hyperlink w:anchor="b2186" w:history="1">
        <w:r>
          <w:rPr>
            <w:color w:val="0A3A8C"/>
            <w:u w:val="single"/>
          </w:rPr>
          <w:t xml:space="preserve">§ 1750</w:t>
        </w:r>
      </w:hyperlink>
      <w:r>
        <w:t xml:space="preserve"> Abs. 3 Satz 1, 2 ist entsprechend anzuwenden.</w:t>
      </w:r>
    </w:p>
    <w:p>
      <w:pPr>
        <w:pStyle w:val="Heading5"/>
      </w:pPr>
      <w:bookmarkStart w:id="2212" w:name="b2197"/>
      <w:r>
        <w:t>§ 1761 Aufhebungshindernisse</w:t>
      </w:r>
      <w:r>
        <w:t xml:space="preserve"> </w:t>
      </w:r>
      <w:r>
        <w:rPr>
          <w:rStyle w:val="Suchmarke"/>
        </w:rPr>
        <w:t>#1761#</w:t>
      </w:r>
      <w:bookmarkEnd w:id="2212"/>
    </w:p>
    <w:p>
      <w:r>
        <w:t xml:space="preserve">(1) Das Annahmeverhältnis kann nicht aufgehoben werden, weil eine erforderliche Einwilligung nicht eingeholt worden oder nach </w:t>
      </w:r>
      <w:hyperlink w:anchor="b2196" w:history="1">
        <w:r>
          <w:rPr>
            <w:color w:val="0A3A8C"/>
            <w:u w:val="single"/>
          </w:rPr>
          <w:t xml:space="preserve">§ 1760</w:t>
        </w:r>
      </w:hyperlink>
      <w:r>
        <w:t xml:space="preserve"> Abs. 2 unwirksam ist, wenn die Voraussetzungen für die Ersetzung der Einwilligung beim Ausspruch der Annahme vorgelegen haben oder wenn sie zum Zeitpunkt der Entscheidung über den Aufhebungsantrag vorliegen; dabei ist es unschädlich, wenn eine Belehrung oder Beratung nach </w:t>
      </w:r>
      <w:hyperlink w:anchor="b2184" w:history="1">
        <w:r>
          <w:rPr>
            <w:color w:val="0A3A8C"/>
            <w:u w:val="single"/>
          </w:rPr>
          <w:t xml:space="preserve">§ 1748</w:t>
        </w:r>
      </w:hyperlink>
      <w:r>
        <w:t xml:space="preserve"> Abs. 2 nicht erfolgt ist.</w:t>
      </w:r>
    </w:p>
    <w:p>
      <w:r>
        <w:t>(2) Das Annahmeverhältnis darf nicht aufgehoben werden, wenn dadurch das Wohl des Kindes erheblich gefährdet würde, es sei denn, dass überwiegende Interessen des Annehmenden die Aufhebung erfordern.</w:t>
      </w:r>
    </w:p>
    <w:p>
      <w:pPr>
        <w:pStyle w:val="Heading5"/>
      </w:pPr>
      <w:bookmarkStart w:id="2213" w:name="b2198"/>
      <w:r>
        <w:t>§ 1762 Antragsberechtigung; Antragsfrist, Form</w:t>
      </w:r>
      <w:r>
        <w:t xml:space="preserve"> </w:t>
      </w:r>
      <w:r>
        <w:rPr>
          <w:rStyle w:val="Suchmarke"/>
        </w:rPr>
        <w:t>#1762#</w:t>
      </w:r>
      <w:bookmarkEnd w:id="2213"/>
    </w:p>
    <w:p>
      <w:r>
        <w:t xml:space="preserve">(1) </w:t>
      </w:r>
      <w:r>
        <w:rPr>
          <w:rStyle w:val="Satznummer"/>
        </w:rPr>
        <w:t>1</w:t>
      </w:r>
      <w:r>
        <w:t xml:space="preserve">Antragsberechtigt ist nur derjenige, ohne dessen Antrag oder Einwilligung das Kind angenommen worden ist. </w:t>
      </w:r>
      <w:r>
        <w:rPr>
          <w:rStyle w:val="Satznummer"/>
        </w:rPr>
        <w:t>2</w:t>
      </w:r>
      <w:r>
        <w:t xml:space="preserve">Für ein Kind, das geschäftsunfähig oder noch nicht 14 Jahre alt ist, und für den Annehmenden, der geschäftsunfähig ist, können die gesetzlichen Vertreter den Antrag stellen. </w:t>
      </w:r>
      <w:r>
        <w:rPr>
          <w:rStyle w:val="Satznummer"/>
        </w:rPr>
        <w:t>3</w:t>
      </w:r>
      <w:r>
        <w:t xml:space="preserve">Im Übrigen kann der Antrag nicht durch einen Vertreter gestellt werden. </w:t>
      </w:r>
      <w:r>
        <w:rPr>
          <w:rStyle w:val="Satznummer"/>
        </w:rPr>
        <w:t>4</w:t>
      </w:r>
      <w:r>
        <w:t>Ist der Antragsberechtigte in der Geschäftsfähigkeit beschränkt, so ist die Zustimmung des gesetzlichen Vertreters nicht erforderlich.</w:t>
      </w:r>
    </w:p>
    <w:p>
      <w:r>
        <w:t xml:space="preserve">(2) </w:t>
      </w:r>
      <w:r>
        <w:rPr>
          <w:rStyle w:val="Satznummer"/>
        </w:rPr>
        <w:t>1</w:t>
      </w:r>
      <w:r>
        <w:t xml:space="preserve">Der Antrag kann nur innerhalb eines Jahres gestellt werden, wenn seit der Annahme noch keine drei Jahre verstrichen sind. </w:t>
      </w:r>
      <w:r>
        <w:rPr>
          <w:rStyle w:val="Satznummer"/>
        </w:rPr>
        <w:t>2</w:t>
      </w:r>
      <w:r>
        <w:t>Die Frist beginnt</w:t>
      </w:r>
    </w:p>
    <w:p>
      <w:pPr>
        <w:tabs>
          <w:tab w:pos="567" w:val="left"/>
        </w:tabs>
        <w:ind w:left="567" w:hanging="567"/>
      </w:pPr>
      <w:r>
        <w:t>a)</w:t>
      </w:r>
      <w:r>
        <w:tab/>
      </w:r>
      <w:r>
        <w:t>in den Fällen des § 1760 Abs. 2 Buchstabe a mit dem Zeitpunkt, in dem der Erklärende zumindest die beschränkte Geschäftsfähigkeit erlangt hat oder in dem dem gesetzlichen Vertreter des geschäftsunfähigen Annehmenden oder des noch nicht 14 Jahre alten oder geschäftsunfähigen Kindes die Erklärung bekannt wird;</w:t>
      </w:r>
    </w:p>
    <w:p>
      <w:pPr>
        <w:tabs>
          <w:tab w:pos="567" w:val="left"/>
        </w:tabs>
        <w:ind w:left="567" w:hanging="567"/>
      </w:pPr>
      <w:r>
        <w:t>b)</w:t>
      </w:r>
      <w:r>
        <w:tab/>
      </w:r>
      <w:r>
        <w:t>in den Fällen des § 1760 Abs. 2 Buchstabe b, c mit dem Zeitpunkt, in dem der Erklärende den Irrtum oder die Täuschung entdeckt;</w:t>
      </w:r>
    </w:p>
    <w:p>
      <w:pPr>
        <w:tabs>
          <w:tab w:pos="567" w:val="left"/>
        </w:tabs>
        <w:ind w:left="567" w:hanging="567"/>
      </w:pPr>
      <w:r>
        <w:t>c)</w:t>
      </w:r>
      <w:r>
        <w:tab/>
      </w:r>
      <w:r>
        <w:t>in dem Falle des § 1760 Abs. 2 Buchstabe d mit dem Zeitpunkt, in dem die Zwangslage aufhört;</w:t>
      </w:r>
    </w:p>
    <w:p>
      <w:pPr>
        <w:tabs>
          <w:tab w:pos="567" w:val="left"/>
        </w:tabs>
        <w:ind w:left="567" w:hanging="567"/>
      </w:pPr>
      <w:r>
        <w:t>d)</w:t>
      </w:r>
      <w:r>
        <w:tab/>
      </w:r>
      <w:r>
        <w:t xml:space="preserve">in dem Falle des § 1760 Abs. 2 Buchstabe e nach Ablauf der in </w:t>
      </w:r>
      <w:hyperlink w:anchor="b2183" w:history="1">
        <w:r>
          <w:rPr>
            <w:color w:val="0A3A8C"/>
            <w:u w:val="single"/>
          </w:rPr>
          <w:t xml:space="preserve">§ 1747</w:t>
        </w:r>
      </w:hyperlink>
      <w:r>
        <w:t xml:space="preserve"> Abs. 2 Satz 1 bestimmten Frist;</w:t>
      </w:r>
    </w:p>
    <w:p>
      <w:pPr>
        <w:tabs>
          <w:tab w:pos="567" w:val="left"/>
        </w:tabs>
        <w:ind w:left="567" w:hanging="567"/>
      </w:pPr>
      <w:r>
        <w:t>e)</w:t>
      </w:r>
      <w:r>
        <w:tab/>
      </w:r>
      <w:r>
        <w:t xml:space="preserve">in den Fällen des </w:t>
      </w:r>
      <w:hyperlink w:anchor="b2196" w:history="1">
        <w:r>
          <w:rPr>
            <w:color w:val="0A3A8C"/>
            <w:u w:val="single"/>
          </w:rPr>
          <w:t xml:space="preserve">§ 1760</w:t>
        </w:r>
      </w:hyperlink>
      <w:r>
        <w:t xml:space="preserve"> Abs. 5 mit dem Zeitpunkt, in dem dem Elternteil bekannt wird, dass die Annahme ohne seine Einwilligung erfolgt ist.</w:t>
      </w:r>
    </w:p>
    <w:p>
      <w:r>
        <w:rPr>
          <w:rStyle w:val="Satznummer"/>
        </w:rPr>
        <w:t>3</w:t>
      </w:r>
      <w:r>
        <w:t xml:space="preserve">Die für die Verjährung geltenden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sind entsprechend anzuwenden.</w:t>
      </w:r>
    </w:p>
    <w:p>
      <w:r>
        <w:t>(3) Der Antrag bedarf der notariellen Beurkundung.</w:t>
      </w:r>
    </w:p>
    <w:p>
      <w:pPr>
        <w:pStyle w:val="Heading5"/>
      </w:pPr>
      <w:bookmarkStart w:id="2214" w:name="b2199"/>
      <w:r>
        <w:t>§ 1763 Aufhebung von Amts wegen</w:t>
      </w:r>
      <w:r>
        <w:t xml:space="preserve"> </w:t>
      </w:r>
      <w:r>
        <w:rPr>
          <w:rStyle w:val="Suchmarke"/>
        </w:rPr>
        <w:t>#1763#</w:t>
      </w:r>
      <w:bookmarkEnd w:id="2214"/>
    </w:p>
    <w:p>
      <w:r>
        <w:t>(1) Während der Minderjährigkeit des Kindes kann das Familiengericht das Annahmeverhältnis von Amts wegen aufheben, wenn dies aus schwerwiegenden Gründen zum Wohl des Kindes erforderlich ist.</w:t>
      </w:r>
    </w:p>
    <w:p>
      <w:r>
        <w:t>(2) Ist das Kind von einem Ehepaar angenommen, so kann auch das zwischen dem Kind und einem Ehegatten bestehende Annahmeverhältnis aufgehoben werden.</w:t>
      </w:r>
    </w:p>
    <w:p>
      <w:r>
        <w:t>(3) Das Annahmeverhältnis darf nur aufgehoben werden,</w:t>
      </w:r>
    </w:p>
    <w:p>
      <w:pPr>
        <w:tabs>
          <w:tab w:pos="567" w:val="left"/>
        </w:tabs>
        <w:ind w:left="567" w:hanging="567"/>
      </w:pPr>
      <w:r>
        <w:t>a)</w:t>
      </w:r>
      <w:r>
        <w:tab/>
      </w:r>
      <w:r>
        <w:t>wenn in dem Falle des Absatzes 2 der andere Ehegatte oder wenn ein leiblicher Elternteil bereit ist, die Pflege und Erziehung des Kindes zu übernehmen, und wenn die Ausübung der elterlichen Sorge durch ihn dem Wohl des Kindes nicht widersprechen würde oder</w:t>
      </w:r>
    </w:p>
    <w:p>
      <w:pPr>
        <w:tabs>
          <w:tab w:pos="567" w:val="left"/>
        </w:tabs>
        <w:ind w:left="567" w:hanging="567"/>
      </w:pPr>
      <w:r>
        <w:t>b)</w:t>
      </w:r>
      <w:r>
        <w:tab/>
      </w:r>
      <w:r>
        <w:t>wenn die Aufhebung eine erneute Annahme des Kindes ermöglichen soll.</w:t>
      </w:r>
    </w:p>
    <w:p>
      <w:pPr>
        <w:pStyle w:val="Heading5"/>
      </w:pPr>
      <w:bookmarkStart w:id="2215" w:name="b2200"/>
      <w:r>
        <w:t>§ 1764 Wirkung der Aufhebung</w:t>
      </w:r>
      <w:r>
        <w:t xml:space="preserve"> </w:t>
      </w:r>
      <w:r>
        <w:rPr>
          <w:rStyle w:val="Suchmarke"/>
        </w:rPr>
        <w:t>#1764#</w:t>
      </w:r>
      <w:bookmarkEnd w:id="2215"/>
    </w:p>
    <w:p>
      <w:r>
        <w:t xml:space="preserve">(1) </w:t>
      </w:r>
      <w:r>
        <w:rPr>
          <w:rStyle w:val="Satznummer"/>
        </w:rPr>
        <w:t>1</w:t>
      </w:r>
      <w:r>
        <w:t xml:space="preserve">Die Aufhebung wirkt nur für die Zukunft. </w:t>
      </w:r>
      <w:r>
        <w:rPr>
          <w:rStyle w:val="Satznummer"/>
        </w:rPr>
        <w:t>2</w:t>
      </w:r>
      <w:r>
        <w:t>Hebt das Familiengericht das Annahmeverhältnis nach dem Tode des Annehmenden auf dessen Antrag oder nach dem Tode des Kindes auf dessen Antrag auf, so hat dies die gleiche Wirkung, wie wenn das Annahmeverhältnis vor dem Tode aufgehoben worden wäre.</w:t>
      </w:r>
    </w:p>
    <w:p>
      <w:r>
        <w:t>(2) Mit der Aufhebung der Annahme als Kind erlöschen das durch die Annahme begründete Verwandtschaftsverhältnis des Kindes und seiner Abkömmlinge zu den bisherigen Verwandten und die sich aus ihm ergebenden Rechte und Pflichten.</w:t>
      </w:r>
    </w:p>
    <w:p>
      <w:r>
        <w:t>(3) Gleichzeitig leben das Verwandtschaftsverhältnis des Kindes und seiner Abkömmlinge zu den leiblichen Verwandten des Kindes und die sich aus ihm ergebenden Rechte und Pflichten, mit Ausnahme der elterlichen Sorge, wieder auf.</w:t>
      </w:r>
    </w:p>
    <w:p>
      <w:r>
        <w:t>(4) Das Familiengericht hat den leiblichen Eltern die elterliche Sorge zurückzuübertragen, wenn und soweit dies dem Wohl des Kindes nicht widerspricht; andernfalls bestellt es einen Vormund oder Pfleger.</w:t>
      </w:r>
    </w:p>
    <w:p>
      <w:r>
        <w:t>(5) Besteht das Annahmeverhältnis zu einem Ehepaar und erfolgt die Aufhebung nur im Verhältnis zu einem Ehegatten, so treten die Wirkungen des Absatzes 2 nur zwischen dem Kind und seinen Abkömmlingen und diesem Ehegatten und dessen Verwandten ein; die Wirkungen des Absatzes 3 treten nicht ein.</w:t>
      </w:r>
    </w:p>
    <w:p>
      <w:pPr>
        <w:pStyle w:val="Heading5"/>
      </w:pPr>
      <w:bookmarkStart w:id="2216" w:name="b2201"/>
      <w:r>
        <w:t>§ 1765 Name des Kindes nach der Aufhebung</w:t>
      </w:r>
      <w:r>
        <w:t xml:space="preserve"> </w:t>
      </w:r>
      <w:r>
        <w:rPr>
          <w:rStyle w:val="Suchmarke"/>
        </w:rPr>
        <w:t>#1765#</w:t>
      </w:r>
      <w:bookmarkEnd w:id="2216"/>
    </w:p>
    <w:p>
      <w:r>
        <w:t xml:space="preserve">(1) </w:t>
      </w:r>
      <w:r>
        <w:rPr>
          <w:rStyle w:val="Satznummer"/>
        </w:rPr>
        <w:t>1</w:t>
      </w:r>
      <w:r>
        <w:t xml:space="preserve">Mit der Aufhebung der Annahme als Kind verliert das Kind das Recht, den Familiennamen des Annehmenden als Geburtsnamen zu führen. </w:t>
      </w:r>
      <w:r>
        <w:rPr>
          <w:rStyle w:val="Satznummer"/>
        </w:rPr>
        <w:t>2</w:t>
      </w:r>
      <w:r>
        <w:t xml:space="preserve">Satz 1 ist in den Fällen des </w:t>
      </w:r>
      <w:hyperlink w:anchor="b2190" w:history="1">
        <w:r>
          <w:rPr>
            <w:color w:val="0A3A8C"/>
            <w:u w:val="single"/>
          </w:rPr>
          <w:t xml:space="preserve">§ 1754</w:t>
        </w:r>
      </w:hyperlink>
      <w:r>
        <w:t xml:space="preserve"> Abs. 1 nicht anzuwenden, wenn das Kind einen Geburtsnamen nach </w:t>
      </w:r>
      <w:hyperlink w:anchor="b2193" w:history="1">
        <w:r>
          <w:rPr>
            <w:color w:val="0A3A8C"/>
            <w:u w:val="single"/>
          </w:rPr>
          <w:t xml:space="preserve">§ 1757</w:t>
        </w:r>
      </w:hyperlink>
      <w:r>
        <w:t xml:space="preserve"> Abs. 1 führt und das Annahmeverhältnis zu einem Ehegatten allein aufgehoben wird. </w:t>
      </w:r>
      <w:r>
        <w:rPr>
          <w:rStyle w:val="Satznummer"/>
        </w:rPr>
        <w:t>3</w:t>
      </w:r>
      <w:r>
        <w:t>Ist der Geburtsname zum Ehenamen des Kindes geworden, so bleibt dieser unberührt.</w:t>
      </w:r>
    </w:p>
    <w:p>
      <w:r>
        <w:t xml:space="preserve">(2) </w:t>
      </w:r>
      <w:r>
        <w:rPr>
          <w:rStyle w:val="Satznummer"/>
        </w:rPr>
        <w:t>1</w:t>
      </w:r>
      <w:r>
        <w:t xml:space="preserve">Auf Antrag des Kindes kann das Familiengericht mit der Aufhebung anordnen, dass das Kind den Familiennamen behält, den es durch die Annahme erworben hat, wenn das Kind ein berechtigtes Interesse an der Führung dieses Namens hat. </w:t>
      </w:r>
      <w:r>
        <w:rPr>
          <w:rStyle w:val="Satznummer"/>
        </w:rPr>
        <w:t>2</w:t>
      </w:r>
      <w:hyperlink w:anchor="b2182" w:history="1">
        <w:r>
          <w:rPr>
            <w:color w:val="0A3A8C"/>
            <w:u w:val="single"/>
          </w:rPr>
          <w:t xml:space="preserve">§ 1746</w:t>
        </w:r>
      </w:hyperlink>
      <w:r>
        <w:t xml:space="preserve"> Abs. 1 Satz 2, 3 ist entsprechend anzuwenden.</w:t>
      </w:r>
    </w:p>
    <w:p>
      <w:r>
        <w:t>(3) Ist der durch die Annahme erworbene Name zum Ehenamen geworden, so hat das Familiengericht auf gemeinsamen Antrag der Ehegatten mit der Aufhebung anzuordnen, dass die Ehegatten als Ehenamen den Geburtsnamen führen, den das Kind vor der Annahme geführt hat.</w:t>
      </w:r>
    </w:p>
    <w:p>
      <w:pPr>
        <w:pStyle w:val="Heading5"/>
      </w:pPr>
      <w:bookmarkStart w:id="2217" w:name="b2202"/>
      <w:r>
        <w:t>§ 1766 Ehe zwischen Annehmendem und Kind</w:t>
      </w:r>
      <w:r>
        <w:t xml:space="preserve"> </w:t>
      </w:r>
      <w:r>
        <w:rPr>
          <w:rStyle w:val="Suchmarke"/>
        </w:rPr>
        <w:t>#1766#</w:t>
      </w:r>
      <w:bookmarkEnd w:id="2217"/>
    </w:p>
    <w:p>
      <w:r>
        <w:rPr>
          <w:rStyle w:val="Satznummer"/>
        </w:rPr>
        <w:t>1</w:t>
      </w:r>
      <w:r>
        <w:t xml:space="preserve">Schließt ein Annehmender mit dem Angenommenen oder einem seiner Abkömmlinge den eherechtlichen Vorschriften zuwider die Ehe, so wird mit der Eheschließung das durch die Annahme zwischen ihnen begründete Rechtsverhältnis aufgehoben. </w:t>
      </w:r>
      <w:r>
        <w:rPr>
          <w:rStyle w:val="Satznummer"/>
        </w:rPr>
        <w:t>2</w:t>
      </w:r>
      <w:hyperlink w:anchor="b2200" w:history="1">
        <w:r>
          <w:rPr>
            <w:color w:val="0A3A8C"/>
            <w:u w:val="single"/>
          </w:rPr>
          <w:t xml:space="preserve">§§ 1764</w:t>
        </w:r>
      </w:hyperlink>
      <w:r>
        <w:t xml:space="preserve">, </w:t>
      </w:r>
      <w:hyperlink w:anchor="b2201" w:history="1">
        <w:r>
          <w:rPr>
            <w:color w:val="0A3A8C"/>
            <w:u w:val="single"/>
          </w:rPr>
          <w:t xml:space="preserve">1765</w:t>
        </w:r>
      </w:hyperlink>
      <w:r>
        <w:t xml:space="preserve"> sind nicht anzuwenden.</w:t>
      </w:r>
    </w:p>
    <w:p>
      <w:pPr>
        <w:pStyle w:val="Heading5"/>
      </w:pPr>
      <w:bookmarkStart w:id="2218" w:name="b2203"/>
      <w:r>
        <w:t>§ 1766a Annahme von Kindern des nichtehelichen Partners</w:t>
      </w:r>
      <w:r>
        <w:t xml:space="preserve"> </w:t>
      </w:r>
      <w:r>
        <w:rPr>
          <w:rStyle w:val="Suchmarke"/>
        </w:rPr>
        <w:t>#1766a#</w:t>
      </w:r>
      <w:bookmarkEnd w:id="2218"/>
    </w:p>
    <w:p>
      <w:r>
        <w:t>(1) Für zwei Personen, die in einer verfestigten Lebensgemeinschaft in einem gemeinsamen Haushalt leben, gelten die Vorschriften dieses Untertitels über die Annahme eines Kindes des anderen Ehegatten entsprechend.</w:t>
      </w:r>
    </w:p>
    <w:p>
      <w:r>
        <w:t xml:space="preserve">(2) </w:t>
      </w:r>
      <w:r>
        <w:rPr>
          <w:rStyle w:val="Satznummer"/>
        </w:rPr>
        <w:t>1</w:t>
      </w:r>
      <w:r>
        <w:t>Eine verfestigte Lebensgemeinschaft im Sinne des Absatzes 1 liegt in der Regel vor, wenn die Personen</w:t>
      </w:r>
    </w:p>
    <w:p>
      <w:pPr>
        <w:tabs>
          <w:tab w:pos="567" w:val="left"/>
        </w:tabs>
        <w:ind w:left="567" w:hanging="567"/>
      </w:pPr>
      <w:r>
        <w:t>1.</w:t>
      </w:r>
      <w:r>
        <w:tab/>
      </w:r>
      <w:r>
        <w:t>seit mindestens vier Jahren oder</w:t>
      </w:r>
    </w:p>
    <w:p>
      <w:pPr>
        <w:tabs>
          <w:tab w:pos="567" w:val="left"/>
        </w:tabs>
        <w:ind w:left="567" w:hanging="567"/>
      </w:pPr>
      <w:r>
        <w:t>2.</w:t>
      </w:r>
      <w:r>
        <w:tab/>
      </w:r>
      <w:r>
        <w:t>als Eltern eines gemeinschaftlichen Kindes mit diesem</w:t>
      </w:r>
    </w:p>
    <w:p>
      <w:r>
        <w:t xml:space="preserve">eheähnlich zusammenleben. </w:t>
      </w:r>
      <w:r>
        <w:rPr>
          <w:rStyle w:val="Satznummer"/>
        </w:rPr>
        <w:t>2</w:t>
      </w:r>
      <w:r>
        <w:t>Sie liegt in der Regel nicht vor, wenn ein Partner mit einem Dritten verheiratet ist.</w:t>
      </w:r>
    </w:p>
    <w:p>
      <w:r>
        <w:t xml:space="preserve">(3) </w:t>
      </w:r>
      <w:r>
        <w:rPr>
          <w:rStyle w:val="Satznummer"/>
        </w:rPr>
        <w:t>1</w:t>
      </w:r>
      <w:r>
        <w:t xml:space="preserve">Ist der Annehmende mit einem Dritten verheiratet, so kann er das Kind seines Partners nur allein annehmen. </w:t>
      </w:r>
      <w:r>
        <w:rPr>
          <w:rStyle w:val="Satznummer"/>
        </w:rPr>
        <w:t>2</w:t>
      </w:r>
      <w:r>
        <w:t xml:space="preserve">Die Einwilligung des Dritten in die Annahme ist erforderlich. </w:t>
      </w:r>
      <w:r>
        <w:rPr>
          <w:rStyle w:val="Satznummer"/>
        </w:rPr>
        <w:t>3</w:t>
      </w:r>
      <w:hyperlink w:anchor="b2185" w:history="1">
        <w:r>
          <w:rPr>
            <w:color w:val="0A3A8C"/>
            <w:u w:val="single"/>
          </w:rPr>
          <w:t xml:space="preserve">§ 1749</w:t>
        </w:r>
      </w:hyperlink>
      <w:r>
        <w:t xml:space="preserve"> Absatz 1 Satz 2 und 3 und Absatz 2 gilt entsprechend.</w:t>
      </w:r>
    </w:p>
    <w:p>
      <w:pPr>
        <w:pStyle w:val="Heading4"/>
      </w:pPr>
      <w:bookmarkStart w:id="2219" w:name="b2204"/>
      <w:r>
        <w:t>Untertitel 2 Annahme Volljähriger</w:t>
      </w:r>
      <w:bookmarkEnd w:id="2219"/>
    </w:p>
    <w:p>
      <w:pPr>
        <w:pStyle w:val="Heading5"/>
      </w:pPr>
      <w:bookmarkStart w:id="2220" w:name="b2205"/>
      <w:r>
        <w:t>§ 1767 Zulässigkeit der Annahme, anzuwendende Vorschriften</w:t>
      </w:r>
      <w:r>
        <w:t xml:space="preserve"> </w:t>
      </w:r>
      <w:r>
        <w:rPr>
          <w:rStyle w:val="Suchmarke"/>
        </w:rPr>
        <w:t>#1767#</w:t>
      </w:r>
      <w:bookmarkEnd w:id="2220"/>
    </w:p>
    <w:p>
      <w:r>
        <w:t>(1) Ein Volljähriger kann als Kind angenommen werden, wenn die Annahme sittlich gerechtfertigt ist; dies ist insbesondere anzunehmen, wenn zwischen dem Annehmenden und dem Anzunehmenden ein Eltern-Kind-Verhältnis bereits entstanden ist.</w:t>
      </w:r>
    </w:p>
    <w:p>
      <w:r>
        <w:t>(2) Für die Annahme Volljähriger gelten die Vorschriften über die Annahme Minderjähriger sinngemäß, soweit sich aus den folgenden Vorschriften nichts anderes ergibt.</w:t>
      </w:r>
    </w:p>
    <w:p>
      <w:r>
        <w:t xml:space="preserve">(3) </w:t>
      </w:r>
      <w:r>
        <w:rPr>
          <w:rStyle w:val="Satznummer"/>
        </w:rPr>
        <w:t>1</w:t>
      </w:r>
      <w:hyperlink w:anchor="b2193" w:history="1">
        <w:r>
          <w:rPr>
            <w:color w:val="0A3A8C"/>
            <w:u w:val="single"/>
          </w:rPr>
          <w:t xml:space="preserve">§ 1757</w:t>
        </w:r>
      </w:hyperlink>
      <w:r>
        <w:t xml:space="preserve"> ist mit der Maßgabe anzuwenden, dass</w:t>
      </w:r>
    </w:p>
    <w:p>
      <w:pPr>
        <w:tabs>
          <w:tab w:pos="567" w:val="left"/>
        </w:tabs>
        <w:ind w:left="567" w:hanging="567"/>
      </w:pPr>
      <w:r>
        <w:t>1.</w:t>
      </w:r>
      <w:r>
        <w:tab/>
      </w:r>
      <w:r>
        <w:t>der Angenommene den Familiennamen des Annehmenden nach Absatz 1 nicht erhält, wenn er der Namensänderung widerspricht,</w:t>
      </w:r>
    </w:p>
    <w:p>
      <w:pPr>
        <w:tabs>
          <w:tab w:pos="567" w:val="left"/>
        </w:tabs>
        <w:ind w:left="567" w:hanging="567"/>
      </w:pPr>
      <w:r>
        <w:t>2.</w:t>
      </w:r>
      <w:r>
        <w:tab/>
      </w:r>
      <w:r>
        <w:t xml:space="preserve">zusätzlich die Möglichkeit besteht, einen aus dem bisherigen Familiennamen des Angenommenen und dem Familiennamen des Annehmenden gebildeten Doppelnamen zum Geburtsnamen zu bestimmen; </w:t>
      </w:r>
      <w:hyperlink w:anchor="b2079" w:history="1">
        <w:r>
          <w:rPr>
            <w:color w:val="0A3A8C"/>
            <w:u w:val="single"/>
          </w:rPr>
          <w:t xml:space="preserve">§ 1617</w:t>
        </w:r>
      </w:hyperlink>
      <w:r>
        <w:t xml:space="preserve"> Absatz 1 Satz 2 und Absatz 2 Nummer 2 gilt entsprechend.</w:t>
      </w:r>
    </w:p>
    <w:p>
      <w:r>
        <w:rPr>
          <w:rStyle w:val="Satznummer"/>
        </w:rPr>
        <w:t>2</w:t>
      </w:r>
      <w:hyperlink w:anchor="b2193" w:history="1">
        <w:r>
          <w:rPr>
            <w:color w:val="0A3A8C"/>
            <w:u w:val="single"/>
          </w:rPr>
          <w:t xml:space="preserve">§ 1757</w:t>
        </w:r>
      </w:hyperlink>
      <w:r>
        <w:t xml:space="preserve"> Absatz 3 Satz 1 Nummer 2 ist nicht anzuwenden.</w:t>
      </w:r>
    </w:p>
    <w:p>
      <w:r>
        <w:t xml:space="preserve">(4) </w:t>
      </w:r>
      <w:r>
        <w:rPr>
          <w:rStyle w:val="Satznummer"/>
        </w:rPr>
        <w:t>1</w:t>
      </w:r>
      <w:r>
        <w:t xml:space="preserve">Zur Annahme eines Verheirateten als Kind ist die Einwilligung seines Ehegatten erforderlich. </w:t>
      </w:r>
      <w:r>
        <w:rPr>
          <w:rStyle w:val="Satznummer"/>
        </w:rPr>
        <w:t>2</w:t>
      </w:r>
      <w:r>
        <w:t>Die Änderung des Geburtsnamens erstreckt sich auf den Ehenamen des Angenommenen nur dann, wenn sich auch der Ehegatte der Namensänderung anschließt.</w:t>
      </w:r>
    </w:p>
    <w:p>
      <w:r>
        <w:t>(5) Die Erklärungen nach den Absätzen 3 und 4 müssen öffentlich beglaubigt und vor dem Ausspruch der Annahme gegenüber dem Familiengericht abgegeben werden.</w:t>
      </w:r>
    </w:p>
    <w:p>
      <w:pPr>
        <w:pStyle w:val="Heading5"/>
      </w:pPr>
      <w:bookmarkStart w:id="2221" w:name="b2206"/>
      <w:r>
        <w:t>§ 1768 Antrag</w:t>
      </w:r>
      <w:r>
        <w:t xml:space="preserve"> </w:t>
      </w:r>
      <w:r>
        <w:rPr>
          <w:rStyle w:val="Suchmarke"/>
        </w:rPr>
        <w:t>#1768#</w:t>
      </w:r>
      <w:bookmarkEnd w:id="2221"/>
    </w:p>
    <w:p>
      <w:r>
        <w:t xml:space="preserve">(1) </w:t>
      </w:r>
      <w:r>
        <w:rPr>
          <w:rStyle w:val="Satznummer"/>
        </w:rPr>
        <w:t>1</w:t>
      </w:r>
      <w:r>
        <w:t xml:space="preserve">Die Annahme eines Volljährigen wird auf Antrag des Annehmenden und des Anzunehmenden vom Familiengericht ausgesprochen. </w:t>
      </w:r>
      <w:r>
        <w:rPr>
          <w:rStyle w:val="Satznummer"/>
        </w:rPr>
        <w:t>2</w:t>
      </w:r>
      <w:hyperlink w:anchor="b2178" w:history="1">
        <w:r>
          <w:rPr>
            <w:color w:val="0A3A8C"/>
            <w:u w:val="single"/>
          </w:rPr>
          <w:t xml:space="preserve">§§ 1742</w:t>
        </w:r>
      </w:hyperlink>
      <w:r>
        <w:t xml:space="preserve">, </w:t>
      </w:r>
      <w:hyperlink w:anchor="b2180" w:history="1">
        <w:r>
          <w:rPr>
            <w:color w:val="0A3A8C"/>
            <w:u w:val="single"/>
          </w:rPr>
          <w:t xml:space="preserve">1744</w:t>
        </w:r>
      </w:hyperlink>
      <w:r>
        <w:t xml:space="preserve">, </w:t>
      </w:r>
      <w:hyperlink w:anchor="b2181" w:history="1">
        <w:r>
          <w:rPr>
            <w:color w:val="0A3A8C"/>
            <w:u w:val="single"/>
          </w:rPr>
          <w:t xml:space="preserve">1745</w:t>
        </w:r>
      </w:hyperlink>
      <w:r>
        <w:t xml:space="preserve">, </w:t>
      </w:r>
      <w:hyperlink w:anchor="b2182" w:history="1">
        <w:r>
          <w:rPr>
            <w:color w:val="0A3A8C"/>
            <w:u w:val="single"/>
          </w:rPr>
          <w:t xml:space="preserve">1746</w:t>
        </w:r>
      </w:hyperlink>
      <w:r>
        <w:t xml:space="preserve"> Abs. 1, 2, </w:t>
      </w:r>
      <w:hyperlink w:anchor="b2183" w:history="1">
        <w:r>
          <w:rPr>
            <w:color w:val="0A3A8C"/>
            <w:u w:val="single"/>
          </w:rPr>
          <w:t xml:space="preserve">§ 1747</w:t>
        </w:r>
      </w:hyperlink>
      <w:r>
        <w:t xml:space="preserve"> sind nicht anzuwenden.</w:t>
      </w:r>
    </w:p>
    <w:p>
      <w:r>
        <w:t>(2) Für einen Anzunehmenden, der geschäftsunfähig ist, kann der Antrag nur von seinem gesetzlichen Vertreter gestellt werden.</w:t>
      </w:r>
    </w:p>
    <w:p>
      <w:pPr>
        <w:pStyle w:val="Heading5"/>
      </w:pPr>
      <w:bookmarkStart w:id="2222" w:name="b2207"/>
      <w:r>
        <w:t>§ 1769 Verbot der Annahme</w:t>
      </w:r>
      <w:r>
        <w:t xml:space="preserve"> </w:t>
      </w:r>
      <w:r>
        <w:rPr>
          <w:rStyle w:val="Suchmarke"/>
        </w:rPr>
        <w:t>#1769#</w:t>
      </w:r>
      <w:bookmarkEnd w:id="2222"/>
    </w:p>
    <w:p>
      <w:r>
        <w:t>Die Annahme eines Volljährigen darf nicht ausgesprochen werden, wenn ihr überwiegende Interessen der Kinder des Annehmenden oder des Anzunehmenden entgegenstehen.</w:t>
      </w:r>
    </w:p>
    <w:p>
      <w:pPr>
        <w:pStyle w:val="Heading5"/>
      </w:pPr>
      <w:bookmarkStart w:id="2223" w:name="b2208"/>
      <w:r>
        <w:t>§ 1770 Wirkung der Annahme</w:t>
      </w:r>
      <w:r>
        <w:t xml:space="preserve"> </w:t>
      </w:r>
      <w:r>
        <w:rPr>
          <w:rStyle w:val="Suchmarke"/>
        </w:rPr>
        <w:t>#1770#</w:t>
      </w:r>
      <w:bookmarkEnd w:id="2223"/>
    </w:p>
    <w:p>
      <w:r>
        <w:t xml:space="preserve">(1) </w:t>
      </w:r>
      <w:r>
        <w:rPr>
          <w:rStyle w:val="Satznummer"/>
        </w:rPr>
        <w:t>1</w:t>
      </w:r>
      <w:r>
        <w:t xml:space="preserve">Die Wirkungen der Annahme eines Volljährigen erstrecken sich nicht auf die Verwandten des Annehmenden. </w:t>
      </w:r>
      <w:r>
        <w:rPr>
          <w:rStyle w:val="Satznummer"/>
        </w:rPr>
        <w:t>2</w:t>
      </w:r>
      <w:r>
        <w:t>Der Ehegatte oder Lebenspartner des Annehmenden wird nicht mit dem Angenommenen, dessen Ehegatte oder Lebenspartner wird nicht mit dem Annehmenden verschwägert.</w:t>
      </w:r>
    </w:p>
    <w:p>
      <w:r>
        <w:t>(2) Die Rechte und Pflichten aus dem Verwandtschaftsverhältnis des Angenommenen und seiner Abkömmlinge zu ihren Verwandten werden durch die Annahme nicht berührt, soweit das Gesetz nichts anderes vorschreibt.</w:t>
      </w:r>
    </w:p>
    <w:p>
      <w:r>
        <w:t>(3) Der Annehmende ist dem Angenommenen und dessen Abkömmlingen vor den leiblichen Verwandten des Angenommenen zur Gewährung des Unterhalts verpflichtet.</w:t>
      </w:r>
    </w:p>
    <w:p>
      <w:pPr>
        <w:pStyle w:val="Heading5"/>
      </w:pPr>
      <w:bookmarkStart w:id="2224" w:name="b2209"/>
      <w:r>
        <w:t>§ 1771 Aufhebung des Annahmeverhältnisses</w:t>
      </w:r>
      <w:r>
        <w:t xml:space="preserve"> </w:t>
      </w:r>
      <w:r>
        <w:rPr>
          <w:rStyle w:val="Suchmarke"/>
        </w:rPr>
        <w:t>#1771#</w:t>
      </w:r>
      <w:bookmarkEnd w:id="2224"/>
    </w:p>
    <w:p>
      <w:r>
        <w:rPr>
          <w:rStyle w:val="Satznummer"/>
        </w:rPr>
        <w:t>1</w:t>
      </w:r>
      <w:r>
        <w:t xml:space="preserve">Das Familiengericht kann das Annahmeverhältnis, das zu einem Volljährigen begründet worden ist, auf Antrag des Annehmenden und des Angenommenen aufheben, wenn ein wichtiger Grund vorliegt. </w:t>
      </w:r>
      <w:r>
        <w:rPr>
          <w:rStyle w:val="Satznummer"/>
        </w:rPr>
        <w:t>2</w:t>
      </w:r>
      <w:r>
        <w:t xml:space="preserve">Im Übrigen kann das Annahmeverhältnis nur in sinngemäßer Anwendung der Vorschrift des </w:t>
      </w:r>
      <w:hyperlink w:anchor="b2196" w:history="1">
        <w:r>
          <w:rPr>
            <w:color w:val="0A3A8C"/>
            <w:u w:val="single"/>
          </w:rPr>
          <w:t xml:space="preserve">§ 1760</w:t>
        </w:r>
      </w:hyperlink>
      <w:r>
        <w:t xml:space="preserve"> Abs. 1 bis 5 aufgehoben werden. </w:t>
      </w:r>
      <w:r>
        <w:rPr>
          <w:rStyle w:val="Satznummer"/>
        </w:rPr>
        <w:t>3</w:t>
      </w:r>
      <w:r>
        <w:t>An die Stelle der Einwilligung des Kindes tritt der Antrag des Anzunehmenden.</w:t>
      </w:r>
    </w:p>
    <w:p>
      <w:pPr>
        <w:pStyle w:val="Heading5"/>
      </w:pPr>
      <w:bookmarkStart w:id="2225" w:name="b2210"/>
      <w:r>
        <w:t>§ 1772 Annahme mit den Wirkungen der Minderjährigenannahme</w:t>
      </w:r>
      <w:r>
        <w:t xml:space="preserve"> </w:t>
      </w:r>
      <w:r>
        <w:rPr>
          <w:rStyle w:val="Suchmarke"/>
        </w:rPr>
        <w:t>#1772#</w:t>
      </w:r>
      <w:bookmarkEnd w:id="2225"/>
    </w:p>
    <w:p>
      <w:r>
        <w:t xml:space="preserve">(1) </w:t>
      </w:r>
      <w:r>
        <w:rPr>
          <w:rStyle w:val="Satznummer"/>
        </w:rPr>
        <w:t>1</w:t>
      </w:r>
      <w:r>
        <w:t>Das Familiengericht kann beim Ausspruch der Annahme eines Volljährigen auf Antrag des Annehmenden und des Anzunehmenden bestimmen, dass sich die Wirkungen der Annahme nach den Vorschriften über die Annahme eines Minderjährigen oder eines verwandten Minderjährigen richten (</w:t>
      </w:r>
      <w:hyperlink w:anchor="b2190" w:history="1">
        <w:r>
          <w:rPr>
            <w:color w:val="0A3A8C"/>
            <w:u w:val="single"/>
          </w:rPr>
          <w:t xml:space="preserve">§§ 1754</w:t>
        </w:r>
      </w:hyperlink>
      <w:r>
        <w:t xml:space="preserve"> bis </w:t>
      </w:r>
      <w:hyperlink w:anchor="b2192" w:history="1">
        <w:r>
          <w:rPr>
            <w:color w:val="0A3A8C"/>
            <w:u w:val="single"/>
          </w:rPr>
          <w:t xml:space="preserve">1756</w:t>
        </w:r>
      </w:hyperlink>
      <w:r>
        <w:t>), wenn</w:t>
      </w:r>
    </w:p>
    <w:p>
      <w:pPr>
        <w:tabs>
          <w:tab w:pos="567" w:val="left"/>
        </w:tabs>
        <w:ind w:left="567" w:hanging="567"/>
      </w:pPr>
      <w:r>
        <w:t>a)</w:t>
      </w:r>
      <w:r>
        <w:tab/>
      </w:r>
      <w:r>
        <w:t>ein minderjähriger Bruder oder eine minderjährige Schwester des Anzunehmenden von dem Annehmenden als Kind angenommen worden ist oder gleichzeitig angenommen wird oder</w:t>
      </w:r>
    </w:p>
    <w:p>
      <w:pPr>
        <w:tabs>
          <w:tab w:pos="567" w:val="left"/>
        </w:tabs>
        <w:ind w:left="567" w:hanging="567"/>
      </w:pPr>
      <w:r>
        <w:t>b)</w:t>
      </w:r>
      <w:r>
        <w:tab/>
      </w:r>
      <w:r>
        <w:t>der Anzunehmende bereits als Minderjähriger in die Familie des Annehmenden aufgenommen worden ist oder</w:t>
      </w:r>
    </w:p>
    <w:p>
      <w:pPr>
        <w:tabs>
          <w:tab w:pos="567" w:val="left"/>
        </w:tabs>
        <w:ind w:left="567" w:hanging="567"/>
      </w:pPr>
      <w:r>
        <w:t>c)</w:t>
      </w:r>
      <w:r>
        <w:tab/>
      </w:r>
      <w:r>
        <w:t>der Annehmende das Kind seines Ehegatten annimmt oder</w:t>
      </w:r>
    </w:p>
    <w:p>
      <w:pPr>
        <w:tabs>
          <w:tab w:pos="567" w:val="left"/>
        </w:tabs>
        <w:ind w:left="567" w:hanging="567"/>
      </w:pPr>
      <w:r>
        <w:t>d)</w:t>
      </w:r>
      <w:r>
        <w:tab/>
      </w:r>
      <w:r>
        <w:t>der Anzunehmende in dem Zeitpunkt, in dem der Antrag auf Annahme bei dem Familiengericht eingereicht wird, noch nicht volljährig ist.</w:t>
      </w:r>
    </w:p>
    <w:p>
      <w:r>
        <w:rPr>
          <w:rStyle w:val="Satznummer"/>
        </w:rPr>
        <w:t>2</w:t>
      </w:r>
      <w:r>
        <w:t>Eine solche Bestimmung darf nicht getroffen werden, wenn ihr überwiegende Interessen der Eltern des Anzunehmenden entgegenstehen.</w:t>
      </w:r>
    </w:p>
    <w:p>
      <w:r>
        <w:t xml:space="preserve">(2) </w:t>
      </w:r>
      <w:r>
        <w:rPr>
          <w:rStyle w:val="Satznummer"/>
        </w:rPr>
        <w:t>1</w:t>
      </w:r>
      <w:r>
        <w:t xml:space="preserve">Das Annahmeverhältnis kann in den Fällen des Absatzes 1 nur in sinngemäßer Anwendung der Vorschrift des </w:t>
      </w:r>
      <w:hyperlink w:anchor="b2196" w:history="1">
        <w:r>
          <w:rPr>
            <w:color w:val="0A3A8C"/>
            <w:u w:val="single"/>
          </w:rPr>
          <w:t xml:space="preserve">§ 1760</w:t>
        </w:r>
      </w:hyperlink>
      <w:r>
        <w:t xml:space="preserve"> Abs. 1 bis 5 aufgehoben werden. </w:t>
      </w:r>
      <w:r>
        <w:rPr>
          <w:rStyle w:val="Satznummer"/>
        </w:rPr>
        <w:t>2</w:t>
      </w:r>
      <w:r>
        <w:t>An die Stelle der Einwilligung des Kindes tritt der Antrag des Anzunehmenden.</w:t>
      </w:r>
    </w:p>
    <w:p>
      <w:pPr>
        <w:pStyle w:val="Heading2"/>
      </w:pPr>
      <w:bookmarkStart w:id="2226" w:name="b2211"/>
      <w:r>
        <w:t>Abschnitt 3 Vormundschaft, Pflegschaft für Minderjährige, rechtliche Betreuung, sonstige Pflegschaft</w:t>
      </w:r>
      <w:bookmarkEnd w:id="2226"/>
    </w:p>
    <w:p>
      <w:pPr>
        <w:pStyle w:val="Heading3"/>
      </w:pPr>
      <w:bookmarkStart w:id="2227" w:name="b2212"/>
      <w:r>
        <w:t>Titel 1 Vormundschaft</w:t>
      </w:r>
      <w:bookmarkEnd w:id="2227"/>
    </w:p>
    <w:p>
      <w:pPr>
        <w:pStyle w:val="Heading4"/>
      </w:pPr>
      <w:bookmarkStart w:id="2228" w:name="b2213"/>
      <w:r>
        <w:t>Untertitel 1 Begründung der Vormundschaft</w:t>
      </w:r>
      <w:bookmarkEnd w:id="2228"/>
    </w:p>
    <w:p>
      <w:pPr>
        <w:pStyle w:val="Heading5"/>
      </w:pPr>
      <w:bookmarkStart w:id="2229" w:name="b2214"/>
      <w:r>
        <w:t>Kapitel 1 Bestellte Vormundschaft</w:t>
      </w:r>
      <w:bookmarkEnd w:id="2229"/>
    </w:p>
    <w:p>
      <w:pPr>
        <w:pStyle w:val="Heading6"/>
      </w:pPr>
      <w:bookmarkStart w:id="2230" w:name="b2215"/>
      <w:r>
        <w:t>Unterkapitel 1 Allgemeine Vorschriften</w:t>
      </w:r>
      <w:bookmarkEnd w:id="2230"/>
    </w:p>
    <w:p>
      <w:pPr>
        <w:pStyle w:val="Heading7"/>
      </w:pPr>
      <w:bookmarkStart w:id="2231" w:name="b2216"/>
      <w:r>
        <w:t>§ 1773 Voraussetzungen der Vormundschaft; Bestellung des Vormunds</w:t>
      </w:r>
      <w:r>
        <w:t xml:space="preserve"> </w:t>
      </w:r>
      <w:r>
        <w:rPr>
          <w:rStyle w:val="Suchmarke"/>
        </w:rPr>
        <w:t>#1773#</w:t>
      </w:r>
      <w:bookmarkEnd w:id="2231"/>
    </w:p>
    <w:p>
      <w:r>
        <w:t>(1) Das Familiengericht hat die Vormundschaft für einen Minderjährigen anzuordnen und ihm einen Vormund zu bestellen, wenn</w:t>
      </w:r>
    </w:p>
    <w:p>
      <w:pPr>
        <w:tabs>
          <w:tab w:pos="567" w:val="left"/>
        </w:tabs>
        <w:ind w:left="567" w:hanging="567"/>
      </w:pPr>
      <w:r>
        <w:t>1.</w:t>
      </w:r>
      <w:r>
        <w:tab/>
      </w:r>
      <w:r>
        <w:t>er nicht unter elterlicher Sorge steht,</w:t>
      </w:r>
    </w:p>
    <w:p>
      <w:pPr>
        <w:tabs>
          <w:tab w:pos="567" w:val="left"/>
        </w:tabs>
        <w:ind w:left="567" w:hanging="567"/>
      </w:pPr>
      <w:r>
        <w:t>2.</w:t>
      </w:r>
      <w:r>
        <w:tab/>
      </w:r>
      <w:r>
        <w:t>seine Eltern nicht berechtigt sind, ihn in den seine Person und sein Vermögen betreffenden Angelegenheiten zu vertreten, oder</w:t>
      </w:r>
    </w:p>
    <w:p>
      <w:pPr>
        <w:tabs>
          <w:tab w:pos="567" w:val="left"/>
        </w:tabs>
        <w:ind w:left="567" w:hanging="567"/>
      </w:pPr>
      <w:r>
        <w:t>3.</w:t>
      </w:r>
      <w:r>
        <w:tab/>
      </w:r>
      <w:r>
        <w:t>sein Familienstand nicht zu ermitteln ist.</w:t>
      </w:r>
    </w:p>
    <w:p>
      <w:r>
        <w:t xml:space="preserve">(2) </w:t>
      </w:r>
      <w:r>
        <w:rPr>
          <w:rStyle w:val="Satznummer"/>
        </w:rPr>
        <w:t>1</w:t>
      </w:r>
      <w:r>
        <w:t xml:space="preserve">Ist anzunehmen, dass ein Kind mit seiner Geburt einen Vormund benötigt, so kann schon vor der Geburt des Kindes eine Vormundschaft angeordnet und ein Vormund bestellt werden. </w:t>
      </w:r>
      <w:r>
        <w:rPr>
          <w:rStyle w:val="Satznummer"/>
        </w:rPr>
        <w:t>2</w:t>
      </w:r>
      <w:r>
        <w:t>Die Bestellung wird mit der Geburt des Kindes wirksam.</w:t>
      </w:r>
    </w:p>
    <w:p>
      <w:pPr>
        <w:pStyle w:val="Heading7"/>
      </w:pPr>
      <w:bookmarkStart w:id="2232" w:name="b2217"/>
      <w:r>
        <w:t>§ 1774 Vormund</w:t>
      </w:r>
      <w:r>
        <w:t xml:space="preserve"> </w:t>
      </w:r>
      <w:r>
        <w:rPr>
          <w:rStyle w:val="Suchmarke"/>
        </w:rPr>
        <w:t>#1774#</w:t>
      </w:r>
      <w:bookmarkEnd w:id="2232"/>
    </w:p>
    <w:p>
      <w:r>
        <w:t>(1) Zum Vormund kann bestellt werden:</w:t>
      </w:r>
    </w:p>
    <w:p>
      <w:pPr>
        <w:tabs>
          <w:tab w:pos="567" w:val="left"/>
        </w:tabs>
        <w:ind w:left="567" w:hanging="567"/>
      </w:pPr>
      <w:r>
        <w:t>1.</w:t>
      </w:r>
      <w:r>
        <w:tab/>
      </w:r>
      <w:r>
        <w:t>eine natürliche Person, die die Vormundschaft ehrenamtlich führt,</w:t>
      </w:r>
    </w:p>
    <w:p>
      <w:pPr>
        <w:tabs>
          <w:tab w:pos="567" w:val="left"/>
        </w:tabs>
        <w:ind w:left="567" w:hanging="567"/>
      </w:pPr>
      <w:r>
        <w:t>2.</w:t>
      </w:r>
      <w:r>
        <w:tab/>
      </w:r>
      <w:r>
        <w:t>eine natürliche Person, die die Vormundschaft beruflich selbständig führt (Berufsvormund),</w:t>
      </w:r>
    </w:p>
    <w:p>
      <w:pPr>
        <w:tabs>
          <w:tab w:pos="567" w:val="left"/>
        </w:tabs>
        <w:ind w:left="567" w:hanging="567"/>
      </w:pPr>
      <w:r>
        <w:t>3.</w:t>
      </w:r>
      <w:r>
        <w:tab/>
      </w:r>
      <w:r>
        <w:t>ein Mitarbeiter eines vom überörtlichen Träger der Jugendhilfe anerkannten Vormundschaftsvereins, wenn der Mitarbeiter dort ausschließlich oder teilweise als Vormund tätig ist (Vereinsvormund), oder</w:t>
      </w:r>
    </w:p>
    <w:p>
      <w:pPr>
        <w:tabs>
          <w:tab w:pos="567" w:val="left"/>
        </w:tabs>
        <w:ind w:left="567" w:hanging="567"/>
      </w:pPr>
      <w:r>
        <w:t>4.</w:t>
      </w:r>
      <w:r>
        <w:tab/>
      </w:r>
      <w:r>
        <w:t>das Jugendamt.</w:t>
      </w:r>
    </w:p>
    <w:p>
      <w:r>
        <w:t>(2) Zum vorläufigen Vormund kann bestellt werden:</w:t>
      </w:r>
    </w:p>
    <w:p>
      <w:pPr>
        <w:tabs>
          <w:tab w:pos="567" w:val="left"/>
        </w:tabs>
        <w:ind w:left="567" w:hanging="567"/>
      </w:pPr>
      <w:r>
        <w:t>1.</w:t>
      </w:r>
      <w:r>
        <w:tab/>
      </w:r>
      <w:r>
        <w:t>ein vom überörtlichen Träger der Jugendhilfe anerkannter Vormundschaftsverein,</w:t>
      </w:r>
    </w:p>
    <w:p>
      <w:pPr>
        <w:tabs>
          <w:tab w:pos="567" w:val="left"/>
        </w:tabs>
        <w:ind w:left="567" w:hanging="567"/>
      </w:pPr>
      <w:r>
        <w:t>2.</w:t>
      </w:r>
      <w:r>
        <w:tab/>
      </w:r>
      <w:r>
        <w:t>das Jugendamt.</w:t>
      </w:r>
    </w:p>
    <w:p>
      <w:pPr>
        <w:pStyle w:val="Heading7"/>
      </w:pPr>
      <w:bookmarkStart w:id="2233" w:name="b2218"/>
      <w:r>
        <w:t>§ 1775 Mehrere Vormünder</w:t>
      </w:r>
      <w:r>
        <w:t xml:space="preserve"> </w:t>
      </w:r>
      <w:r>
        <w:rPr>
          <w:rStyle w:val="Suchmarke"/>
        </w:rPr>
        <w:t>#1775#</w:t>
      </w:r>
      <w:bookmarkEnd w:id="2233"/>
    </w:p>
    <w:p>
      <w:r>
        <w:t>(1) Ehegatten können gemeinschaftlich zu Vormündern bestellt werden.</w:t>
      </w:r>
    </w:p>
    <w:p>
      <w:r>
        <w:t>(2) Für Geschwister soll nur ein Vormund bestellt werden, es sei denn, es liegen besondere Gründe vor, jeweils einen Vormund für einzelne Geschwister zu bestellen.</w:t>
      </w:r>
    </w:p>
    <w:p>
      <w:pPr>
        <w:pStyle w:val="Heading7"/>
      </w:pPr>
      <w:bookmarkStart w:id="2234" w:name="b2219"/>
      <w:r>
        <w:t>§ 1776 Zusätzlicher Pfleger</w:t>
      </w:r>
      <w:r>
        <w:t xml:space="preserve"> </w:t>
      </w:r>
      <w:r>
        <w:rPr>
          <w:rStyle w:val="Suchmarke"/>
        </w:rPr>
        <w:t>#1776#</w:t>
      </w:r>
      <w:bookmarkEnd w:id="2234"/>
    </w:p>
    <w:p>
      <w:r>
        <w:t xml:space="preserve">(1) </w:t>
      </w:r>
      <w:r>
        <w:rPr>
          <w:rStyle w:val="Satznummer"/>
        </w:rPr>
        <w:t>1</w:t>
      </w:r>
      <w:r>
        <w:t xml:space="preserve">Das Familiengericht kann bei Bestellung eines ehrenamtlichen Vormunds mit dessen Einverständnis einzelne Sorgeangelegenheiten oder eine bestimmte Art von Sorgeangelegenheiten auf einen Pfleger übertragen, wenn die Übertragung dieser Angelegenheiten dem Wohl des Mündels dient. </w:t>
      </w:r>
      <w:r>
        <w:rPr>
          <w:rStyle w:val="Satznummer"/>
        </w:rPr>
        <w:t>2</w:t>
      </w:r>
      <w:r>
        <w:t>Die Übertragung ist auch nachträglich möglich, wenn der Vormund zustimmt.</w:t>
      </w:r>
    </w:p>
    <w:p>
      <w:r>
        <w:t xml:space="preserve">(2) </w:t>
      </w:r>
      <w:r>
        <w:rPr>
          <w:rStyle w:val="Satznummer"/>
        </w:rPr>
        <w:t>1</w:t>
      </w:r>
      <w:r>
        <w:t>Die Übertragung ist ganz oder teilweise aufzuheben,</w:t>
      </w:r>
    </w:p>
    <w:p>
      <w:pPr>
        <w:tabs>
          <w:tab w:pos="567" w:val="left"/>
        </w:tabs>
        <w:ind w:left="567" w:hanging="567"/>
      </w:pPr>
      <w:r>
        <w:t>1.</w:t>
      </w:r>
      <w:r>
        <w:tab/>
      </w:r>
      <w:r>
        <w:t>wenn sie dem Wohl des Mündels widerspricht,</w:t>
      </w:r>
    </w:p>
    <w:p>
      <w:pPr>
        <w:tabs>
          <w:tab w:pos="567" w:val="left"/>
        </w:tabs>
        <w:ind w:left="567" w:hanging="567"/>
      </w:pPr>
      <w:r>
        <w:t>2.</w:t>
      </w:r>
      <w:r>
        <w:tab/>
      </w:r>
      <w:r>
        <w:t>auf Antrag des Vormunds oder des Pflegers, wenn der jeweils andere Teil zustimmt und die Aufhebung dem Wohl des Mündels nicht widerspricht, oder</w:t>
      </w:r>
    </w:p>
    <w:p>
      <w:pPr>
        <w:tabs>
          <w:tab w:pos="567" w:val="left"/>
        </w:tabs>
        <w:ind w:left="567" w:hanging="567"/>
      </w:pPr>
      <w:r>
        <w:t>3.</w:t>
      </w:r>
      <w:r>
        <w:tab/>
      </w:r>
      <w:r>
        <w:t>auf Antrag des Mündels, der das 14. Lebensjahr vollendet hat, wenn Vormund und Pfleger der Aufhebung zustimmen.</w:t>
      </w:r>
    </w:p>
    <w:p>
      <w:r>
        <w:rPr>
          <w:rStyle w:val="Satznummer"/>
        </w:rPr>
        <w:t>2</w:t>
      </w:r>
      <w:r>
        <w:t>Die Zustimmung gemäß Satz 1 Nummer 2 und 3 ist entbehrlich, wenn ein wichtiger Grund für die Aufhebung vorliegt.</w:t>
      </w:r>
    </w:p>
    <w:p>
      <w:r>
        <w:t xml:space="preserve">(3) </w:t>
      </w:r>
      <w:r>
        <w:rPr>
          <w:rStyle w:val="Satznummer"/>
        </w:rPr>
        <w:t>1</w:t>
      </w:r>
      <w:r>
        <w:t xml:space="preserve">Im Übrigen gelten die Vorschriften über die Pflegschaft für Minderjährige entsprechend. </w:t>
      </w:r>
      <w:r>
        <w:rPr>
          <w:rStyle w:val="Satznummer"/>
        </w:rPr>
        <w:t>2</w:t>
      </w:r>
      <w:r>
        <w:t xml:space="preserve">Neben einem Pfleger nach </w:t>
      </w:r>
      <w:hyperlink w:anchor="b2262" w:history="1">
        <w:r>
          <w:rPr>
            <w:color w:val="0A3A8C"/>
            <w:u w:val="single"/>
          </w:rPr>
          <w:t xml:space="preserve">§ 1809</w:t>
        </w:r>
      </w:hyperlink>
      <w:r>
        <w:t xml:space="preserve"> oder </w:t>
      </w:r>
      <w:hyperlink w:anchor="b2220" w:history="1">
        <w:r>
          <w:rPr>
            <w:color w:val="0A3A8C"/>
            <w:u w:val="single"/>
          </w:rPr>
          <w:t xml:space="preserve">§ 1777</w:t>
        </w:r>
      </w:hyperlink>
      <w:r>
        <w:t xml:space="preserve"> kann ein Pfleger nach Absatz 1 nicht bestellt werden.</w:t>
      </w:r>
    </w:p>
    <w:p>
      <w:pPr>
        <w:pStyle w:val="Heading7"/>
      </w:pPr>
      <w:bookmarkStart w:id="2235" w:name="b2220"/>
      <w:r>
        <w:t>§ 1777 Übertragung von Sorgeangelegenheiten auf die Pflegeperson als Pfleger</w:t>
      </w:r>
      <w:r>
        <w:t xml:space="preserve"> </w:t>
      </w:r>
      <w:r>
        <w:rPr>
          <w:rStyle w:val="Suchmarke"/>
        </w:rPr>
        <w:t>#1777#</w:t>
      </w:r>
      <w:bookmarkEnd w:id="2235"/>
    </w:p>
    <w:p>
      <w:r>
        <w:t xml:space="preserve">(1) </w:t>
      </w:r>
      <w:r>
        <w:rPr>
          <w:rStyle w:val="Satznummer"/>
        </w:rPr>
        <w:t>1</w:t>
      </w:r>
      <w:r>
        <w:t>Das Familiengericht überträgt auf Antrag des Vormunds oder der Pflegeperson einzelne Sorgeangelegenheiten oder eine bestimmte Art von Sorgeangelegenheiten auf die Pflegeperson als Pfleger, wenn</w:t>
      </w:r>
    </w:p>
    <w:p>
      <w:pPr>
        <w:tabs>
          <w:tab w:pos="567" w:val="left"/>
        </w:tabs>
        <w:ind w:left="567" w:hanging="567"/>
      </w:pPr>
      <w:r>
        <w:t>1.</w:t>
      </w:r>
      <w:r>
        <w:tab/>
      </w:r>
      <w:r>
        <w:t>der Mündel seit längerer Zeit bei der Pflegeperson lebt oder bereits bei Begründung des Pflegeverhältnisses eine persönliche Bindung zwischen dem Mündel und der Pflegeperson besteht,</w:t>
      </w:r>
    </w:p>
    <w:p>
      <w:pPr>
        <w:tabs>
          <w:tab w:pos="567" w:val="left"/>
        </w:tabs>
        <w:ind w:left="567" w:hanging="567"/>
      </w:pPr>
      <w:r>
        <w:t>2.</w:t>
      </w:r>
      <w:r>
        <w:tab/>
      </w:r>
      <w:r>
        <w:t>die Pflegeperson oder der Vormund dem Antrag des jeweils anderen auf Übertragung zustimmt und</w:t>
      </w:r>
    </w:p>
    <w:p>
      <w:pPr>
        <w:tabs>
          <w:tab w:pos="567" w:val="left"/>
        </w:tabs>
        <w:ind w:left="567" w:hanging="567"/>
      </w:pPr>
      <w:r>
        <w:t>3.</w:t>
      </w:r>
      <w:r>
        <w:tab/>
      </w:r>
      <w:r>
        <w:t>die Übertragung dem Wohl des Mündels dient.</w:t>
      </w:r>
    </w:p>
    <w:p>
      <w:r>
        <w:rPr>
          <w:rStyle w:val="Satznummer"/>
        </w:rPr>
        <w:t>2</w:t>
      </w:r>
      <w:r>
        <w:t>Ein entgegenstehender Wille des Mündels ist zu berücksichtigen.</w:t>
      </w:r>
    </w:p>
    <w:p>
      <w:r>
        <w:t>(2) Sorgeangelegenheiten, deren Regelung für den Mündel von erheblicher Bedeutung ist, werden der Pflegeperson nur zur gemeinsamen Wahrnehmung mit dem Vormund übertragen.</w:t>
      </w:r>
    </w:p>
    <w:p>
      <w:r>
        <w:t xml:space="preserve">(3) </w:t>
      </w:r>
      <w:r>
        <w:rPr>
          <w:rStyle w:val="Satznummer"/>
        </w:rPr>
        <w:t>1</w:t>
      </w:r>
      <w:r>
        <w:t xml:space="preserve">Den Antrag auf Übertragung nach Absatz 1 Satz 1 kann auch der Mündel stellen, wenn er das 14. Lebensjahr vollendet hat. </w:t>
      </w:r>
      <w:r>
        <w:rPr>
          <w:rStyle w:val="Satznummer"/>
        </w:rPr>
        <w:t>2</w:t>
      </w:r>
      <w:r>
        <w:t>Für die Übertragung ist die Zustimmung des Vormunds und der Pflegeperson erforderlich.</w:t>
      </w:r>
    </w:p>
    <w:p>
      <w:r>
        <w:t xml:space="preserve">(4) </w:t>
      </w:r>
      <w:r>
        <w:rPr>
          <w:rStyle w:val="Satznummer"/>
        </w:rPr>
        <w:t>1</w:t>
      </w:r>
      <w:hyperlink w:anchor="b2219" w:history="1">
        <w:r>
          <w:rPr>
            <w:color w:val="0A3A8C"/>
            <w:u w:val="single"/>
          </w:rPr>
          <w:t xml:space="preserve">§ 1776</w:t>
        </w:r>
      </w:hyperlink>
      <w:r>
        <w:t xml:space="preserve"> Absatz 2 gilt entsprechend. </w:t>
      </w:r>
      <w:r>
        <w:rPr>
          <w:rStyle w:val="Satznummer"/>
        </w:rPr>
        <w:t>2</w:t>
      </w:r>
      <w:r>
        <w:t xml:space="preserve">Im Übrigen gelten die Vorschriften über die Pflegschaft für Minderjährige entsprechend. </w:t>
      </w:r>
      <w:r>
        <w:rPr>
          <w:rStyle w:val="Satznummer"/>
        </w:rPr>
        <w:t>3</w:t>
      </w:r>
      <w:r>
        <w:t xml:space="preserve">Neben einem Pfleger nach </w:t>
      </w:r>
      <w:hyperlink w:anchor="b2262" w:history="1">
        <w:r>
          <w:rPr>
            <w:color w:val="0A3A8C"/>
            <w:u w:val="single"/>
          </w:rPr>
          <w:t xml:space="preserve">§ 1809</w:t>
        </w:r>
      </w:hyperlink>
      <w:r>
        <w:t xml:space="preserve"> oder </w:t>
      </w:r>
      <w:hyperlink w:anchor="b2219" w:history="1">
        <w:r>
          <w:rPr>
            <w:color w:val="0A3A8C"/>
            <w:u w:val="single"/>
          </w:rPr>
          <w:t xml:space="preserve">§ 1776</w:t>
        </w:r>
      </w:hyperlink>
      <w:r>
        <w:t xml:space="preserve"> kann die Pflegeperson nicht zum Pfleger bestellt werden.</w:t>
      </w:r>
    </w:p>
    <w:p>
      <w:pPr>
        <w:pStyle w:val="Heading6"/>
      </w:pPr>
      <w:bookmarkStart w:id="2236" w:name="b2221"/>
      <w:r>
        <w:t>Unterkapitel 2 Auswahl des Vormunds</w:t>
      </w:r>
      <w:bookmarkEnd w:id="2236"/>
    </w:p>
    <w:p>
      <w:pPr>
        <w:pStyle w:val="Heading7"/>
      </w:pPr>
      <w:bookmarkStart w:id="2237" w:name="b2222"/>
      <w:r>
        <w:t>§ 1778 Auswahl des Vormunds durch das Familiengericht</w:t>
      </w:r>
      <w:r>
        <w:t xml:space="preserve"> </w:t>
      </w:r>
      <w:r>
        <w:rPr>
          <w:rStyle w:val="Suchmarke"/>
        </w:rPr>
        <w:t>#1778#</w:t>
      </w:r>
      <w:bookmarkEnd w:id="2237"/>
    </w:p>
    <w:p>
      <w:r>
        <w:t>(1) Ist die Vormundschaft nicht einem nach § 1782 Benannten zu übertragen, hat das Familiengericht den Vormund auszuwählen, der am besten geeignet ist, für die Person und das Vermögen des Mündels zu sorgen.</w:t>
      </w:r>
    </w:p>
    <w:p>
      <w:r>
        <w:t>(2) Bei der Auswahl sind insbesondere zu berücksichtigen:</w:t>
      </w:r>
    </w:p>
    <w:p>
      <w:pPr>
        <w:tabs>
          <w:tab w:pos="567" w:val="left"/>
        </w:tabs>
        <w:ind w:left="567" w:hanging="567"/>
      </w:pPr>
      <w:r>
        <w:t>1.</w:t>
      </w:r>
      <w:r>
        <w:tab/>
      </w:r>
      <w:r>
        <w:t>der Wille des Mündels, seine familiären Beziehungen, seine persönlichen Bindungen, sein religiöses Bekenntnis und sein kultureller Hintergrund,</w:t>
      </w:r>
    </w:p>
    <w:p>
      <w:pPr>
        <w:tabs>
          <w:tab w:pos="567" w:val="left"/>
        </w:tabs>
        <w:ind w:left="567" w:hanging="567"/>
      </w:pPr>
      <w:r>
        <w:t>2.</w:t>
      </w:r>
      <w:r>
        <w:tab/>
      </w:r>
      <w:r>
        <w:t>der wirkliche oder mutmaßliche Wille der Eltern und</w:t>
      </w:r>
    </w:p>
    <w:p>
      <w:pPr>
        <w:tabs>
          <w:tab w:pos="567" w:val="left"/>
        </w:tabs>
        <w:ind w:left="567" w:hanging="567"/>
      </w:pPr>
      <w:r>
        <w:t>3.</w:t>
      </w:r>
      <w:r>
        <w:tab/>
      </w:r>
      <w:r>
        <w:t>die Lebensumstände des Mündels.</w:t>
      </w:r>
    </w:p>
    <w:p>
      <w:pPr>
        <w:pStyle w:val="Heading7"/>
      </w:pPr>
      <w:bookmarkStart w:id="2238" w:name="b2223"/>
      <w:r>
        <w:t>§ 1779 Eignung der Person; Vorrang des ehrenamtlichen Vormunds</w:t>
      </w:r>
      <w:r>
        <w:t xml:space="preserve"> </w:t>
      </w:r>
      <w:r>
        <w:rPr>
          <w:rStyle w:val="Suchmarke"/>
        </w:rPr>
        <w:t>#1779#</w:t>
      </w:r>
      <w:bookmarkEnd w:id="2238"/>
    </w:p>
    <w:p>
      <w:r>
        <w:t>(1) Eine natürliche Person muss nach</w:t>
      </w:r>
    </w:p>
    <w:p>
      <w:pPr>
        <w:tabs>
          <w:tab w:pos="567" w:val="left"/>
        </w:tabs>
        <w:ind w:left="567" w:hanging="567"/>
      </w:pPr>
      <w:r>
        <w:t>1.</w:t>
      </w:r>
      <w:r>
        <w:tab/>
      </w:r>
      <w:r>
        <w:t>ihren Kenntnissen und Erfahrungen,</w:t>
      </w:r>
    </w:p>
    <w:p>
      <w:pPr>
        <w:tabs>
          <w:tab w:pos="567" w:val="left"/>
        </w:tabs>
        <w:ind w:left="567" w:hanging="567"/>
      </w:pPr>
      <w:r>
        <w:t>2.</w:t>
      </w:r>
      <w:r>
        <w:tab/>
      </w:r>
      <w:r>
        <w:t>ihren persönlichen Eigenschaften,</w:t>
      </w:r>
    </w:p>
    <w:p>
      <w:pPr>
        <w:tabs>
          <w:tab w:pos="567" w:val="left"/>
        </w:tabs>
        <w:ind w:left="567" w:hanging="567"/>
      </w:pPr>
      <w:r>
        <w:t>3.</w:t>
      </w:r>
      <w:r>
        <w:tab/>
      </w:r>
      <w:r>
        <w:t>ihren persönlichen Verhältnissen und ihrer Vermögenslage sowie</w:t>
      </w:r>
    </w:p>
    <w:p>
      <w:pPr>
        <w:tabs>
          <w:tab w:pos="567" w:val="left"/>
        </w:tabs>
        <w:ind w:left="567" w:hanging="567"/>
      </w:pPr>
      <w:r>
        <w:t>4.</w:t>
      </w:r>
      <w:r>
        <w:tab/>
      </w:r>
      <w:r>
        <w:t>ihrer Fähigkeit und Bereitschaft zur Zusammenarbeit mit den anderen an der Erziehung des Mündels beteiligten Personen</w:t>
      </w:r>
    </w:p>
    <w:p>
      <w:r>
        <w:t>geeignet sein, die Vormundschaft so zu führen, wie es das Wohl des Mündels erfordert.</w:t>
      </w:r>
    </w:p>
    <w:p>
      <w:r>
        <w:t xml:space="preserve">(2) </w:t>
      </w:r>
      <w:r>
        <w:rPr>
          <w:rStyle w:val="Satznummer"/>
        </w:rPr>
        <w:t>1</w:t>
      </w:r>
      <w:r>
        <w:t xml:space="preserve">Eine natürliche Person, die geeignet und bereit ist, die Vormundschaft ehrenamtlich zu führen, hat gegenüber den in </w:t>
      </w:r>
      <w:hyperlink w:anchor="b2217" w:history="1">
        <w:r>
          <w:rPr>
            <w:color w:val="0A3A8C"/>
            <w:u w:val="single"/>
          </w:rPr>
          <w:t xml:space="preserve">§ 1774</w:t>
        </w:r>
      </w:hyperlink>
      <w:r>
        <w:t xml:space="preserve"> Absatz 1 Nummer 2 bis 4 genannten Vormündern Vorrang. </w:t>
      </w:r>
      <w:r>
        <w:rPr>
          <w:rStyle w:val="Satznummer"/>
        </w:rPr>
        <w:t>2</w:t>
      </w:r>
      <w:r>
        <w:t xml:space="preserve">Von ihrer Eignung ist auch dann auszugehen, wenn ein zusätzlicher Pfleger nach </w:t>
      </w:r>
      <w:hyperlink w:anchor="b2219" w:history="1">
        <w:r>
          <w:rPr>
            <w:color w:val="0A3A8C"/>
            <w:u w:val="single"/>
          </w:rPr>
          <w:t xml:space="preserve">§ 1776</w:t>
        </w:r>
      </w:hyperlink>
      <w:r>
        <w:t xml:space="preserve"> bestellt wird.</w:t>
      </w:r>
    </w:p>
    <w:p>
      <w:pPr>
        <w:pStyle w:val="Heading7"/>
      </w:pPr>
      <w:bookmarkStart w:id="2239" w:name="b2224"/>
      <w:r>
        <w:t>§ 1780 Berücksichtigung der beruflichen Belastung des Berufs- und Vereinsvormunds</w:t>
      </w:r>
      <w:r>
        <w:t xml:space="preserve"> </w:t>
      </w:r>
      <w:r>
        <w:rPr>
          <w:rStyle w:val="Suchmarke"/>
        </w:rPr>
        <w:t>#1780#</w:t>
      </w:r>
      <w:bookmarkEnd w:id="2239"/>
    </w:p>
    <w:p>
      <w:r>
        <w:rPr>
          <w:rStyle w:val="Satznummer"/>
        </w:rPr>
        <w:t>1</w:t>
      </w:r>
      <w:r>
        <w:t xml:space="preserve">Soll ein Berufsvormund oder ein Vereinsvormund bestellt werden, ist seine berufliche Arbeitsbelastung, insbesondere die Anzahl und der Umfang der bereits zu führenden Vormundschaften und Pflegschaften zu berücksichtigen. </w:t>
      </w:r>
      <w:r>
        <w:rPr>
          <w:rStyle w:val="Satznummer"/>
        </w:rPr>
        <w:t>2</w:t>
      </w:r>
      <w:r>
        <w:t>Er ist dem Familiengericht zur Auskunft hierüber verpflichtet.</w:t>
      </w:r>
    </w:p>
    <w:p>
      <w:pPr>
        <w:pStyle w:val="Heading7"/>
      </w:pPr>
      <w:bookmarkStart w:id="2240" w:name="b2225"/>
      <w:r>
        <w:t>§ 1781 Bestellung eines vorläufigen Vormunds</w:t>
      </w:r>
      <w:r>
        <w:t xml:space="preserve"> </w:t>
      </w:r>
      <w:r>
        <w:rPr>
          <w:rStyle w:val="Suchmarke"/>
        </w:rPr>
        <w:t>#1781#</w:t>
      </w:r>
      <w:bookmarkEnd w:id="2240"/>
    </w:p>
    <w:p>
      <w:r>
        <w:t>(1) Sind die erforderlichen Ermittlungen zur Auswahl des geeigneten Vormunds insbesondere im persönlichen Umfeld des Mündels im Zeitpunkt der Anordnung der Vormundschaft noch nicht abgeschlossen oder besteht ein vorübergehendes Hindernis für die Bestellung des Vormunds, bestellt das Familiengericht einen vorläufigen Vormund.</w:t>
      </w:r>
    </w:p>
    <w:p>
      <w:r>
        <w:t xml:space="preserve">(2) </w:t>
      </w:r>
      <w:r>
        <w:rPr>
          <w:rStyle w:val="Satznummer"/>
        </w:rPr>
        <w:t>1</w:t>
      </w:r>
      <w:r>
        <w:t xml:space="preserve">Der Vormundschaftsverein überträgt die Aufgaben des vorläufigen Vormunds einzelnen seiner Mitarbeiter; </w:t>
      </w:r>
      <w:hyperlink w:anchor="b2228" w:history="1">
        <w:r>
          <w:rPr>
            <w:color w:val="0A3A8C"/>
            <w:u w:val="single"/>
          </w:rPr>
          <w:t xml:space="preserve">§ 1784</w:t>
        </w:r>
      </w:hyperlink>
      <w:r>
        <w:t xml:space="preserve"> gilt entsprechend. </w:t>
      </w:r>
      <w:r>
        <w:rPr>
          <w:rStyle w:val="Satznummer"/>
        </w:rPr>
        <w:t>2</w:t>
      </w:r>
      <w:r>
        <w:t>Der Vormundschaftsverein hat dem Familiengericht alsbald, spätestens binnen zwei Wochen nach seiner Bestellung zum vorläufigen Vormund mitzuteilen, welchem Mitarbeiter die Ausübung der Aufgaben des vorläufigen Vormunds übertragen worden sind.</w:t>
      </w:r>
    </w:p>
    <w:p>
      <w:r>
        <w:t xml:space="preserve">(3) </w:t>
      </w:r>
      <w:r>
        <w:rPr>
          <w:rStyle w:val="Satznummer"/>
        </w:rPr>
        <w:t>1</w:t>
      </w:r>
      <w:r>
        <w:t xml:space="preserve">Das Familiengericht hat den Vormund alsbald, längstens aber binnen drei Monaten ab Bestellung des vorläufigen Vormunds zu bestellen. </w:t>
      </w:r>
      <w:r>
        <w:rPr>
          <w:rStyle w:val="Satznummer"/>
        </w:rPr>
        <w:t>2</w:t>
      </w:r>
      <w:r>
        <w:t>Die Frist kann durch Beschluss des Gerichts nach Anhörung der Beteiligten um höchstens weitere drei Monate verlängert werden, wenn trotz eingeleiteter Ermittlungen des Familiengerichts der für den Mündel am besten geeignete Vormund noch nicht bestellt werden konnte.</w:t>
      </w:r>
    </w:p>
    <w:p>
      <w:r>
        <w:t>(4) Die Bestellung des Jugendamtes oder eines Vereinsmitarbeiters zum Vormund ist auch erforderlich, wenn das Familiengericht das Jugendamt oder einen Vormundschaftsverein zuvor als vorläufigen Vormund ausgewählt hat.</w:t>
      </w:r>
    </w:p>
    <w:p>
      <w:r>
        <w:t>(5) Mit der Bestellung des Vormunds endet das Amt des vorläufigen Vormunds.</w:t>
      </w:r>
    </w:p>
    <w:p>
      <w:pPr>
        <w:pStyle w:val="Heading7"/>
      </w:pPr>
      <w:bookmarkStart w:id="2241" w:name="b2226"/>
      <w:r>
        <w:t>§ 1782 Benennung und Ausschluss als Vormund durch die Eltern</w:t>
      </w:r>
      <w:r>
        <w:t xml:space="preserve"> </w:t>
      </w:r>
      <w:r>
        <w:rPr>
          <w:rStyle w:val="Suchmarke"/>
        </w:rPr>
        <w:t>#1782#</w:t>
      </w:r>
      <w:bookmarkEnd w:id="2241"/>
    </w:p>
    <w:p>
      <w:r>
        <w:t xml:space="preserve">(1) </w:t>
      </w:r>
      <w:r>
        <w:rPr>
          <w:rStyle w:val="Satznummer"/>
        </w:rPr>
        <w:t>1</w:t>
      </w:r>
      <w:r>
        <w:t xml:space="preserve">Die Eltern können durch letztwillige Verfügung eine natürliche Person als Vormund oder Ehegatten als gemeinschaftliche Vormünder benennen oder von der Vormundschaft ausschließen, wenn ihnen zur Zeit ihres Todes die Sorge für die Person und das Vermögen des Kindes zusteht. </w:t>
      </w:r>
      <w:r>
        <w:rPr>
          <w:rStyle w:val="Satznummer"/>
        </w:rPr>
        <w:t>2</w:t>
      </w:r>
      <w:r>
        <w:t>Die Benennung und der Ausschluss können schon vor der Geburt des Kindes erfolgen, wenn dem jeweiligen Elternteil die Sorge für die Person und das Vermögen des Kindes zustünde, falls es vor dem Tod des Elternteils geboren wäre.</w:t>
      </w:r>
    </w:p>
    <w:p>
      <w:r>
        <w:t>(2) Haben die Eltern widersprüchliche letztwillige Verfügungen zur Benennung oder zum Ausschluss von Vormündern getroffen, so gilt die Verfügung durch den zuletzt verstorbenen Elternteil.</w:t>
      </w:r>
    </w:p>
    <w:p>
      <w:pPr>
        <w:pStyle w:val="Heading7"/>
      </w:pPr>
      <w:bookmarkStart w:id="2242" w:name="b2227"/>
      <w:r>
        <w:t>§ 1783 Übergehen der benannten Person</w:t>
      </w:r>
      <w:r>
        <w:t xml:space="preserve"> </w:t>
      </w:r>
      <w:r>
        <w:rPr>
          <w:rStyle w:val="Suchmarke"/>
        </w:rPr>
        <w:t>#1783#</w:t>
      </w:r>
      <w:bookmarkEnd w:id="2242"/>
    </w:p>
    <w:p>
      <w:r>
        <w:t>(1) Die benannte Person darf als Vormund ohne ihre Zustimmung nur übergangen werden, wenn</w:t>
      </w:r>
    </w:p>
    <w:p>
      <w:pPr>
        <w:tabs>
          <w:tab w:pos="567" w:val="left"/>
        </w:tabs>
        <w:ind w:left="567" w:hanging="567"/>
      </w:pPr>
      <w:r>
        <w:t>1.</w:t>
      </w:r>
      <w:r>
        <w:tab/>
      </w:r>
      <w:r>
        <w:t xml:space="preserve">sie nach </w:t>
      </w:r>
      <w:hyperlink w:anchor="b2228" w:history="1">
        <w:r>
          <w:rPr>
            <w:color w:val="0A3A8C"/>
            <w:u w:val="single"/>
          </w:rPr>
          <w:t xml:space="preserve">§ 1784</w:t>
        </w:r>
      </w:hyperlink>
      <w:r>
        <w:t xml:space="preserve"> nicht zum Vormund bestellt werden kann oder soll,</w:t>
      </w:r>
    </w:p>
    <w:p>
      <w:pPr>
        <w:tabs>
          <w:tab w:pos="567" w:val="left"/>
        </w:tabs>
        <w:ind w:left="567" w:hanging="567"/>
      </w:pPr>
      <w:r>
        <w:t>2.</w:t>
      </w:r>
      <w:r>
        <w:tab/>
      </w:r>
      <w:r>
        <w:t>ihre Bestellung dem Wohl des Mündels widersprechen würde,</w:t>
      </w:r>
    </w:p>
    <w:p>
      <w:pPr>
        <w:tabs>
          <w:tab w:pos="567" w:val="left"/>
        </w:tabs>
        <w:ind w:left="567" w:hanging="567"/>
      </w:pPr>
      <w:r>
        <w:t>3.</w:t>
      </w:r>
      <w:r>
        <w:tab/>
      </w:r>
      <w:r>
        <w:t>der Mündel, der das 14. Lebensjahr vollendet hat, der Bestellung widerspricht,</w:t>
      </w:r>
    </w:p>
    <w:p>
      <w:pPr>
        <w:tabs>
          <w:tab w:pos="567" w:val="left"/>
        </w:tabs>
        <w:ind w:left="567" w:hanging="567"/>
      </w:pPr>
      <w:r>
        <w:t>4.</w:t>
      </w:r>
      <w:r>
        <w:tab/>
      </w:r>
      <w:r>
        <w:t>sie aus rechtlichen oder tatsächlichen Gründen an der Übernahme der Vormundschaft verhindert ist oder</w:t>
      </w:r>
    </w:p>
    <w:p>
      <w:pPr>
        <w:tabs>
          <w:tab w:pos="567" w:val="left"/>
        </w:tabs>
        <w:ind w:left="567" w:hanging="567"/>
      </w:pPr>
      <w:r>
        <w:t>5.</w:t>
      </w:r>
      <w:r>
        <w:tab/>
      </w:r>
      <w:r>
        <w:t>sie sich nicht binnen vier Wochen ab der Aufforderung des Familiengerichts zur Übernahme der Vormundschaft bereit erklärt hat.</w:t>
      </w:r>
    </w:p>
    <w:p>
      <w:r>
        <w:t>(2) Wurde die benannte Person gemäß Absatz 1 Nummer 4 übergangen und war sie nur vorübergehend verhindert, so ist sie auf ihren Antrag anstelle des bisherigen Vormunds zum Vormund zu bestellen, wenn</w:t>
      </w:r>
    </w:p>
    <w:p>
      <w:pPr>
        <w:tabs>
          <w:tab w:pos="567" w:val="left"/>
        </w:tabs>
        <w:ind w:left="567" w:hanging="567"/>
      </w:pPr>
      <w:r>
        <w:t>1.</w:t>
      </w:r>
      <w:r>
        <w:tab/>
      </w:r>
      <w:r>
        <w:t>sie den Antrag innerhalb von sechs Monaten nach der Bestellung des bisherigen Vormunds gestellt hat,</w:t>
      </w:r>
    </w:p>
    <w:p>
      <w:pPr>
        <w:tabs>
          <w:tab w:pos="567" w:val="left"/>
        </w:tabs>
        <w:ind w:left="567" w:hanging="567"/>
      </w:pPr>
      <w:r>
        <w:t>2.</w:t>
      </w:r>
      <w:r>
        <w:tab/>
      </w:r>
      <w:r>
        <w:t>die Entlassung des bisherigen Vormunds dem Wohl des Mündels nicht widerspricht und</w:t>
      </w:r>
    </w:p>
    <w:p>
      <w:pPr>
        <w:tabs>
          <w:tab w:pos="567" w:val="left"/>
        </w:tabs>
        <w:ind w:left="567" w:hanging="567"/>
      </w:pPr>
      <w:r>
        <w:t>3.</w:t>
      </w:r>
      <w:r>
        <w:tab/>
      </w:r>
      <w:r>
        <w:t>der Mündel, der das 14. Lebensjahr vollendet hat, der Entlassung des bisherigen Vormunds nicht widerspricht.</w:t>
      </w:r>
    </w:p>
    <w:p>
      <w:pPr>
        <w:pStyle w:val="Heading7"/>
      </w:pPr>
      <w:bookmarkStart w:id="2243" w:name="b2228"/>
      <w:r>
        <w:t>§ 1784 Ausschlussgründe</w:t>
      </w:r>
      <w:r>
        <w:t xml:space="preserve"> </w:t>
      </w:r>
      <w:r>
        <w:rPr>
          <w:rStyle w:val="Suchmarke"/>
        </w:rPr>
        <w:t>#1784#</w:t>
      </w:r>
      <w:bookmarkEnd w:id="2243"/>
    </w:p>
    <w:p>
      <w:r>
        <w:t>(1) Nicht zum Vormund bestellt werden kann, wer geschäftsunfähig ist.</w:t>
      </w:r>
    </w:p>
    <w:p>
      <w:r>
        <w:t>(2) Nicht zum Vormund bestellt werden soll in der Regel eine Person,</w:t>
      </w:r>
    </w:p>
    <w:p>
      <w:pPr>
        <w:tabs>
          <w:tab w:pos="567" w:val="left"/>
        </w:tabs>
        <w:ind w:left="567" w:hanging="567"/>
      </w:pPr>
      <w:r>
        <w:t>1.</w:t>
      </w:r>
      <w:r>
        <w:tab/>
      </w:r>
      <w:r>
        <w:t>die minderjährig ist,</w:t>
      </w:r>
    </w:p>
    <w:p>
      <w:pPr>
        <w:tabs>
          <w:tab w:pos="567" w:val="left"/>
        </w:tabs>
        <w:ind w:left="567" w:hanging="567"/>
      </w:pPr>
      <w:r>
        <w:t>2.</w:t>
      </w:r>
      <w:r>
        <w:tab/>
      </w:r>
      <w:r>
        <w:t xml:space="preserve">für die ein Betreuer bestellt ist, sofern die Betreuung die für die Führung der Vormundschaft wesentlichen Angelegenheiten umfasst, oder für die ein Einwilligungsvorbehalt nach </w:t>
      </w:r>
      <w:hyperlink w:anchor="b2282" w:history="1">
        <w:r>
          <w:rPr>
            <w:color w:val="0A3A8C"/>
            <w:u w:val="single"/>
          </w:rPr>
          <w:t xml:space="preserve">§ 1825</w:t>
        </w:r>
      </w:hyperlink>
      <w:r>
        <w:t xml:space="preserve"> angeordnet ist,</w:t>
      </w:r>
    </w:p>
    <w:p>
      <w:pPr>
        <w:tabs>
          <w:tab w:pos="567" w:val="left"/>
        </w:tabs>
        <w:ind w:left="567" w:hanging="567"/>
      </w:pPr>
      <w:r>
        <w:t>3.</w:t>
      </w:r>
      <w:r>
        <w:tab/>
      </w:r>
      <w:r>
        <w:t xml:space="preserve">die die Eltern gemäß </w:t>
      </w:r>
      <w:hyperlink w:anchor="b2226" w:history="1">
        <w:r>
          <w:rPr>
            <w:color w:val="0A3A8C"/>
            <w:u w:val="single"/>
          </w:rPr>
          <w:t xml:space="preserve">§ 1782</w:t>
        </w:r>
      </w:hyperlink>
      <w:r>
        <w:t xml:space="preserve"> als Vormund ausgeschlossen haben, oder</w:t>
      </w:r>
    </w:p>
    <w:p>
      <w:pPr>
        <w:tabs>
          <w:tab w:pos="567" w:val="left"/>
        </w:tabs>
        <w:ind w:left="567" w:hanging="567"/>
      </w:pPr>
      <w:r>
        <w:t>4.</w:t>
      </w:r>
      <w:r>
        <w:tab/>
      </w:r>
      <w:r>
        <w:t>die zu einer Einrichtung, in der der Mündel lebt, in einem Abhängigkeitsverhältnis oder in einer anderen engen Beziehung steht.</w:t>
      </w:r>
    </w:p>
    <w:p>
      <w:pPr>
        <w:pStyle w:val="Heading7"/>
      </w:pPr>
      <w:bookmarkStart w:id="2244" w:name="b2229"/>
      <w:r>
        <w:t>§ 1785 Übernahmepflicht; weitere Bestellungsvoraussetzungen</w:t>
      </w:r>
      <w:r>
        <w:t xml:space="preserve"> </w:t>
      </w:r>
      <w:r>
        <w:rPr>
          <w:rStyle w:val="Suchmarke"/>
        </w:rPr>
        <w:t>#1785#</w:t>
      </w:r>
      <w:bookmarkEnd w:id="2244"/>
    </w:p>
    <w:p>
      <w:r>
        <w:t>(1) Die vom Familiengericht ausgewählte Person ist verpflichtet, die Vormundschaft zu übernehmen, wenn ihr die Übernahme unter Berücksichtigung ihrer familiären, beruflichen und sonstigen Verhältnisse zugemutet werden kann.</w:t>
      </w:r>
    </w:p>
    <w:p>
      <w:r>
        <w:t>(2) Die ausgewählte Person darf erst dann zum Vormund bestellt werden, wenn sie sich zur Übernahme der Vormundschaft bereit erklärt hat.</w:t>
      </w:r>
    </w:p>
    <w:p>
      <w:r>
        <w:t>(3) Der Vormundschaftsverein und der Vereinsvormund dürfen nur mit Einwilligung des Vereins bestellt werden.</w:t>
      </w:r>
    </w:p>
    <w:p>
      <w:pPr>
        <w:pStyle w:val="Heading5"/>
      </w:pPr>
      <w:bookmarkStart w:id="2245" w:name="b2230"/>
      <w:r>
        <w:t>Kapitel 2 Gesetzliche Amtsvormundschaft</w:t>
      </w:r>
      <w:bookmarkEnd w:id="2245"/>
    </w:p>
    <w:p>
      <w:pPr>
        <w:pStyle w:val="Heading6"/>
      </w:pPr>
      <w:bookmarkStart w:id="2246" w:name="b2231"/>
      <w:r>
        <w:t>§ 1786 Amtsvormundschaft bei Fehlen eines sorgeberechtigten Elternteils</w:t>
      </w:r>
      <w:r>
        <w:t xml:space="preserve"> </w:t>
      </w:r>
      <w:r>
        <w:rPr>
          <w:rStyle w:val="Suchmarke"/>
        </w:rPr>
        <w:t>#1786#</w:t>
      </w:r>
      <w:bookmarkEnd w:id="2246"/>
    </w:p>
    <w:p>
      <w:r>
        <w:rPr>
          <w:rStyle w:val="Satznummer"/>
        </w:rPr>
        <w:t>1</w:t>
      </w:r>
      <w:r>
        <w:t xml:space="preserve">Mit der Geburt eines Kindes, dessen Eltern nicht miteinander verheiratet sind und das eines Vormunds bedarf, wird das Jugendamt Vormund, wenn das Kind seinen gewöhnlichen Aufenthalt im Inland hat. </w:t>
      </w:r>
      <w:r>
        <w:rPr>
          <w:rStyle w:val="Satznummer"/>
        </w:rPr>
        <w:t>2</w:t>
      </w:r>
      <w:r>
        <w:t xml:space="preserve">Dies gilt nicht, wenn bereits vor der Geburt des Kindes ein Vormund bestellt ist. </w:t>
      </w:r>
      <w:r>
        <w:rPr>
          <w:rStyle w:val="Satznummer"/>
        </w:rPr>
        <w:t>3</w:t>
      </w:r>
      <w:r>
        <w:t xml:space="preserve">Wurde die Vaterschaft nach </w:t>
      </w:r>
      <w:hyperlink w:anchor="b2035" w:history="1">
        <w:r>
          <w:rPr>
            <w:color w:val="0A3A8C"/>
            <w:u w:val="single"/>
          </w:rPr>
          <w:t xml:space="preserve">§ 1592</w:t>
        </w:r>
      </w:hyperlink>
      <w:r>
        <w:t xml:space="preserve"> Nummer 1 oder 2 durch Anfechtung beseitigt und bedarf das Kind eines Vormunds, so wird das Jugendamt in dem Zeitpunkt Vormund, in dem die Entscheidung rechtskräftig wird.</w:t>
      </w:r>
    </w:p>
    <w:p>
      <w:pPr>
        <w:pStyle w:val="Heading6"/>
      </w:pPr>
      <w:bookmarkStart w:id="2247" w:name="b2232"/>
      <w:r>
        <w:t>§ 1787 Amtsvormundschaft bei vertraulicher Geburt</w:t>
      </w:r>
      <w:r>
        <w:t xml:space="preserve"> </w:t>
      </w:r>
      <w:r>
        <w:rPr>
          <w:rStyle w:val="Suchmarke"/>
        </w:rPr>
        <w:t>#1787#</w:t>
      </w:r>
      <w:bookmarkEnd w:id="2247"/>
    </w:p>
    <w:p>
      <w:r>
        <w:t>Wird ein Kind vertraulich geboren (§ 25 Absatz 1 Satz 2 des Schwangerschaftskonfliktgesetzes), wird das Jugendamt mit der Geburt des Kindes Vormund.</w:t>
      </w:r>
    </w:p>
    <w:p>
      <w:pPr>
        <w:pStyle w:val="Heading4"/>
      </w:pPr>
      <w:bookmarkStart w:id="2248" w:name="b2233"/>
      <w:r>
        <w:t>Untertitel 2 Führung der Vormundschaft</w:t>
      </w:r>
      <w:bookmarkEnd w:id="2248"/>
    </w:p>
    <w:p>
      <w:pPr>
        <w:pStyle w:val="Heading5"/>
      </w:pPr>
      <w:bookmarkStart w:id="2249" w:name="b2234"/>
      <w:r>
        <w:t>Kapitel 1 Allgemeine Vorschriften</w:t>
      </w:r>
      <w:bookmarkEnd w:id="2249"/>
    </w:p>
    <w:p>
      <w:pPr>
        <w:pStyle w:val="Heading6"/>
      </w:pPr>
      <w:bookmarkStart w:id="2250" w:name="b2235"/>
      <w:r>
        <w:t>§ 1788 Rechte des Mündels</w:t>
      </w:r>
      <w:r>
        <w:t xml:space="preserve"> </w:t>
      </w:r>
      <w:r>
        <w:rPr>
          <w:rStyle w:val="Suchmarke"/>
        </w:rPr>
        <w:t>#1788#</w:t>
      </w:r>
      <w:bookmarkEnd w:id="2250"/>
    </w:p>
    <w:p>
      <w:r>
        <w:t>Der Mündel hat insbesondere das Recht auf</w:t>
      </w:r>
    </w:p>
    <w:p>
      <w:pPr>
        <w:tabs>
          <w:tab w:pos="567" w:val="left"/>
        </w:tabs>
        <w:ind w:left="567" w:hanging="567"/>
      </w:pPr>
      <w:r>
        <w:t>1.</w:t>
      </w:r>
      <w:r>
        <w:tab/>
      </w:r>
      <w:r>
        <w:t>Förderung seiner Entwicklung und Erziehung zu einer eigenverantwortlichen und gemeinschaftsfähigen Persönlichkeit,</w:t>
      </w:r>
    </w:p>
    <w:p>
      <w:pPr>
        <w:tabs>
          <w:tab w:pos="567" w:val="left"/>
        </w:tabs>
        <w:ind w:left="567" w:hanging="567"/>
      </w:pPr>
      <w:r>
        <w:t>2.</w:t>
      </w:r>
      <w:r>
        <w:tab/>
      </w:r>
      <w:r>
        <w:t>Pflege und Erziehung unter Ausschluss von Gewalt, körperlichen Bestrafungen, seelischen Verletzungen und anderen entwürdigenden Maßnahmen,</w:t>
      </w:r>
    </w:p>
    <w:p>
      <w:pPr>
        <w:tabs>
          <w:tab w:pos="567" w:val="left"/>
        </w:tabs>
        <w:ind w:left="567" w:hanging="567"/>
      </w:pPr>
      <w:r>
        <w:t>3.</w:t>
      </w:r>
      <w:r>
        <w:tab/>
      </w:r>
      <w:r>
        <w:t>persönlichen Kontakt mit dem Vormund,</w:t>
      </w:r>
    </w:p>
    <w:p>
      <w:pPr>
        <w:tabs>
          <w:tab w:pos="567" w:val="left"/>
        </w:tabs>
        <w:ind w:left="567" w:hanging="567"/>
      </w:pPr>
      <w:r>
        <w:t>4.</w:t>
      </w:r>
      <w:r>
        <w:tab/>
      </w:r>
      <w:r>
        <w:t>Achtung seines Willens, seiner persönlichen Bindungen, seines religiösen Bekenntnisses und kulturellen Hintergrunds sowie</w:t>
      </w:r>
    </w:p>
    <w:p>
      <w:pPr>
        <w:tabs>
          <w:tab w:pos="567" w:val="left"/>
        </w:tabs>
        <w:ind w:left="567" w:hanging="567"/>
      </w:pPr>
      <w:r>
        <w:t>5.</w:t>
      </w:r>
      <w:r>
        <w:tab/>
      </w:r>
      <w:r>
        <w:t>Beteiligung an ihn betreffenden Angelegenheiten, soweit es nach seinem Entwicklungsstand angezeigt ist.</w:t>
      </w:r>
    </w:p>
    <w:p>
      <w:pPr>
        <w:pStyle w:val="Heading6"/>
      </w:pPr>
      <w:bookmarkStart w:id="2251" w:name="b2236"/>
      <w:r>
        <w:t>§ 1789 Sorge des Vormunds; Vertretung und Haftung des Mündels</w:t>
      </w:r>
      <w:r>
        <w:t xml:space="preserve"> </w:t>
      </w:r>
      <w:r>
        <w:rPr>
          <w:rStyle w:val="Suchmarke"/>
        </w:rPr>
        <w:t>#1789#</w:t>
      </w:r>
      <w:bookmarkEnd w:id="2251"/>
    </w:p>
    <w:p>
      <w:r>
        <w:t xml:space="preserve">(1) </w:t>
      </w:r>
      <w:r>
        <w:rPr>
          <w:rStyle w:val="Satznummer"/>
        </w:rPr>
        <w:t>1</w:t>
      </w:r>
      <w:r>
        <w:t xml:space="preserve">Der Vormund hat die Pflicht und das Recht, für die Person und das Vermögen des Mündels zu sorgen. </w:t>
      </w:r>
      <w:r>
        <w:rPr>
          <w:rStyle w:val="Satznummer"/>
        </w:rPr>
        <w:t>2</w:t>
      </w:r>
      <w:r>
        <w:t>Ausgenommen sind Angelegenheiten, für die ein Pfleger bestellt ist, es sei denn, die Angelegenheiten sind dem Pfleger mit dem Vormund zur gemeinsamen Wahrnehmung übertragen.</w:t>
      </w:r>
    </w:p>
    <w:p>
      <w:r>
        <w:t xml:space="preserve">(2) </w:t>
      </w:r>
      <w:r>
        <w:rPr>
          <w:rStyle w:val="Satznummer"/>
        </w:rPr>
        <w:t>1</w:t>
      </w:r>
      <w:r>
        <w:t xml:space="preserve">Der Vormund vertritt den Mündel. </w:t>
      </w:r>
      <w:r>
        <w:rPr>
          <w:rStyle w:val="Satznummer"/>
        </w:rPr>
        <w:t>2</w:t>
      </w:r>
      <w:hyperlink w:anchor="b2281" w:history="1">
        <w:r>
          <w:rPr>
            <w:color w:val="0A3A8C"/>
            <w:u w:val="single"/>
          </w:rPr>
          <w:t xml:space="preserve">§ 1824</w:t>
        </w:r>
      </w:hyperlink>
      <w:r>
        <w:t xml:space="preserve"> gilt entsprechend. </w:t>
      </w:r>
      <w:r>
        <w:rPr>
          <w:rStyle w:val="Satznummer"/>
        </w:rPr>
        <w:t>3</w:t>
      </w:r>
      <w:r>
        <w:t xml:space="preserve">Das Familiengericht kann dem Vormund die Vertretung für einzelne Angelegenheiten entziehen. </w:t>
      </w:r>
      <w:r>
        <w:rPr>
          <w:rStyle w:val="Satznummer"/>
        </w:rPr>
        <w:t>4</w:t>
      </w:r>
      <w:r>
        <w:t xml:space="preserve">Die Entziehung soll nur erfolgen, wenn das Interesse des Mündels zu dem Interesse des Vormunds, eines von diesem vertretenen Dritten oder einer der in </w:t>
      </w:r>
      <w:hyperlink w:anchor="b2281" w:history="1">
        <w:r>
          <w:rPr>
            <w:color w:val="0A3A8C"/>
            <w:u w:val="single"/>
          </w:rPr>
          <w:t xml:space="preserve">§ 1824</w:t>
        </w:r>
      </w:hyperlink>
      <w:r>
        <w:t xml:space="preserve"> Absatz 1 Nummer 1 bezeichneten Personen in erheblichem Gegensatz steht.</w:t>
      </w:r>
    </w:p>
    <w:p>
      <w:r>
        <w:t xml:space="preserve">(3) Für Verbindlichkeiten, die im Rahmen der Vertretungsmacht nach Absatz 2 gegenüber dem Mündel begründet werden, haftet der Mündel entsprechend </w:t>
      </w:r>
      <w:hyperlink w:anchor="b2105" w:history="1">
        <w:r>
          <w:rPr>
            <w:color w:val="0A3A8C"/>
            <w:u w:val="single"/>
          </w:rPr>
          <w:t xml:space="preserve">§ 1629a</w:t>
        </w:r>
      </w:hyperlink>
      <w:r>
        <w:t>.</w:t>
      </w:r>
    </w:p>
    <w:p>
      <w:pPr>
        <w:pStyle w:val="Heading6"/>
      </w:pPr>
      <w:bookmarkStart w:id="2252" w:name="b2237"/>
      <w:r>
        <w:t>§ 1790 Amtsführung des Vormunds; Auskunftspflicht</w:t>
      </w:r>
      <w:r>
        <w:t xml:space="preserve"> </w:t>
      </w:r>
      <w:r>
        <w:rPr>
          <w:rStyle w:val="Suchmarke"/>
        </w:rPr>
        <w:t>#1790#</w:t>
      </w:r>
      <w:bookmarkEnd w:id="2252"/>
    </w:p>
    <w:p>
      <w:r>
        <w:t>(1) Der Vormund ist unabhängig und hat die Vormundschaft im Interesse des Mündels zu dessen Wohl zu führen.</w:t>
      </w:r>
    </w:p>
    <w:p>
      <w:r>
        <w:t xml:space="preserve">(2) </w:t>
      </w:r>
      <w:r>
        <w:rPr>
          <w:rStyle w:val="Satznummer"/>
        </w:rPr>
        <w:t>1</w:t>
      </w:r>
      <w:r>
        <w:t xml:space="preserve">Der Vormund hat die wachsende Fähigkeit und das wachsende Bedürfnis des Mündels zu selbständigem und verantwortungsbewusstem Handeln zu berücksichtigen und zu fördern. </w:t>
      </w:r>
      <w:r>
        <w:rPr>
          <w:rStyle w:val="Satznummer"/>
        </w:rPr>
        <w:t>2</w:t>
      </w:r>
      <w:r>
        <w:t xml:space="preserve">Der Vormund hat Angelegenheiten der Personen- und der Vermögenssorge mit dem Mündel zu besprechen und ihn an Entscheidungen zu beteiligen, soweit es nach dessen Entwicklungsstand angezeigt ist; Einvernehmen ist anzustreben. </w:t>
      </w:r>
      <w:r>
        <w:rPr>
          <w:rStyle w:val="Satznummer"/>
        </w:rPr>
        <w:t>3</w:t>
      </w:r>
      <w:r>
        <w:t>Der Vormund soll bei seiner Amtsführung im Interesse des Mündels zu dessen Wohl die Beziehung des Mündels zu seinen Eltern einbeziehen.</w:t>
      </w:r>
    </w:p>
    <w:p>
      <w:r>
        <w:t xml:space="preserve">(3) </w:t>
      </w:r>
      <w:r>
        <w:rPr>
          <w:rStyle w:val="Satznummer"/>
        </w:rPr>
        <w:t>1</w:t>
      </w:r>
      <w:r>
        <w:t xml:space="preserve">Der Vormund ist zum persönlichen Kontakt mit dem Mündel verpflichtet und berechtigt. </w:t>
      </w:r>
      <w:r>
        <w:rPr>
          <w:rStyle w:val="Satznummer"/>
        </w:rPr>
        <w:t>2</w:t>
      </w:r>
      <w:r>
        <w:t>Er soll den Mündel in der Regel einmal im Monat in dessen üblicher Umgebung aufsuchen, es sei denn, im Einzelfall sind kürzere oder längere Besuchsabstände oder ein anderer Ort geboten.</w:t>
      </w:r>
    </w:p>
    <w:p>
      <w:r>
        <w:t>(4) Der Vormund hat bei berechtigtem Interesse nahestehenden Angehörigen oder sonstigen Vertrauenspersonen auf Verlangen Auskunft über die persönlichen Verhältnisse des Mündels zu erteilen, soweit dies dem Wohl des Mündels nicht widerspricht und dem Vormund zuzumuten ist.</w:t>
      </w:r>
    </w:p>
    <w:p>
      <w:r>
        <w:t xml:space="preserve">(5) </w:t>
      </w:r>
      <w:r>
        <w:rPr>
          <w:rStyle w:val="Satznummer"/>
        </w:rPr>
        <w:t>1</w:t>
      </w:r>
      <w:r>
        <w:t xml:space="preserve">Wird der gewöhnliche Aufenthalt eines Mündels in den Bezirk eines anderen Jugendamts verlegt, so hat der Vormund dem Jugendamt des bisherigen gewöhnlichen Aufenthalts die Verlegung mitzuteilen. </w:t>
      </w:r>
      <w:r>
        <w:rPr>
          <w:rStyle w:val="Satznummer"/>
        </w:rPr>
        <w:t>2</w:t>
      </w:r>
      <w:r>
        <w:t>Satz 1 gilt nicht für den Vereinsvormund und den Vormundschaftsverein.</w:t>
      </w:r>
    </w:p>
    <w:p>
      <w:pPr>
        <w:pStyle w:val="Heading6"/>
      </w:pPr>
      <w:bookmarkStart w:id="2253" w:name="b2238"/>
      <w:r>
        <w:t>§ 1791 Aufnahme des Mündels in den Haushalt des Vormunds</w:t>
      </w:r>
      <w:r>
        <w:t xml:space="preserve"> </w:t>
      </w:r>
      <w:r>
        <w:rPr>
          <w:rStyle w:val="Suchmarke"/>
        </w:rPr>
        <w:t>#1791#</w:t>
      </w:r>
      <w:bookmarkEnd w:id="2253"/>
    </w:p>
    <w:p>
      <w:r>
        <w:rPr>
          <w:rStyle w:val="Satznummer"/>
        </w:rPr>
        <w:t>1</w:t>
      </w:r>
      <w:r>
        <w:t xml:space="preserve">Der Vormund kann den Mündel zur Pflege und Erziehung in seinen Haushalt aufnehmen. </w:t>
      </w:r>
      <w:r>
        <w:rPr>
          <w:rStyle w:val="Satznummer"/>
        </w:rPr>
        <w:t>2</w:t>
      </w:r>
      <w:r>
        <w:t xml:space="preserve">In diesem Fall sind Vormund und Mündel einander Beistand und Rücksicht schuldig; </w:t>
      </w:r>
      <w:hyperlink w:anchor="b2090" w:history="1">
        <w:r>
          <w:rPr>
            <w:color w:val="0A3A8C"/>
            <w:u w:val="single"/>
          </w:rPr>
          <w:t xml:space="preserve">§ 1619</w:t>
        </w:r>
      </w:hyperlink>
      <w:r>
        <w:t xml:space="preserve"> gilt entsprechend.</w:t>
      </w:r>
    </w:p>
    <w:p>
      <w:pPr>
        <w:pStyle w:val="Heading6"/>
      </w:pPr>
      <w:bookmarkStart w:id="2254" w:name="b2239"/>
      <w:r>
        <w:t>§ 1792 Gemeinschaftliche Führung der Vormundschaft, Zusammenarbeit von Vormund und Pfleger</w:t>
      </w:r>
      <w:r>
        <w:t xml:space="preserve"> </w:t>
      </w:r>
      <w:r>
        <w:rPr>
          <w:rStyle w:val="Suchmarke"/>
        </w:rPr>
        <w:t>#1792#</w:t>
      </w:r>
      <w:bookmarkEnd w:id="2254"/>
    </w:p>
    <w:p>
      <w:r>
        <w:t>(1) Ehegatten führen die ihnen übertragene Vormundschaft gemeinschaftlich.</w:t>
      </w:r>
    </w:p>
    <w:p>
      <w:r>
        <w:t>(2) Vormünder und Pfleger sind zur gegenseitigen Information und Zusammenarbeit im Interesse des Mündels zu dessen Wohl verpflichtet.</w:t>
      </w:r>
    </w:p>
    <w:p>
      <w:r>
        <w:t xml:space="preserve">(3) Der nach </w:t>
      </w:r>
      <w:hyperlink w:anchor="b2219" w:history="1">
        <w:r>
          <w:rPr>
            <w:color w:val="0A3A8C"/>
            <w:u w:val="single"/>
          </w:rPr>
          <w:t xml:space="preserve">§ 1776</w:t>
        </w:r>
      </w:hyperlink>
      <w:r>
        <w:t xml:space="preserve"> bestellte Pfleger hat bei seinen Entscheidungen die Auffassung des Vormunds einzubeziehen.</w:t>
      </w:r>
    </w:p>
    <w:p>
      <w:r>
        <w:t xml:space="preserve">(4) Der nach </w:t>
      </w:r>
      <w:hyperlink w:anchor="b2220" w:history="1">
        <w:r>
          <w:rPr>
            <w:color w:val="0A3A8C"/>
            <w:u w:val="single"/>
          </w:rPr>
          <w:t xml:space="preserve">§ 1777</w:t>
        </w:r>
      </w:hyperlink>
      <w:r>
        <w:t xml:space="preserve"> bestellte Pfleger und der Vormund entscheiden in Angelegenheiten, für die ihnen die Sorge gemeinsam zusteht, in gegenseitigem Einvernehmen.</w:t>
      </w:r>
    </w:p>
    <w:p>
      <w:r>
        <w:t xml:space="preserve">(5) In den Fällen der Absätze 1 und 4 gilt </w:t>
      </w:r>
      <w:hyperlink w:anchor="b2104" w:history="1">
        <w:r>
          <w:rPr>
            <w:color w:val="0A3A8C"/>
            <w:u w:val="single"/>
          </w:rPr>
          <w:t xml:space="preserve">§ 1629</w:t>
        </w:r>
      </w:hyperlink>
      <w:r>
        <w:t xml:space="preserve"> Absatz 1 Satz 2 und 4 entsprechend.</w:t>
      </w:r>
    </w:p>
    <w:p>
      <w:pPr>
        <w:pStyle w:val="Heading6"/>
      </w:pPr>
      <w:bookmarkStart w:id="2255" w:name="b2240"/>
      <w:r>
        <w:t>§ 1793 Entscheidung bei Meinungsverschiedenheiten</w:t>
      </w:r>
      <w:r>
        <w:t xml:space="preserve"> </w:t>
      </w:r>
      <w:r>
        <w:rPr>
          <w:rStyle w:val="Suchmarke"/>
        </w:rPr>
        <w:t>#1793#</w:t>
      </w:r>
      <w:bookmarkEnd w:id="2255"/>
    </w:p>
    <w:p>
      <w:r>
        <w:t>(1) Das Familiengericht entscheidet auf Antrag über die hinsichtlich einer Sorgeangelegenheit bestehenden Meinungsverschiedenheiten zwischen</w:t>
      </w:r>
    </w:p>
    <w:p>
      <w:pPr>
        <w:tabs>
          <w:tab w:pos="567" w:val="left"/>
        </w:tabs>
        <w:ind w:left="567" w:hanging="567"/>
      </w:pPr>
      <w:r>
        <w:t>1.</w:t>
      </w:r>
      <w:r>
        <w:tab/>
      </w:r>
      <w:r>
        <w:t>gemeinschaftlichen Vormündern,</w:t>
      </w:r>
    </w:p>
    <w:p>
      <w:pPr>
        <w:tabs>
          <w:tab w:pos="567" w:val="left"/>
        </w:tabs>
        <w:ind w:left="567" w:hanging="567"/>
      </w:pPr>
      <w:r>
        <w:t>2.</w:t>
      </w:r>
      <w:r>
        <w:tab/>
      </w:r>
      <w:r>
        <w:t>mehreren Vormündern bei Sorgeangelegenheiten, die Geschwister gemeinsam betreffen,</w:t>
      </w:r>
    </w:p>
    <w:p>
      <w:pPr>
        <w:tabs>
          <w:tab w:pos="567" w:val="left"/>
        </w:tabs>
        <w:ind w:left="567" w:hanging="567"/>
      </w:pPr>
      <w:r>
        <w:t>3.</w:t>
      </w:r>
      <w:r>
        <w:tab/>
      </w:r>
      <w:r>
        <w:t xml:space="preserve">dem Vormund und dem nach </w:t>
      </w:r>
      <w:hyperlink w:anchor="b2219" w:history="1">
        <w:r>
          <w:rPr>
            <w:color w:val="0A3A8C"/>
            <w:u w:val="single"/>
          </w:rPr>
          <w:t xml:space="preserve">§ 1776</w:t>
        </w:r>
      </w:hyperlink>
      <w:r>
        <w:t xml:space="preserve"> oder </w:t>
      </w:r>
      <w:hyperlink w:anchor="b2220" w:history="1">
        <w:r>
          <w:rPr>
            <w:color w:val="0A3A8C"/>
            <w:u w:val="single"/>
          </w:rPr>
          <w:t xml:space="preserve">§ 1777</w:t>
        </w:r>
      </w:hyperlink>
      <w:r>
        <w:t xml:space="preserve"> bestellten Pfleger.</w:t>
      </w:r>
    </w:p>
    <w:p>
      <w:r>
        <w:t>(2) Antragsberechtigt sind der Vormund, der Pfleger und der Mündel, der das 14. Lebensjahr vollendet hat.</w:t>
      </w:r>
    </w:p>
    <w:p>
      <w:pPr>
        <w:pStyle w:val="Heading6"/>
      </w:pPr>
      <w:bookmarkStart w:id="2256" w:name="b2241"/>
      <w:r>
        <w:t>§ 1794 Haftung des Vormunds</w:t>
      </w:r>
      <w:r>
        <w:t xml:space="preserve"> </w:t>
      </w:r>
      <w:r>
        <w:rPr>
          <w:rStyle w:val="Suchmarke"/>
        </w:rPr>
        <w:t>#1794#</w:t>
      </w:r>
      <w:bookmarkEnd w:id="2256"/>
    </w:p>
    <w:p>
      <w:r>
        <w:t xml:space="preserve">(1) </w:t>
      </w:r>
      <w:r>
        <w:rPr>
          <w:rStyle w:val="Satznummer"/>
        </w:rPr>
        <w:t>1</w:t>
      </w:r>
      <w:r>
        <w:t xml:space="preserve">Der Vormund ist dem Mündel für den aus einer Pflichtverletzung entstehenden Schaden verantwortlich. </w:t>
      </w:r>
      <w:r>
        <w:rPr>
          <w:rStyle w:val="Satznummer"/>
        </w:rPr>
        <w:t>2</w:t>
      </w:r>
      <w:r>
        <w:t xml:space="preserve">Dies gilt nicht, wenn der Vormund die Pflichtverletzung nicht zu vertreten hat. </w:t>
      </w:r>
      <w:r>
        <w:rPr>
          <w:rStyle w:val="Satznummer"/>
        </w:rPr>
        <w:t>3</w:t>
      </w:r>
      <w:r>
        <w:t xml:space="preserve">Im Übrigen gilt </w:t>
      </w:r>
      <w:hyperlink w:anchor="b2283" w:history="1">
        <w:r>
          <w:rPr>
            <w:color w:val="0A3A8C"/>
            <w:u w:val="single"/>
          </w:rPr>
          <w:t xml:space="preserve">§ 1826</w:t>
        </w:r>
      </w:hyperlink>
      <w:r>
        <w:t xml:space="preserve"> entsprechend.</w:t>
      </w:r>
    </w:p>
    <w:p>
      <w:r>
        <w:t xml:space="preserve">(2) Ist der Mündel zur Pflege und Erziehung in den Haushalt des Vormunds, der die Vormundschaft ehrenamtlich führt, aufgenommen, gilt </w:t>
      </w:r>
      <w:hyperlink w:anchor="b2129" w:history="1">
        <w:r>
          <w:rPr>
            <w:color w:val="0A3A8C"/>
            <w:u w:val="single"/>
          </w:rPr>
          <w:t xml:space="preserve">§ 1664</w:t>
        </w:r>
      </w:hyperlink>
      <w:r>
        <w:t xml:space="preserve"> entsprechend.</w:t>
      </w:r>
    </w:p>
    <w:p>
      <w:pPr>
        <w:pStyle w:val="Heading5"/>
      </w:pPr>
      <w:bookmarkStart w:id="2257" w:name="b2242"/>
      <w:r>
        <w:t>Kapitel 2 Personensorge</w:t>
      </w:r>
      <w:bookmarkEnd w:id="2257"/>
    </w:p>
    <w:p>
      <w:pPr>
        <w:pStyle w:val="Heading6"/>
      </w:pPr>
      <w:bookmarkStart w:id="2258" w:name="b2243"/>
      <w:r>
        <w:t>§ 1795 Gegenstand der Personensorge; Genehmigungspflichten</w:t>
      </w:r>
      <w:r>
        <w:t xml:space="preserve"> </w:t>
      </w:r>
      <w:r>
        <w:rPr>
          <w:rStyle w:val="Suchmarke"/>
        </w:rPr>
        <w:t>#1795#</w:t>
      </w:r>
      <w:bookmarkEnd w:id="2258"/>
    </w:p>
    <w:p>
      <w:r>
        <w:t xml:space="preserve">(1) </w:t>
      </w:r>
      <w:r>
        <w:rPr>
          <w:rStyle w:val="Satznummer"/>
        </w:rPr>
        <w:t>1</w:t>
      </w:r>
      <w:r>
        <w:t xml:space="preserve">Die Personensorge umfasst insbesondere die Bestimmung des Aufenthalts sowie die Pflege, Erziehung und Beaufsichtigung des Mündels unter Berücksichtigung seiner Rechte aus </w:t>
      </w:r>
      <w:hyperlink w:anchor="b2235" w:history="1">
        <w:r>
          <w:rPr>
            <w:color w:val="0A3A8C"/>
            <w:u w:val="single"/>
          </w:rPr>
          <w:t xml:space="preserve">§ 1788</w:t>
        </w:r>
      </w:hyperlink>
      <w:r>
        <w:t xml:space="preserve">. </w:t>
      </w:r>
      <w:r>
        <w:rPr>
          <w:rStyle w:val="Satznummer"/>
        </w:rPr>
        <w:t>2</w:t>
      </w:r>
      <w:r>
        <w:t xml:space="preserve">Der Vormund ist auch dann für die Personensorge verantwortlich und hat die Pflege und Erziehung des Mündels persönlich zu fördern und zu gewährleisten, wenn er den Mündel nicht in seinem Haushalt pflegt und erzieht. </w:t>
      </w:r>
      <w:r>
        <w:rPr>
          <w:rStyle w:val="Satznummer"/>
        </w:rPr>
        <w:t>3</w:t>
      </w:r>
      <w:r>
        <w:t xml:space="preserve">Die </w:t>
      </w:r>
      <w:hyperlink w:anchor="b2108" w:history="1">
        <w:r>
          <w:rPr>
            <w:color w:val="0A3A8C"/>
            <w:u w:val="single"/>
          </w:rPr>
          <w:t xml:space="preserve">§§ 1631a</w:t>
        </w:r>
      </w:hyperlink>
      <w:r>
        <w:t xml:space="preserve"> bis </w:t>
      </w:r>
      <w:hyperlink w:anchor="b2113" w:history="1">
        <w:r>
          <w:rPr>
            <w:color w:val="0A3A8C"/>
            <w:u w:val="single"/>
          </w:rPr>
          <w:t xml:space="preserve">1632</w:t>
        </w:r>
      </w:hyperlink>
      <w:r>
        <w:t xml:space="preserve"> Absatz 4 Satz 1 gelten entsprechend.</w:t>
      </w:r>
    </w:p>
    <w:p>
      <w:r>
        <w:t>(2) Der Vormund bedarf der Genehmigung des Familiengerichts</w:t>
      </w:r>
    </w:p>
    <w:p>
      <w:pPr>
        <w:tabs>
          <w:tab w:pos="567" w:val="left"/>
        </w:tabs>
        <w:ind w:left="567" w:hanging="567"/>
      </w:pPr>
      <w:r>
        <w:t>1.</w:t>
      </w:r>
      <w:r>
        <w:tab/>
      </w:r>
      <w:r>
        <w:t>zu einem Ausbildungsvertrag, der für längere Zeit als ein Jahr geschlossen wird,</w:t>
      </w:r>
    </w:p>
    <w:p>
      <w:pPr>
        <w:tabs>
          <w:tab w:pos="567" w:val="left"/>
        </w:tabs>
        <w:ind w:left="567" w:hanging="567"/>
      </w:pPr>
      <w:r>
        <w:t>2.</w:t>
      </w:r>
      <w:r>
        <w:tab/>
      </w:r>
      <w:r>
        <w:t>zu einem auf die Eingehung eines Dienst- oder Arbeitsverhältnisses gerichteten Vertrag, wenn der Mündel zu persönlichen Leistungen für längere Zeit als ein Jahr verpflichtet werden soll, und</w:t>
      </w:r>
    </w:p>
    <w:p>
      <w:pPr>
        <w:tabs>
          <w:tab w:pos="567" w:val="left"/>
        </w:tabs>
        <w:ind w:left="567" w:hanging="567"/>
      </w:pPr>
      <w:r>
        <w:t>3.</w:t>
      </w:r>
      <w:r>
        <w:tab/>
      </w:r>
      <w:r>
        <w:t>zum Wechsel des gewöhnlichen Aufenthalts des Mündels ins Ausland.</w:t>
      </w:r>
    </w:p>
    <w:p>
      <w:r>
        <w:t>(3) Das Familiengericht erteilt die Genehmigung nach Absatz 2, wenn das Rechtsgeschäft oder der Aufenthaltswechsel unter Berücksichtigung der Rechte des Mündels aus § 1788 dem Wohl des Mündels nicht widerspricht.</w:t>
      </w:r>
    </w:p>
    <w:p>
      <w:r>
        <w:t xml:space="preserve">(4) </w:t>
      </w:r>
      <w:r>
        <w:rPr>
          <w:rStyle w:val="Satznummer"/>
        </w:rPr>
        <w:t>1</w:t>
      </w:r>
      <w:r>
        <w:t xml:space="preserve">Für die Erteilung der Genehmigung gelten die </w:t>
      </w:r>
      <w:hyperlink w:anchor="b2319" w:history="1">
        <w:r>
          <w:rPr>
            <w:color w:val="0A3A8C"/>
            <w:u w:val="single"/>
          </w:rPr>
          <w:t xml:space="preserve">§§ 1855</w:t>
        </w:r>
      </w:hyperlink>
      <w:r>
        <w:t xml:space="preserve"> bis </w:t>
      </w:r>
      <w:hyperlink w:anchor="b2320" w:history="1">
        <w:r>
          <w:rPr>
            <w:color w:val="0A3A8C"/>
            <w:u w:val="single"/>
          </w:rPr>
          <w:t xml:space="preserve">1856</w:t>
        </w:r>
      </w:hyperlink>
      <w:r>
        <w:t xml:space="preserve"> Absatz 2 sowie die </w:t>
      </w:r>
      <w:hyperlink w:anchor="b2321" w:history="1">
        <w:r>
          <w:rPr>
            <w:color w:val="0A3A8C"/>
            <w:u w:val="single"/>
          </w:rPr>
          <w:t xml:space="preserve">§§ 1857</w:t>
        </w:r>
      </w:hyperlink>
      <w:r>
        <w:t xml:space="preserve"> und </w:t>
      </w:r>
      <w:hyperlink w:anchor="b2322" w:history="1">
        <w:r>
          <w:rPr>
            <w:color w:val="0A3A8C"/>
            <w:u w:val="single"/>
          </w:rPr>
          <w:t xml:space="preserve">1858</w:t>
        </w:r>
      </w:hyperlink>
      <w:r>
        <w:t xml:space="preserve"> entsprechend. </w:t>
      </w:r>
      <w:r>
        <w:rPr>
          <w:rStyle w:val="Satznummer"/>
        </w:rPr>
        <w:t>2</w:t>
      </w:r>
      <w:r>
        <w:t>Ist der Mündel volljährig geworden, so tritt seine Genehmigung an die Stelle der Genehmigung des Familiengerichts.</w:t>
      </w:r>
    </w:p>
    <w:p>
      <w:pPr>
        <w:pStyle w:val="Heading6"/>
      </w:pPr>
      <w:bookmarkStart w:id="2259" w:name="b2244"/>
      <w:r>
        <w:t>§ 1796 Verhältnis zwischen Vormund und Pflegeperson</w:t>
      </w:r>
      <w:r>
        <w:t xml:space="preserve"> </w:t>
      </w:r>
      <w:r>
        <w:rPr>
          <w:rStyle w:val="Suchmarke"/>
        </w:rPr>
        <w:t>#1796#</w:t>
      </w:r>
      <w:bookmarkEnd w:id="2259"/>
    </w:p>
    <w:p>
      <w:r>
        <w:t xml:space="preserve">(1) </w:t>
      </w:r>
      <w:r>
        <w:rPr>
          <w:rStyle w:val="Satznummer"/>
        </w:rPr>
        <w:t>1</w:t>
      </w:r>
      <w:r>
        <w:t xml:space="preserve">Der Vormund hat auf die Belange der Pflegeperson Rücksicht zu nehmen. </w:t>
      </w:r>
      <w:r>
        <w:rPr>
          <w:rStyle w:val="Satznummer"/>
        </w:rPr>
        <w:t>2</w:t>
      </w:r>
      <w:r>
        <w:t>Bei Entscheidungen der Personensorge soll er die Auffassung der Pflegeperson einbeziehen.</w:t>
      </w:r>
    </w:p>
    <w:p>
      <w:r>
        <w:t xml:space="preserve">(2) Für das Zusammenwirken von Vormund und Pflegeperson gilt </w:t>
      </w:r>
      <w:hyperlink w:anchor="b2239" w:history="1">
        <w:r>
          <w:rPr>
            <w:color w:val="0A3A8C"/>
            <w:u w:val="single"/>
          </w:rPr>
          <w:t xml:space="preserve">§ 1792</w:t>
        </w:r>
      </w:hyperlink>
      <w:r>
        <w:t xml:space="preserve"> Absatz 2 entsprechend.</w:t>
      </w:r>
    </w:p>
    <w:p>
      <w:r>
        <w:t>(3) Der Pflegeperson steht eine Person gleich, die</w:t>
      </w:r>
    </w:p>
    <w:p>
      <w:pPr>
        <w:tabs>
          <w:tab w:pos="567" w:val="left"/>
        </w:tabs>
        <w:ind w:left="567" w:hanging="567"/>
      </w:pPr>
      <w:r>
        <w:t>1.</w:t>
      </w:r>
      <w:r>
        <w:tab/>
      </w:r>
      <w:r>
        <w:t>den Mündel</w:t>
      </w:r>
    </w:p>
    <w:p>
      <w:pPr>
        <w:tabs>
          <w:tab w:pos="1134" w:val="left"/>
        </w:tabs>
        <w:ind w:left="1134" w:hanging="567"/>
      </w:pPr>
      <w:r>
        <w:t>a)</w:t>
      </w:r>
      <w:r>
        <w:tab/>
      </w:r>
      <w:r>
        <w:t>in einer Einrichtung über Tag und Nacht oder</w:t>
      </w:r>
    </w:p>
    <w:p>
      <w:pPr>
        <w:tabs>
          <w:tab w:pos="1134" w:val="left"/>
        </w:tabs>
        <w:ind w:left="1134" w:hanging="567"/>
      </w:pPr>
      <w:r>
        <w:t>b)</w:t>
      </w:r>
      <w:r>
        <w:tab/>
      </w:r>
      <w:r>
        <w:t>in sonstigen Wohnformen</w:t>
      </w:r>
    </w:p>
    <w:p>
      <w:pPr>
        <w:ind w:left="567"/>
      </w:pPr>
      <w:r>
        <w:t>betreut und erzieht oder</w:t>
      </w:r>
    </w:p>
    <w:p>
      <w:pPr>
        <w:tabs>
          <w:tab w:pos="567" w:val="left"/>
        </w:tabs>
        <w:ind w:left="567" w:hanging="567"/>
      </w:pPr>
      <w:r>
        <w:t>2.</w:t>
      </w:r>
      <w:r>
        <w:tab/>
      </w:r>
      <w:r>
        <w:t>die intensive sozialpädagogische Betreuung des Mündels übernommen hat.</w:t>
      </w:r>
    </w:p>
    <w:p>
      <w:pPr>
        <w:pStyle w:val="Heading6"/>
      </w:pPr>
      <w:bookmarkStart w:id="2260" w:name="b2245"/>
      <w:r>
        <w:t>§ 1797 Entscheidungsbefugnis der Pflegeperson</w:t>
      </w:r>
      <w:r>
        <w:t xml:space="preserve"> </w:t>
      </w:r>
      <w:r>
        <w:rPr>
          <w:rStyle w:val="Suchmarke"/>
        </w:rPr>
        <w:t>#1797#</w:t>
      </w:r>
      <w:bookmarkEnd w:id="2260"/>
    </w:p>
    <w:p>
      <w:r>
        <w:t xml:space="preserve">(1) </w:t>
      </w:r>
      <w:r>
        <w:rPr>
          <w:rStyle w:val="Satznummer"/>
        </w:rPr>
        <w:t>1</w:t>
      </w:r>
      <w:r>
        <w:t xml:space="preserve">Lebt der Mündel für längere Zeit bei der Pflegeperson, ist diese berechtigt, in Angelegenheiten des täglichen Lebens zu entscheiden und den Vormund insoweit zu vertreten. </w:t>
      </w:r>
      <w:r>
        <w:rPr>
          <w:rStyle w:val="Satznummer"/>
        </w:rPr>
        <w:t>2</w:t>
      </w:r>
      <w:hyperlink w:anchor="b2104" w:history="1">
        <w:r>
          <w:rPr>
            <w:color w:val="0A3A8C"/>
            <w:u w:val="single"/>
          </w:rPr>
          <w:t xml:space="preserve">§ 1629</w:t>
        </w:r>
      </w:hyperlink>
      <w:r>
        <w:t xml:space="preserve"> Absatz 1 Satz 4 gilt entsprechend.</w:t>
      </w:r>
    </w:p>
    <w:p>
      <w:r>
        <w:t xml:space="preserve">(2) Absatz 1 ist auf die Person gemäß </w:t>
      </w:r>
      <w:hyperlink w:anchor="b2244" w:history="1">
        <w:r>
          <w:rPr>
            <w:color w:val="0A3A8C"/>
            <w:u w:val="single"/>
          </w:rPr>
          <w:t xml:space="preserve">§ 1796</w:t>
        </w:r>
      </w:hyperlink>
      <w:r>
        <w:t xml:space="preserve"> Absatz 3 entsprechend anzuwenden.</w:t>
      </w:r>
    </w:p>
    <w:p>
      <w:r>
        <w:t>(3) Der Vormund kann die Befugnisse nach den Absätzen 1 und 2 durch Erklärung gegenüber der Pflegeperson einschränken oder ausschließen, wenn dies zum Wohl des Mündels erforderlich ist.</w:t>
      </w:r>
    </w:p>
    <w:p>
      <w:pPr>
        <w:pStyle w:val="Heading5"/>
      </w:pPr>
      <w:bookmarkStart w:id="2261" w:name="b2246"/>
      <w:r>
        <w:t>Kapitel 3 Vermögenssorge</w:t>
      </w:r>
      <w:bookmarkEnd w:id="2261"/>
    </w:p>
    <w:p>
      <w:pPr>
        <w:pStyle w:val="Heading6"/>
      </w:pPr>
      <w:bookmarkStart w:id="2262" w:name="b2247"/>
      <w:r>
        <w:t>§ 1798 Grundsätze und Pflichten des Vormunds in der Vermögenssorge</w:t>
      </w:r>
      <w:r>
        <w:t xml:space="preserve"> </w:t>
      </w:r>
      <w:r>
        <w:rPr>
          <w:rStyle w:val="Suchmarke"/>
        </w:rPr>
        <w:t>#1798#</w:t>
      </w:r>
      <w:bookmarkEnd w:id="2262"/>
    </w:p>
    <w:p>
      <w:r>
        <w:t xml:space="preserve">(1) </w:t>
      </w:r>
      <w:r>
        <w:rPr>
          <w:rStyle w:val="Satznummer"/>
        </w:rPr>
        <w:t>1</w:t>
      </w:r>
      <w:r>
        <w:t xml:space="preserve">Der Vormund hat die Vermögenssorge zum Wohl des Mündels unter Berücksichtigung der Grundsätze einer wirtschaftlichen Vermögensverwaltung und der wachsenden Bedürfnisse des Mündels zu selbständigem und verantwortungsbewusstem Handeln wahrzunehmen. </w:t>
      </w:r>
      <w:r>
        <w:rPr>
          <w:rStyle w:val="Satznummer"/>
        </w:rPr>
        <w:t>2</w:t>
      </w:r>
      <w:r>
        <w:t>Er ist dabei zum Schutz und Erhalt des Mündelvermögens verpflichtet.</w:t>
      </w:r>
    </w:p>
    <w:p>
      <w:r>
        <w:t xml:space="preserve">(2) </w:t>
      </w:r>
      <w:r>
        <w:rPr>
          <w:rStyle w:val="Satznummer"/>
        </w:rPr>
        <w:t>1</w:t>
      </w:r>
      <w:r>
        <w:t xml:space="preserve">Für die Pflichten des Vormunds bei der Vermögenssorge gelten im Übrigen </w:t>
      </w:r>
      <w:hyperlink w:anchor="b2295" w:history="1">
        <w:r>
          <w:rPr>
            <w:color w:val="0A3A8C"/>
            <w:u w:val="single"/>
          </w:rPr>
          <w:t xml:space="preserve">§ 1835</w:t>
        </w:r>
      </w:hyperlink>
      <w:r>
        <w:t xml:space="preserve"> Absatz 1 bis 5 sowie die </w:t>
      </w:r>
      <w:hyperlink w:anchor="b2296" w:history="1">
        <w:r>
          <w:rPr>
            <w:color w:val="0A3A8C"/>
            <w:u w:val="single"/>
          </w:rPr>
          <w:t xml:space="preserve">§§ 1836</w:t>
        </w:r>
      </w:hyperlink>
      <w:r>
        <w:t xml:space="preserve">, </w:t>
      </w:r>
      <w:hyperlink w:anchor="b2297" w:history="1">
        <w:r>
          <w:rPr>
            <w:color w:val="0A3A8C"/>
            <w:u w:val="single"/>
          </w:rPr>
          <w:t xml:space="preserve">1837</w:t>
        </w:r>
      </w:hyperlink>
      <w:r>
        <w:t xml:space="preserve"> und </w:t>
      </w:r>
      <w:hyperlink w:anchor="b2300" w:history="1">
        <w:r>
          <w:rPr>
            <w:color w:val="0A3A8C"/>
            <w:u w:val="single"/>
          </w:rPr>
          <w:t xml:space="preserve">1839</w:t>
        </w:r>
      </w:hyperlink>
      <w:r>
        <w:t xml:space="preserve"> bis </w:t>
      </w:r>
      <w:hyperlink w:anchor="b2309" w:history="1">
        <w:r>
          <w:rPr>
            <w:color w:val="0A3A8C"/>
            <w:u w:val="single"/>
          </w:rPr>
          <w:t xml:space="preserve">1847</w:t>
        </w:r>
      </w:hyperlink>
      <w:r>
        <w:t xml:space="preserve"> entsprechend. </w:t>
      </w:r>
      <w:r>
        <w:rPr>
          <w:rStyle w:val="Satznummer"/>
        </w:rPr>
        <w:t>2</w:t>
      </w:r>
      <w:r>
        <w:t xml:space="preserve">Das Vermögensverzeichnis soll das bei Anordnung der Vormundschaft vorhandene Vermögen erfassen. </w:t>
      </w:r>
      <w:r>
        <w:rPr>
          <w:rStyle w:val="Satznummer"/>
        </w:rPr>
        <w:t>3</w:t>
      </w:r>
      <w:r>
        <w:t>Das Familiengericht hat das Vermögensverzeichnis dem Mündel zur Kenntnis zu geben, soweit dies dem Wohl des Mündels nicht widerspricht und der Mündel aufgrund seines Entwicklungsstands in der Lage ist, das Verzeichnis zur Kenntnis zu nehmen.</w:t>
      </w:r>
    </w:p>
    <w:p>
      <w:r>
        <w:t xml:space="preserve">(3) </w:t>
      </w:r>
      <w:r>
        <w:rPr>
          <w:rStyle w:val="Satznummer"/>
        </w:rPr>
        <w:t>1</w:t>
      </w:r>
      <w:r>
        <w:t xml:space="preserve">Der Vormund kann nicht in Vertretung des Mündels Schenkungen machen. </w:t>
      </w:r>
      <w:r>
        <w:rPr>
          <w:rStyle w:val="Satznummer"/>
        </w:rPr>
        <w:t>2</w:t>
      </w:r>
      <w:r>
        <w:t>Ausgenommen sind Schenkungen, durch die einer sittlichen Pflicht oder einer auf den Anstand zu nehmenden Rücksicht entsprochen wird.</w:t>
      </w:r>
    </w:p>
    <w:p>
      <w:pPr>
        <w:pStyle w:val="Heading6"/>
      </w:pPr>
      <w:bookmarkStart w:id="2263" w:name="b2248"/>
      <w:r>
        <w:t>§ 1799 Genehmigungsbedürftige Rechtsgeschäfte</w:t>
      </w:r>
      <w:r>
        <w:t xml:space="preserve"> </w:t>
      </w:r>
      <w:r>
        <w:rPr>
          <w:rStyle w:val="Suchmarke"/>
        </w:rPr>
        <w:t>#1799#</w:t>
      </w:r>
      <w:bookmarkEnd w:id="2263"/>
    </w:p>
    <w:p>
      <w:r>
        <w:t>(1) Der Vormund bedarf der Genehmigung des Familiengerichts in den Fällen, in denen ein Betreuer nach den §§ 1848 bis 1854 Nummer 1 bis 7 der Genehmigung des Betreuungsgerichts bedarf, soweit sich nicht aus Absatz 2 etwas anderes ergibt.</w:t>
      </w:r>
    </w:p>
    <w:p>
      <w:r>
        <w:t xml:space="preserve">(2) </w:t>
      </w:r>
      <w:r>
        <w:rPr>
          <w:rStyle w:val="Satznummer"/>
        </w:rPr>
        <w:t>1</w:t>
      </w:r>
      <w:r>
        <w:t xml:space="preserve">Der Vormund bedarf abweichend von § 1853 Satz 1 Nummer 1 der Genehmigung des Familiengerichts zum Abschluss eines Miet- oder Pachtvertrags oder eines anderen Vertrags, durch den der Mündel zu wiederkehrenden Leistungen verpflichtet wird, wenn das Vertragsverhältnis länger als ein Jahr nach dem Eintritt seiner Volljährigkeit fortdauern soll. </w:t>
      </w:r>
      <w:r>
        <w:rPr>
          <w:rStyle w:val="Satznummer"/>
        </w:rPr>
        <w:t>2</w:t>
      </w:r>
      <w:r>
        <w:t>Eine Genehmigung ist nicht erforderlich, wenn</w:t>
      </w:r>
    </w:p>
    <w:p>
      <w:pPr>
        <w:tabs>
          <w:tab w:pos="567" w:val="left"/>
        </w:tabs>
        <w:ind w:left="567" w:hanging="567"/>
      </w:pPr>
      <w:r>
        <w:t>1.</w:t>
      </w:r>
      <w:r>
        <w:tab/>
      </w:r>
      <w:r>
        <w:t>der Vertrag geringe wirtschaftliche Bedeutung für den Mündel hat oder</w:t>
      </w:r>
    </w:p>
    <w:p>
      <w:pPr>
        <w:tabs>
          <w:tab w:pos="567" w:val="left"/>
        </w:tabs>
        <w:ind w:left="567" w:hanging="567"/>
      </w:pPr>
      <w:r>
        <w:t>2.</w:t>
      </w:r>
      <w:r>
        <w:tab/>
      </w:r>
      <w:r>
        <w:t>das Vertragsverhältnis von dem Mündel nach Eintritt der Volljährigkeit spätestens zum Ablauf des 19. Lebensjahres ohne eigene Nachteile gekündigt werden kann.</w:t>
      </w:r>
    </w:p>
    <w:p>
      <w:pPr>
        <w:pStyle w:val="Heading6"/>
      </w:pPr>
      <w:bookmarkStart w:id="2264" w:name="b2249"/>
      <w:r>
        <w:t>§ 1800 Erteilung der Genehmigung</w:t>
      </w:r>
      <w:r>
        <w:t xml:space="preserve"> </w:t>
      </w:r>
      <w:r>
        <w:rPr>
          <w:rStyle w:val="Suchmarke"/>
        </w:rPr>
        <w:t>#1800#</w:t>
      </w:r>
      <w:bookmarkEnd w:id="2264"/>
    </w:p>
    <w:p>
      <w:r>
        <w:t xml:space="preserve">(1) Das Familiengericht erteilt die Genehmigung, wenn das Rechtgeschäft den Grundsätzen nach </w:t>
      </w:r>
      <w:hyperlink w:anchor="b2247" w:history="1">
        <w:r>
          <w:rPr>
            <w:color w:val="0A3A8C"/>
            <w:u w:val="single"/>
          </w:rPr>
          <w:t xml:space="preserve">§ 1798</w:t>
        </w:r>
      </w:hyperlink>
      <w:r>
        <w:t xml:space="preserve"> Absatz 1 nicht widerspricht.</w:t>
      </w:r>
    </w:p>
    <w:p>
      <w:r>
        <w:t xml:space="preserve">(2) </w:t>
      </w:r>
      <w:r>
        <w:rPr>
          <w:rStyle w:val="Satznummer"/>
        </w:rPr>
        <w:t>1</w:t>
      </w:r>
      <w:r>
        <w:t xml:space="preserve">Für die Erteilung der Genehmigung gelten die </w:t>
      </w:r>
      <w:hyperlink w:anchor="b2319" w:history="1">
        <w:r>
          <w:rPr>
            <w:color w:val="0A3A8C"/>
            <w:u w:val="single"/>
          </w:rPr>
          <w:t xml:space="preserve">§§ 1855</w:t>
        </w:r>
      </w:hyperlink>
      <w:r>
        <w:t xml:space="preserve"> bis </w:t>
      </w:r>
      <w:hyperlink w:anchor="b2320" w:history="1">
        <w:r>
          <w:rPr>
            <w:color w:val="0A3A8C"/>
            <w:u w:val="single"/>
          </w:rPr>
          <w:t xml:space="preserve">1856</w:t>
        </w:r>
      </w:hyperlink>
      <w:r>
        <w:t xml:space="preserve"> Absatz 2 sowie die </w:t>
      </w:r>
      <w:hyperlink w:anchor="b2321" w:history="1">
        <w:r>
          <w:rPr>
            <w:color w:val="0A3A8C"/>
            <w:u w:val="single"/>
          </w:rPr>
          <w:t xml:space="preserve">§§ 1857</w:t>
        </w:r>
      </w:hyperlink>
      <w:r>
        <w:t xml:space="preserve"> und </w:t>
      </w:r>
      <w:hyperlink w:anchor="b2322" w:history="1">
        <w:r>
          <w:rPr>
            <w:color w:val="0A3A8C"/>
            <w:u w:val="single"/>
          </w:rPr>
          <w:t xml:space="preserve">1858</w:t>
        </w:r>
      </w:hyperlink>
      <w:r>
        <w:t xml:space="preserve"> entsprechend. </w:t>
      </w:r>
      <w:r>
        <w:rPr>
          <w:rStyle w:val="Satznummer"/>
        </w:rPr>
        <w:t>2</w:t>
      </w:r>
      <w:r>
        <w:t>Ist der Mündel volljährig geworden, so tritt seine Genehmigung an die Stelle der Genehmigung des Familiengerichts.</w:t>
      </w:r>
    </w:p>
    <w:p>
      <w:pPr>
        <w:pStyle w:val="Heading6"/>
      </w:pPr>
      <w:bookmarkStart w:id="2265" w:name="b2250"/>
      <w:r>
        <w:t>§ 1801 Befreite Vormundschaft</w:t>
      </w:r>
      <w:r>
        <w:t xml:space="preserve"> </w:t>
      </w:r>
      <w:r>
        <w:rPr>
          <w:rStyle w:val="Suchmarke"/>
        </w:rPr>
        <w:t>#1801#</w:t>
      </w:r>
      <w:bookmarkEnd w:id="2265"/>
    </w:p>
    <w:p>
      <w:r>
        <w:t xml:space="preserve">(1) Für das Jugendamt, den Vereinsvormund und den Vormundschaftsverein als Vormund gilt </w:t>
      </w:r>
      <w:hyperlink w:anchor="b2324" w:history="1">
        <w:r>
          <w:rPr>
            <w:color w:val="0A3A8C"/>
            <w:u w:val="single"/>
          </w:rPr>
          <w:t xml:space="preserve">§ 1859</w:t>
        </w:r>
      </w:hyperlink>
      <w:r>
        <w:t xml:space="preserve"> Absatz 1 entsprechend.</w:t>
      </w:r>
    </w:p>
    <w:p>
      <w:r>
        <w:t xml:space="preserve">(2) </w:t>
      </w:r>
      <w:r>
        <w:rPr>
          <w:rStyle w:val="Satznummer"/>
        </w:rPr>
        <w:t>1</w:t>
      </w:r>
      <w:r>
        <w:t xml:space="preserve">Das Familiengericht kann auf Antrag Vormünder von den Beschränkungen bei der Vermögenssorge befreien, wenn eine Gefährdung des Mündelvermögens nicht zu besorgen ist. </w:t>
      </w:r>
      <w:r>
        <w:rPr>
          <w:rStyle w:val="Satznummer"/>
        </w:rPr>
        <w:t>2</w:t>
      </w:r>
      <w:hyperlink w:anchor="b2325" w:history="1">
        <w:r>
          <w:rPr>
            <w:color w:val="0A3A8C"/>
            <w:u w:val="single"/>
          </w:rPr>
          <w:t xml:space="preserve">§ 1860</w:t>
        </w:r>
      </w:hyperlink>
      <w:r>
        <w:t xml:space="preserve"> Absatz 1 bis 3 gilt entsprechend.</w:t>
      </w:r>
    </w:p>
    <w:p>
      <w:r>
        <w:t xml:space="preserve">(3) </w:t>
      </w:r>
      <w:r>
        <w:rPr>
          <w:rStyle w:val="Satznummer"/>
        </w:rPr>
        <w:t>1</w:t>
      </w:r>
      <w:r>
        <w:t xml:space="preserve">Eltern können unter Beachtung der Voraussetzungen des </w:t>
      </w:r>
      <w:hyperlink w:anchor="b2226" w:history="1">
        <w:r>
          <w:rPr>
            <w:color w:val="0A3A8C"/>
            <w:u w:val="single"/>
          </w:rPr>
          <w:t xml:space="preserve">§ 1782</w:t>
        </w:r>
      </w:hyperlink>
      <w:r>
        <w:t xml:space="preserve"> einen von ihnen benannten Vormund von den Beschränkungen nach den </w:t>
      </w:r>
      <w:hyperlink w:anchor="b2306" w:history="1">
        <w:r>
          <w:rPr>
            <w:color w:val="0A3A8C"/>
            <w:u w:val="single"/>
          </w:rPr>
          <w:t xml:space="preserve">§§ 1845</w:t>
        </w:r>
      </w:hyperlink>
      <w:r>
        <w:t xml:space="preserve">, </w:t>
      </w:r>
      <w:hyperlink w:anchor="b2311" w:history="1">
        <w:r>
          <w:rPr>
            <w:color w:val="0A3A8C"/>
            <w:u w:val="single"/>
          </w:rPr>
          <w:t xml:space="preserve">1848</w:t>
        </w:r>
      </w:hyperlink>
      <w:r>
        <w:t xml:space="preserve"> und </w:t>
      </w:r>
      <w:hyperlink w:anchor="b2312" w:history="1">
        <w:r>
          <w:rPr>
            <w:color w:val="0A3A8C"/>
            <w:u w:val="single"/>
          </w:rPr>
          <w:t xml:space="preserve">1849</w:t>
        </w:r>
      </w:hyperlink>
      <w:r>
        <w:t xml:space="preserve"> Absatz 1 Satz 1 Nummer 1 und 2, Satz 2 sowie </w:t>
      </w:r>
      <w:hyperlink w:anchor="b2331" w:history="1">
        <w:r>
          <w:rPr>
            <w:color w:val="0A3A8C"/>
            <w:u w:val="single"/>
          </w:rPr>
          <w:t xml:space="preserve">§ 1865</w:t>
        </w:r>
      </w:hyperlink>
      <w:r>
        <w:t xml:space="preserve"> Absatz 1 befreien. </w:t>
      </w:r>
      <w:r>
        <w:rPr>
          <w:rStyle w:val="Satznummer"/>
        </w:rPr>
        <w:t>2</w:t>
      </w:r>
      <w:hyperlink w:anchor="b2324" w:history="1">
        <w:r>
          <w:rPr>
            <w:color w:val="0A3A8C"/>
            <w:u w:val="single"/>
          </w:rPr>
          <w:t xml:space="preserve">§ 1859</w:t>
        </w:r>
      </w:hyperlink>
      <w:r>
        <w:t xml:space="preserve"> Absatz 1 Satz 2 und 3 gilt entsprechend.</w:t>
      </w:r>
    </w:p>
    <w:p>
      <w:r>
        <w:t>(4) Das Familiengericht hat die Befreiungen aufzuheben, wenn ihre Voraussetzungen nicht mehr vorliegen oder bei ihrer Fortgeltung eine Gefährdung des Mündelvermögens zu besorgen wäre.</w:t>
      </w:r>
    </w:p>
    <w:p>
      <w:pPr>
        <w:pStyle w:val="Heading4"/>
      </w:pPr>
      <w:bookmarkStart w:id="2266" w:name="b2251"/>
      <w:r>
        <w:t>Untertitel 3 Beratung und Aufsicht durch das Familiengericht</w:t>
      </w:r>
      <w:bookmarkEnd w:id="2266"/>
    </w:p>
    <w:p>
      <w:pPr>
        <w:pStyle w:val="Heading5"/>
      </w:pPr>
      <w:bookmarkStart w:id="2267" w:name="b2252"/>
      <w:r>
        <w:t>§ 1802 Allgemeine Vorschriften</w:t>
      </w:r>
      <w:r>
        <w:t xml:space="preserve"> </w:t>
      </w:r>
      <w:r>
        <w:rPr>
          <w:rStyle w:val="Suchmarke"/>
        </w:rPr>
        <w:t>#1802#</w:t>
      </w:r>
      <w:bookmarkEnd w:id="2267"/>
    </w:p>
    <w:p>
      <w:r>
        <w:t xml:space="preserve">(1) </w:t>
      </w:r>
      <w:r>
        <w:rPr>
          <w:rStyle w:val="Satznummer"/>
        </w:rPr>
        <w:t>1</w:t>
      </w:r>
      <w:r>
        <w:t xml:space="preserve">Das Familiengericht unterstützt den Vormund und berät ihn über seine Rechte und Pflichten bei der Wahrnehmung seiner Aufgaben. </w:t>
      </w:r>
      <w:r>
        <w:rPr>
          <w:rStyle w:val="Satznummer"/>
        </w:rPr>
        <w:t>2</w:t>
      </w:r>
      <w:hyperlink w:anchor="b2327" w:history="1">
        <w:r>
          <w:rPr>
            <w:color w:val="0A3A8C"/>
            <w:u w:val="single"/>
          </w:rPr>
          <w:t xml:space="preserve">§ 1861</w:t>
        </w:r>
      </w:hyperlink>
      <w:r>
        <w:t xml:space="preserve"> Absatz 2 gilt entsprechend.</w:t>
      </w:r>
    </w:p>
    <w:p>
      <w:r>
        <w:t xml:space="preserve">(2) </w:t>
      </w:r>
      <w:r>
        <w:rPr>
          <w:rStyle w:val="Satznummer"/>
        </w:rPr>
        <w:t>1</w:t>
      </w:r>
      <w:r>
        <w:t xml:space="preserve">Das Familiengericht führt über die gesamte Tätigkeit des Vormunds die Aufsicht. </w:t>
      </w:r>
      <w:r>
        <w:rPr>
          <w:rStyle w:val="Satznummer"/>
        </w:rPr>
        <w:t>2</w:t>
      </w:r>
      <w:r>
        <w:t xml:space="preserve">Es hat dabei insbesondere auf die Einhaltung der Pflichten der Amtsführung des Vormunds unter Berücksichtigung der Rechte des Mündels sowie der Grundsätze und Pflichten des Vormunds in der Personen- und Vermögenssorge zu achten. </w:t>
      </w:r>
      <w:r>
        <w:rPr>
          <w:rStyle w:val="Satznummer"/>
        </w:rPr>
        <w:t>3</w:t>
      </w:r>
      <w:hyperlink w:anchor="b2328" w:history="1">
        <w:r>
          <w:rPr>
            <w:color w:val="0A3A8C"/>
            <w:u w:val="single"/>
          </w:rPr>
          <w:t xml:space="preserve">§ 1862</w:t>
        </w:r>
      </w:hyperlink>
      <w:r>
        <w:t xml:space="preserve"> Absatz 3 und 4 sowie die </w:t>
      </w:r>
      <w:hyperlink w:anchor="b2329" w:history="1">
        <w:r>
          <w:rPr>
            <w:color w:val="0A3A8C"/>
            <w:u w:val="single"/>
          </w:rPr>
          <w:t xml:space="preserve">§§ 1863</w:t>
        </w:r>
      </w:hyperlink>
      <w:r>
        <w:t xml:space="preserve"> bis </w:t>
      </w:r>
      <w:hyperlink w:anchor="b2333" w:history="1">
        <w:r>
          <w:rPr>
            <w:color w:val="0A3A8C"/>
            <w:u w:val="single"/>
          </w:rPr>
          <w:t xml:space="preserve">1867</w:t>
        </w:r>
      </w:hyperlink>
      <w:r>
        <w:t xml:space="preserve">, </w:t>
      </w:r>
      <w:hyperlink w:anchor="b2131" w:history="1">
        <w:r>
          <w:rPr>
            <w:color w:val="0A3A8C"/>
            <w:u w:val="single"/>
          </w:rPr>
          <w:t xml:space="preserve">1666</w:t>
        </w:r>
      </w:hyperlink>
      <w:r>
        <w:t xml:space="preserve">, </w:t>
      </w:r>
      <w:hyperlink w:anchor="b2132" w:history="1">
        <w:r>
          <w:rPr>
            <w:color w:val="0A3A8C"/>
            <w:u w:val="single"/>
          </w:rPr>
          <w:t xml:space="preserve">1666a</w:t>
        </w:r>
      </w:hyperlink>
      <w:r>
        <w:t xml:space="preserve"> und </w:t>
      </w:r>
      <w:hyperlink w:anchor="b2160" w:history="1">
        <w:r>
          <w:rPr>
            <w:color w:val="0A3A8C"/>
            <w:u w:val="single"/>
          </w:rPr>
          <w:t xml:space="preserve">1696</w:t>
        </w:r>
      </w:hyperlink>
      <w:r>
        <w:t xml:space="preserve"> gelten entsprechend. </w:t>
      </w:r>
      <w:r>
        <w:rPr>
          <w:rStyle w:val="Satznummer"/>
        </w:rPr>
        <w:t>4</w:t>
      </w:r>
      <w:r>
        <w:t>Das Familiengericht kann dem Vormund aufgeben, eine Versicherung gegen Schäden, die er dem Mündel zufügen kann, einzugehen.</w:t>
      </w:r>
    </w:p>
    <w:p>
      <w:pPr>
        <w:pStyle w:val="Heading5"/>
      </w:pPr>
      <w:bookmarkStart w:id="2268" w:name="b2253"/>
      <w:r>
        <w:t>§ 1803 Persönliche Anhörung; Besprechung mit dem Mündel</w:t>
      </w:r>
      <w:r>
        <w:t xml:space="preserve"> </w:t>
      </w:r>
      <w:r>
        <w:rPr>
          <w:rStyle w:val="Suchmarke"/>
        </w:rPr>
        <w:t>#1803#</w:t>
      </w:r>
      <w:bookmarkEnd w:id="2268"/>
    </w:p>
    <w:p>
      <w:r>
        <w:t>In geeigneten Fällen und soweit es nach dem Entwicklungsstand des Mündels angezeigt ist,</w:t>
      </w:r>
    </w:p>
    <w:p>
      <w:pPr>
        <w:tabs>
          <w:tab w:pos="567" w:val="left"/>
        </w:tabs>
        <w:ind w:left="567" w:hanging="567"/>
      </w:pPr>
      <w:r>
        <w:t>1.</w:t>
      </w:r>
      <w:r>
        <w:tab/>
      </w:r>
      <w:r>
        <w:t>hat das Familiengericht den Mündel persönlich anzuhören, wenn Anhaltspunkte bestehen, dass der Vormund pflichtwidrig die Rechte des Mündels nicht oder nicht in geeigneter Weise beachtet oder seinen Pflichten als Vormund in anderer Weise nicht nachkommt,</w:t>
      </w:r>
    </w:p>
    <w:p>
      <w:pPr>
        <w:tabs>
          <w:tab w:pos="567" w:val="left"/>
        </w:tabs>
        <w:ind w:left="567" w:hanging="567"/>
      </w:pPr>
      <w:r>
        <w:t>2.</w:t>
      </w:r>
      <w:r>
        <w:tab/>
      </w:r>
      <w:r>
        <w:t>soll das Familiengericht den Anfangs- und Jahresbericht des Vormunds über die persönlichen Verhältnisse des Mündels, die Rechnungslegung des Vormunds, wenn der Umfang des zu verwaltenden Vermögens dies rechtfertigt, sowie wesentliche Änderungen der persönlichen oder wirtschaftlichen Verhältnisse des Mündels mit dem Mündel persönlich besprechen; der Vormund kann hinzugezogen werden.</w:t>
      </w:r>
    </w:p>
    <w:p>
      <w:pPr>
        <w:pStyle w:val="Heading4"/>
      </w:pPr>
      <w:bookmarkStart w:id="2269" w:name="b2254"/>
      <w:r>
        <w:t>Untertitel 4 Beendigung der Vormundschaft</w:t>
      </w:r>
      <w:bookmarkEnd w:id="2269"/>
    </w:p>
    <w:p>
      <w:pPr>
        <w:pStyle w:val="Heading5"/>
      </w:pPr>
      <w:bookmarkStart w:id="2270" w:name="b2255"/>
      <w:r>
        <w:t>§ 1804 Entlassung des Vormunds</w:t>
      </w:r>
      <w:r>
        <w:t xml:space="preserve"> </w:t>
      </w:r>
      <w:r>
        <w:rPr>
          <w:rStyle w:val="Suchmarke"/>
        </w:rPr>
        <w:t>#1804#</w:t>
      </w:r>
      <w:bookmarkEnd w:id="2270"/>
    </w:p>
    <w:p>
      <w:r>
        <w:t>(1) Das Familiengericht hat den Vormund zu entlassen, wenn</w:t>
      </w:r>
    </w:p>
    <w:p>
      <w:pPr>
        <w:tabs>
          <w:tab w:pos="567" w:val="left"/>
        </w:tabs>
        <w:ind w:left="567" w:hanging="567"/>
      </w:pPr>
      <w:r>
        <w:t>1.</w:t>
      </w:r>
      <w:r>
        <w:tab/>
      </w:r>
      <w:r>
        <w:t>die Fortführung des Amtes durch ihn, insbesondere wegen Verletzung seiner Pflichten, das Interesse oder Wohl des Mündels gefährden würde,</w:t>
      </w:r>
    </w:p>
    <w:p>
      <w:pPr>
        <w:tabs>
          <w:tab w:pos="567" w:val="left"/>
        </w:tabs>
        <w:ind w:left="567" w:hanging="567"/>
      </w:pPr>
      <w:r>
        <w:t>2.</w:t>
      </w:r>
      <w:r>
        <w:tab/>
      </w:r>
      <w:r>
        <w:t xml:space="preserve">er als Vormund gemäß </w:t>
      </w:r>
      <w:hyperlink w:anchor="b2217" w:history="1">
        <w:r>
          <w:rPr>
            <w:color w:val="0A3A8C"/>
            <w:u w:val="single"/>
          </w:rPr>
          <w:t xml:space="preserve">§ 1774</w:t>
        </w:r>
      </w:hyperlink>
      <w:r>
        <w:t xml:space="preserve"> Absatz 1 Nummer 2 bis 4 bestellt wurde und jetzt eine andere Person geeignet und bereit ist, die Vormundschaft ehrenamtlich zu führen, es sei denn, die Entlassung widerspricht dem Wohl des Mündels,</w:t>
      </w:r>
    </w:p>
    <w:p>
      <w:pPr>
        <w:tabs>
          <w:tab w:pos="567" w:val="left"/>
        </w:tabs>
        <w:ind w:left="567" w:hanging="567"/>
      </w:pPr>
      <w:r>
        <w:t>3.</w:t>
      </w:r>
      <w:r>
        <w:tab/>
      </w:r>
      <w:r>
        <w:t>er als Vereinsvormund bestellt wurde und aus dem Arbeitsverhältnis mit dem Verein ausscheidet,</w:t>
      </w:r>
    </w:p>
    <w:p>
      <w:pPr>
        <w:tabs>
          <w:tab w:pos="567" w:val="left"/>
        </w:tabs>
        <w:ind w:left="567" w:hanging="567"/>
      </w:pPr>
      <w:r>
        <w:t>4.</w:t>
      </w:r>
      <w:r>
        <w:tab/>
      </w:r>
      <w:r>
        <w:t xml:space="preserve">nach seiner Bestellung Umstände bekannt werden oder eintreten, die seiner Bestellung gemäß </w:t>
      </w:r>
      <w:hyperlink w:anchor="b2228" w:history="1">
        <w:r>
          <w:rPr>
            <w:color w:val="0A3A8C"/>
            <w:u w:val="single"/>
          </w:rPr>
          <w:t xml:space="preserve">§ 1784</w:t>
        </w:r>
      </w:hyperlink>
      <w:r>
        <w:t xml:space="preserve"> entgegenstehen oder</w:t>
      </w:r>
    </w:p>
    <w:p>
      <w:pPr>
        <w:tabs>
          <w:tab w:pos="567" w:val="left"/>
        </w:tabs>
        <w:ind w:left="567" w:hanging="567"/>
      </w:pPr>
      <w:r>
        <w:t>5.</w:t>
      </w:r>
      <w:r>
        <w:tab/>
      </w:r>
      <w:r>
        <w:t>ein sonstiger wichtiger Grund für die Entlassung vorliegt.</w:t>
      </w:r>
    </w:p>
    <w:p>
      <w:r>
        <w:t>(2) Das Familiengericht hat den Vormund außerdem zu entlassen, wenn</w:t>
      </w:r>
    </w:p>
    <w:p>
      <w:pPr>
        <w:tabs>
          <w:tab w:pos="567" w:val="left"/>
        </w:tabs>
        <w:ind w:left="567" w:hanging="567"/>
      </w:pPr>
      <w:r>
        <w:t>1.</w:t>
      </w:r>
      <w:r>
        <w:tab/>
      </w:r>
      <w:r>
        <w:t>nach dessen Bestellung Umstände eintreten, aufgrund derer ihm die Fortführung des Amtes nicht mehr zugemutet werden kann, und der Vormund seine Entlassung beantragt oder</w:t>
      </w:r>
    </w:p>
    <w:p>
      <w:pPr>
        <w:tabs>
          <w:tab w:pos="567" w:val="left"/>
        </w:tabs>
        <w:ind w:left="567" w:hanging="567"/>
      </w:pPr>
      <w:r>
        <w:t>2.</w:t>
      </w:r>
      <w:r>
        <w:tab/>
      </w:r>
      <w:r>
        <w:t>er als Vereinsvormund bestellt wurde und der Verein seine Entlassung beantragt.</w:t>
      </w:r>
    </w:p>
    <w:p>
      <w:r>
        <w:t xml:space="preserve">(3) </w:t>
      </w:r>
      <w:r>
        <w:rPr>
          <w:rStyle w:val="Satznummer"/>
        </w:rPr>
        <w:t>1</w:t>
      </w:r>
      <w:r>
        <w:t xml:space="preserve">Das Familiengericht soll auf Antrag den bisherigen Vormund entlassen, wenn der Wechsel des Vormunds dem Wohl des Mündels dient. </w:t>
      </w:r>
      <w:r>
        <w:rPr>
          <w:rStyle w:val="Satznummer"/>
        </w:rPr>
        <w:t>2</w:t>
      </w:r>
      <w:r>
        <w:t xml:space="preserve">Ein entgegenstehender Wille des Mündels und der Vorrang des ehrenamtlichen Vormunds sind zu berücksichtigen. </w:t>
      </w:r>
      <w:r>
        <w:rPr>
          <w:rStyle w:val="Satznummer"/>
        </w:rPr>
        <w:t>3</w:t>
      </w:r>
      <w:r>
        <w:t>Den Antrag nach Satz 1 können stellen:</w:t>
      </w:r>
    </w:p>
    <w:p>
      <w:pPr>
        <w:tabs>
          <w:tab w:pos="567" w:val="left"/>
        </w:tabs>
        <w:ind w:left="567" w:hanging="567"/>
      </w:pPr>
      <w:r>
        <w:t>1.</w:t>
      </w:r>
      <w:r>
        <w:tab/>
      </w:r>
      <w:r>
        <w:t>der Vormund,</w:t>
      </w:r>
    </w:p>
    <w:p>
      <w:pPr>
        <w:tabs>
          <w:tab w:pos="567" w:val="left"/>
        </w:tabs>
        <w:ind w:left="567" w:hanging="567"/>
      </w:pPr>
      <w:r>
        <w:t>2.</w:t>
      </w:r>
      <w:r>
        <w:tab/>
      </w:r>
      <w:r>
        <w:t>derjenige, der sich im Interesse des Mündels als neuer Vormund anbietet,</w:t>
      </w:r>
    </w:p>
    <w:p>
      <w:pPr>
        <w:tabs>
          <w:tab w:pos="567" w:val="left"/>
        </w:tabs>
        <w:ind w:left="567" w:hanging="567"/>
      </w:pPr>
      <w:r>
        <w:t>3.</w:t>
      </w:r>
      <w:r>
        <w:tab/>
      </w:r>
      <w:r>
        <w:t>der Mündel, der das 14. Lebensjahr vollendet hat, sowie</w:t>
      </w:r>
    </w:p>
    <w:p>
      <w:pPr>
        <w:tabs>
          <w:tab w:pos="567" w:val="left"/>
        </w:tabs>
        <w:ind w:left="567" w:hanging="567"/>
      </w:pPr>
      <w:r>
        <w:t>4.</w:t>
      </w:r>
      <w:r>
        <w:tab/>
      </w:r>
      <w:r>
        <w:t>jeder andere, der ein berechtigtes Interesse des Mündels geltend macht.</w:t>
      </w:r>
    </w:p>
    <w:p>
      <w:pPr>
        <w:pStyle w:val="Heading5"/>
      </w:pPr>
      <w:bookmarkStart w:id="2271" w:name="b2256"/>
      <w:r>
        <w:t>§ 1805 Bestellung eines neuen Vormunds</w:t>
      </w:r>
      <w:r>
        <w:t xml:space="preserve"> </w:t>
      </w:r>
      <w:r>
        <w:rPr>
          <w:rStyle w:val="Suchmarke"/>
        </w:rPr>
        <w:t>#1805#</w:t>
      </w:r>
      <w:bookmarkEnd w:id="2271"/>
    </w:p>
    <w:p>
      <w:r>
        <w:t xml:space="preserve">(1) </w:t>
      </w:r>
      <w:r>
        <w:rPr>
          <w:rStyle w:val="Satznummer"/>
        </w:rPr>
        <w:t>1</w:t>
      </w:r>
      <w:r>
        <w:t xml:space="preserve">Wird der Vormund entlassen oder verstirbt er, hat das Familiengericht unverzüglich einen neuen Vormund zu bestellen. </w:t>
      </w:r>
      <w:r>
        <w:rPr>
          <w:rStyle w:val="Satznummer"/>
        </w:rPr>
        <w:t>2</w:t>
      </w:r>
      <w:r>
        <w:t xml:space="preserve">Die </w:t>
      </w:r>
      <w:hyperlink w:anchor="b2222" w:history="1">
        <w:r>
          <w:rPr>
            <w:color w:val="0A3A8C"/>
            <w:u w:val="single"/>
          </w:rPr>
          <w:t xml:space="preserve">§§ 1778</w:t>
        </w:r>
      </w:hyperlink>
      <w:r>
        <w:t xml:space="preserve"> bis </w:t>
      </w:r>
      <w:hyperlink w:anchor="b2229" w:history="1">
        <w:r>
          <w:rPr>
            <w:color w:val="0A3A8C"/>
            <w:u w:val="single"/>
          </w:rPr>
          <w:t xml:space="preserve">1785</w:t>
        </w:r>
      </w:hyperlink>
      <w:r>
        <w:t xml:space="preserve"> gelten entsprechend.</w:t>
      </w:r>
    </w:p>
    <w:p>
      <w:r>
        <w:t xml:space="preserve">(2) Wird der Vereinsvormund gemäß </w:t>
      </w:r>
      <w:hyperlink w:anchor="b2255" w:history="1">
        <w:r>
          <w:rPr>
            <w:color w:val="0A3A8C"/>
            <w:u w:val="single"/>
          </w:rPr>
          <w:t xml:space="preserve">§ 1804</w:t>
        </w:r>
      </w:hyperlink>
      <w:r>
        <w:t xml:space="preserve"> Absatz 1 Nummer 3 oder Absatz 2 Nummer 2 entlassen, kann das Familiengericht statt der Entlassung des Vereinsvormunds feststellen, dass dieser die Vormundschaft künftig als Privatperson weiterführt, wenn dies dem Wohl des Mündels dient.</w:t>
      </w:r>
    </w:p>
    <w:p>
      <w:pPr>
        <w:pStyle w:val="Heading5"/>
      </w:pPr>
      <w:bookmarkStart w:id="2272" w:name="b2257"/>
      <w:r>
        <w:t>§ 1806 Ende der Vormundschaft</w:t>
      </w:r>
      <w:r>
        <w:t xml:space="preserve"> </w:t>
      </w:r>
      <w:r>
        <w:rPr>
          <w:rStyle w:val="Suchmarke"/>
        </w:rPr>
        <w:t>#1806#</w:t>
      </w:r>
      <w:bookmarkEnd w:id="2272"/>
    </w:p>
    <w:p>
      <w:r>
        <w:t xml:space="preserve">Die Vormundschaft endet, wenn die Voraussetzungen für ihre Begründung gemäß </w:t>
      </w:r>
      <w:hyperlink w:anchor="b2216" w:history="1">
        <w:r>
          <w:rPr>
            <w:color w:val="0A3A8C"/>
            <w:u w:val="single"/>
          </w:rPr>
          <w:t xml:space="preserve">§ 1773</w:t>
        </w:r>
      </w:hyperlink>
      <w:r>
        <w:t xml:space="preserve"> nicht mehr gegeben sind.</w:t>
      </w:r>
    </w:p>
    <w:p>
      <w:pPr>
        <w:pStyle w:val="Heading5"/>
      </w:pPr>
      <w:bookmarkStart w:id="2273" w:name="b2258"/>
      <w:r>
        <w:t>§ 1807 Vermögensherausgabe, Schlussrechnungslegung und Fortführung der Geschäfte</w:t>
      </w:r>
      <w:r>
        <w:t xml:space="preserve"> </w:t>
      </w:r>
      <w:r>
        <w:rPr>
          <w:rStyle w:val="Suchmarke"/>
        </w:rPr>
        <w:t>#1807#</w:t>
      </w:r>
      <w:bookmarkEnd w:id="2273"/>
    </w:p>
    <w:p>
      <w:r>
        <w:t xml:space="preserve">Bei Beendigung der Vormundschaft finden die </w:t>
      </w:r>
      <w:hyperlink w:anchor="b2339" w:history="1">
        <w:r>
          <w:rPr>
            <w:color w:val="0A3A8C"/>
            <w:u w:val="single"/>
          </w:rPr>
          <w:t xml:space="preserve">§§ 1872</w:t>
        </w:r>
      </w:hyperlink>
      <w:r>
        <w:t xml:space="preserve"> bis </w:t>
      </w:r>
      <w:hyperlink w:anchor="b2341" w:history="1">
        <w:r>
          <w:rPr>
            <w:color w:val="0A3A8C"/>
            <w:u w:val="single"/>
          </w:rPr>
          <w:t xml:space="preserve">1874</w:t>
        </w:r>
      </w:hyperlink>
      <w:r>
        <w:t xml:space="preserve"> mit der Maßgabe entsprechende Anwendung, dass </w:t>
      </w:r>
      <w:hyperlink w:anchor="b2339" w:history="1">
        <w:r>
          <w:rPr>
            <w:color w:val="0A3A8C"/>
            <w:u w:val="single"/>
          </w:rPr>
          <w:t xml:space="preserve">§ 1872</w:t>
        </w:r>
      </w:hyperlink>
      <w:r>
        <w:t xml:space="preserve"> Absatz 4 für Vormünder gilt, die bei Beendigung ihres Amtes gemäß </w:t>
      </w:r>
      <w:hyperlink w:anchor="b2250" w:history="1">
        <w:r>
          <w:rPr>
            <w:color w:val="0A3A8C"/>
            <w:u w:val="single"/>
          </w:rPr>
          <w:t xml:space="preserve">§ 1801</w:t>
        </w:r>
      </w:hyperlink>
      <w:r>
        <w:t xml:space="preserve"> Absatz 1 und 3 befreit waren.</w:t>
      </w:r>
    </w:p>
    <w:p>
      <w:pPr>
        <w:pStyle w:val="Heading4"/>
      </w:pPr>
      <w:bookmarkStart w:id="2274" w:name="b2259"/>
      <w:r>
        <w:t>Untertitel 5 Vergütung und Aufwendungsersatz</w:t>
      </w:r>
      <w:bookmarkEnd w:id="2274"/>
    </w:p>
    <w:p>
      <w:pPr>
        <w:pStyle w:val="Heading5"/>
      </w:pPr>
      <w:bookmarkStart w:id="2275" w:name="b2260"/>
      <w:r>
        <w:t>§ 1808 Vergütung und Aufwendungsersatz</w:t>
      </w:r>
      <w:r>
        <w:t xml:space="preserve"> </w:t>
      </w:r>
      <w:r>
        <w:rPr>
          <w:rStyle w:val="Suchmarke"/>
        </w:rPr>
        <w:t>#1808#</w:t>
      </w:r>
      <w:bookmarkEnd w:id="2275"/>
    </w:p>
    <w:p>
      <w:r>
        <w:t>(1) Die Vormundschaft wird grundsätzlich unentgeltlich geführt.</w:t>
      </w:r>
    </w:p>
    <w:p>
      <w:r>
        <w:t xml:space="preserve">(2) </w:t>
      </w:r>
      <w:r>
        <w:rPr>
          <w:rStyle w:val="Satznummer"/>
        </w:rPr>
        <w:t>1</w:t>
      </w:r>
      <w:r>
        <w:t xml:space="preserve">Der ehrenamtliche Vormund kann vom Mündel für seine zur Führung der Vormundschaft erforderlichen Aufwendungen Vorschuss oder Ersatz gemäß </w:t>
      </w:r>
      <w:hyperlink w:anchor="b2345" w:history="1">
        <w:r>
          <w:rPr>
            <w:color w:val="0A3A8C"/>
            <w:u w:val="single"/>
          </w:rPr>
          <w:t xml:space="preserve">§ 1877</w:t>
        </w:r>
      </w:hyperlink>
      <w:r>
        <w:t xml:space="preserve"> oder stattdessen die Aufwandspauschale gemäß </w:t>
      </w:r>
      <w:hyperlink w:anchor="b2346" w:history="1">
        <w:r>
          <w:rPr>
            <w:color w:val="0A3A8C"/>
            <w:u w:val="single"/>
          </w:rPr>
          <w:t xml:space="preserve">§ 1878</w:t>
        </w:r>
      </w:hyperlink>
      <w:r>
        <w:t xml:space="preserve"> verlangen; die </w:t>
      </w:r>
      <w:hyperlink w:anchor="b2347" w:history="1">
        <w:r>
          <w:rPr>
            <w:color w:val="0A3A8C"/>
            <w:u w:val="single"/>
          </w:rPr>
          <w:t xml:space="preserve">§§ 1879</w:t>
        </w:r>
      </w:hyperlink>
      <w:r>
        <w:t xml:space="preserve"> und </w:t>
      </w:r>
      <w:hyperlink w:anchor="b2348" w:history="1">
        <w:r>
          <w:rPr>
            <w:color w:val="0A3A8C"/>
            <w:u w:val="single"/>
          </w:rPr>
          <w:t xml:space="preserve">1880</w:t>
        </w:r>
      </w:hyperlink>
      <w:r>
        <w:t xml:space="preserve"> gelten entsprechend. </w:t>
      </w:r>
      <w:r>
        <w:rPr>
          <w:rStyle w:val="Satznummer"/>
        </w:rPr>
        <w:t>2</w:t>
      </w:r>
      <w:r>
        <w:t xml:space="preserve">Das Familiengericht kann ihm abweichend von Absatz 1 eine angemessene Vergütung bewilligen. </w:t>
      </w:r>
      <w:r>
        <w:rPr>
          <w:rStyle w:val="Satznummer"/>
        </w:rPr>
        <w:t>3</w:t>
      </w:r>
      <w:hyperlink w:anchor="b2344" w:history="1">
        <w:r>
          <w:rPr>
            <w:color w:val="0A3A8C"/>
            <w:u w:val="single"/>
          </w:rPr>
          <w:t xml:space="preserve">§ 1876</w:t>
        </w:r>
      </w:hyperlink>
      <w:r>
        <w:t xml:space="preserve"> Satz 2 gilt entsprechend.</w:t>
      </w:r>
    </w:p>
    <w:p>
      <w:r>
        <w:t xml:space="preserve">(3) </w:t>
      </w:r>
      <w:r>
        <w:rPr>
          <w:rStyle w:val="Satznummer"/>
        </w:rPr>
        <w:t>1</w:t>
      </w:r>
      <w:r>
        <w:t xml:space="preserve">Die Vormundschaft wird ausnahmsweise berufsmäßig geführt. </w:t>
      </w:r>
      <w:r>
        <w:rPr>
          <w:rStyle w:val="Satznummer"/>
        </w:rPr>
        <w:t>2</w:t>
      </w:r>
      <w:r>
        <w:t>Die Berufsmäßigkeit sowie Ansprüche des berufsmäßig tätigen Vormunds und des Vormundschaftsvereins auf Vergütung und Aufwendungsersatz bestimmen sich nach dem Vormünder- und Betreuervergütungsgesetz.</w:t>
      </w:r>
    </w:p>
    <w:p>
      <w:pPr>
        <w:pStyle w:val="Heading3"/>
      </w:pPr>
      <w:bookmarkStart w:id="2276" w:name="b2261"/>
      <w:r>
        <w:t>Titel 2 Pflegschaft für Minderjährige</w:t>
      </w:r>
      <w:bookmarkEnd w:id="2276"/>
    </w:p>
    <w:p>
      <w:pPr>
        <w:pStyle w:val="Heading4"/>
      </w:pPr>
      <w:bookmarkStart w:id="2277" w:name="b2262"/>
      <w:r>
        <w:t>§ 1809 Ergänzungspflegschaft</w:t>
      </w:r>
      <w:r>
        <w:t xml:space="preserve"> </w:t>
      </w:r>
      <w:r>
        <w:rPr>
          <w:rStyle w:val="Suchmarke"/>
        </w:rPr>
        <w:t>#1809#</w:t>
      </w:r>
      <w:bookmarkEnd w:id="2277"/>
    </w:p>
    <w:p>
      <w:r>
        <w:t xml:space="preserve">(1) </w:t>
      </w:r>
      <w:r>
        <w:rPr>
          <w:rStyle w:val="Satznummer"/>
        </w:rPr>
        <w:t>1</w:t>
      </w:r>
      <w:r>
        <w:t xml:space="preserve">Wer unter elterlicher Sorge oder unter Vormundschaft steht, erhält für Angelegenheiten, an deren Besorgung die Eltern oder der Vormund verhindert sind, einen Pfleger. </w:t>
      </w:r>
      <w:r>
        <w:rPr>
          <w:rStyle w:val="Satznummer"/>
        </w:rPr>
        <w:t>2</w:t>
      </w:r>
      <w:r>
        <w:t>Der Pfleger hat die Pflicht und das Recht, die ihm übertragenen Angelegenheiten im Interesse des Pfleglings zu dessen Wohl zu besorgen und diesen zu vertreten.</w:t>
      </w:r>
    </w:p>
    <w:p>
      <w:r>
        <w:t>(2) Wird eine Pflegschaft erforderlich, so haben die Eltern oder der Vormund dies dem Familiengericht unverzüglich anzuzeigen.</w:t>
      </w:r>
    </w:p>
    <w:p>
      <w:pPr>
        <w:pStyle w:val="Heading4"/>
      </w:pPr>
      <w:bookmarkStart w:id="2278" w:name="b2263"/>
      <w:r>
        <w:t>§ 1810 Pflegschaft für ein ungeborenes Kind</w:t>
      </w:r>
      <w:r>
        <w:t xml:space="preserve"> </w:t>
      </w:r>
      <w:r>
        <w:rPr>
          <w:rStyle w:val="Suchmarke"/>
        </w:rPr>
        <w:t>#1810#</w:t>
      </w:r>
      <w:bookmarkEnd w:id="2278"/>
    </w:p>
    <w:p>
      <w:r>
        <w:rPr>
          <w:rStyle w:val="Satznummer"/>
        </w:rPr>
        <w:t>1</w:t>
      </w:r>
      <w:r>
        <w:t xml:space="preserve">Für ein bereits gezeugtes Kind kann zur Wahrung seiner künftigen Rechte ein Pfleger bestellt werden, sofern die Eltern an der Ausübung der elterlichen Sorge verhindert wären, wenn das Kind bereits geboren wäre. </w:t>
      </w:r>
      <w:r>
        <w:rPr>
          <w:rStyle w:val="Satznummer"/>
        </w:rPr>
        <w:t>2</w:t>
      </w:r>
      <w:r>
        <w:t>Mit der Geburt des Kindes endet die Pflegschaft.</w:t>
      </w:r>
    </w:p>
    <w:p>
      <w:pPr>
        <w:pStyle w:val="Heading4"/>
      </w:pPr>
      <w:bookmarkStart w:id="2279" w:name="b2264"/>
      <w:r>
        <w:t>§ 1811 Zuwendungspflegschaft</w:t>
      </w:r>
      <w:r>
        <w:t xml:space="preserve"> </w:t>
      </w:r>
      <w:r>
        <w:rPr>
          <w:rStyle w:val="Suchmarke"/>
        </w:rPr>
        <w:t>#1811#</w:t>
      </w:r>
      <w:bookmarkEnd w:id="2279"/>
    </w:p>
    <w:p>
      <w:r>
        <w:t>(1) Der Minderjährige erhält einen Zuwendungspfleger, wenn</w:t>
      </w:r>
    </w:p>
    <w:p>
      <w:pPr>
        <w:tabs>
          <w:tab w:pos="567" w:val="left"/>
        </w:tabs>
        <w:ind w:left="567" w:hanging="567"/>
      </w:pPr>
      <w:r>
        <w:t>1.</w:t>
      </w:r>
      <w:r>
        <w:tab/>
      </w:r>
      <w:r>
        <w:t>der Minderjährige von Todes wegen, durch unentgeltliche Zuwendung auf den Todesfall oder unter Lebenden Vermögen erwirbt und</w:t>
      </w:r>
    </w:p>
    <w:p>
      <w:pPr>
        <w:tabs>
          <w:tab w:pos="567" w:val="left"/>
        </w:tabs>
        <w:ind w:left="567" w:hanging="567"/>
      </w:pPr>
      <w:r>
        <w:t>2.</w:t>
      </w:r>
      <w:r>
        <w:tab/>
      </w:r>
      <w:r>
        <w:t>der Erblasser durch letztwillige Verfügung, der Zuwendende bei der Zuwendung bestimmt hat, dass die Eltern oder der Vormund das Vermögen nicht verwalten sollen.</w:t>
      </w:r>
    </w:p>
    <w:p>
      <w:r>
        <w:t xml:space="preserve">(2) </w:t>
      </w:r>
      <w:r>
        <w:rPr>
          <w:rStyle w:val="Satznummer"/>
        </w:rPr>
        <w:t>1</w:t>
      </w:r>
      <w:r>
        <w:t>Der Erblasser kann durch letztwillige Verfügung, der Zuwendende bei der Zuwendung</w:t>
      </w:r>
    </w:p>
    <w:p>
      <w:pPr>
        <w:tabs>
          <w:tab w:pos="567" w:val="left"/>
        </w:tabs>
        <w:ind w:left="567" w:hanging="567"/>
      </w:pPr>
      <w:r>
        <w:t>1.</w:t>
      </w:r>
      <w:r>
        <w:tab/>
      </w:r>
      <w:r>
        <w:t>einen Zuwendungspfleger benennen,</w:t>
      </w:r>
    </w:p>
    <w:p>
      <w:pPr>
        <w:tabs>
          <w:tab w:pos="567" w:val="left"/>
        </w:tabs>
        <w:ind w:left="567" w:hanging="567"/>
      </w:pPr>
      <w:r>
        <w:t>2.</w:t>
      </w:r>
      <w:r>
        <w:tab/>
      </w:r>
      <w:r>
        <w:t xml:space="preserve">den Zuwendungspfleger von den Beschränkungen gemäß den </w:t>
      </w:r>
      <w:hyperlink w:anchor="b2304" w:history="1">
        <w:r>
          <w:rPr>
            <w:color w:val="0A3A8C"/>
            <w:u w:val="single"/>
          </w:rPr>
          <w:t xml:space="preserve">§§ 1843</w:t>
        </w:r>
      </w:hyperlink>
      <w:r>
        <w:t xml:space="preserve">, </w:t>
      </w:r>
      <w:hyperlink w:anchor="b2306" w:history="1">
        <w:r>
          <w:rPr>
            <w:color w:val="0A3A8C"/>
            <w:u w:val="single"/>
          </w:rPr>
          <w:t xml:space="preserve">1845</w:t>
        </w:r>
      </w:hyperlink>
      <w:r>
        <w:t xml:space="preserve">, </w:t>
      </w:r>
      <w:hyperlink w:anchor="b2308" w:history="1">
        <w:r>
          <w:rPr>
            <w:color w:val="0A3A8C"/>
            <w:u w:val="single"/>
          </w:rPr>
          <w:t xml:space="preserve">1846</w:t>
        </w:r>
      </w:hyperlink>
      <w:r>
        <w:t xml:space="preserve">, </w:t>
      </w:r>
      <w:hyperlink w:anchor="b2311" w:history="1">
        <w:r>
          <w:rPr>
            <w:color w:val="0A3A8C"/>
            <w:u w:val="single"/>
          </w:rPr>
          <w:t xml:space="preserve">1848</w:t>
        </w:r>
      </w:hyperlink>
      <w:r>
        <w:t xml:space="preserve">, </w:t>
      </w:r>
      <w:hyperlink w:anchor="b2312" w:history="1">
        <w:r>
          <w:rPr>
            <w:color w:val="0A3A8C"/>
            <w:u w:val="single"/>
          </w:rPr>
          <w:t xml:space="preserve">1849</w:t>
        </w:r>
      </w:hyperlink>
      <w:r>
        <w:t xml:space="preserve"> Absatz 1 Satz 1 Nummer 1 und 2 und Satz 2 sowie </w:t>
      </w:r>
      <w:hyperlink w:anchor="b2331" w:history="1">
        <w:r>
          <w:rPr>
            <w:color w:val="0A3A8C"/>
            <w:u w:val="single"/>
          </w:rPr>
          <w:t xml:space="preserve">§ 1865</w:t>
        </w:r>
      </w:hyperlink>
      <w:r>
        <w:t xml:space="preserve"> befreien.</w:t>
      </w:r>
    </w:p>
    <w:p>
      <w:r>
        <w:rPr>
          <w:rStyle w:val="Satznummer"/>
        </w:rPr>
        <w:t>2</w:t>
      </w:r>
      <w:r>
        <w:t xml:space="preserve">In den Fällen des Satzes 1 Nummer 1 gilt </w:t>
      </w:r>
      <w:hyperlink w:anchor="b2227" w:history="1">
        <w:r>
          <w:rPr>
            <w:color w:val="0A3A8C"/>
            <w:u w:val="single"/>
          </w:rPr>
          <w:t xml:space="preserve">§ 1783</w:t>
        </w:r>
      </w:hyperlink>
      <w:r>
        <w:t xml:space="preserve"> entsprechend. </w:t>
      </w:r>
      <w:r>
        <w:rPr>
          <w:rStyle w:val="Satznummer"/>
        </w:rPr>
        <w:t>3</w:t>
      </w:r>
      <w:r>
        <w:t xml:space="preserve">In den Fällen des Satzes 1 Nummer 2 gilt </w:t>
      </w:r>
      <w:hyperlink w:anchor="b2324" w:history="1">
        <w:r>
          <w:rPr>
            <w:color w:val="0A3A8C"/>
            <w:u w:val="single"/>
          </w:rPr>
          <w:t xml:space="preserve">§ 1859</w:t>
        </w:r>
      </w:hyperlink>
      <w:r>
        <w:t xml:space="preserve"> Absatz 1 Satz 2 und 3 entsprechend.</w:t>
      </w:r>
    </w:p>
    <w:p>
      <w:r>
        <w:t xml:space="preserve">(3) </w:t>
      </w:r>
      <w:r>
        <w:rPr>
          <w:rStyle w:val="Satznummer"/>
        </w:rPr>
        <w:t>1</w:t>
      </w:r>
      <w:r>
        <w:t xml:space="preserve">Das Familiengericht hat die Befreiungen nach Absatz 2 Satz 1 Nummer 2 aufzuheben, wenn sie das Vermögen des Pfleglings erheblich gefährden. </w:t>
      </w:r>
      <w:r>
        <w:rPr>
          <w:rStyle w:val="Satznummer"/>
        </w:rPr>
        <w:t>2</w:t>
      </w:r>
      <w:r>
        <w:t xml:space="preserve">Solange der Zuwendende lebt, ist zu einer Abweichung der von ihm erteilten Befreiungen seine Zustimmung erforderlich und genügend. </w:t>
      </w:r>
      <w:r>
        <w:rPr>
          <w:rStyle w:val="Satznummer"/>
        </w:rPr>
        <w:t>3</w:t>
      </w:r>
      <w:r>
        <w:t>Ist er zur Abgabe einer Erklärung dauerhaft außerstande oder ist sein Aufenthalt dauerhaft unbekannt, so hat das Familiengericht unter Beachtung der Voraussetzung des Satzes 1 die Zustimmung zu ersetzen.</w:t>
      </w:r>
    </w:p>
    <w:p>
      <w:r>
        <w:t xml:space="preserve">(4) </w:t>
      </w:r>
      <w:r>
        <w:rPr>
          <w:rStyle w:val="Satznummer"/>
        </w:rPr>
        <w:t>1</w:t>
      </w:r>
      <w:r>
        <w:t xml:space="preserve">Sofern der Pflegling nicht mittellos ist, bestimmt sich die Höhe des Stundensatzes des Zuwendungspflegers nach seinen für die Führung der Pflegschaftsgeschäfte nutzbaren Fachkenntnissen sowie nach dem Umfang und der Schwierigkeit der Pflegschaftsgeschäfte. </w:t>
      </w:r>
      <w:r>
        <w:rPr>
          <w:rStyle w:val="Satznummer"/>
        </w:rPr>
        <w:t>2</w:t>
      </w:r>
      <w:hyperlink w:anchor="b2349" w:history="1">
        <w:r>
          <w:rPr>
            <w:color w:val="0A3A8C"/>
            <w:u w:val="single"/>
          </w:rPr>
          <w:t xml:space="preserve">§ 1881</w:t>
        </w:r>
      </w:hyperlink>
      <w:r>
        <w:t xml:space="preserve"> gilt entsprechend.</w:t>
      </w:r>
    </w:p>
    <w:p>
      <w:pPr>
        <w:pStyle w:val="Heading4"/>
      </w:pPr>
      <w:bookmarkStart w:id="2280" w:name="b2265"/>
      <w:r>
        <w:t>§ 1812 Aufhebung und Ende der Pflegschaft</w:t>
      </w:r>
      <w:r>
        <w:t xml:space="preserve"> </w:t>
      </w:r>
      <w:r>
        <w:rPr>
          <w:rStyle w:val="Suchmarke"/>
        </w:rPr>
        <w:t>#1812#</w:t>
      </w:r>
      <w:bookmarkEnd w:id="2280"/>
    </w:p>
    <w:p>
      <w:r>
        <w:t>(1) Die Pflegschaft ist aufzuheben, wenn der Grund für die Anordnung der Pflegschaft weggefallen ist.</w:t>
      </w:r>
    </w:p>
    <w:p>
      <w:r>
        <w:t>(2) Die Pflegschaft endet mit der Beendigung der elterlichen Sorge oder der Vormundschaft, im Falle der Pflegschaft zur Besorgung einer einzelnen Angelegenheit mit deren Erledigung.</w:t>
      </w:r>
    </w:p>
    <w:p>
      <w:pPr>
        <w:pStyle w:val="Heading4"/>
      </w:pPr>
      <w:bookmarkStart w:id="2281" w:name="b2266"/>
      <w:r>
        <w:t>§ 1813 Anwendung des Vormundschaftsrechts</w:t>
      </w:r>
      <w:r>
        <w:t xml:space="preserve"> </w:t>
      </w:r>
      <w:r>
        <w:rPr>
          <w:rStyle w:val="Suchmarke"/>
        </w:rPr>
        <w:t>#1813#</w:t>
      </w:r>
      <w:bookmarkEnd w:id="2281"/>
    </w:p>
    <w:p>
      <w:r>
        <w:t>(1) Auf die Pflegschaften nach diesem Titel finden die für die Vormundschaft geltenden Vorschriften entsprechende Anwendung, soweit sich aus dem Gesetz nichts anderes ergibt.</w:t>
      </w:r>
    </w:p>
    <w:p>
      <w:r>
        <w:t xml:space="preserve">(2) Für Pflegschaften nach </w:t>
      </w:r>
      <w:hyperlink w:anchor="b2262" w:history="1">
        <w:r>
          <w:rPr>
            <w:color w:val="0A3A8C"/>
            <w:u w:val="single"/>
          </w:rPr>
          <w:t xml:space="preserve">§ 1809</w:t>
        </w:r>
      </w:hyperlink>
      <w:r>
        <w:t xml:space="preserve"> Absatz 1 Satz 1 gelten die </w:t>
      </w:r>
      <w:hyperlink w:anchor="b2226" w:history="1">
        <w:r>
          <w:rPr>
            <w:color w:val="0A3A8C"/>
            <w:u w:val="single"/>
          </w:rPr>
          <w:t xml:space="preserve">§§ 1782</w:t>
        </w:r>
      </w:hyperlink>
      <w:r>
        <w:t xml:space="preserve"> und </w:t>
      </w:r>
      <w:hyperlink w:anchor="b2227" w:history="1">
        <w:r>
          <w:rPr>
            <w:color w:val="0A3A8C"/>
            <w:u w:val="single"/>
          </w:rPr>
          <w:t xml:space="preserve">1783</w:t>
        </w:r>
      </w:hyperlink>
      <w:r>
        <w:t xml:space="preserve"> nicht.</w:t>
      </w:r>
    </w:p>
    <w:p>
      <w:pPr>
        <w:pStyle w:val="Heading3"/>
      </w:pPr>
      <w:bookmarkStart w:id="2282" w:name="b2267"/>
      <w:r>
        <w:t>Titel 3 Rechtliche Betreuung</w:t>
      </w:r>
      <w:bookmarkEnd w:id="2282"/>
    </w:p>
    <w:p>
      <w:pPr>
        <w:pStyle w:val="Heading4"/>
      </w:pPr>
      <w:bookmarkStart w:id="2283" w:name="b2268"/>
      <w:r>
        <w:t>Untertitel 1 Betreuerbestellung</w:t>
      </w:r>
      <w:bookmarkEnd w:id="2283"/>
    </w:p>
    <w:p>
      <w:pPr>
        <w:pStyle w:val="Heading5"/>
      </w:pPr>
      <w:bookmarkStart w:id="2284" w:name="b2269"/>
      <w:r>
        <w:t>§ 1814 Voraussetzungen</w:t>
      </w:r>
      <w:r>
        <w:t xml:space="preserve"> </w:t>
      </w:r>
      <w:r>
        <w:rPr>
          <w:rStyle w:val="Suchmarke"/>
        </w:rPr>
        <w:t>#1814#</w:t>
      </w:r>
      <w:bookmarkEnd w:id="2284"/>
    </w:p>
    <w:p>
      <w:r>
        <w:t>(1) Kann ein Volljähriger seine Angelegenheiten ganz oder teilweise rechtlich nicht besorgen und beruht dies auf einer Krankheit oder Behinderung, so bestellt das Betreuungsgericht für ihn einen rechtlichen Betreuer (Betreuer).</w:t>
      </w:r>
    </w:p>
    <w:p>
      <w:r>
        <w:t>(2) Gegen den freien Willen des Volljährigen darf ein Betreuer nicht bestellt werden.</w:t>
      </w:r>
    </w:p>
    <w:p>
      <w:r>
        <w:t xml:space="preserve">(3) </w:t>
      </w:r>
      <w:r>
        <w:rPr>
          <w:rStyle w:val="Satznummer"/>
        </w:rPr>
        <w:t>1</w:t>
      </w:r>
      <w:r>
        <w:t xml:space="preserve">Ein Betreuer darf nur bestellt werden, wenn dies erforderlich ist. </w:t>
      </w:r>
      <w:r>
        <w:rPr>
          <w:rStyle w:val="Satznummer"/>
        </w:rPr>
        <w:t>2</w:t>
      </w:r>
      <w:r>
        <w:t>Die Bestellung eines Betreuers ist insbesondere nicht erforderlich, soweit die Angelegenheiten des Volljährigen</w:t>
      </w:r>
    </w:p>
    <w:p>
      <w:pPr>
        <w:tabs>
          <w:tab w:pos="567" w:val="left"/>
        </w:tabs>
        <w:ind w:left="567" w:hanging="567"/>
      </w:pPr>
      <w:r>
        <w:t>1.</w:t>
      </w:r>
      <w:r>
        <w:tab/>
      </w:r>
      <w:r>
        <w:t xml:space="preserve">durch einen Bevollmächtigten, der nicht zu den in </w:t>
      </w:r>
      <w:hyperlink w:anchor="b2271" w:history="1">
        <w:r>
          <w:rPr>
            <w:color w:val="0A3A8C"/>
            <w:u w:val="single"/>
          </w:rPr>
          <w:t xml:space="preserve">§ 1816</w:t>
        </w:r>
      </w:hyperlink>
      <w:r>
        <w:t xml:space="preserve"> Absatz 6 bezeichneten Personen gehört, gleichermaßen besorgt werden können oder</w:t>
      </w:r>
    </w:p>
    <w:p>
      <w:pPr>
        <w:tabs>
          <w:tab w:pos="567" w:val="left"/>
        </w:tabs>
        <w:ind w:left="567" w:hanging="567"/>
      </w:pPr>
      <w:r>
        <w:t>2.</w:t>
      </w:r>
      <w:r>
        <w:tab/>
      </w:r>
      <w:r>
        <w:t>durch andere Hilfen, bei denen kein gesetzlicher Vertreter bestellt wird, erledigt werden können, insbesondere durch solche Unterstützung, die auf sozialen Rechten oder anderen Vorschriften beruht.</w:t>
      </w:r>
    </w:p>
    <w:p>
      <w:r>
        <w:t xml:space="preserve">(4) </w:t>
      </w:r>
      <w:r>
        <w:rPr>
          <w:rStyle w:val="Satznummer"/>
        </w:rPr>
        <w:t>1</w:t>
      </w:r>
      <w:r>
        <w:t xml:space="preserve">Die Bestellung eines Betreuers erfolgt auf Antrag des Volljährigen oder von Amts wegen. </w:t>
      </w:r>
      <w:r>
        <w:rPr>
          <w:rStyle w:val="Satznummer"/>
        </w:rPr>
        <w:t>2</w:t>
      </w:r>
      <w:r>
        <w:t>Soweit der Volljährige seine Angelegenheiten lediglich aufgrund einer körperlichen Krankheit oder Behinderung nicht besorgen kann, darf ein Betreuer nur auf Antrag des Volljährigen bestellt werden, es sei denn, dass dieser seinen Willen nicht kundtun kann.</w:t>
      </w:r>
    </w:p>
    <w:p>
      <w:r>
        <w:t xml:space="preserve">(5) </w:t>
      </w:r>
      <w:r>
        <w:rPr>
          <w:rStyle w:val="Satznummer"/>
        </w:rPr>
        <w:t>1</w:t>
      </w:r>
      <w:r>
        <w:t xml:space="preserve">Ein Betreuer kann auch für einen Minderjährigen, der das 17. Lebensjahr vollendet hat, bestellt werden, wenn anzunehmen ist, dass die Bestellung eines Betreuers bei Eintritt der Volljährigkeit erforderlich sein wird. </w:t>
      </w:r>
      <w:r>
        <w:rPr>
          <w:rStyle w:val="Satznummer"/>
        </w:rPr>
        <w:t>2</w:t>
      </w:r>
      <w:r>
        <w:t>Die Bestellung des Betreuers wird erst mit dem Eintritt der Volljährigkeit wirksam.</w:t>
      </w:r>
    </w:p>
    <w:p>
      <w:pPr>
        <w:pStyle w:val="Heading5"/>
      </w:pPr>
      <w:bookmarkStart w:id="2285" w:name="b2270"/>
      <w:r>
        <w:t>§ 1815 Umfang der Betreuung</w:t>
      </w:r>
      <w:r>
        <w:t xml:space="preserve"> </w:t>
      </w:r>
      <w:r>
        <w:rPr>
          <w:rStyle w:val="Suchmarke"/>
        </w:rPr>
        <w:t>#1815#</w:t>
      </w:r>
      <w:bookmarkEnd w:id="2285"/>
    </w:p>
    <w:p>
      <w:r>
        <w:t xml:space="preserve">(1) </w:t>
      </w:r>
      <w:r>
        <w:rPr>
          <w:rStyle w:val="Satznummer"/>
        </w:rPr>
        <w:t>1</w:t>
      </w:r>
      <w:r>
        <w:t xml:space="preserve">Der Aufgabenkreis eines Betreuers besteht aus einem oder mehreren Aufgabenbereichen. </w:t>
      </w:r>
      <w:r>
        <w:rPr>
          <w:rStyle w:val="Satznummer"/>
        </w:rPr>
        <w:t>2</w:t>
      </w:r>
      <w:r>
        <w:t xml:space="preserve">Diese sind vom Betreuungsgericht im Einzelnen anzuordnen. </w:t>
      </w:r>
      <w:r>
        <w:rPr>
          <w:rStyle w:val="Satznummer"/>
        </w:rPr>
        <w:t>3</w:t>
      </w:r>
      <w:r>
        <w:t>Ein Aufgabenbereich darf nur angeordnet werden, wenn und soweit dessen rechtliche Wahrnehmung durch einen Betreuer erforderlich ist.</w:t>
      </w:r>
    </w:p>
    <w:p>
      <w:r>
        <w:t>(2) Folgende Entscheidungen darf der Betreuer nur treffen, wenn sie als Aufgabenbereich vom Betreuungsgericht ausdrücklich angeordnet worden sind:</w:t>
      </w:r>
    </w:p>
    <w:p>
      <w:pPr>
        <w:tabs>
          <w:tab w:pos="567" w:val="left"/>
        </w:tabs>
        <w:ind w:left="567" w:hanging="567"/>
      </w:pPr>
      <w:r>
        <w:t>1.</w:t>
      </w:r>
      <w:r>
        <w:tab/>
      </w:r>
      <w:r>
        <w:t xml:space="preserve">eine mit Freiheitsentziehung verbundene Unterbringung des Betreuten nach </w:t>
      </w:r>
      <w:hyperlink w:anchor="b2289" w:history="1">
        <w:r>
          <w:rPr>
            <w:color w:val="0A3A8C"/>
            <w:u w:val="single"/>
          </w:rPr>
          <w:t xml:space="preserve">§ 1831</w:t>
        </w:r>
      </w:hyperlink>
      <w:r>
        <w:t xml:space="preserve"> Absatz 1,</w:t>
      </w:r>
    </w:p>
    <w:p>
      <w:pPr>
        <w:tabs>
          <w:tab w:pos="567" w:val="left"/>
        </w:tabs>
        <w:ind w:left="567" w:hanging="567"/>
      </w:pPr>
      <w:r>
        <w:t>2.</w:t>
      </w:r>
      <w:r>
        <w:tab/>
      </w:r>
      <w:r>
        <w:t xml:space="preserve">eine freiheitsentziehende Maßnahme im Sinne des </w:t>
      </w:r>
      <w:hyperlink w:anchor="b2289" w:history="1">
        <w:r>
          <w:rPr>
            <w:color w:val="0A3A8C"/>
            <w:u w:val="single"/>
          </w:rPr>
          <w:t xml:space="preserve">§ 1831</w:t>
        </w:r>
      </w:hyperlink>
      <w:r>
        <w:t xml:space="preserve"> Absatz 4, unabhängig davon, wo der Betreute sich aufhält,</w:t>
      </w:r>
    </w:p>
    <w:p>
      <w:pPr>
        <w:tabs>
          <w:tab w:pos="567" w:val="left"/>
        </w:tabs>
        <w:ind w:left="567" w:hanging="567"/>
      </w:pPr>
      <w:r>
        <w:t>3.</w:t>
      </w:r>
      <w:r>
        <w:tab/>
      </w:r>
      <w:r>
        <w:t>die Bestimmung des gewöhnlichen Aufenthalts des Betreuten im Ausland,</w:t>
      </w:r>
    </w:p>
    <w:p>
      <w:pPr>
        <w:tabs>
          <w:tab w:pos="567" w:val="left"/>
        </w:tabs>
        <w:ind w:left="567" w:hanging="567"/>
      </w:pPr>
      <w:r>
        <w:t>4.</w:t>
      </w:r>
      <w:r>
        <w:tab/>
      </w:r>
      <w:r>
        <w:t>die Bestimmung des Umgangs des Betreuten,</w:t>
      </w:r>
    </w:p>
    <w:p>
      <w:pPr>
        <w:tabs>
          <w:tab w:pos="567" w:val="left"/>
        </w:tabs>
        <w:ind w:left="567" w:hanging="567"/>
      </w:pPr>
      <w:r>
        <w:t>5.</w:t>
      </w:r>
      <w:r>
        <w:tab/>
      </w:r>
      <w:r>
        <w:t>die Entscheidung über die Telekommunikation des Betreuten einschließlich seiner elektronischen Kommunikation,</w:t>
      </w:r>
    </w:p>
    <w:p>
      <w:pPr>
        <w:tabs>
          <w:tab w:pos="567" w:val="left"/>
        </w:tabs>
        <w:ind w:left="567" w:hanging="567"/>
      </w:pPr>
      <w:r>
        <w:t>6.</w:t>
      </w:r>
      <w:r>
        <w:tab/>
      </w:r>
      <w:r>
        <w:t>die Entscheidung über die Entgegennahme, das Öffnen und das Anhalten der Post des Betreuten.</w:t>
      </w:r>
    </w:p>
    <w:p>
      <w:r>
        <w:t xml:space="preserve">(3) Einem Betreuer können unter den Voraussetzungen des </w:t>
      </w:r>
      <w:hyperlink w:anchor="b2275" w:history="1">
        <w:r>
          <w:rPr>
            <w:color w:val="0A3A8C"/>
            <w:u w:val="single"/>
          </w:rPr>
          <w:t xml:space="preserve">§ 1820</w:t>
        </w:r>
      </w:hyperlink>
      <w:r>
        <w:t xml:space="preserve"> Absatz 3 auch die Aufgabenbereiche der Geltendmachung von Rechten des Betreuten gegenüber seinem Bevollmächtigten sowie zusätzlich der Geltendmachung von Auskunfts- und Rechenschaftsansprüchen des Betreuten gegenüber Dritten übertragen werden (Kontrollbetreuer).</w:t>
      </w:r>
    </w:p>
    <w:p>
      <w:pPr>
        <w:pStyle w:val="Heading5"/>
      </w:pPr>
      <w:bookmarkStart w:id="2286" w:name="b2271"/>
      <w:r>
        <w:t>§ 1816 Eignung und Auswahl des Betreuers; Berücksichtigung der Wünsche des Volljährigen</w:t>
      </w:r>
      <w:r>
        <w:t xml:space="preserve"> </w:t>
      </w:r>
      <w:r>
        <w:rPr>
          <w:rStyle w:val="Suchmarke"/>
        </w:rPr>
        <w:t>#1816#</w:t>
      </w:r>
      <w:bookmarkEnd w:id="2286"/>
    </w:p>
    <w:p>
      <w:r>
        <w:t xml:space="preserve">(1) Das Betreuungsgericht bestellt einen Betreuer, der geeignet ist, in dem gerichtlich angeordneten Aufgabenkreis die Angelegenheiten des Betreuten nach Maßgabe des </w:t>
      </w:r>
      <w:hyperlink w:anchor="b2278" w:history="1">
        <w:r>
          <w:rPr>
            <w:color w:val="0A3A8C"/>
            <w:u w:val="single"/>
          </w:rPr>
          <w:t xml:space="preserve">§ 1821</w:t>
        </w:r>
      </w:hyperlink>
      <w:r>
        <w:t xml:space="preserve"> rechtlich zu besorgen und insbesondere in dem hierfür erforderlichen Umfang persönlichen Kontakt mit dem Betreuten zu halten.</w:t>
      </w:r>
    </w:p>
    <w:p>
      <w:r>
        <w:t xml:space="preserve">(2) </w:t>
      </w:r>
      <w:r>
        <w:rPr>
          <w:rStyle w:val="Satznummer"/>
        </w:rPr>
        <w:t>1</w:t>
      </w:r>
      <w:r>
        <w:t xml:space="preserve">Wünscht der Volljährige eine Person als Betreuer, so ist diesem Wunsch zu entsprechen, es sei denn, die gewünschte Person ist zur Führung der Betreuung nach Absatz 1 nicht geeignet. </w:t>
      </w:r>
      <w:r>
        <w:rPr>
          <w:rStyle w:val="Satznummer"/>
        </w:rPr>
        <w:t>2</w:t>
      </w:r>
      <w:r>
        <w:t xml:space="preserve">Lehnt der Volljährige eine bestimmte Person als Betreuer ab, so ist diesem Wunsch zu entsprechen, es sei denn, die Ablehnung bezieht sich nicht auf die Person des Betreuers, sondern auf die Bestellung eines Betreuers als solche. </w:t>
      </w:r>
      <w:r>
        <w:rPr>
          <w:rStyle w:val="Satznummer"/>
        </w:rPr>
        <w:t>3</w:t>
      </w:r>
      <w:r>
        <w:t xml:space="preserve">Die Sätze 1 und 2 gelten auch für Wünsche, die der Volljährige vor Einleitung des Betreuungsverfahrens geäußert hat, es sei denn, dass er an diesen erkennbar nicht festhalten will. </w:t>
      </w:r>
      <w:r>
        <w:rPr>
          <w:rStyle w:val="Satznummer"/>
        </w:rPr>
        <w:t>4</w:t>
      </w:r>
      <w:r>
        <w:t>Wer von der Einleitung eines Verfahrens über die Bestellung eines Betreuers für einen Volljährigen Kenntnis erlangt und ein Dokument besitzt, in dem der Volljährige für den Fall, dass für ihn ein Betreuer bestellt werden muss, Wünsche zur Auswahl des Betreuers oder zur Wahrnehmung der Betreuung geäußert hat (Betreuungsverfügung), hat die Betreuungsverfügung dem Betreuungsgericht zu übermitteln.</w:t>
      </w:r>
    </w:p>
    <w:p>
      <w:r>
        <w:t>(3) Schlägt der Volljährige niemanden vor, der zum Betreuer bestellt werden kann oder ist die gewünschte Person nicht geeignet, so sind bei der Auswahl des Betreuers die familiären Beziehungen des Volljährigen, insbesondere zum Ehegatten, zu Eltern und zu Kindern, seine persönlichen Bindungen sowie die Gefahr von Interessenkonflikten zu berücksichtigen.</w:t>
      </w:r>
    </w:p>
    <w:p>
      <w:r>
        <w:t>(4) Eine Person, die keine familiäre Beziehung oder persönliche Bindung zu dem Volljährigen hat, soll nur dann zum ehrenamtlichen Betreuer bestellt werden, wenn sie mit einem nach § 14 des Betreuungsorganisationsgesetzes anerkannten Betreuungsverein oder mit der zuständigen Behörde eine Vereinbarung über eine Begleitung und Unterstützung gemäß § 15 Absatz 1 Satz 1 Nummer 4 oder § 5 Absatz 2 Satz 3 des Betreuungsorganisationsgesetzes geschlossen hat.</w:t>
      </w:r>
    </w:p>
    <w:p>
      <w:r>
        <w:t xml:space="preserve">(5) </w:t>
      </w:r>
      <w:r>
        <w:rPr>
          <w:rStyle w:val="Satznummer"/>
        </w:rPr>
        <w:t>1</w:t>
      </w:r>
      <w:r>
        <w:t xml:space="preserve">Ein beruflicher Betreuer nach § 19 Absatz 2 des Betreuungsorganisationsgesetzes soll nur dann zum Betreuer bestellt werden, wenn keine geeignete Person für die ehrenamtliche Führung der Betreuung zur Verfügung steht. </w:t>
      </w:r>
      <w:r>
        <w:rPr>
          <w:rStyle w:val="Satznummer"/>
        </w:rPr>
        <w:t>2</w:t>
      </w:r>
      <w:r>
        <w:t>Bei der Entscheidung, ob ein bestimmter beruflicher Betreuer bestellt wird, sind die Anzahl und der Umfang der bereits von diesem zu führenden Betreuungen zu berücksichtigen.</w:t>
      </w:r>
    </w:p>
    <w:p>
      <w:r>
        <w:t xml:space="preserve">(6) </w:t>
      </w:r>
      <w:r>
        <w:rPr>
          <w:rStyle w:val="Satznummer"/>
        </w:rPr>
        <w:t>1</w:t>
      </w:r>
      <w:r>
        <w:t xml:space="preserve">Eine Person, die zu einem Träger von Einrichtungen oder Diensten, der in der Versorgung des Volljährigen tätig ist, in einem Abhängigkeitsverhältnis oder in einer anderen engen Beziehung steht, darf nicht zum Betreuer bestellt werden. </w:t>
      </w:r>
      <w:r>
        <w:rPr>
          <w:rStyle w:val="Satznummer"/>
        </w:rPr>
        <w:t>2</w:t>
      </w:r>
      <w:r>
        <w:t>Dies gilt nicht, wenn im Einzelfall die konkrete Gefahr einer Interessenkollision nicht besteht.</w:t>
      </w:r>
    </w:p>
    <w:p>
      <w:pPr>
        <w:pStyle w:val="Heading5"/>
      </w:pPr>
      <w:bookmarkStart w:id="2287" w:name="b2272"/>
      <w:r>
        <w:t>§ 1817 Mehrere Betreuer; Verhinderungsbetreuer; Ergänzungsbetreuer</w:t>
      </w:r>
      <w:r>
        <w:t xml:space="preserve"> </w:t>
      </w:r>
      <w:r>
        <w:rPr>
          <w:rStyle w:val="Suchmarke"/>
        </w:rPr>
        <w:t>#1817#</w:t>
      </w:r>
      <w:bookmarkEnd w:id="2287"/>
    </w:p>
    <w:p>
      <w:r>
        <w:t xml:space="preserve">(1) </w:t>
      </w:r>
      <w:r>
        <w:rPr>
          <w:rStyle w:val="Satznummer"/>
        </w:rPr>
        <w:t>1</w:t>
      </w:r>
      <w:r>
        <w:t xml:space="preserve">Das Betreuungsgericht kann mehrere Betreuer bestellen, wenn die Angelegenheiten des Betreuten hierdurch besser besorgt werden können. </w:t>
      </w:r>
      <w:r>
        <w:rPr>
          <w:rStyle w:val="Satznummer"/>
        </w:rPr>
        <w:t>2</w:t>
      </w:r>
      <w:r>
        <w:t xml:space="preserve">In diesem Falle bestimmt es, welcher Betreuer mit welchem Aufgabenbereich betraut wird. </w:t>
      </w:r>
      <w:r>
        <w:rPr>
          <w:rStyle w:val="Satznummer"/>
        </w:rPr>
        <w:t>3</w:t>
      </w:r>
      <w:r>
        <w:t>Mehrere berufliche Betreuer werden außer in den in den Absätzen 2, 4 und 5 geregelten Fällen nicht bestellt.</w:t>
      </w:r>
    </w:p>
    <w:p>
      <w:r>
        <w:t>(2) Für die Entscheidung über die Einwilligung in eine Sterilisation des Betreuten ist stets ein besonderer Betreuer zu bestellen (Sterilisationsbetreuer).</w:t>
      </w:r>
    </w:p>
    <w:p>
      <w:r>
        <w:t>(3) Sofern mehrere Betreuer mit demselben Aufgabenbereich betraut werden, können sie diese Angelegenheiten des Betreuten nur gemeinsam besorgen, es sei denn, dass das Betreuungsgericht etwas anderes bestimmt hat oder mit dem Aufschub Gefahr verbunden ist.</w:t>
      </w:r>
    </w:p>
    <w:p>
      <w:r>
        <w:t xml:space="preserve">(4) </w:t>
      </w:r>
      <w:r>
        <w:rPr>
          <w:rStyle w:val="Satznummer"/>
        </w:rPr>
        <w:t>1</w:t>
      </w:r>
      <w:r>
        <w:t xml:space="preserve">Das Betreuungsgericht kann auch vorsorglich einen Verhinderungsbetreuer bestellen, der die Angelegenheiten des Betreuten zu besorgen hat, soweit der Betreuer aus tatsächlichen Gründen verhindert ist. </w:t>
      </w:r>
      <w:r>
        <w:rPr>
          <w:rStyle w:val="Satznummer"/>
        </w:rPr>
        <w:t>2</w:t>
      </w:r>
      <w:r>
        <w:t xml:space="preserve">Für diesen Fall kann auch ein anerkannter Betreuungsverein zum Verhinderungsbetreuer bestellt werden, ohne dass die Voraussetzungen des </w:t>
      </w:r>
      <w:hyperlink w:anchor="b2273" w:history="1">
        <w:r>
          <w:rPr>
            <w:color w:val="0A3A8C"/>
            <w:u w:val="single"/>
          </w:rPr>
          <w:t xml:space="preserve">§ 1818</w:t>
        </w:r>
      </w:hyperlink>
      <w:r>
        <w:t xml:space="preserve"> Absatz 1 Satz 1 vorliegen.</w:t>
      </w:r>
    </w:p>
    <w:p>
      <w:r>
        <w:t>(5) Soweit ein Betreuer aus rechtlichen Gründen gehindert ist, einzelne Angelegenheiten des Betreuten zu besorgen, hat das Betreuungsgericht hierfür einen Ergänzungsbetreuer zu bestellen.</w:t>
      </w:r>
    </w:p>
    <w:p>
      <w:pPr>
        <w:pStyle w:val="Heading5"/>
      </w:pPr>
      <w:bookmarkStart w:id="2288" w:name="b2273"/>
      <w:r>
        <w:t>§ 1818 Betreuung durch Betreuungsverein oder Betreuungsbehörde</w:t>
      </w:r>
      <w:r>
        <w:t xml:space="preserve"> </w:t>
      </w:r>
      <w:r>
        <w:rPr>
          <w:rStyle w:val="Suchmarke"/>
        </w:rPr>
        <w:t>#1818#</w:t>
      </w:r>
      <w:bookmarkEnd w:id="2288"/>
    </w:p>
    <w:p>
      <w:r>
        <w:t xml:space="preserve">(1) </w:t>
      </w:r>
      <w:r>
        <w:rPr>
          <w:rStyle w:val="Satznummer"/>
        </w:rPr>
        <w:t>1</w:t>
      </w:r>
      <w:r>
        <w:t xml:space="preserve">Das Betreuungsgericht bestellt einen anerkannten Betreuungsverein zum Betreuer, wenn der Volljährige dies wünscht, oder wenn er durch eine oder mehrere natürliche Personen nicht hinreichend betreut werden kann. </w:t>
      </w:r>
      <w:r>
        <w:rPr>
          <w:rStyle w:val="Satznummer"/>
        </w:rPr>
        <w:t>2</w:t>
      </w:r>
      <w:r>
        <w:t>Die Bestellung bedarf der Einwilligung des Betreuungsvereins.</w:t>
      </w:r>
    </w:p>
    <w:p>
      <w:r>
        <w:t xml:space="preserve">(2) </w:t>
      </w:r>
      <w:r>
        <w:rPr>
          <w:rStyle w:val="Satznummer"/>
        </w:rPr>
        <w:t>1</w:t>
      </w:r>
      <w:r>
        <w:t xml:space="preserve">Der Betreuungsverein überträgt die Wahrnehmung der Betreuung einzelnen Personen. </w:t>
      </w:r>
      <w:r>
        <w:rPr>
          <w:rStyle w:val="Satznummer"/>
        </w:rPr>
        <w:t>2</w:t>
      </w:r>
      <w:r>
        <w:t xml:space="preserve">Vorschlägen des Volljährigen hat er hierbei zu entsprechen, wenn nicht wichtige Gründe entgegenstehen. </w:t>
      </w:r>
      <w:r>
        <w:rPr>
          <w:rStyle w:val="Satznummer"/>
        </w:rPr>
        <w:t>3</w:t>
      </w:r>
      <w:r>
        <w:t xml:space="preserve">Der Betreuungsverein teilt dem Betreuungsgericht alsbald, spätestens binnen zwei Wochen nach seiner Bestellung, mit, wem er die Wahrnehmung der Betreuung übertragen hat. </w:t>
      </w:r>
      <w:r>
        <w:rPr>
          <w:rStyle w:val="Satznummer"/>
        </w:rPr>
        <w:t>4</w:t>
      </w:r>
      <w:r>
        <w:t>Die Sätze 2 und 3 gelten bei einem Wechsel der Person, die die Betreuung für den Betreuungsverein wahrnimmt, entsprechend.</w:t>
      </w:r>
    </w:p>
    <w:p>
      <w:r>
        <w:t>(3) Werden dem Betreuungsverein Umstände bekannt, aus denen sich ergibt, dass der Volljährige durch eine oder mehrere natürliche Personen hinreichend betreut werden kann, so hat er dies dem Betreuungsgericht mitzuteilen.</w:t>
      </w:r>
    </w:p>
    <w:p>
      <w:r>
        <w:t xml:space="preserve">(4) </w:t>
      </w:r>
      <w:r>
        <w:rPr>
          <w:rStyle w:val="Satznummer"/>
        </w:rPr>
        <w:t>1</w:t>
      </w:r>
      <w:r>
        <w:t xml:space="preserve">Kann der Volljährige weder durch eine oder mehrere natürliche Personen noch durch einen Betreuungsverein hinreichend betreut werden, so bestellt das Betreuungsgericht die zuständige Betreuungsbehörde zum Betreuer. </w:t>
      </w:r>
      <w:r>
        <w:rPr>
          <w:rStyle w:val="Satznummer"/>
        </w:rPr>
        <w:t>2</w:t>
      </w:r>
      <w:r>
        <w:t>Die Absätze 2 und 3 gelten entsprechend.</w:t>
      </w:r>
    </w:p>
    <w:p>
      <w:r>
        <w:t>(5) Die Entscheidung über die Einwilligung in eine Sterilisation darf weder einem Betreuungsverein noch einer Betreuungsbehörde übertragen werden.</w:t>
      </w:r>
    </w:p>
    <w:p>
      <w:pPr>
        <w:pStyle w:val="Heading5"/>
      </w:pPr>
      <w:bookmarkStart w:id="2289" w:name="b2274"/>
      <w:r>
        <w:t>§ 1819 Übernahmepflicht; weitere Bestellungsvoraussetzungen</w:t>
      </w:r>
      <w:r>
        <w:t xml:space="preserve"> </w:t>
      </w:r>
      <w:r>
        <w:rPr>
          <w:rStyle w:val="Suchmarke"/>
        </w:rPr>
        <w:t>#1819#</w:t>
      </w:r>
      <w:bookmarkEnd w:id="2289"/>
    </w:p>
    <w:p>
      <w:r>
        <w:t>(1) Die vom Betreuungsgericht ausgewählte Person ist verpflichtet, die Betreuung zu übernehmen, wenn ihr die Übernahme unter Berücksichtigung ihrer familiären, beruflichen und sonstigen Verhältnisse zugemutet werden kann.</w:t>
      </w:r>
    </w:p>
    <w:p>
      <w:r>
        <w:t>(2) Die ausgewählte Person darf erst dann zum Betreuer bestellt werden, wenn sie sich zur Übernahme der Betreuung bereit erklärt hat.</w:t>
      </w:r>
    </w:p>
    <w:p>
      <w:r>
        <w:t xml:space="preserve">(3) </w:t>
      </w:r>
      <w:r>
        <w:rPr>
          <w:rStyle w:val="Satznummer"/>
        </w:rPr>
        <w:t>1</w:t>
      </w:r>
      <w:r>
        <w:t xml:space="preserve">Ein Mitarbeiter eines anerkannten Betreuungsvereins, der dort ausschließlich oder teilweise als Betreuer tätig ist (Vereinsbetreuer), darf nur mit Einwilligung des Betreuungsvereins bestellt werden. </w:t>
      </w:r>
      <w:r>
        <w:rPr>
          <w:rStyle w:val="Satznummer"/>
        </w:rPr>
        <w:t>2</w:t>
      </w:r>
      <w:r>
        <w:t>Entsprechendes gilt für den Mitarbeiter einer Betreuungsbehörde, der als Betreuer bestellt wird (Behördenbetreuer).</w:t>
      </w:r>
    </w:p>
    <w:p>
      <w:pPr>
        <w:pStyle w:val="Heading5"/>
      </w:pPr>
      <w:bookmarkStart w:id="2290" w:name="b2275"/>
      <w:r>
        <w:t>§ 1820 Vorsorgevollmacht und Kontrollbetreuung</w:t>
      </w:r>
      <w:r>
        <w:t xml:space="preserve"> </w:t>
      </w:r>
      <w:r>
        <w:rPr>
          <w:rStyle w:val="Suchmarke"/>
        </w:rPr>
        <w:t>#1820#</w:t>
      </w:r>
      <w:bookmarkEnd w:id="2290"/>
    </w:p>
    <w:p>
      <w:r>
        <w:t xml:space="preserve">(1) </w:t>
      </w:r>
      <w:r>
        <w:rPr>
          <w:rStyle w:val="Satznummer"/>
        </w:rPr>
        <w:t>1</w:t>
      </w:r>
      <w:r>
        <w:t xml:space="preserve">Wer von der Einleitung eines Verfahrens über die Bestellung eines Betreuers für einen Volljährigen Kenntnis erlangt und ein Dokument besitzt, in dem der Volljährige eine andere Person mit der Wahrnehmung seiner Angelegenheiten bevollmächtigt hat, hat das Betreuungsgericht hierüber unverzüglich zu unterrichten. </w:t>
      </w:r>
      <w:r>
        <w:rPr>
          <w:rStyle w:val="Satznummer"/>
        </w:rPr>
        <w:t>2</w:t>
      </w:r>
      <w:r>
        <w:t>Das Betreuungsgericht kann die Vorlage einer Abschrift verlangen.</w:t>
      </w:r>
    </w:p>
    <w:p>
      <w:r>
        <w:t>(2) Folgende Maßnahmen eines Bevollmächtigten setzen voraus, dass die Vollmacht schriftlich erteilt ist und diese Maßnahmen ausdrücklich umfasst:</w:t>
      </w:r>
    </w:p>
    <w:p>
      <w:pPr>
        <w:tabs>
          <w:tab w:pos="567" w:val="left"/>
        </w:tabs>
        <w:ind w:left="567" w:hanging="567"/>
      </w:pPr>
      <w:r>
        <w:t>1.</w:t>
      </w:r>
      <w:r>
        <w:tab/>
      </w:r>
      <w:r>
        <w:t xml:space="preserve">die Einwilligung sowie ihr Widerruf oder die Nichteinwilligung in Maßnahmen nach </w:t>
      </w:r>
      <w:hyperlink w:anchor="b2287" w:history="1">
        <w:r>
          <w:rPr>
            <w:color w:val="0A3A8C"/>
            <w:u w:val="single"/>
          </w:rPr>
          <w:t xml:space="preserve">§ 1829</w:t>
        </w:r>
      </w:hyperlink>
      <w:r>
        <w:t xml:space="preserve"> Absatz 1 Satz 1 und Absatz 2,</w:t>
      </w:r>
    </w:p>
    <w:p>
      <w:pPr>
        <w:tabs>
          <w:tab w:pos="567" w:val="left"/>
        </w:tabs>
        <w:ind w:left="567" w:hanging="567"/>
      </w:pPr>
      <w:r>
        <w:t>2.</w:t>
      </w:r>
      <w:r>
        <w:tab/>
      </w:r>
      <w:r>
        <w:t xml:space="preserve">die Unterbringung nach </w:t>
      </w:r>
      <w:hyperlink w:anchor="b2289" w:history="1">
        <w:r>
          <w:rPr>
            <w:color w:val="0A3A8C"/>
            <w:u w:val="single"/>
          </w:rPr>
          <w:t xml:space="preserve">§ 1831</w:t>
        </w:r>
      </w:hyperlink>
      <w:r>
        <w:t xml:space="preserve"> und die Einwilligung in Maßnahmen nach </w:t>
      </w:r>
      <w:hyperlink w:anchor="b2289" w:history="1">
        <w:r>
          <w:rPr>
            <w:color w:val="0A3A8C"/>
            <w:u w:val="single"/>
          </w:rPr>
          <w:t xml:space="preserve">§ 1831</w:t>
        </w:r>
      </w:hyperlink>
      <w:r>
        <w:t xml:space="preserve"> Absatz 4,</w:t>
      </w:r>
    </w:p>
    <w:p>
      <w:pPr>
        <w:tabs>
          <w:tab w:pos="567" w:val="left"/>
        </w:tabs>
        <w:ind w:left="567" w:hanging="567"/>
      </w:pPr>
      <w:r>
        <w:t>3.</w:t>
      </w:r>
      <w:r>
        <w:tab/>
      </w:r>
      <w:r>
        <w:t xml:space="preserve">die Einwilligung in eine ärztliche Zwangsmaßnahme nach </w:t>
      </w:r>
      <w:hyperlink w:anchor="b2290" w:history="1">
        <w:r>
          <w:rPr>
            <w:color w:val="0A3A8C"/>
            <w:u w:val="single"/>
          </w:rPr>
          <w:t xml:space="preserve">§ 1832</w:t>
        </w:r>
      </w:hyperlink>
      <w:r>
        <w:t xml:space="preserve"> und die Verbringung nach </w:t>
      </w:r>
      <w:hyperlink w:anchor="b2290" w:history="1">
        <w:r>
          <w:rPr>
            <w:color w:val="0A3A8C"/>
            <w:u w:val="single"/>
          </w:rPr>
          <w:t xml:space="preserve">§ 1832</w:t>
        </w:r>
      </w:hyperlink>
      <w:r>
        <w:t xml:space="preserve"> Absatz 4.</w:t>
      </w:r>
    </w:p>
    <w:p>
      <w:r>
        <w:t>(3) Das Betreuungsgericht bestellt einen Kontrollbetreuer, wenn die Bestellung erforderlich ist, weil</w:t>
      </w:r>
    </w:p>
    <w:p>
      <w:pPr>
        <w:tabs>
          <w:tab w:pos="567" w:val="left"/>
        </w:tabs>
        <w:ind w:left="567" w:hanging="567"/>
      </w:pPr>
      <w:r>
        <w:t>1.</w:t>
      </w:r>
      <w:r>
        <w:tab/>
      </w:r>
      <w:r>
        <w:t>der Vollmachtgeber aufgrund einer Krankheit oder Behinderung nicht mehr in der Lage ist, seine Rechte gegenüber dem Bevollmächtigten auszuüben, und</w:t>
      </w:r>
    </w:p>
    <w:p>
      <w:pPr>
        <w:tabs>
          <w:tab w:pos="567" w:val="left"/>
        </w:tabs>
        <w:ind w:left="567" w:hanging="567"/>
      </w:pPr>
      <w:r>
        <w:t>2.</w:t>
      </w:r>
      <w:r>
        <w:tab/>
      </w:r>
      <w:r>
        <w:t>aufgrund konkreter Anhaltspunkte davon auszugehen ist, dass der Bevollmächtigte die Angelegenheiten des Vollmachtgebers nicht entsprechend der Vereinbarung oder dem erklärten oder mutmaßlichen Willen des Vollmachtgebers besorgt.</w:t>
      </w:r>
    </w:p>
    <w:p>
      <w:r>
        <w:t xml:space="preserve">(4) </w:t>
      </w:r>
      <w:r>
        <w:rPr>
          <w:rStyle w:val="Satznummer"/>
        </w:rPr>
        <w:t>1</w:t>
      </w:r>
      <w:r>
        <w:t>Das Betreuungsgericht kann anordnen, dass der Bevollmächtigte die ihm erteilte Vollmacht nicht ausüben darf und die Vollmachtsurkunde an den Betreuer herauszugeben hat, wenn</w:t>
      </w:r>
    </w:p>
    <w:p>
      <w:pPr>
        <w:tabs>
          <w:tab w:pos="567" w:val="left"/>
        </w:tabs>
        <w:ind w:left="567" w:hanging="567"/>
      </w:pPr>
      <w:r>
        <w:t>1.</w:t>
      </w:r>
      <w:r>
        <w:tab/>
      </w:r>
      <w:r>
        <w:t>die dringende Gefahr besteht, dass der Bevollmächtigte nicht den Wünschen des Vollmachtgebers entsprechend handelt und dadurch die Person des Vollmachtgebers oder dessen Vermögen erheblich gefährdet oder</w:t>
      </w:r>
    </w:p>
    <w:p>
      <w:pPr>
        <w:tabs>
          <w:tab w:pos="567" w:val="left"/>
        </w:tabs>
        <w:ind w:left="567" w:hanging="567"/>
      </w:pPr>
      <w:r>
        <w:t>2.</w:t>
      </w:r>
      <w:r>
        <w:tab/>
      </w:r>
      <w:r>
        <w:t>der Bevollmächtigte den Betreuer bei der Wahrnehmung seiner Aufgaben behindert.</w:t>
      </w:r>
    </w:p>
    <w:p>
      <w:r>
        <w:rPr>
          <w:rStyle w:val="Satznummer"/>
        </w:rPr>
        <w:t>2</w:t>
      </w:r>
      <w:r>
        <w:t>Liegen die Voraussetzungen des Satzes 1 nicht mehr vor, hat das Betreuungsgericht die Anordnung aufzuheben und den Betreuer zu verpflichten, dem Bevollmächtigten die Vollmachtsurkunde herauszugeben, wenn die Vollmacht nicht erloschen ist.</w:t>
      </w:r>
    </w:p>
    <w:p>
      <w:r>
        <w:t xml:space="preserve">(5) </w:t>
      </w:r>
      <w:r>
        <w:rPr>
          <w:rStyle w:val="Satznummer"/>
        </w:rPr>
        <w:t>1</w:t>
      </w:r>
      <w:r>
        <w:t xml:space="preserve">Der Betreuer darf eine Vollmacht oder einen Teil einer Vollmacht, die den Bevollmächtigten zu Maßnahmen der Personensorge oder zu Maßnahmen in wesentlichen Bereichen der Vermögenssorge ermächtigt, nur widerrufen, wenn das Festhalten an der Vollmacht eine künftige Verletzung der Person oder des Vermögens des Betreuten mit hinreichender Wahrscheinlichkeit und in erheblicher Schwere befürchten lässt und mildere Maßnahmen nicht zur Abwehr eines Schadens für den Betreuten geeignet erscheinen. </w:t>
      </w:r>
      <w:r>
        <w:rPr>
          <w:rStyle w:val="Satznummer"/>
        </w:rPr>
        <w:t>2</w:t>
      </w:r>
      <w:r>
        <w:t xml:space="preserve">Der Widerruf bedarf der Genehmigung des Betreuungsgerichts. </w:t>
      </w:r>
      <w:r>
        <w:rPr>
          <w:rStyle w:val="Satznummer"/>
        </w:rPr>
        <w:t>3</w:t>
      </w:r>
      <w:r>
        <w:t>Mit der Genehmigung des Widerrufs einer Vollmacht kann das Betreuungsgericht die Herausgabe der Vollmachtsurkunde an den Betreuer anordnen.</w:t>
      </w:r>
    </w:p>
    <w:p>
      <w:pPr>
        <w:pStyle w:val="Heading4"/>
      </w:pPr>
      <w:bookmarkStart w:id="2291" w:name="b2276"/>
      <w:r>
        <w:t>Untertitel 2 Führung der Betreuung</w:t>
      </w:r>
      <w:bookmarkEnd w:id="2291"/>
    </w:p>
    <w:p>
      <w:pPr>
        <w:pStyle w:val="Heading5"/>
      </w:pPr>
      <w:bookmarkStart w:id="2292" w:name="b2277"/>
      <w:r>
        <w:t>Kapitel 1 Allgemeine Vorschriften</w:t>
      </w:r>
      <w:bookmarkEnd w:id="2292"/>
    </w:p>
    <w:p>
      <w:pPr>
        <w:pStyle w:val="Heading6"/>
      </w:pPr>
      <w:bookmarkStart w:id="2293" w:name="b2278"/>
      <w:r>
        <w:t>§ 1821 Pflichten des Betreuers; Wünsche des Betreuten</w:t>
      </w:r>
      <w:r>
        <w:t xml:space="preserve"> </w:t>
      </w:r>
      <w:r>
        <w:rPr>
          <w:rStyle w:val="Suchmarke"/>
        </w:rPr>
        <w:t>#1821#</w:t>
      </w:r>
      <w:bookmarkEnd w:id="2293"/>
    </w:p>
    <w:p>
      <w:r>
        <w:t xml:space="preserve">(1) </w:t>
      </w:r>
      <w:r>
        <w:rPr>
          <w:rStyle w:val="Satznummer"/>
        </w:rPr>
        <w:t>1</w:t>
      </w:r>
      <w:r>
        <w:t xml:space="preserve">Der Betreuer nimmt alle Tätigkeiten vor, die erforderlich sind, um die Angelegenheiten des Betreuten rechtlich zu besorgen. </w:t>
      </w:r>
      <w:r>
        <w:rPr>
          <w:rStyle w:val="Satznummer"/>
        </w:rPr>
        <w:t>2</w:t>
      </w:r>
      <w:r>
        <w:t xml:space="preserve">Er unterstützt den Betreuten dabei, seine Angelegenheiten rechtlich selbst zu besorgen, und macht von seiner Vertretungsmacht nach </w:t>
      </w:r>
      <w:hyperlink w:anchor="b2280" w:history="1">
        <w:r>
          <w:rPr>
            <w:color w:val="0A3A8C"/>
            <w:u w:val="single"/>
          </w:rPr>
          <w:t xml:space="preserve">§ 1823</w:t>
        </w:r>
      </w:hyperlink>
      <w:r>
        <w:t xml:space="preserve"> nur Gebrauch, soweit dies erforderlich ist.</w:t>
      </w:r>
    </w:p>
    <w:p>
      <w:r>
        <w:t xml:space="preserve">(2) </w:t>
      </w:r>
      <w:r>
        <w:rPr>
          <w:rStyle w:val="Satznummer"/>
        </w:rPr>
        <w:t>1</w:t>
      </w:r>
      <w:r>
        <w:t xml:space="preserve">Der Betreuer hat die Angelegenheiten des Betreuten so zu besorgen, dass dieser im Rahmen seiner Möglichkeiten sein Leben nach seinen Wünschen gestalten kann. </w:t>
      </w:r>
      <w:r>
        <w:rPr>
          <w:rStyle w:val="Satznummer"/>
        </w:rPr>
        <w:t>2</w:t>
      </w:r>
      <w:r>
        <w:t xml:space="preserve">Hierzu hat der Betreuer die Wünsche des Betreuten festzustellen. </w:t>
      </w:r>
      <w:r>
        <w:rPr>
          <w:rStyle w:val="Satznummer"/>
        </w:rPr>
        <w:t>3</w:t>
      </w:r>
      <w:r>
        <w:t xml:space="preserve">Diesen hat der Betreuer vorbehaltlich des Absatzes 3 zu entsprechen und den Betreuten bei deren Umsetzung rechtlich zu unterstützen. </w:t>
      </w:r>
      <w:r>
        <w:rPr>
          <w:rStyle w:val="Satznummer"/>
        </w:rPr>
        <w:t>4</w:t>
      </w:r>
      <w:r>
        <w:t>Dies gilt auch für die Wünsche, die der Betreute vor der Bestellung des Betreuers geäußert hat, es sei denn, dass er an diesen Wünschen erkennbar nicht festhalten will.</w:t>
      </w:r>
    </w:p>
    <w:p>
      <w:r>
        <w:t>(3) Den Wünschen des Betreuten hat der Betreuer nicht zu entsprechen, soweit</w:t>
      </w:r>
    </w:p>
    <w:p>
      <w:pPr>
        <w:tabs>
          <w:tab w:pos="567" w:val="left"/>
        </w:tabs>
        <w:ind w:left="567" w:hanging="567"/>
      </w:pPr>
      <w:r>
        <w:t>1.</w:t>
      </w:r>
      <w:r>
        <w:tab/>
      </w:r>
      <w:r>
        <w:t>die Person des Betreuten oder dessen Vermögen hierdurch erheblich gefährdet würde und der Betreute diese Gefahr aufgrund seiner Krankheit oder Behinderung nicht erkennen oder nicht nach dieser Einsicht handeln kann oder</w:t>
      </w:r>
    </w:p>
    <w:p>
      <w:pPr>
        <w:tabs>
          <w:tab w:pos="567" w:val="left"/>
        </w:tabs>
        <w:ind w:left="567" w:hanging="567"/>
      </w:pPr>
      <w:r>
        <w:t>2.</w:t>
      </w:r>
      <w:r>
        <w:tab/>
      </w:r>
      <w:r>
        <w:t>dies dem Betreuer nicht zuzumuten ist.</w:t>
      </w:r>
    </w:p>
    <w:p>
      <w:r>
        <w:t xml:space="preserve">(4) </w:t>
      </w:r>
      <w:r>
        <w:rPr>
          <w:rStyle w:val="Satznummer"/>
        </w:rPr>
        <w:t>1</w:t>
      </w:r>
      <w:r>
        <w:t xml:space="preserve">Kann der Betreuer die Wünsche des Betreuten nicht feststellen oder darf er ihnen nach Absatz 3 Nummer 1 nicht entsprechen, hat er den mutmaßlichen Willen des Betreuten aufgrund konkreter Anhaltspunkte zu ermitteln und ihm Geltung zu verschaffen. </w:t>
      </w:r>
      <w:r>
        <w:rPr>
          <w:rStyle w:val="Satznummer"/>
        </w:rPr>
        <w:t>2</w:t>
      </w:r>
      <w:r>
        <w:t xml:space="preserve">Zu berücksichtigen sind insbesondere frühere Äußerungen, ethische oder religiöse Überzeugungen und sonstige persönliche Wertvorstellungen des Betreuten. </w:t>
      </w:r>
      <w:r>
        <w:rPr>
          <w:rStyle w:val="Satznummer"/>
        </w:rPr>
        <w:t>3</w:t>
      </w:r>
      <w:r>
        <w:t>Bei der Feststellung des mutmaßlichen Willens soll nahen Angehörigen und sonstigen Vertrauenspersonen des Betreuten Gelegenheit zur Äußerung gegeben werden.</w:t>
      </w:r>
    </w:p>
    <w:p>
      <w:r>
        <w:t>(5) Der Betreuer hat den erforderlichen persönlichen Kontakt mit dem Betreuten zu halten, sich regelmäßig einen persönlichen Eindruck von ihm zu verschaffen und dessen Angelegenheiten mit ihm zu besprechen.</w:t>
      </w:r>
    </w:p>
    <w:p>
      <w:r>
        <w:t>(6) Der Betreuer hat innerhalb seines Aufgabenkreises dazu beizutragen, dass Möglichkeiten genutzt werden, die Fähigkeit des Betreuten, seine eigenen Angelegenheiten zu besorgen, wiederherzustellen oder zu verbessern.</w:t>
      </w:r>
    </w:p>
    <w:p>
      <w:pPr>
        <w:pStyle w:val="Heading6"/>
      </w:pPr>
      <w:bookmarkStart w:id="2294" w:name="b2279"/>
      <w:r>
        <w:t>§ 1822 Auskunftspflicht gegenüber nahestehenden Angehörigen</w:t>
      </w:r>
      <w:r>
        <w:t xml:space="preserve"> </w:t>
      </w:r>
      <w:r>
        <w:rPr>
          <w:rStyle w:val="Suchmarke"/>
        </w:rPr>
        <w:t>#1822#</w:t>
      </w:r>
      <w:bookmarkEnd w:id="2294"/>
    </w:p>
    <w:p>
      <w:r>
        <w:t xml:space="preserve">Der Betreuer hat nahestehenden Angehörigen und sonstigen Vertrauenspersonen des Betreuten auf Verlangen Auskunft über dessen persönliche Lebensumstände zu erteilen, soweit dies einem nach </w:t>
      </w:r>
      <w:hyperlink w:anchor="b2278" w:history="1">
        <w:r>
          <w:rPr>
            <w:color w:val="0A3A8C"/>
            <w:u w:val="single"/>
          </w:rPr>
          <w:t xml:space="preserve">§ 1821</w:t>
        </w:r>
      </w:hyperlink>
      <w:r>
        <w:t xml:space="preserve"> Absatz 2 bis 4 zu beachtenden Wunsch oder dem mutmaßlichen Willen des Betreuten entspricht und dem Betreuer zuzumuten ist.</w:t>
      </w:r>
    </w:p>
    <w:p>
      <w:pPr>
        <w:pStyle w:val="Heading6"/>
      </w:pPr>
      <w:bookmarkStart w:id="2295" w:name="b2280"/>
      <w:r>
        <w:t>§ 1823 Vertretungsmacht des Betreuers</w:t>
      </w:r>
      <w:r>
        <w:t xml:space="preserve"> </w:t>
      </w:r>
      <w:r>
        <w:rPr>
          <w:rStyle w:val="Suchmarke"/>
        </w:rPr>
        <w:t>#1823#</w:t>
      </w:r>
      <w:bookmarkEnd w:id="2295"/>
    </w:p>
    <w:p>
      <w:r>
        <w:t>In seinem Aufgabenkreis kann der Betreuer den Betreuten gerichtlich und außergerichtlich vertreten.</w:t>
      </w:r>
    </w:p>
    <w:p>
      <w:pPr>
        <w:pStyle w:val="Heading6"/>
      </w:pPr>
      <w:bookmarkStart w:id="2296" w:name="b2281"/>
      <w:r>
        <w:t>§ 1824 Ausschluss der Vertretungsmacht</w:t>
      </w:r>
      <w:r>
        <w:t xml:space="preserve"> </w:t>
      </w:r>
      <w:r>
        <w:rPr>
          <w:rStyle w:val="Suchmarke"/>
        </w:rPr>
        <w:t>#1824#</w:t>
      </w:r>
      <w:bookmarkEnd w:id="2296"/>
    </w:p>
    <w:p>
      <w:r>
        <w:t>(1) Der Betreuer kann den Betreuten nicht vertreten:</w:t>
      </w:r>
    </w:p>
    <w:p>
      <w:pPr>
        <w:tabs>
          <w:tab w:pos="567" w:val="left"/>
        </w:tabs>
        <w:ind w:left="567" w:hanging="567"/>
      </w:pPr>
      <w:r>
        <w:t>1.</w:t>
      </w:r>
      <w:r>
        <w:tab/>
      </w:r>
      <w:r>
        <w:t>bei einem Rechtsgeschäft zwischen seinem Ehegatten oder einem seiner Verwandten in gerader Linie einerseits und dem Betreuten andererseits, es sei denn, dass das Rechtsgeschäft ausschließlich in der Erfüllung einer Verbindlichkeit besteht,</w:t>
      </w:r>
    </w:p>
    <w:p>
      <w:pPr>
        <w:tabs>
          <w:tab w:pos="567" w:val="left"/>
        </w:tabs>
        <w:ind w:left="567" w:hanging="567"/>
      </w:pPr>
      <w:r>
        <w:t>2.</w:t>
      </w:r>
      <w:r>
        <w:tab/>
      </w:r>
      <w:r>
        <w:t>bei einem Rechtsgeschäft, das die Übertragung oder Belastung einer durch Pfandrecht, Hypothek, Schiffshypothek oder Bürgschaft gesicherten Forderung des Betreuten gegen den Betreuer oder die Aufhebung oder Minderung dieser Sicherheit zum Gegenstand hat oder die Verpflichtung des Betreuten zu einer solchen Übertragung, Belastung, Aufhebung oder Minderung begründet,</w:t>
      </w:r>
    </w:p>
    <w:p>
      <w:pPr>
        <w:tabs>
          <w:tab w:pos="567" w:val="left"/>
        </w:tabs>
        <w:ind w:left="567" w:hanging="567"/>
      </w:pPr>
      <w:r>
        <w:t>3.</w:t>
      </w:r>
      <w:r>
        <w:tab/>
      </w:r>
      <w:r>
        <w:t>bei einem Rechtsstreit zwischen den in Nummer 1 bezeichneten Personen sowie bei einem Rechtsstreit über eine Angelegenheit der in Nummer 2 bezeichneten Art.</w:t>
      </w:r>
    </w:p>
    <w:p>
      <w:r>
        <w:t xml:space="preserve">(2) </w:t>
      </w:r>
      <w:hyperlink w:anchor="b215" w:history="1">
        <w:r>
          <w:rPr>
            <w:color w:val="0A3A8C"/>
            <w:u w:val="single"/>
          </w:rPr>
          <w:t xml:space="preserve">§ 181</w:t>
        </w:r>
      </w:hyperlink>
      <w:r>
        <w:t xml:space="preserve"> bleibt unberührt.</w:t>
      </w:r>
    </w:p>
    <w:p>
      <w:pPr>
        <w:pStyle w:val="Heading6"/>
      </w:pPr>
      <w:bookmarkStart w:id="2297" w:name="b2282"/>
      <w:r>
        <w:t>§ 1825 Einwilligungsvorbehalt</w:t>
      </w:r>
      <w:r>
        <w:t xml:space="preserve"> </w:t>
      </w:r>
      <w:r>
        <w:rPr>
          <w:rStyle w:val="Suchmarke"/>
        </w:rPr>
        <w:t>#1825#</w:t>
      </w:r>
      <w:bookmarkEnd w:id="2297"/>
    </w:p>
    <w:p>
      <w:r>
        <w:t xml:space="preserve">(1) </w:t>
      </w:r>
      <w:r>
        <w:rPr>
          <w:rStyle w:val="Satznummer"/>
        </w:rPr>
        <w:t>1</w:t>
      </w:r>
      <w:r>
        <w:t xml:space="preserve">Soweit dies zur Abwendung einer erheblichen Gefahr für die Person oder das Vermögen des Betreuten erforderlich ist, ordnet das Betreuungsgericht an, dass der Betreute zu einer Willenserklärung, die einen Aufgabenbereich des Betreuers betrifft, dessen Einwilligung bedarf (Einwilligungsvorbehalt). </w:t>
      </w:r>
      <w:r>
        <w:rPr>
          <w:rStyle w:val="Satznummer"/>
        </w:rPr>
        <w:t>2</w:t>
      </w:r>
      <w:r>
        <w:t xml:space="preserve">Gegen den freien Willen des Volljährigen darf ein Einwilligungsvorbehalt nicht angeordnet werden. </w:t>
      </w:r>
      <w:r>
        <w:rPr>
          <w:rStyle w:val="Satznummer"/>
        </w:rPr>
        <w:t>3</w:t>
      </w:r>
      <w:r>
        <w:t xml:space="preserve">Die </w:t>
      </w:r>
      <w:hyperlink w:anchor="b136" w:history="1">
        <w:r>
          <w:rPr>
            <w:color w:val="0A3A8C"/>
            <w:u w:val="single"/>
          </w:rPr>
          <w:t xml:space="preserve">§§ 108</w:t>
        </w:r>
      </w:hyperlink>
      <w:r>
        <w:t xml:space="preserve"> bis </w:t>
      </w:r>
      <w:hyperlink w:anchor="b141" w:history="1">
        <w:r>
          <w:rPr>
            <w:color w:val="0A3A8C"/>
            <w:u w:val="single"/>
          </w:rPr>
          <w:t xml:space="preserve">113</w:t>
        </w:r>
      </w:hyperlink>
      <w:r>
        <w:t xml:space="preserve">, </w:t>
      </w:r>
      <w:hyperlink w:anchor="b162" w:history="1">
        <w:r>
          <w:rPr>
            <w:color w:val="0A3A8C"/>
            <w:u w:val="single"/>
          </w:rPr>
          <w:t xml:space="preserve">131</w:t>
        </w:r>
      </w:hyperlink>
      <w:r>
        <w:t xml:space="preserve"> Absatz 2 und </w:t>
      </w:r>
      <w:hyperlink w:anchor="b250" w:history="1">
        <w:r>
          <w:rPr>
            <w:color w:val="0A3A8C"/>
            <w:u w:val="single"/>
          </w:rPr>
          <w:t xml:space="preserve">§ 210</w:t>
        </w:r>
      </w:hyperlink>
      <w:r>
        <w:t xml:space="preserve"> gelten entsprechend.</w:t>
      </w:r>
    </w:p>
    <w:p>
      <w:r>
        <w:t>(2) Ein Einwilligungsvorbehalt kann sich nicht erstrecken</w:t>
      </w:r>
    </w:p>
    <w:p>
      <w:pPr>
        <w:tabs>
          <w:tab w:pos="567" w:val="left"/>
        </w:tabs>
        <w:ind w:left="567" w:hanging="567"/>
      </w:pPr>
      <w:r>
        <w:t>1.</w:t>
      </w:r>
      <w:r>
        <w:tab/>
      </w:r>
      <w:r>
        <w:t>auf Willenserklärungen, die auf Eingehung einer Ehe gerichtet sind,</w:t>
      </w:r>
    </w:p>
    <w:p>
      <w:pPr>
        <w:tabs>
          <w:tab w:pos="567" w:val="left"/>
        </w:tabs>
        <w:ind w:left="567" w:hanging="567"/>
      </w:pPr>
      <w:r>
        <w:t>2.</w:t>
      </w:r>
      <w:r>
        <w:tab/>
      </w:r>
      <w:r>
        <w:t>auf Verfügungen von Todes wegen,</w:t>
      </w:r>
    </w:p>
    <w:p>
      <w:pPr>
        <w:tabs>
          <w:tab w:pos="567" w:val="left"/>
        </w:tabs>
        <w:ind w:left="567" w:hanging="567"/>
      </w:pPr>
      <w:r>
        <w:t>3.</w:t>
      </w:r>
      <w:r>
        <w:tab/>
      </w:r>
      <w:r>
        <w:t>auf die Anfechtung eines Erbvertrags,</w:t>
      </w:r>
    </w:p>
    <w:p>
      <w:pPr>
        <w:tabs>
          <w:tab w:pos="567" w:val="left"/>
        </w:tabs>
        <w:ind w:left="567" w:hanging="567"/>
      </w:pPr>
      <w:r>
        <w:t>4.</w:t>
      </w:r>
      <w:r>
        <w:tab/>
      </w:r>
      <w:r>
        <w:t>auf die Aufhebung eines Erbvertrags durch Vertrag und</w:t>
      </w:r>
    </w:p>
    <w:p>
      <w:pPr>
        <w:tabs>
          <w:tab w:pos="567" w:val="left"/>
        </w:tabs>
        <w:ind w:left="567" w:hanging="567"/>
      </w:pPr>
      <w:r>
        <w:t>5.</w:t>
      </w:r>
      <w:r>
        <w:tab/>
      </w:r>
      <w:r>
        <w:t>auf Willenserklärungen, zu denen ein beschränkt Geschäftsfähiger nach den Vorschriften dieses Buches und des Buches 5 nicht der Zustimmung seines gesetzlichen Vertreters bedarf.</w:t>
      </w:r>
    </w:p>
    <w:p>
      <w:r>
        <w:t xml:space="preserve">(3) </w:t>
      </w:r>
      <w:r>
        <w:rPr>
          <w:rStyle w:val="Satznummer"/>
        </w:rPr>
        <w:t>1</w:t>
      </w:r>
      <w:r>
        <w:t xml:space="preserve">Ist ein Einwilligungsvorbehalt angeordnet, so bedarf der Betreute dennoch nicht der Einwilligung seines Betreuers, wenn die Willenserklärung dem Betreuten lediglich einen rechtlichen Vorteil bringt. </w:t>
      </w:r>
      <w:r>
        <w:rPr>
          <w:rStyle w:val="Satznummer"/>
        </w:rPr>
        <w:t>2</w:t>
      </w:r>
      <w:r>
        <w:t>Soweit das Gericht nichts anderes anordnet, gilt dies auch, wenn die Willenserklärung eine geringfügige Angelegenheit des täglichen Lebens betrifft.</w:t>
      </w:r>
    </w:p>
    <w:p>
      <w:r>
        <w:t>(4) Auch für einen Minderjährigen, der das 17. Lebensjahr vollendet hat, kann das Betreuungsgericht einen Einwilligungsvorbehalt anordnen, wenn anzunehmen ist, dass ein solcher bei Eintritt der Volljährigkeit erforderlich wird.</w:t>
      </w:r>
    </w:p>
    <w:p>
      <w:pPr>
        <w:pStyle w:val="Heading6"/>
      </w:pPr>
      <w:bookmarkStart w:id="2298" w:name="b2283"/>
      <w:r>
        <w:t>§ 1826 Haftung des Betreuers</w:t>
      </w:r>
      <w:r>
        <w:t xml:space="preserve"> </w:t>
      </w:r>
      <w:r>
        <w:rPr>
          <w:rStyle w:val="Suchmarke"/>
        </w:rPr>
        <w:t>#1826#</w:t>
      </w:r>
      <w:bookmarkEnd w:id="2298"/>
    </w:p>
    <w:p>
      <w:r>
        <w:t xml:space="preserve">(1) </w:t>
      </w:r>
      <w:r>
        <w:rPr>
          <w:rStyle w:val="Satznummer"/>
        </w:rPr>
        <w:t>1</w:t>
      </w:r>
      <w:r>
        <w:t xml:space="preserve">Der Betreuer ist dem Betreuten für den aus einer Pflichtverletzung entstehenden Schaden verantwortlich. </w:t>
      </w:r>
      <w:r>
        <w:rPr>
          <w:rStyle w:val="Satznummer"/>
        </w:rPr>
        <w:t>2</w:t>
      </w:r>
      <w:r>
        <w:t>Dies gilt nicht, wenn der Betreuer die Pflichtverletzung nicht zu vertreten hat.</w:t>
      </w:r>
    </w:p>
    <w:p>
      <w:r>
        <w:t>(2) Sind für den Schaden mehrere Betreuer nebeneinander verantwortlich, so haften sie als Gesamtschuldner.</w:t>
      </w:r>
    </w:p>
    <w:p>
      <w:r>
        <w:t>(3) Ist ein Betreuungsverein als Betreuer bestellt, so ist er dem Betreuten für ein Verschulden des Mitglieds oder des Mitarbeiters in gleicher Weise verantwortlich wie für ein Verschulden eines verfassungsmäßig berufenen Vertreters.</w:t>
      </w:r>
    </w:p>
    <w:p>
      <w:pPr>
        <w:pStyle w:val="Heading5"/>
      </w:pPr>
      <w:bookmarkStart w:id="2299" w:name="b2284"/>
      <w:r>
        <w:t>Kapitel 2 Personenangelegenheiten</w:t>
      </w:r>
      <w:bookmarkEnd w:id="2299"/>
    </w:p>
    <w:p>
      <w:pPr>
        <w:pStyle w:val="Heading6"/>
      </w:pPr>
      <w:bookmarkStart w:id="2300" w:name="b2285"/>
      <w:r>
        <w:t>§ 1827 Patientenverfügung; Behandlungswünsche oder mutmaßlicher Wille des Betreuten</w:t>
      </w:r>
      <w:r>
        <w:t xml:space="preserve"> </w:t>
      </w:r>
      <w:r>
        <w:rPr>
          <w:rStyle w:val="Suchmarke"/>
        </w:rPr>
        <w:t>#1827#</w:t>
      </w:r>
      <w:bookmarkEnd w:id="2300"/>
    </w:p>
    <w:p>
      <w:r>
        <w:t xml:space="preserve">(1) </w:t>
      </w:r>
      <w:r>
        <w:rPr>
          <w:rStyle w:val="Satznummer"/>
        </w:rPr>
        <w:t>1</w:t>
      </w:r>
      <w:r>
        <w:t xml:space="preserve">Hat ein einwilligungsfähiger Volljähriger für den Fall seiner Einwilligungsunfähigkeit schriftlich festgelegt, ob er in bestimmte, zum Zeitpunkt der Festlegung noch nicht unmittelbar bevorstehende Untersuchungen seines Gesundheitszustands, Heilbehandlungen oder ärztliche Eingriffe einwilligt oder sie untersagt (Patientenverfügung), prüft der Betreuer, ob diese Festlegungen auf die aktuelle Lebens- und Behandlungssituation des Betreuten zutreffen. </w:t>
      </w:r>
      <w:r>
        <w:rPr>
          <w:rStyle w:val="Satznummer"/>
        </w:rPr>
        <w:t>2</w:t>
      </w:r>
      <w:r>
        <w:t xml:space="preserve">Ist dies der Fall, hat der Betreuer dem Willen des Betreuten Ausdruck und Geltung zu verschaffen. </w:t>
      </w:r>
      <w:r>
        <w:rPr>
          <w:rStyle w:val="Satznummer"/>
        </w:rPr>
        <w:t>3</w:t>
      </w:r>
      <w:r>
        <w:t>Eine Patientenverfügung kann jederzeit formlos widerrufen werden.</w:t>
      </w:r>
    </w:p>
    <w:p>
      <w:r>
        <w:t xml:space="preserve">(2) </w:t>
      </w:r>
      <w:r>
        <w:rPr>
          <w:rStyle w:val="Satznummer"/>
        </w:rPr>
        <w:t>1</w:t>
      </w:r>
      <w:r>
        <w:t xml:space="preserve">Liegt keine Patientenverfügung vor oder treffen die Festlegungen einer Patientenverfügung nicht auf die aktuelle Lebens- und Behandlungssituation des Betreuten zu, hat der Betreuer die Behandlungswünsche oder den mutmaßlichen Willen des Betreuten festzustellen und auf dieser Grundlage zu entscheiden, ob er in eine ärztliche Maßnahme nach Absatz 1 einwilligt oder sie untersagt. </w:t>
      </w:r>
      <w:r>
        <w:rPr>
          <w:rStyle w:val="Satznummer"/>
        </w:rPr>
        <w:t>2</w:t>
      </w:r>
      <w:r>
        <w:t xml:space="preserve">Der mutmaßliche Wille ist aufgrund konkreter Anhaltspunkte zu ermitteln. </w:t>
      </w:r>
      <w:r>
        <w:rPr>
          <w:rStyle w:val="Satznummer"/>
        </w:rPr>
        <w:t>3</w:t>
      </w:r>
      <w:r>
        <w:t>Zu berücksichtigen sind insbesondere frühere Äußerungen, ethische oder religiöse Überzeugungen und sonstige persönliche Wertvorstellungen des Betreuten.</w:t>
      </w:r>
    </w:p>
    <w:p>
      <w:r>
        <w:t>(3) Die Absätze 1 und 2 gelten unabhängig von Art und Stadium einer Erkrankung des Betreuten.</w:t>
      </w:r>
    </w:p>
    <w:p>
      <w:r>
        <w:t>(4) Der Betreuer soll den Betreuten in geeigneten Fällen auf die Möglichkeit einer Patientenverfügung hinweisen und ihn auf dessen Wunsch bei der Errichtung einer Patientenverfügung unterstützen.</w:t>
      </w:r>
    </w:p>
    <w:p>
      <w:r>
        <w:t xml:space="preserve">(5) </w:t>
      </w:r>
      <w:r>
        <w:rPr>
          <w:rStyle w:val="Satznummer"/>
        </w:rPr>
        <w:t>1</w:t>
      </w:r>
      <w:r>
        <w:t xml:space="preserve">Niemand kann zur Errichtung einer Patientenverfügung verpflichtet werden. </w:t>
      </w:r>
      <w:r>
        <w:rPr>
          <w:rStyle w:val="Satznummer"/>
        </w:rPr>
        <w:t>2</w:t>
      </w:r>
      <w:r>
        <w:t>Die Errichtung oder Vorlage einer Patientenverfügung darf nicht zur Bedingung eines Vertragsschlusses gemacht werden.</w:t>
      </w:r>
    </w:p>
    <w:p>
      <w:r>
        <w:t>(6) Die Absätze 1 bis 3 gelten für Bevollmächtigte entsprechend.</w:t>
      </w:r>
    </w:p>
    <w:p>
      <w:pPr>
        <w:pStyle w:val="Heading6"/>
      </w:pPr>
      <w:bookmarkStart w:id="2301" w:name="b2286"/>
      <w:r>
        <w:t>§ 1828 Gespräch zur Feststellung des Patientenwillens</w:t>
      </w:r>
      <w:r>
        <w:t xml:space="preserve"> </w:t>
      </w:r>
      <w:r>
        <w:rPr>
          <w:rStyle w:val="Suchmarke"/>
        </w:rPr>
        <w:t>#1828#</w:t>
      </w:r>
      <w:bookmarkEnd w:id="2301"/>
    </w:p>
    <w:p>
      <w:r>
        <w:t xml:space="preserve">(1) </w:t>
      </w:r>
      <w:r>
        <w:rPr>
          <w:rStyle w:val="Satznummer"/>
        </w:rPr>
        <w:t>1</w:t>
      </w:r>
      <w:r>
        <w:t xml:space="preserve">Der behandelnde Arzt prüft, welche ärztliche Maßnahme im Hinblick auf den Gesamtzustand und die Prognose des Patienten indiziert ist. </w:t>
      </w:r>
      <w:r>
        <w:rPr>
          <w:rStyle w:val="Satznummer"/>
        </w:rPr>
        <w:t>2</w:t>
      </w:r>
      <w:r>
        <w:t xml:space="preserve">Er und der Betreuer erörtern diese Maßnahme unter Berücksichtigung des Patientenwillens als Grundlage für die nach </w:t>
      </w:r>
      <w:hyperlink w:anchor="b2285" w:history="1">
        <w:r>
          <w:rPr>
            <w:color w:val="0A3A8C"/>
            <w:u w:val="single"/>
          </w:rPr>
          <w:t xml:space="preserve">§ 1827</w:t>
        </w:r>
      </w:hyperlink>
      <w:r>
        <w:t xml:space="preserve"> zu treffende Entscheidung.</w:t>
      </w:r>
    </w:p>
    <w:p>
      <w:r>
        <w:t xml:space="preserve">(2) Bei der Feststellung des Patientenwillens nach </w:t>
      </w:r>
      <w:hyperlink w:anchor="b2285" w:history="1">
        <w:r>
          <w:rPr>
            <w:color w:val="0A3A8C"/>
            <w:u w:val="single"/>
          </w:rPr>
          <w:t xml:space="preserve">§ 1827</w:t>
        </w:r>
      </w:hyperlink>
      <w:r>
        <w:t xml:space="preserve"> Absatz 1 oder der Behandlungswünsche oder des mutmaßlichen Willens nach </w:t>
      </w:r>
      <w:hyperlink w:anchor="b2285" w:history="1">
        <w:r>
          <w:rPr>
            <w:color w:val="0A3A8C"/>
            <w:u w:val="single"/>
          </w:rPr>
          <w:t xml:space="preserve">§ 1827</w:t>
        </w:r>
      </w:hyperlink>
      <w:r>
        <w:t xml:space="preserve"> Absatz 2 soll nahen Angehörigen und sonstigen Vertrauenspersonen des Betreuten Gelegenheit zur Äußerung gegeben werden, sofern dies ohne erhebliche Verzögerung möglich ist.</w:t>
      </w:r>
    </w:p>
    <w:p>
      <w:r>
        <w:t>(3) Die Absätze 1 und 2 gelten für Bevollmächtigte entsprechend.</w:t>
      </w:r>
    </w:p>
    <w:p>
      <w:pPr>
        <w:pStyle w:val="Heading6"/>
      </w:pPr>
      <w:bookmarkStart w:id="2302" w:name="b2287"/>
      <w:r>
        <w:t>§ 1829 Genehmigung des Betreuungsgerichts bei ärztlichen Maßnahmen</w:t>
      </w:r>
      <w:r>
        <w:t xml:space="preserve"> </w:t>
      </w:r>
      <w:r>
        <w:rPr>
          <w:rStyle w:val="Suchmarke"/>
        </w:rPr>
        <w:t>#1829#</w:t>
      </w:r>
      <w:bookmarkEnd w:id="2302"/>
    </w:p>
    <w:p>
      <w:r>
        <w:t xml:space="preserve">(1) </w:t>
      </w:r>
      <w:r>
        <w:rPr>
          <w:rStyle w:val="Satznummer"/>
        </w:rPr>
        <w:t>1</w:t>
      </w:r>
      <w:r>
        <w:t xml:space="preserve">Die Einwilligung des Betreuers in eine Untersuchung des Gesundheitszustands, eine Heilbehandlung oder einen ärztlichen Eingriff bedarf der Genehmigung des Betreuungsgerichts, wenn die begründete Gefahr besteht, dass der Betreute aufgrund der Maßnahme stirbt oder einen schweren und länger dauernden gesundheitlichen Schaden erleidet. </w:t>
      </w:r>
      <w:r>
        <w:rPr>
          <w:rStyle w:val="Satznummer"/>
        </w:rPr>
        <w:t>2</w:t>
      </w:r>
      <w:r>
        <w:t>Ohne die Genehmigung darf die Maßnahme nur durchgeführt werden, wenn mit dem Aufschub Gefahr verbunden ist.</w:t>
      </w:r>
    </w:p>
    <w:p>
      <w:r>
        <w:t>(2) Die Nichteinwilligung oder der Widerruf der Einwilligung des Betreuers in eine Untersuchung des Gesundheitszustands, eine Heilbehandlung oder einen ärztlichen Eingriff bedarf der Genehmigung des Betreuungsgerichts, wenn die Maßnahme medizinisch angezeigt ist und die begründete Gefahr besteht, dass der Betreute aufgrund des Unterbleibens oder des Abbruchs der Maßnahme stirbt oder einen schweren und länger dauernden gesundheitlichen Schaden erleidet.</w:t>
      </w:r>
    </w:p>
    <w:p>
      <w:r>
        <w:t>(3) Die Genehmigung nach den Absätzen 1 und 2 ist zu erteilen, wenn die Einwilligung, die Nichteinwilligung oder der Widerruf der Einwilligung dem Willen des Betreuten entspricht.</w:t>
      </w:r>
    </w:p>
    <w:p>
      <w:r>
        <w:t xml:space="preserve">(4) Eine Genehmigung nach den Absätzen 1 und 2 ist nicht erforderlich, wenn zwischen Betreuer und behandelndem Arzt Einvernehmen darüber besteht, dass die Erteilung, die Nichterteilung oder der Widerruf der Einwilligung dem nach </w:t>
      </w:r>
      <w:hyperlink w:anchor="b2285" w:history="1">
        <w:r>
          <w:rPr>
            <w:color w:val="0A3A8C"/>
            <w:u w:val="single"/>
          </w:rPr>
          <w:t xml:space="preserve">§ 1827</w:t>
        </w:r>
      </w:hyperlink>
      <w:r>
        <w:t xml:space="preserve"> festgestellten Willen des Betreuten entspricht.</w:t>
      </w:r>
    </w:p>
    <w:p>
      <w:r>
        <w:t xml:space="preserve">(5) Die Absätze 1 bis 4 gelten nach Maßgabe des </w:t>
      </w:r>
      <w:hyperlink w:anchor="b2275" w:history="1">
        <w:r>
          <w:rPr>
            <w:color w:val="0A3A8C"/>
            <w:u w:val="single"/>
          </w:rPr>
          <w:t xml:space="preserve">§ 1820</w:t>
        </w:r>
      </w:hyperlink>
      <w:r>
        <w:t xml:space="preserve"> Absatz 2 Nummer 1 für einen Bevollmächtigten entsprechend.</w:t>
      </w:r>
    </w:p>
    <w:p>
      <w:pPr>
        <w:pStyle w:val="Heading6"/>
      </w:pPr>
      <w:bookmarkStart w:id="2303" w:name="b2288"/>
      <w:r>
        <w:t>§ 1830 Sterilisation</w:t>
      </w:r>
      <w:r>
        <w:t xml:space="preserve"> </w:t>
      </w:r>
      <w:r>
        <w:rPr>
          <w:rStyle w:val="Suchmarke"/>
        </w:rPr>
        <w:t>#1830#</w:t>
      </w:r>
      <w:bookmarkEnd w:id="2303"/>
    </w:p>
    <w:p>
      <w:r>
        <w:t>(1) Die Einwilligung eines Sterilisationsbetreuers in eine Sterilisation des Betreuten, in die dieser nicht selbst einwilligen kann, ist nur zulässig, wenn</w:t>
      </w:r>
    </w:p>
    <w:p>
      <w:pPr>
        <w:tabs>
          <w:tab w:pos="567" w:val="left"/>
        </w:tabs>
        <w:ind w:left="567" w:hanging="567"/>
      </w:pPr>
      <w:r>
        <w:t>1.</w:t>
      </w:r>
      <w:r>
        <w:tab/>
      </w:r>
      <w:r>
        <w:t>die Sterilisation dem natürlichen Willen des Betreuten entspricht,</w:t>
      </w:r>
    </w:p>
    <w:p>
      <w:pPr>
        <w:tabs>
          <w:tab w:pos="567" w:val="left"/>
        </w:tabs>
        <w:ind w:left="567" w:hanging="567"/>
      </w:pPr>
      <w:r>
        <w:t>2.</w:t>
      </w:r>
      <w:r>
        <w:tab/>
      </w:r>
      <w:r>
        <w:t>der Betreute auf Dauer einwilligungsunfähig bleiben wird,</w:t>
      </w:r>
    </w:p>
    <w:p>
      <w:pPr>
        <w:tabs>
          <w:tab w:pos="567" w:val="left"/>
        </w:tabs>
        <w:ind w:left="567" w:hanging="567"/>
      </w:pPr>
      <w:r>
        <w:t>3.</w:t>
      </w:r>
      <w:r>
        <w:tab/>
      </w:r>
      <w:r>
        <w:t>anzunehmen ist, dass es ohne die Sterilisation zu einer Schwangerschaft kommen würde,</w:t>
      </w:r>
    </w:p>
    <w:p>
      <w:pPr>
        <w:tabs>
          <w:tab w:pos="567" w:val="left"/>
        </w:tabs>
        <w:ind w:left="567" w:hanging="567"/>
      </w:pPr>
      <w:r>
        <w:t>4.</w:t>
      </w:r>
      <w:r>
        <w:tab/>
      </w:r>
      <w:r>
        <w:t>infolge dieser Schwangerschaft eine Gefahr für das Leben oder die Gefahr einer schwerwiegenden Beeinträchtigung des körperlichen oder seelischen Gesundheitszustands der Schwangeren zu erwarten wäre, die nicht auf zumutbare Weise abgewendet werden könnte, und</w:t>
      </w:r>
    </w:p>
    <w:p>
      <w:pPr>
        <w:tabs>
          <w:tab w:pos="567" w:val="left"/>
        </w:tabs>
        <w:ind w:left="567" w:hanging="567"/>
      </w:pPr>
      <w:r>
        <w:t>5.</w:t>
      </w:r>
      <w:r>
        <w:tab/>
      </w:r>
      <w:r>
        <w:t>die Schwangerschaft nicht durch andere zumutbare Mittel verhindert werden kann.</w:t>
      </w:r>
    </w:p>
    <w:p>
      <w:r>
        <w:t xml:space="preserve">(2) </w:t>
      </w:r>
      <w:r>
        <w:rPr>
          <w:rStyle w:val="Satznummer"/>
        </w:rPr>
        <w:t>1</w:t>
      </w:r>
      <w:r>
        <w:t xml:space="preserve">Die Einwilligung bedarf der Genehmigung des Betreuungsgerichts. </w:t>
      </w:r>
      <w:r>
        <w:rPr>
          <w:rStyle w:val="Satznummer"/>
        </w:rPr>
        <w:t>2</w:t>
      </w:r>
      <w:r>
        <w:t xml:space="preserve">Die Sterilisation darf erst zwei Wochen nach Wirksamkeit der Genehmigung durchgeführt werden. </w:t>
      </w:r>
      <w:r>
        <w:rPr>
          <w:rStyle w:val="Satznummer"/>
        </w:rPr>
        <w:t>3</w:t>
      </w:r>
      <w:r>
        <w:t>Bei der Sterilisation ist stets der Methode der Vorzug zu geben, die eine Refertilisierung zulässt.</w:t>
      </w:r>
    </w:p>
    <w:p>
      <w:pPr>
        <w:pStyle w:val="Heading6"/>
      </w:pPr>
      <w:bookmarkStart w:id="2304" w:name="b2289"/>
      <w:r>
        <w:t>§ 1831 Freiheitsentziehende Unterbringung und freiheitsentziehende Maßnahmen</w:t>
      </w:r>
      <w:r>
        <w:t xml:space="preserve"> </w:t>
      </w:r>
      <w:r>
        <w:rPr>
          <w:rStyle w:val="Suchmarke"/>
        </w:rPr>
        <w:t>#1831#</w:t>
      </w:r>
      <w:bookmarkEnd w:id="2304"/>
    </w:p>
    <w:p>
      <w:r>
        <w:t>(1) Eine Unterbringung des Betreuten durch den Betreuer, die mit Freiheitsentziehung verbunden ist, ist nur zulässig, solange sie erforderlich ist, weil</w:t>
      </w:r>
    </w:p>
    <w:p>
      <w:pPr>
        <w:tabs>
          <w:tab w:pos="567" w:val="left"/>
        </w:tabs>
        <w:ind w:left="567" w:hanging="567"/>
      </w:pPr>
      <w:r>
        <w:t>1.</w:t>
      </w:r>
      <w:r>
        <w:tab/>
      </w:r>
      <w:r>
        <w:t>aufgrund einer psychischen Krankheit oder geistigen oder seelischen Behinderung des Betreuten die Gefahr besteht, dass er sich selbst tötet oder erheblichen gesundheitlichen Schaden zufügt, oder</w:t>
      </w:r>
    </w:p>
    <w:p>
      <w:pPr>
        <w:tabs>
          <w:tab w:pos="567" w:val="left"/>
        </w:tabs>
        <w:ind w:left="567" w:hanging="567"/>
      </w:pPr>
      <w:r>
        <w:t>2.</w:t>
      </w:r>
      <w:r>
        <w:tab/>
      </w:r>
      <w:r>
        <w:t>zur Abwendung eines drohenden erheblichen gesundheitlichen Schadens eine Untersuchung des Gesundheitszustands, eine Heilbehandlung oder ein ärztlicher Eingriff notwendig ist, die Maßnahme ohne die Unterbringung des Betreuten nicht durchgeführt werden kann und der Betreute aufgrund einer psychischen Krankheit oder geistigen oder seelischen Behinderung die Notwendigkeit der Unterbringung nicht erkennen oder nicht nach dieser Einsicht handeln kann.</w:t>
      </w:r>
    </w:p>
    <w:p>
      <w:r>
        <w:t xml:space="preserve">(2) </w:t>
      </w:r>
      <w:r>
        <w:rPr>
          <w:rStyle w:val="Satznummer"/>
        </w:rPr>
        <w:t>1</w:t>
      </w:r>
      <w:r>
        <w:t xml:space="preserve">Die Unterbringung ist nur mit Genehmigung des Betreuungsgerichts zulässig. </w:t>
      </w:r>
      <w:r>
        <w:rPr>
          <w:rStyle w:val="Satznummer"/>
        </w:rPr>
        <w:t>2</w:t>
      </w:r>
      <w:r>
        <w:t>Ohne die Genehmigung ist die Unterbringung nur zulässig, wenn mit dem Aufschub Gefahr verbunden ist; die Genehmigung ist unverzüglich nachzuholen.</w:t>
      </w:r>
    </w:p>
    <w:p>
      <w:r>
        <w:t xml:space="preserve">(3) </w:t>
      </w:r>
      <w:r>
        <w:rPr>
          <w:rStyle w:val="Satznummer"/>
        </w:rPr>
        <w:t>1</w:t>
      </w:r>
      <w:r>
        <w:t xml:space="preserve">Der Betreuer hat die Unterbringung zu beenden, wenn ihre Voraussetzungen weggefallen sind. </w:t>
      </w:r>
      <w:r>
        <w:rPr>
          <w:rStyle w:val="Satznummer"/>
        </w:rPr>
        <w:t>2</w:t>
      </w:r>
      <w:r>
        <w:t>Er hat die Beendigung der Unterbringung dem Betreuungsgericht unverzüglich anzuzeigen.</w:t>
      </w:r>
    </w:p>
    <w:p>
      <w:r>
        <w:t>(4) Die Absätze 1 bis 3 gelten entsprechend, wenn dem Betreuten, der sich in einem Krankenhaus, einem Heim oder einer sonstigen Einrichtung aufhält, durch mechanische Vorrichtungen, Medikamente oder auf andere Weise über einen längeren Zeitraum oder regelmäßig die Freiheit entzogen werden soll.</w:t>
      </w:r>
    </w:p>
    <w:p>
      <w:r>
        <w:t xml:space="preserve">(5) Die Absätze 1 bis 4 gelten nach Maßgabe des </w:t>
      </w:r>
      <w:hyperlink w:anchor="b2275" w:history="1">
        <w:r>
          <w:rPr>
            <w:color w:val="0A3A8C"/>
            <w:u w:val="single"/>
          </w:rPr>
          <w:t xml:space="preserve">§ 1820</w:t>
        </w:r>
      </w:hyperlink>
      <w:r>
        <w:t xml:space="preserve"> Absatz 2 Nummer 2 für einen Bevollmächtigten entsprechend.</w:t>
      </w:r>
    </w:p>
    <w:p>
      <w:pPr>
        <w:pStyle w:val="Heading6"/>
      </w:pPr>
      <w:bookmarkStart w:id="2305" w:name="b2290"/>
      <w:r>
        <w:t>§ 1832 Ärztliche Zwangsmaßnahmen</w:t>
      </w:r>
      <w:r>
        <w:t xml:space="preserve"> </w:t>
      </w:r>
      <w:r>
        <w:rPr>
          <w:rStyle w:val="Suchmarke"/>
        </w:rPr>
        <w:t>#1832#</w:t>
      </w:r>
      <w:bookmarkEnd w:id="2305"/>
    </w:p>
    <w:p>
      <w:r>
        <w:t xml:space="preserve">(1) </w:t>
      </w:r>
      <w:r>
        <w:rPr>
          <w:rStyle w:val="Satznummer"/>
        </w:rPr>
        <w:t>1</w:t>
      </w:r>
      <w:r>
        <w:t>Widerspricht eine Untersuchung des Gesundheitszustands, eine Heilbehandlung oder ein ärztlicher Eingriff dem natürlichen Willen des Betreuten (ärztliche Zwangsmaßnahme), so kann der Betreuer in die ärztliche Zwangsmaßnahme nur einwilligen, wenn</w:t>
      </w:r>
    </w:p>
    <w:p>
      <w:pPr>
        <w:tabs>
          <w:tab w:pos="567" w:val="left"/>
        </w:tabs>
        <w:ind w:left="567" w:hanging="567"/>
      </w:pPr>
      <w:r>
        <w:t>1.</w:t>
      </w:r>
      <w:r>
        <w:tab/>
      </w:r>
      <w:r>
        <w:t>die ärztliche Zwangsmaßnahme notwendig ist, um einen drohenden erheblichen gesundheitlichen Schaden vom Betreuten abzuwenden,</w:t>
      </w:r>
    </w:p>
    <w:p>
      <w:pPr>
        <w:tabs>
          <w:tab w:pos="567" w:val="left"/>
        </w:tabs>
        <w:ind w:left="567" w:hanging="567"/>
      </w:pPr>
      <w:r>
        <w:t>2.</w:t>
      </w:r>
      <w:r>
        <w:tab/>
      </w:r>
      <w:r>
        <w:t>der Betreute aufgrund einer psychischen Krankheit oder einer geistigen oder seelischen Behinderung die Notwendigkeit der ärztlichen Maßnahme nicht erkennen oder nicht nach dieser Einsicht handeln kann,</w:t>
      </w:r>
    </w:p>
    <w:p>
      <w:pPr>
        <w:tabs>
          <w:tab w:pos="567" w:val="left"/>
        </w:tabs>
        <w:ind w:left="567" w:hanging="567"/>
      </w:pPr>
      <w:r>
        <w:t>3.</w:t>
      </w:r>
      <w:r>
        <w:tab/>
      </w:r>
      <w:r>
        <w:t xml:space="preserve">die ärztliche Zwangsmaßnahme dem nach </w:t>
      </w:r>
      <w:r>
        <w:t>§ 1827</w:t>
      </w:r>
      <w:r>
        <w:t xml:space="preserve"> zu beachtenden Willen des Betreuten entspricht,</w:t>
      </w:r>
    </w:p>
    <w:p>
      <w:pPr>
        <w:tabs>
          <w:tab w:pos="567" w:val="left"/>
        </w:tabs>
        <w:ind w:left="567" w:hanging="567"/>
      </w:pPr>
      <w:r>
        <w:t>4.</w:t>
      </w:r>
      <w:r>
        <w:tab/>
      </w:r>
      <w:r>
        <w:t>zuvor ernsthaft, mit dem nötigen Zeitaufwand und ohne Ausübung unzulässigen Drucks versucht wurde, den Betreuten von der Notwendigkeit der ärztlichen Maßnahme zu überzeugen,</w:t>
      </w:r>
    </w:p>
    <w:p>
      <w:pPr>
        <w:tabs>
          <w:tab w:pos="567" w:val="left"/>
        </w:tabs>
        <w:ind w:left="567" w:hanging="567"/>
      </w:pPr>
      <w:r>
        <w:t>5.</w:t>
      </w:r>
      <w:r>
        <w:tab/>
      </w:r>
      <w:r>
        <w:t>der drohende erhebliche gesundheitliche Schaden durch keine andere den Betreuten weniger belastende Maßnahme abgewendet werden kann,</w:t>
      </w:r>
    </w:p>
    <w:p>
      <w:pPr>
        <w:tabs>
          <w:tab w:pos="567" w:val="left"/>
        </w:tabs>
        <w:ind w:left="567" w:hanging="567"/>
      </w:pPr>
      <w:r>
        <w:t>6.</w:t>
      </w:r>
      <w:r>
        <w:tab/>
      </w:r>
      <w:r>
        <w:t>der zu erwartende Nutzen der ärztlichen Zwangsmaßnahme die zu erwartenden Beeinträchtigungen deutlich überwiegt und</w:t>
      </w:r>
    </w:p>
    <w:p>
      <w:pPr>
        <w:tabs>
          <w:tab w:pos="567" w:val="left"/>
        </w:tabs>
        <w:ind w:left="567" w:hanging="567"/>
      </w:pPr>
      <w:r>
        <w:t>7.</w:t>
      </w:r>
      <w:r>
        <w:tab/>
      </w:r>
      <w:r>
        <w:t>die ärztliche Zwangsmaßnahme im Rahmen eines stationären Aufenthalts in einem Krankenhaus, in dem die gebotene medizinische Versorgung des Betreuten einschließlich einer erforderlichen Nachbehandlung sichergestellt ist, durchgeführt wird.</w:t>
      </w:r>
    </w:p>
    <w:p>
      <w:r>
        <w:rPr>
          <w:rStyle w:val="Satznummer"/>
        </w:rPr>
        <w:t>2</w:t>
      </w:r>
      <w:hyperlink w:anchor="b2333" w:history="1">
        <w:r>
          <w:rPr>
            <w:color w:val="0A3A8C"/>
            <w:u w:val="single"/>
          </w:rPr>
          <w:t xml:space="preserve">§ 1867</w:t>
        </w:r>
      </w:hyperlink>
      <w:r>
        <w:t xml:space="preserve"> ist nur anwendbar, wenn der Betreuer an der Erfüllung seiner Pflichten verhindert ist.</w:t>
      </w:r>
    </w:p>
    <w:p>
      <w:r>
        <w:t>(2) Die Einwilligung in die ärztliche Zwangsmaßnahme bedarf der Genehmigung des Betreuungsgerichts.</w:t>
      </w:r>
    </w:p>
    <w:p>
      <w:r>
        <w:t xml:space="preserve">(3) </w:t>
      </w:r>
      <w:r>
        <w:rPr>
          <w:rStyle w:val="Satznummer"/>
        </w:rPr>
        <w:t>1</w:t>
      </w:r>
      <w:r>
        <w:t xml:space="preserve">Der Betreuer hat die Einwilligung in die ärztliche Zwangsmaßnahme zu widerrufen, wenn ihre Voraussetzungen weggefallen sind. </w:t>
      </w:r>
      <w:r>
        <w:rPr>
          <w:rStyle w:val="Satznummer"/>
        </w:rPr>
        <w:t>2</w:t>
      </w:r>
      <w:r>
        <w:t>Er hat den Widerruf dem Betreuungsgericht unverzüglich anzuzeigen.</w:t>
      </w:r>
    </w:p>
    <w:p>
      <w:r>
        <w:t xml:space="preserve">(4) Kommt eine ärztliche Zwangsmaßnahme in Betracht, so gilt für die Verbringung des Betreuten gegen seinen natürlichen Willen zu einem stationären Aufenthalt in ein Krankenhaus </w:t>
      </w:r>
      <w:hyperlink w:anchor="b2289" w:history="1">
        <w:r>
          <w:rPr>
            <w:color w:val="0A3A8C"/>
            <w:u w:val="single"/>
          </w:rPr>
          <w:t xml:space="preserve">§ 1831</w:t>
        </w:r>
      </w:hyperlink>
      <w:r>
        <w:t xml:space="preserve"> Absatz 1 Nummer 2, Absatz 2 und 3 Satz 1 entsprechend.</w:t>
      </w:r>
    </w:p>
    <w:p>
      <w:r>
        <w:t xml:space="preserve">(5) Die Absätze 1 bis 4 gelten nach Maßgabe des </w:t>
      </w:r>
      <w:hyperlink w:anchor="b2275" w:history="1">
        <w:r>
          <w:rPr>
            <w:color w:val="0A3A8C"/>
            <w:u w:val="single"/>
          </w:rPr>
          <w:t xml:space="preserve">§ 1820</w:t>
        </w:r>
      </w:hyperlink>
      <w:r>
        <w:t xml:space="preserve"> Absatz 2 Nummer 3 für einen Bevollmächtigten entsprechend.</w:t>
      </w:r>
    </w:p>
    <w:p>
      <w:pPr>
        <w:pStyle w:val="Heading6"/>
      </w:pPr>
      <w:bookmarkStart w:id="2306" w:name="b2291"/>
      <w:r>
        <w:t>§ 1833 Aufgabe von Wohnraum des Betreuten</w:t>
      </w:r>
      <w:r>
        <w:t xml:space="preserve"> </w:t>
      </w:r>
      <w:r>
        <w:rPr>
          <w:rStyle w:val="Suchmarke"/>
        </w:rPr>
        <w:t>#1833#</w:t>
      </w:r>
      <w:bookmarkEnd w:id="2306"/>
    </w:p>
    <w:p>
      <w:r>
        <w:t xml:space="preserve">(1) </w:t>
      </w:r>
      <w:r>
        <w:rPr>
          <w:rStyle w:val="Satznummer"/>
        </w:rPr>
        <w:t>1</w:t>
      </w:r>
      <w:r>
        <w:t xml:space="preserve">Eine Aufgabe von Wohnraum, der vom Betreuten selbst genutzt wird, durch den Betreuer ist nur nach Maßgabe des </w:t>
      </w:r>
      <w:hyperlink w:anchor="b2278" w:history="1">
        <w:r>
          <w:rPr>
            <w:color w:val="0A3A8C"/>
            <w:u w:val="single"/>
          </w:rPr>
          <w:t xml:space="preserve">§ 1821</w:t>
        </w:r>
      </w:hyperlink>
      <w:r>
        <w:t xml:space="preserve"> Absatz 2 bis 4 zulässig. </w:t>
      </w:r>
      <w:r>
        <w:rPr>
          <w:rStyle w:val="Satznummer"/>
        </w:rPr>
        <w:t>2</w:t>
      </w:r>
      <w:r>
        <w:t xml:space="preserve">Eine Gefährdung im Sinne des </w:t>
      </w:r>
      <w:hyperlink w:anchor="b2278" w:history="1">
        <w:r>
          <w:rPr>
            <w:color w:val="0A3A8C"/>
            <w:u w:val="single"/>
          </w:rPr>
          <w:t xml:space="preserve">§ 1821</w:t>
        </w:r>
      </w:hyperlink>
      <w:r>
        <w:t xml:space="preserve"> Absatz 3 Nummer 1 liegt insbesondere dann vor, wenn eine Finanzierung des Wohnraums trotz Ausschöpfung aller dem Betreuten zur Verfügung stehenden Ressourcen nicht möglich ist oder eine häusliche Versorgung trotz umfassender Zuhilfenahme aller ambulanten Dienste zu einer erheblichen gesundheitlichen Gefährdung des Betreuten führen würde.</w:t>
      </w:r>
    </w:p>
    <w:p>
      <w:r>
        <w:t xml:space="preserve">(2) </w:t>
      </w:r>
      <w:r>
        <w:rPr>
          <w:rStyle w:val="Satznummer"/>
        </w:rPr>
        <w:t>1</w:t>
      </w:r>
      <w:r>
        <w:t xml:space="preserve">Beabsichtigt der Betreuer, vom Betreuten selbst genutzten Wohnraum aufzugeben, so hat er dies unter Angabe der Gründe und der Sichtweise des Betreuten dem Betreuungsgericht unverzüglich anzuzeigen. </w:t>
      </w:r>
      <w:r>
        <w:rPr>
          <w:rStyle w:val="Satznummer"/>
        </w:rPr>
        <w:t>2</w:t>
      </w:r>
      <w:r>
        <w:t>Ist mit einer Aufgabe des Wohnraums aus anderen Gründen zu rechnen, so hat der Betreuer auch dies sowie die von ihm beabsichtigten Maßnahmen dem Betreuungsgericht unverzüglich anzuzeigen, wenn sein Aufgabenkreis die entsprechende Angelegenheit umfasst.</w:t>
      </w:r>
    </w:p>
    <w:p>
      <w:r>
        <w:t xml:space="preserve">(3) </w:t>
      </w:r>
      <w:r>
        <w:rPr>
          <w:rStyle w:val="Satznummer"/>
        </w:rPr>
        <w:t>1</w:t>
      </w:r>
      <w:r>
        <w:t>Der Betreuer bedarf bei vom Betreuten selbst genutzten Wohnraum der Genehmigung des Betreuungsgerichts</w:t>
      </w:r>
    </w:p>
    <w:p>
      <w:pPr>
        <w:tabs>
          <w:tab w:pos="567" w:val="left"/>
        </w:tabs>
        <w:ind w:left="567" w:hanging="567"/>
      </w:pPr>
      <w:r>
        <w:t>1.</w:t>
      </w:r>
      <w:r>
        <w:tab/>
      </w:r>
      <w:r>
        <w:t>zur Kündigung des Mietverhältnisses,</w:t>
      </w:r>
    </w:p>
    <w:p>
      <w:pPr>
        <w:tabs>
          <w:tab w:pos="567" w:val="left"/>
        </w:tabs>
        <w:ind w:left="567" w:hanging="567"/>
      </w:pPr>
      <w:r>
        <w:t>2.</w:t>
      </w:r>
      <w:r>
        <w:tab/>
      </w:r>
      <w:r>
        <w:t>zu einer Willenserklärung, die auf die Aufhebung des Mietverhältnisses gerichtet ist,</w:t>
      </w:r>
    </w:p>
    <w:p>
      <w:pPr>
        <w:tabs>
          <w:tab w:pos="567" w:val="left"/>
        </w:tabs>
        <w:ind w:left="567" w:hanging="567"/>
      </w:pPr>
      <w:r>
        <w:t>3.</w:t>
      </w:r>
      <w:r>
        <w:tab/>
      </w:r>
      <w:r>
        <w:t>zur Vermietung solchen Wohnraums und</w:t>
      </w:r>
    </w:p>
    <w:p>
      <w:pPr>
        <w:tabs>
          <w:tab w:pos="567" w:val="left"/>
        </w:tabs>
        <w:ind w:left="567" w:hanging="567"/>
      </w:pPr>
      <w:r>
        <w:t>4.</w:t>
      </w:r>
      <w:r>
        <w:tab/>
      </w:r>
      <w:r>
        <w:t>zur Verfügung über ein Grundstück oder über ein Recht an einem Grundstück, sofern dies mit der Aufgabe des Wohnraums verbunden ist.</w:t>
      </w:r>
    </w:p>
    <w:p>
      <w:r>
        <w:rPr>
          <w:rStyle w:val="Satznummer"/>
        </w:rPr>
        <w:t>2</w:t>
      </w:r>
      <w:r>
        <w:t xml:space="preserve">Die </w:t>
      </w:r>
      <w:hyperlink w:anchor="b2319" w:history="1">
        <w:r>
          <w:rPr>
            <w:color w:val="0A3A8C"/>
            <w:u w:val="single"/>
          </w:rPr>
          <w:t xml:space="preserve">§§ 1855</w:t>
        </w:r>
      </w:hyperlink>
      <w:r>
        <w:t xml:space="preserve"> bis </w:t>
      </w:r>
      <w:hyperlink w:anchor="b2322" w:history="1">
        <w:r>
          <w:rPr>
            <w:color w:val="0A3A8C"/>
            <w:u w:val="single"/>
          </w:rPr>
          <w:t xml:space="preserve">1858</w:t>
        </w:r>
      </w:hyperlink>
      <w:r>
        <w:t xml:space="preserve"> gelten entsprechend.</w:t>
      </w:r>
    </w:p>
    <w:p>
      <w:pPr>
        <w:pStyle w:val="Heading6"/>
      </w:pPr>
      <w:bookmarkStart w:id="2307" w:name="b2292"/>
      <w:r>
        <w:t>§ 1834 Bestimmung des Umgangs und des Aufenthalts des Betreuten</w:t>
      </w:r>
      <w:r>
        <w:t xml:space="preserve"> </w:t>
      </w:r>
      <w:r>
        <w:rPr>
          <w:rStyle w:val="Suchmarke"/>
        </w:rPr>
        <w:t>#1834#</w:t>
      </w:r>
      <w:bookmarkEnd w:id="2307"/>
    </w:p>
    <w:p>
      <w:r>
        <w:t xml:space="preserve">(1) Den Umgang des Betreuten mit anderen Personen darf der Betreuer mit Wirkung für und gegen Dritte nur bestimmen, wenn der Betreute dies wünscht oder ihm eine konkrete Gefährdung im Sinne des </w:t>
      </w:r>
      <w:hyperlink w:anchor="b2278" w:history="1">
        <w:r>
          <w:rPr>
            <w:color w:val="0A3A8C"/>
            <w:u w:val="single"/>
          </w:rPr>
          <w:t xml:space="preserve">§ 1821</w:t>
        </w:r>
      </w:hyperlink>
      <w:r>
        <w:t xml:space="preserve"> Absatz 3 Nummer 1 droht.</w:t>
      </w:r>
    </w:p>
    <w:p>
      <w:r>
        <w:t>(2) Die Bestimmung des Aufenthalts umfasst das Recht, den Aufenthalt des Betreuten auch mit Wirkung für und gegen Dritte zu bestimmen und, falls erforderlich, die Herausgabe des Betreuten zu verlangen.</w:t>
      </w:r>
    </w:p>
    <w:p>
      <w:r>
        <w:t>(3) Über Streitigkeiten, die eine Angelegenheit nach Absatz 1 oder 2 betreffen, entscheidet das Betreuungsgericht auf Antrag.</w:t>
      </w:r>
    </w:p>
    <w:p>
      <w:pPr>
        <w:pStyle w:val="Heading5"/>
      </w:pPr>
      <w:bookmarkStart w:id="2308" w:name="b2293"/>
      <w:r>
        <w:t>Kapitel 3 Vermögensangelegenheiten</w:t>
      </w:r>
      <w:bookmarkEnd w:id="2308"/>
    </w:p>
    <w:p>
      <w:pPr>
        <w:pStyle w:val="Heading6"/>
      </w:pPr>
      <w:bookmarkStart w:id="2309" w:name="b2294"/>
      <w:r>
        <w:t>Unterkapitel 1 Allgemeine Vorschriften</w:t>
      </w:r>
      <w:bookmarkEnd w:id="2309"/>
    </w:p>
    <w:p>
      <w:pPr>
        <w:pStyle w:val="Heading7"/>
      </w:pPr>
      <w:bookmarkStart w:id="2310" w:name="b2295"/>
      <w:r>
        <w:t>§ 1835 Vermögensverzeichnis</w:t>
      </w:r>
      <w:r>
        <w:t xml:space="preserve"> </w:t>
      </w:r>
      <w:r>
        <w:rPr>
          <w:rStyle w:val="Suchmarke"/>
        </w:rPr>
        <w:t>#1835#</w:t>
      </w:r>
      <w:bookmarkEnd w:id="2310"/>
    </w:p>
    <w:p>
      <w:r>
        <w:t xml:space="preserve">(1) </w:t>
      </w:r>
      <w:r>
        <w:rPr>
          <w:rStyle w:val="Satznummer"/>
        </w:rPr>
        <w:t>1</w:t>
      </w:r>
      <w:r>
        <w:t xml:space="preserve">Soweit die Verwaltung des Vermögens des Betreuten zum Aufgabenkreis des Betreuers gehört, hat er zum Zeitpunkt seiner Bestellung ein Verzeichnis über das Vermögen des Betreuten zu erstellen und dieses dem Betreuungsgericht mit der Versicherung der Richtigkeit und Vollständigkeit einzureichen. </w:t>
      </w:r>
      <w:r>
        <w:rPr>
          <w:rStyle w:val="Satznummer"/>
        </w:rPr>
        <w:t>2</w:t>
      </w:r>
      <w:r>
        <w:t xml:space="preserve">Das Vermögensverzeichnis soll auch Angaben zu den regelmäßigen Einnahmen und Ausgaben des Betreuten enthalten. </w:t>
      </w:r>
      <w:r>
        <w:rPr>
          <w:rStyle w:val="Satznummer"/>
        </w:rPr>
        <w:t>3</w:t>
      </w:r>
      <w:r>
        <w:t xml:space="preserve">Der Betreuer hat das Vermögensverzeichnis um dasjenige Vermögen zu ergänzen, das der Betreute später hinzuerwirbt. </w:t>
      </w:r>
      <w:r>
        <w:rPr>
          <w:rStyle w:val="Satznummer"/>
        </w:rPr>
        <w:t>4</w:t>
      </w:r>
      <w:r>
        <w:t>Mehrere Betreuer haben das Vermögensverzeichnis gemeinsam zu erstellen, soweit sie das Vermögen gemeinsam verwalten.</w:t>
      </w:r>
    </w:p>
    <w:p>
      <w:r>
        <w:t>(2) Der Betreuer hat seine Angaben im Vermögensverzeichnis in geeigneter Weise zu belegen.</w:t>
      </w:r>
    </w:p>
    <w:p>
      <w:r>
        <w:t>(3) Soweit es für die ordnungsgemäße Erstellung des Vermögensverzeichnisses erforderlich und mit Rücksicht auf das Vermögen des Betreuten angemessen ist, kann der Betreuer die zuständige Betreuungsbehörde, einen zuständigen Beamten, einen Notar oder einen Sachverständigen zur Erstellung des Verzeichnisses hinzuziehen.</w:t>
      </w:r>
    </w:p>
    <w:p>
      <w:r>
        <w:t xml:space="preserve">(4) </w:t>
      </w:r>
      <w:r>
        <w:rPr>
          <w:rStyle w:val="Satznummer"/>
        </w:rPr>
        <w:t>1</w:t>
      </w:r>
      <w:r>
        <w:t xml:space="preserve">Bestehen nach den Umständen des Einzelfalls konkrete Anhaltspunkte dafür, dass die Kontrolle der Richtigkeit und Vollständigkeit des Vermögensverzeichnisses durch eine dritte Person zum Schutz des Vermögens des Betreuten oder zur Vermeidung von Rechtsstreitigkeiten erforderlich ist, kann das Betreuungsgericht eine dritte Person als Zeuge bei der Erstellung des Vermögensverzeichnisses, insbesondere bei einer Inaugenscheinnahme von Vermögensgegenständen, hinzuziehen. </w:t>
      </w:r>
      <w:r>
        <w:rPr>
          <w:rStyle w:val="Satznummer"/>
        </w:rPr>
        <w:t>2</w:t>
      </w:r>
      <w:r>
        <w:t xml:space="preserve">Für die Erstattung der Aufwendungen der dritten Person sind die Vorschriften über die Entschädigung von Zeugen nach dem Justizvergütungs- und -entschädigungsgesetz anzuwenden. </w:t>
      </w:r>
      <w:r>
        <w:rPr>
          <w:rStyle w:val="Satznummer"/>
        </w:rPr>
        <w:t>3</w:t>
      </w:r>
      <w:r>
        <w:t xml:space="preserve">Der Betreuer hat der dritten Person die Wahrnehmung ihrer Aufgaben zu ermöglichen. </w:t>
      </w:r>
      <w:r>
        <w:rPr>
          <w:rStyle w:val="Satznummer"/>
        </w:rPr>
        <w:t>4</w:t>
      </w:r>
      <w:r>
        <w:t>Die dritte Person hat dem Betreuungsgericht über die Erstellung des Vermögensverzeichnisses und insbesondere das Ergebnis der Inaugenscheinnahme zu berichten.</w:t>
      </w:r>
    </w:p>
    <w:p>
      <w:r>
        <w:t>(5) Ist das eingereichte Vermögensverzeichnis ungenügend, so kann das Betreuungsgericht anordnen, dass das Vermögensverzeichnis durch die zuständige Betreuungsbehörde oder einen Notar aufgenommen wird.</w:t>
      </w:r>
    </w:p>
    <w:p>
      <w:r>
        <w:t>(6) Das Betreuungsgericht hat das Vermögensverzeichnis dem Betreuten zur Kenntnis zu geben, es sei denn, dadurch sind erhebliche Nachteile für dessen Gesundheit zu besorgen oder er ist offensichtlich nicht in der Lage, das Vermögensverzeichnis zur Kenntnis zu nehmen.</w:t>
      </w:r>
    </w:p>
    <w:p>
      <w:pPr>
        <w:pStyle w:val="Heading7"/>
      </w:pPr>
      <w:bookmarkStart w:id="2311" w:name="b2296"/>
      <w:r>
        <w:t>§ 1836 Trennungsgebot; Verwendung des Vermögens für den Betreuer</w:t>
      </w:r>
      <w:r>
        <w:t xml:space="preserve"> </w:t>
      </w:r>
      <w:r>
        <w:rPr>
          <w:rStyle w:val="Suchmarke"/>
        </w:rPr>
        <w:t>#1836#</w:t>
      </w:r>
      <w:bookmarkEnd w:id="2311"/>
    </w:p>
    <w:p>
      <w:r>
        <w:t xml:space="preserve">(1) </w:t>
      </w:r>
      <w:r>
        <w:rPr>
          <w:rStyle w:val="Satznummer"/>
        </w:rPr>
        <w:t>1</w:t>
      </w:r>
      <w:r>
        <w:t xml:space="preserve">Der Betreuer hat das Vermögen des Betreuten getrennt von seinem eigenen Vermögen zu halten. </w:t>
      </w:r>
      <w:r>
        <w:rPr>
          <w:rStyle w:val="Satznummer"/>
        </w:rPr>
        <w:t>2</w:t>
      </w:r>
      <w:r>
        <w:t>Dies gilt nicht für das bei Bestellung des Betreuers bestehende und das während der Betreuung hinzukommende gemeinschaftliche Vermögen des Betreuers und des Betreuten, wenn das Betreuungsgericht nichts anderes anordnet.</w:t>
      </w:r>
    </w:p>
    <w:p>
      <w:r>
        <w:t xml:space="preserve">(2) </w:t>
      </w:r>
      <w:r>
        <w:rPr>
          <w:rStyle w:val="Satznummer"/>
        </w:rPr>
        <w:t>1</w:t>
      </w:r>
      <w:r>
        <w:t xml:space="preserve">Der Betreuer darf das Vermögen des Betreuten nicht für sich verwenden. </w:t>
      </w:r>
      <w:r>
        <w:rPr>
          <w:rStyle w:val="Satznummer"/>
        </w:rPr>
        <w:t>2</w:t>
      </w:r>
      <w:r>
        <w:t xml:space="preserve">Dies gilt nicht, wenn die Betreuung ehrenamtlich geführt wird und zwischen dem Betreuten und dem Betreuer eine Vereinbarung über die Verwendung getroffen wurde. </w:t>
      </w:r>
      <w:r>
        <w:rPr>
          <w:rStyle w:val="Satznummer"/>
        </w:rPr>
        <w:t>3</w:t>
      </w:r>
      <w:r>
        <w:t>Verwendungen nach Satz 2 sind unter Darlegung der Vereinbarung dem Betreuungsgericht anzuzeigen.</w:t>
      </w:r>
    </w:p>
    <w:p>
      <w:r>
        <w:t xml:space="preserve">(3) Absatz 2 Satz 1 gilt nicht für Haushaltsgegenstände und das Verfügungsgeld im Sinne des </w:t>
      </w:r>
      <w:hyperlink w:anchor="b2300" w:history="1">
        <w:r>
          <w:rPr>
            <w:color w:val="0A3A8C"/>
            <w:u w:val="single"/>
          </w:rPr>
          <w:t xml:space="preserve">§ 1839</w:t>
        </w:r>
      </w:hyperlink>
      <w:r>
        <w:t>, wenn der Betreuer mit dem Betreuten einen gemeinsamen Haushalt führt oder geführt hat und die Verwendung dem Wunsch oder mutmaßlichen Willen des Betreuten entspricht.</w:t>
      </w:r>
    </w:p>
    <w:p>
      <w:pPr>
        <w:pStyle w:val="Heading7"/>
      </w:pPr>
      <w:bookmarkStart w:id="2312" w:name="b2297"/>
      <w:r>
        <w:t>§ 1837 Vermögensverwaltung durch den Betreuer bei Erbschaft und Schenkung</w:t>
      </w:r>
      <w:r>
        <w:t xml:space="preserve"> </w:t>
      </w:r>
      <w:r>
        <w:rPr>
          <w:rStyle w:val="Suchmarke"/>
        </w:rPr>
        <w:t>#1837#</w:t>
      </w:r>
      <w:bookmarkEnd w:id="2312"/>
    </w:p>
    <w:p>
      <w:r>
        <w:t>(1) Der Betreuer hat das Vermögen des Betreuten, das dieser von Todes wegen erwirbt, das ihm unentgeltlich durch Zuwendung auf den Todesfall oder unter Lebenden von einem Dritten zugewendet wird, nach den Anordnungen des Erblassers oder des Zuwendenden, soweit diese sich an den Betreuer richten, zu verwalten, wenn die Anordnungen von dem Erblasser durch letztwillige Verfügung oder von dem Dritten bei der Zuwendung getroffen worden sind.</w:t>
      </w:r>
    </w:p>
    <w:p>
      <w:r>
        <w:t xml:space="preserve">(2) </w:t>
      </w:r>
      <w:r>
        <w:rPr>
          <w:rStyle w:val="Satznummer"/>
        </w:rPr>
        <w:t>1</w:t>
      </w:r>
      <w:r>
        <w:t xml:space="preserve">Das Betreuungsgericht kann die Anordnungen des Erblassers oder des Zuwendenden aufheben, wenn ihre Befolgung das Vermögen des Betreuten erheblich gefährden würde. </w:t>
      </w:r>
      <w:r>
        <w:rPr>
          <w:rStyle w:val="Satznummer"/>
        </w:rPr>
        <w:t>2</w:t>
      </w:r>
      <w:r>
        <w:t xml:space="preserve">Solange der Zuwendende lebt, ist zu einer Abweichung von den Anordnungen seine Zustimmung erforderlich und genügend. </w:t>
      </w:r>
      <w:r>
        <w:rPr>
          <w:rStyle w:val="Satznummer"/>
        </w:rPr>
        <w:t>3</w:t>
      </w:r>
      <w:r>
        <w:t>Ist er zur Abgabe einer Erklärung dauerhaft außerstande oder ist sein Aufenthalt dauerhaft unbekannt, so kann das Betreuungsgericht unter Beachtung der Voraussetzungen von Satz 1 die Zustimmung ersetzen.</w:t>
      </w:r>
    </w:p>
    <w:p>
      <w:pPr>
        <w:pStyle w:val="Heading6"/>
      </w:pPr>
      <w:bookmarkStart w:id="2313" w:name="b2298"/>
      <w:r>
        <w:t>Unterkapitel 2 Verwaltung von Geld, Wertpapieren und Wertgegenständen</w:t>
      </w:r>
      <w:bookmarkEnd w:id="2313"/>
    </w:p>
    <w:p>
      <w:pPr>
        <w:pStyle w:val="Heading7"/>
      </w:pPr>
      <w:bookmarkStart w:id="2314" w:name="b2299"/>
      <w:r>
        <w:t>§ 1838 Pflichten des Betreuers in Vermögensangelegenheiten</w:t>
      </w:r>
      <w:r>
        <w:t xml:space="preserve"> </w:t>
      </w:r>
      <w:r>
        <w:rPr>
          <w:rStyle w:val="Suchmarke"/>
        </w:rPr>
        <w:t>#1838#</w:t>
      </w:r>
      <w:bookmarkEnd w:id="2314"/>
    </w:p>
    <w:p>
      <w:r>
        <w:t xml:space="preserve">(1) </w:t>
      </w:r>
      <w:r>
        <w:rPr>
          <w:rStyle w:val="Satznummer"/>
        </w:rPr>
        <w:t>1</w:t>
      </w:r>
      <w:r>
        <w:t xml:space="preserve">Der Betreuer hat die Vermögensangelegenheiten des Betreuten nach Maßgabe des </w:t>
      </w:r>
      <w:hyperlink w:anchor="b2278" w:history="1">
        <w:r>
          <w:rPr>
            <w:color w:val="0A3A8C"/>
            <w:u w:val="single"/>
          </w:rPr>
          <w:t xml:space="preserve">§ 1821</w:t>
        </w:r>
      </w:hyperlink>
      <w:r>
        <w:t xml:space="preserve"> wahrzunehmen. </w:t>
      </w:r>
      <w:r>
        <w:rPr>
          <w:rStyle w:val="Satznummer"/>
        </w:rPr>
        <w:t>2</w:t>
      </w:r>
      <w:r>
        <w:t xml:space="preserve">Es wird vermutet, dass eine Wahrnehmung der Vermögensangelegenheiten nach den §§ 1839 bis 1843 dem mutmaßlichen Willen des Betreuten nach </w:t>
      </w:r>
      <w:hyperlink w:anchor="b2278" w:history="1">
        <w:r>
          <w:rPr>
            <w:color w:val="0A3A8C"/>
            <w:u w:val="single"/>
          </w:rPr>
          <w:t xml:space="preserve">§ 1821</w:t>
        </w:r>
      </w:hyperlink>
      <w:r>
        <w:t xml:space="preserve"> Absatz 4 entspricht, wenn keine hinreichenden konkreten Anhaltspunkte für einen hiervon abweichenden mutmaßlichen Willen bestehen.</w:t>
      </w:r>
    </w:p>
    <w:p>
      <w:r>
        <w:t xml:space="preserve">(2) </w:t>
      </w:r>
      <w:r>
        <w:rPr>
          <w:rStyle w:val="Satznummer"/>
        </w:rPr>
        <w:t>1</w:t>
      </w:r>
      <w:r>
        <w:t xml:space="preserve">Soweit die nach Absatz 1 Satz 1 gebotene Wahrnehmung der Vermögensangelegenheiten von den in den </w:t>
      </w:r>
      <w:hyperlink w:anchor="b2300" w:history="1">
        <w:r>
          <w:rPr>
            <w:color w:val="0A3A8C"/>
            <w:u w:val="single"/>
          </w:rPr>
          <w:t xml:space="preserve">§§ 1839</w:t>
        </w:r>
      </w:hyperlink>
      <w:r>
        <w:t xml:space="preserve"> bis </w:t>
      </w:r>
      <w:hyperlink w:anchor="b2304" w:history="1">
        <w:r>
          <w:rPr>
            <w:color w:val="0A3A8C"/>
            <w:u w:val="single"/>
          </w:rPr>
          <w:t xml:space="preserve">1843</w:t>
        </w:r>
      </w:hyperlink>
      <w:r>
        <w:t xml:space="preserve"> festgelegten Grundsätzen abweicht, hat der Betreuer dies dem Betreuungsgericht unverzüglich unter Darlegung der Wünsche des Betreuten anzuzeigen. </w:t>
      </w:r>
      <w:r>
        <w:rPr>
          <w:rStyle w:val="Satznummer"/>
        </w:rPr>
        <w:t>2</w:t>
      </w:r>
      <w:r>
        <w:t xml:space="preserve">Das Betreuungsgericht kann die Anwendung der </w:t>
      </w:r>
      <w:hyperlink w:anchor="b2300" w:history="1">
        <w:r>
          <w:rPr>
            <w:color w:val="0A3A8C"/>
            <w:u w:val="single"/>
          </w:rPr>
          <w:t xml:space="preserve">§§ 1839</w:t>
        </w:r>
      </w:hyperlink>
      <w:r>
        <w:t xml:space="preserve"> bis </w:t>
      </w:r>
      <w:hyperlink w:anchor="b2304" w:history="1">
        <w:r>
          <w:rPr>
            <w:color w:val="0A3A8C"/>
            <w:u w:val="single"/>
          </w:rPr>
          <w:t xml:space="preserve">1843</w:t>
        </w:r>
      </w:hyperlink>
      <w:r>
        <w:t xml:space="preserve"> oder einzelner Vorschriften ausdrücklich anordnen, wenn andernfalls eine Gefährdung im Sinne des </w:t>
      </w:r>
      <w:hyperlink w:anchor="b2278" w:history="1">
        <w:r>
          <w:rPr>
            <w:color w:val="0A3A8C"/>
            <w:u w:val="single"/>
          </w:rPr>
          <w:t xml:space="preserve">§ 1821</w:t>
        </w:r>
      </w:hyperlink>
      <w:r>
        <w:t xml:space="preserve"> Absatz 3 Nummer 1 zu besorgen wäre.</w:t>
      </w:r>
    </w:p>
    <w:p>
      <w:pPr>
        <w:pStyle w:val="Heading7"/>
      </w:pPr>
      <w:bookmarkStart w:id="2315" w:name="b2300"/>
      <w:r>
        <w:t>§ 1839 Bereithaltung von Verfügungsgeld</w:t>
      </w:r>
      <w:r>
        <w:t xml:space="preserve"> </w:t>
      </w:r>
      <w:r>
        <w:rPr>
          <w:rStyle w:val="Suchmarke"/>
        </w:rPr>
        <w:t>#1839#</w:t>
      </w:r>
      <w:bookmarkEnd w:id="2315"/>
    </w:p>
    <w:p>
      <w:r>
        <w:t xml:space="preserve">(1) </w:t>
      </w:r>
      <w:r>
        <w:rPr>
          <w:rStyle w:val="Satznummer"/>
        </w:rPr>
        <w:t>1</w:t>
      </w:r>
      <w:r>
        <w:t xml:space="preserve">Geld des Betreuten, das der Betreuer für dessen Ausgaben benötigt (Verfügungsgeld), hat er auf einem Girokonto des Betreuten bei einem Kreditinstitut bereitzuhalten. </w:t>
      </w:r>
      <w:r>
        <w:rPr>
          <w:rStyle w:val="Satznummer"/>
        </w:rPr>
        <w:t>2</w:t>
      </w:r>
      <w:r>
        <w:t xml:space="preserve">Ausgenommen ist Bargeld im Sinne von </w:t>
      </w:r>
      <w:hyperlink w:anchor="b2301" w:history="1">
        <w:r>
          <w:rPr>
            <w:color w:val="0A3A8C"/>
            <w:u w:val="single"/>
          </w:rPr>
          <w:t xml:space="preserve">§ 1840</w:t>
        </w:r>
      </w:hyperlink>
      <w:r>
        <w:t xml:space="preserve"> Absatz 2.</w:t>
      </w:r>
    </w:p>
    <w:p>
      <w:r>
        <w:t xml:space="preserve">(2) Absatz 1 steht einer Bereithaltung von Verfügungsgeld auf einem gesonderten zur verzinslichen Anlage geeigneten Konto des Betreuten im Sinne von </w:t>
      </w:r>
      <w:hyperlink w:anchor="b2302" w:history="1">
        <w:r>
          <w:rPr>
            <w:color w:val="0A3A8C"/>
            <w:u w:val="single"/>
          </w:rPr>
          <w:t xml:space="preserve">§ 1841</w:t>
        </w:r>
      </w:hyperlink>
      <w:r>
        <w:t xml:space="preserve"> Absatz 2 nicht entgegen.</w:t>
      </w:r>
    </w:p>
    <w:p>
      <w:pPr>
        <w:pStyle w:val="Heading7"/>
      </w:pPr>
      <w:bookmarkStart w:id="2316" w:name="b2301"/>
      <w:r>
        <w:t>§ 1840 Bargeldloser Zahlungsverkehr</w:t>
      </w:r>
      <w:r>
        <w:t xml:space="preserve"> </w:t>
      </w:r>
      <w:r>
        <w:rPr>
          <w:rStyle w:val="Suchmarke"/>
        </w:rPr>
        <w:t>#1840#</w:t>
      </w:r>
      <w:bookmarkEnd w:id="2316"/>
    </w:p>
    <w:p>
      <w:r>
        <w:t xml:space="preserve">(1) Der Betreuer hat den Zahlungsverkehr für den Betreuten bargeldlos unter Verwendung des gemäß </w:t>
      </w:r>
      <w:hyperlink w:anchor="b2300" w:history="1">
        <w:r>
          <w:rPr>
            <w:color w:val="0A3A8C"/>
            <w:u w:val="single"/>
          </w:rPr>
          <w:t xml:space="preserve">§ 1839</w:t>
        </w:r>
      </w:hyperlink>
      <w:r>
        <w:t xml:space="preserve"> Absatz 1 Satz 1 zu unterhaltenden Girokontos durchzuführen.</w:t>
      </w:r>
    </w:p>
    <w:p>
      <w:r>
        <w:t>(2) Von Absatz 1 sind ausgenommen</w:t>
      </w:r>
    </w:p>
    <w:p>
      <w:pPr>
        <w:tabs>
          <w:tab w:pos="567" w:val="left"/>
        </w:tabs>
        <w:ind w:left="567" w:hanging="567"/>
      </w:pPr>
      <w:r>
        <w:t>1.</w:t>
      </w:r>
      <w:r>
        <w:tab/>
      </w:r>
      <w:r>
        <w:t>im Geschäftsverkehr übliche Barzahlungen und</w:t>
      </w:r>
    </w:p>
    <w:p>
      <w:pPr>
        <w:tabs>
          <w:tab w:pos="567" w:val="left"/>
        </w:tabs>
        <w:ind w:left="567" w:hanging="567"/>
      </w:pPr>
      <w:r>
        <w:t>2.</w:t>
      </w:r>
      <w:r>
        <w:tab/>
      </w:r>
      <w:r>
        <w:t>Auszahlungen an den Betreuten.</w:t>
      </w:r>
    </w:p>
    <w:p>
      <w:pPr>
        <w:pStyle w:val="Heading7"/>
      </w:pPr>
      <w:bookmarkStart w:id="2317" w:name="b2302"/>
      <w:r>
        <w:t>§ 1841 Anlagepflicht</w:t>
      </w:r>
      <w:r>
        <w:t xml:space="preserve"> </w:t>
      </w:r>
      <w:r>
        <w:rPr>
          <w:rStyle w:val="Suchmarke"/>
        </w:rPr>
        <w:t>#1841#</w:t>
      </w:r>
      <w:bookmarkEnd w:id="2317"/>
    </w:p>
    <w:p>
      <w:r>
        <w:t xml:space="preserve">(1) Geld des Betreuten, das nicht für Ausgaben nach </w:t>
      </w:r>
      <w:hyperlink w:anchor="b2300" w:history="1">
        <w:r>
          <w:rPr>
            <w:color w:val="0A3A8C"/>
            <w:u w:val="single"/>
          </w:rPr>
          <w:t xml:space="preserve">§ 1839</w:t>
        </w:r>
      </w:hyperlink>
      <w:r>
        <w:t xml:space="preserve"> benötigt wird, hat der Betreuer anzulegen (Anlagegeld).</w:t>
      </w:r>
    </w:p>
    <w:p>
      <w:r>
        <w:t>(2) Der Betreuer soll das Anlagegeld auf einem zur verzinslichen Anlage geeigneten Konto des Betreuten bei einem Kreditinstitut (Anlagekonto) anlegen.</w:t>
      </w:r>
    </w:p>
    <w:p>
      <w:pPr>
        <w:pStyle w:val="Heading7"/>
      </w:pPr>
      <w:bookmarkStart w:id="2318" w:name="b2303"/>
      <w:r>
        <w:t>§ 1842 Voraussetzungen für das Kreditinstitut</w:t>
      </w:r>
      <w:r>
        <w:t xml:space="preserve"> </w:t>
      </w:r>
      <w:r>
        <w:rPr>
          <w:rStyle w:val="Suchmarke"/>
        </w:rPr>
        <w:t>#1842#</w:t>
      </w:r>
      <w:bookmarkEnd w:id="2318"/>
    </w:p>
    <w:p>
      <w:r>
        <w:t>Das Kreditinstitut muss bei Anlagen nach den §§ 1839 und 1841 Absatz 2 einer für die jeweilige Anlage ausreichenden Sicherungseinrichtung angehören.</w:t>
      </w:r>
    </w:p>
    <w:p>
      <w:pPr>
        <w:pStyle w:val="Heading7"/>
      </w:pPr>
      <w:bookmarkStart w:id="2319" w:name="b2304"/>
      <w:r>
        <w:t>§ 1843 Depotverwahrung und Hinterlegung von Wertpapieren</w:t>
      </w:r>
      <w:r>
        <w:t xml:space="preserve"> </w:t>
      </w:r>
      <w:r>
        <w:rPr>
          <w:rStyle w:val="Suchmarke"/>
        </w:rPr>
        <w:t>#1843#</w:t>
      </w:r>
      <w:bookmarkEnd w:id="2319"/>
    </w:p>
    <w:p>
      <w:r>
        <w:t>(1) Der Betreuer hat Wertpapiere des Betreuten im Sinne des § 1 Absatz 1 und 2 des Depotgesetzes bei einem Kreditinstitut in Einzel- oder Sammelverwahrung verwahren zu lassen.</w:t>
      </w:r>
    </w:p>
    <w:p>
      <w:r>
        <w:t>(2) Sonstige Wertpapiere des Betreuten hat der Betreuer in einem Schließfach eines Kreditinstituts zu hinterlegen.</w:t>
      </w:r>
    </w:p>
    <w:p>
      <w:r>
        <w:t>(3) Die Pflicht zur Depotverwahrung oder zur Hinterlegung besteht nicht, wenn diese nach den Umständen des Einzelfalls unter Berücksichtigung der Art der Wertpapiere zur Sicherung des Vermögens des Betreuten nicht geboten ist.</w:t>
      </w:r>
    </w:p>
    <w:p>
      <w:pPr>
        <w:pStyle w:val="Heading7"/>
      </w:pPr>
      <w:bookmarkStart w:id="2320" w:name="b2305"/>
      <w:r>
        <w:t>§ 1844 Hinterlegung von Wertgegenständen auf Anordnung des Betreuungsgerichts</w:t>
      </w:r>
      <w:r>
        <w:t xml:space="preserve"> </w:t>
      </w:r>
      <w:r>
        <w:rPr>
          <w:rStyle w:val="Suchmarke"/>
        </w:rPr>
        <w:t>#1844#</w:t>
      </w:r>
      <w:bookmarkEnd w:id="2320"/>
    </w:p>
    <w:p>
      <w:r>
        <w:t>Das Betreuungsgericht kann anordnen, dass der Betreuer Wertgegenstände des Betreuten bei einer Hinterlegungsstelle oder einer anderen geeigneten Stelle hinterlegt, wenn dies zur Sicherung des Vermögens des Betreuten geboten ist.</w:t>
      </w:r>
    </w:p>
    <w:p>
      <w:pPr>
        <w:pStyle w:val="Heading7"/>
      </w:pPr>
      <w:bookmarkStart w:id="2321" w:name="b2306"/>
      <w:r>
        <w:t>§ 1845 Sperrvereinbarung</w:t>
      </w:r>
      <w:r>
        <w:t xml:space="preserve"> </w:t>
      </w:r>
      <w:r>
        <w:rPr>
          <w:rStyle w:val="Suchmarke"/>
        </w:rPr>
        <w:t>#1845#</w:t>
      </w:r>
      <w:bookmarkEnd w:id="2321"/>
    </w:p>
    <w:p>
      <w:r>
        <w:t xml:space="preserve">(1) </w:t>
      </w:r>
      <w:r>
        <w:rPr>
          <w:rStyle w:val="Satznummer"/>
        </w:rPr>
        <w:t>1</w:t>
      </w:r>
      <w:r>
        <w:t xml:space="preserve">Für Geldanlagen des Betreuten im Sinne von </w:t>
      </w:r>
      <w:hyperlink w:anchor="b2302" w:history="1">
        <w:r>
          <w:rPr>
            <w:color w:val="0A3A8C"/>
            <w:u w:val="single"/>
          </w:rPr>
          <w:t xml:space="preserve">§ 1841</w:t>
        </w:r>
      </w:hyperlink>
      <w:r>
        <w:t xml:space="preserve"> Absatz 2 hat der Betreuer mit dem Kreditinstitut zu vereinbaren, dass er über die Anlage nur mit Genehmigung des Betreuungsgerichts verfügen kann. </w:t>
      </w:r>
      <w:r>
        <w:rPr>
          <w:rStyle w:val="Satznummer"/>
        </w:rPr>
        <w:t>2</w:t>
      </w:r>
      <w:r>
        <w:t xml:space="preserve">Anlagen von Verfügungsgeld gemäß </w:t>
      </w:r>
      <w:hyperlink w:anchor="b2300" w:history="1">
        <w:r>
          <w:rPr>
            <w:color w:val="0A3A8C"/>
            <w:u w:val="single"/>
          </w:rPr>
          <w:t xml:space="preserve">§ 1839</w:t>
        </w:r>
      </w:hyperlink>
      <w:r>
        <w:t xml:space="preserve"> Absatz 2 bleiben unberührt.</w:t>
      </w:r>
    </w:p>
    <w:p>
      <w:r>
        <w:t xml:space="preserve">(2) </w:t>
      </w:r>
      <w:r>
        <w:rPr>
          <w:rStyle w:val="Satznummer"/>
        </w:rPr>
        <w:t>1</w:t>
      </w:r>
      <w:r>
        <w:t xml:space="preserve">Für Wertpapiere im Sinne von </w:t>
      </w:r>
      <w:hyperlink w:anchor="b2304" w:history="1">
        <w:r>
          <w:rPr>
            <w:color w:val="0A3A8C"/>
            <w:u w:val="single"/>
          </w:rPr>
          <w:t xml:space="preserve">§ 1843</w:t>
        </w:r>
      </w:hyperlink>
      <w:r>
        <w:t xml:space="preserve"> Absatz 1 hat der Betreuer mit dem Verwahrer zu vereinbaren, dass er über die Wertpapiere und die Rechte aus dem Depotvertrag mit Ausnahme von Zinsen und Ausschüttungen nur mit Genehmigung des Betreuungsgerichts verfügen kann. </w:t>
      </w:r>
      <w:r>
        <w:rPr>
          <w:rStyle w:val="Satznummer"/>
        </w:rPr>
        <w:t>2</w:t>
      </w:r>
      <w:r>
        <w:t xml:space="preserve">Der Betreuer hat mit dem Kreditinstitut zu vereinbaren, dass er die Öffnung des Schließfachs für Wertpapiere im Sinne des </w:t>
      </w:r>
      <w:hyperlink w:anchor="b2304" w:history="1">
        <w:r>
          <w:rPr>
            <w:color w:val="0A3A8C"/>
            <w:u w:val="single"/>
          </w:rPr>
          <w:t xml:space="preserve">§ 1843</w:t>
        </w:r>
      </w:hyperlink>
      <w:r>
        <w:t xml:space="preserve"> Absatz 2 und die Herausgabe von nach </w:t>
      </w:r>
      <w:hyperlink w:anchor="b2305" w:history="1">
        <w:r>
          <w:rPr>
            <w:color w:val="0A3A8C"/>
            <w:u w:val="single"/>
          </w:rPr>
          <w:t xml:space="preserve">§ 1844</w:t>
        </w:r>
      </w:hyperlink>
      <w:r>
        <w:t xml:space="preserve"> hinterlegten Wertgegenständen nur mit Genehmigung des Betreuungsgerichts verlangen kann.</w:t>
      </w:r>
    </w:p>
    <w:p>
      <w:r>
        <w:t xml:space="preserve">(3) </w:t>
      </w:r>
      <w:r>
        <w:rPr>
          <w:rStyle w:val="Satznummer"/>
        </w:rPr>
        <w:t>1</w:t>
      </w:r>
      <w:r>
        <w:t xml:space="preserve">Die Absätze 1 und 2 sind entsprechend anzuwenden, wenn ein Anlagekonto, ein Depot oder eine Hinterlegung des Betreuten bei der Bestellung des Betreuers unversperrt ist. </w:t>
      </w:r>
      <w:r>
        <w:rPr>
          <w:rStyle w:val="Satznummer"/>
        </w:rPr>
        <w:t>2</w:t>
      </w:r>
      <w:r>
        <w:t>Der Betreuer hat dem Betreuungsgericht die Sperrvereinbarung anzuzeigen.</w:t>
      </w:r>
    </w:p>
    <w:p>
      <w:pPr>
        <w:pStyle w:val="Heading6"/>
      </w:pPr>
      <w:bookmarkStart w:id="2322" w:name="b2307"/>
      <w:r>
        <w:t>Unterkapitel 3 Anzeigepflichten</w:t>
      </w:r>
      <w:bookmarkEnd w:id="2322"/>
    </w:p>
    <w:p>
      <w:pPr>
        <w:pStyle w:val="Heading7"/>
      </w:pPr>
      <w:bookmarkStart w:id="2323" w:name="b2308"/>
      <w:r>
        <w:t>§ 1846 Anzeigepflichten bei der Geld- und Vermögensverwaltung</w:t>
      </w:r>
      <w:r>
        <w:t xml:space="preserve"> </w:t>
      </w:r>
      <w:r>
        <w:rPr>
          <w:rStyle w:val="Suchmarke"/>
        </w:rPr>
        <w:t>#1846#</w:t>
      </w:r>
      <w:bookmarkEnd w:id="2323"/>
    </w:p>
    <w:p>
      <w:r>
        <w:t>(1) Der Betreuer hat dem Betreuungsgericht unverzüglich anzuzeigen, wenn er</w:t>
      </w:r>
    </w:p>
    <w:p>
      <w:pPr>
        <w:tabs>
          <w:tab w:pos="567" w:val="left"/>
        </w:tabs>
        <w:ind w:left="567" w:hanging="567"/>
      </w:pPr>
      <w:r>
        <w:t>1.</w:t>
      </w:r>
      <w:r>
        <w:tab/>
      </w:r>
      <w:r>
        <w:t>ein Girokonto für den Betreuten eröffnet,</w:t>
      </w:r>
    </w:p>
    <w:p>
      <w:pPr>
        <w:tabs>
          <w:tab w:pos="567" w:val="left"/>
        </w:tabs>
        <w:ind w:left="567" w:hanging="567"/>
      </w:pPr>
      <w:r>
        <w:t>2.</w:t>
      </w:r>
      <w:r>
        <w:tab/>
      </w:r>
      <w:r>
        <w:t>ein Anlagekonto für den Betreuten eröffnet,</w:t>
      </w:r>
    </w:p>
    <w:p>
      <w:pPr>
        <w:tabs>
          <w:tab w:pos="567" w:val="left"/>
        </w:tabs>
        <w:ind w:left="567" w:hanging="567"/>
      </w:pPr>
      <w:r>
        <w:t>3.</w:t>
      </w:r>
      <w:r>
        <w:tab/>
      </w:r>
      <w:r>
        <w:t>ein Depot eröffnet oder Wertpapiere des Betreuten hinterlegt,</w:t>
      </w:r>
    </w:p>
    <w:p>
      <w:pPr>
        <w:tabs>
          <w:tab w:pos="567" w:val="left"/>
        </w:tabs>
        <w:ind w:left="567" w:hanging="567"/>
      </w:pPr>
      <w:r>
        <w:t>4.</w:t>
      </w:r>
      <w:r>
        <w:tab/>
      </w:r>
      <w:r>
        <w:t xml:space="preserve">Wertpapiere des Betreuten gemäß </w:t>
      </w:r>
      <w:hyperlink w:anchor="b2304" w:history="1">
        <w:r>
          <w:rPr>
            <w:color w:val="0A3A8C"/>
            <w:u w:val="single"/>
          </w:rPr>
          <w:t xml:space="preserve">§ 1843</w:t>
        </w:r>
      </w:hyperlink>
      <w:r>
        <w:t xml:space="preserve"> Absatz 3 nicht in einem Depot verwahrt oder hinterlegt.</w:t>
      </w:r>
    </w:p>
    <w:p>
      <w:r>
        <w:t>(2) Die Anzeige hat insbesondere Angaben zu enthalten</w:t>
      </w:r>
    </w:p>
    <w:p>
      <w:pPr>
        <w:tabs>
          <w:tab w:pos="567" w:val="left"/>
        </w:tabs>
        <w:ind w:left="567" w:hanging="567"/>
      </w:pPr>
      <w:r>
        <w:t>1.</w:t>
      </w:r>
      <w:r>
        <w:tab/>
      </w:r>
      <w:r>
        <w:t>zur Höhe des Guthabens auf dem Girokonto nach Absatz 1 Nummer 1,</w:t>
      </w:r>
    </w:p>
    <w:p>
      <w:pPr>
        <w:tabs>
          <w:tab w:pos="567" w:val="left"/>
        </w:tabs>
        <w:ind w:left="567" w:hanging="567"/>
      </w:pPr>
      <w:r>
        <w:t>2.</w:t>
      </w:r>
      <w:r>
        <w:tab/>
      </w:r>
      <w:r>
        <w:t>zu Höhe und Verzinsung der Anlage gemäß Absatz 1 Nummer 2 sowie ihrer Bestimmung als Anlage- oder Verfügungsgeld,</w:t>
      </w:r>
    </w:p>
    <w:p>
      <w:pPr>
        <w:tabs>
          <w:tab w:pos="567" w:val="left"/>
        </w:tabs>
        <w:ind w:left="567" w:hanging="567"/>
      </w:pPr>
      <w:r>
        <w:t>3.</w:t>
      </w:r>
      <w:r>
        <w:tab/>
      </w:r>
      <w:r>
        <w:t>zu Art, Umfang und Wert der depotverwahrten oder hinterlegten Wertpapiere gemäß Absatz 1 Nummer 3 sowie zu den sich aus ihnen ergebenden Aufwendungen und Nutzungen,</w:t>
      </w:r>
    </w:p>
    <w:p>
      <w:pPr>
        <w:tabs>
          <w:tab w:pos="567" w:val="left"/>
        </w:tabs>
        <w:ind w:left="567" w:hanging="567"/>
      </w:pPr>
      <w:r>
        <w:t>4.</w:t>
      </w:r>
      <w:r>
        <w:tab/>
      </w:r>
      <w:r>
        <w:t>zu den Gründen, aus denen der Betreuer die Depotverwahrung oder Hinterlegung gemäß Absatz 1 Nummer 4 für nicht geboten erachtet, und wie die Wertpapiere verwahrt werden sollen,</w:t>
      </w:r>
    </w:p>
    <w:p>
      <w:pPr>
        <w:tabs>
          <w:tab w:pos="567" w:val="left"/>
        </w:tabs>
        <w:ind w:left="567" w:hanging="567"/>
      </w:pPr>
      <w:r>
        <w:t>5.</w:t>
      </w:r>
      <w:r>
        <w:tab/>
      </w:r>
      <w:r>
        <w:t>zur Sperrvereinbarung.</w:t>
      </w:r>
    </w:p>
    <w:p>
      <w:pPr>
        <w:pStyle w:val="Heading7"/>
      </w:pPr>
      <w:bookmarkStart w:id="2324" w:name="b2309"/>
      <w:r>
        <w:t>§ 1847 Anzeigepflicht für Erwerbsgeschäfte</w:t>
      </w:r>
      <w:r>
        <w:t xml:space="preserve"> </w:t>
      </w:r>
      <w:r>
        <w:rPr>
          <w:rStyle w:val="Suchmarke"/>
        </w:rPr>
        <w:t>#1847#</w:t>
      </w:r>
      <w:bookmarkEnd w:id="2324"/>
    </w:p>
    <w:p>
      <w:r>
        <w:t>Der Betreuer hat Beginn, Art und Umfang eines neuen Erwerbsgeschäfts im Namen des Betreuten und die Aufgabe eines bestehenden Erwerbsgeschäfts des Betreuten beim Betreuungsgericht anzuzeigen.</w:t>
      </w:r>
    </w:p>
    <w:p>
      <w:pPr>
        <w:pStyle w:val="Heading6"/>
      </w:pPr>
      <w:bookmarkStart w:id="2325" w:name="b2310"/>
      <w:r>
        <w:t>Unterkapitel 4 Genehmigungsbedürftige Rechtsgeschäfte</w:t>
      </w:r>
      <w:bookmarkEnd w:id="2325"/>
    </w:p>
    <w:p>
      <w:pPr>
        <w:pStyle w:val="Heading7"/>
      </w:pPr>
      <w:bookmarkStart w:id="2326" w:name="b2311"/>
      <w:r>
        <w:t>§ 1848 Genehmigung einer anderen Anlegung von Geld</w:t>
      </w:r>
      <w:r>
        <w:t xml:space="preserve"> </w:t>
      </w:r>
      <w:r>
        <w:rPr>
          <w:rStyle w:val="Suchmarke"/>
        </w:rPr>
        <w:t>#1848#</w:t>
      </w:r>
      <w:bookmarkEnd w:id="2326"/>
    </w:p>
    <w:p>
      <w:r>
        <w:t xml:space="preserve">Der Betreuer bedarf der Genehmigung des Betreuungsgerichts, wenn er Anlagegeld anders als auf einem Anlagekonto gemäß </w:t>
      </w:r>
      <w:hyperlink w:anchor="b2302" w:history="1">
        <w:r>
          <w:rPr>
            <w:color w:val="0A3A8C"/>
            <w:u w:val="single"/>
          </w:rPr>
          <w:t xml:space="preserve">§ 1841</w:t>
        </w:r>
      </w:hyperlink>
      <w:r>
        <w:t xml:space="preserve"> Absatz 2 anlegt.</w:t>
      </w:r>
    </w:p>
    <w:p>
      <w:pPr>
        <w:pStyle w:val="Heading7"/>
      </w:pPr>
      <w:bookmarkStart w:id="2327" w:name="b2312"/>
      <w:r>
        <w:t>§ 1849 Genehmigung bei Verfügung über Rechte und Wertpapiere</w:t>
      </w:r>
      <w:r>
        <w:t xml:space="preserve"> </w:t>
      </w:r>
      <w:r>
        <w:rPr>
          <w:rStyle w:val="Suchmarke"/>
        </w:rPr>
        <w:t>#1849#</w:t>
      </w:r>
      <w:bookmarkEnd w:id="2327"/>
    </w:p>
    <w:p>
      <w:r>
        <w:t xml:space="preserve">(1) </w:t>
      </w:r>
      <w:r>
        <w:rPr>
          <w:rStyle w:val="Satznummer"/>
        </w:rPr>
        <w:t>1</w:t>
      </w:r>
      <w:r>
        <w:t>Der Betreuer bedarf der Genehmigung des Betreuungsgerichts zu einer Verfügung über</w:t>
      </w:r>
    </w:p>
    <w:p>
      <w:pPr>
        <w:tabs>
          <w:tab w:pos="567" w:val="left"/>
        </w:tabs>
        <w:ind w:left="567" w:hanging="567"/>
      </w:pPr>
      <w:r>
        <w:t>1.</w:t>
      </w:r>
      <w:r>
        <w:tab/>
      </w:r>
      <w:r>
        <w:t>ein Recht, kraft dessen der Betreute eine Geldleistung oder die Leistung eines Wertpapiers verlangen kann,</w:t>
      </w:r>
    </w:p>
    <w:p>
      <w:pPr>
        <w:tabs>
          <w:tab w:pos="567" w:val="left"/>
        </w:tabs>
        <w:ind w:left="567" w:hanging="567"/>
      </w:pPr>
      <w:r>
        <w:t>2.</w:t>
      </w:r>
      <w:r>
        <w:tab/>
      </w:r>
      <w:r>
        <w:t>ein Wertpapier des Betreuten,</w:t>
      </w:r>
    </w:p>
    <w:p>
      <w:pPr>
        <w:tabs>
          <w:tab w:pos="567" w:val="left"/>
        </w:tabs>
        <w:ind w:left="567" w:hanging="567"/>
      </w:pPr>
      <w:r>
        <w:t>3.</w:t>
      </w:r>
      <w:r>
        <w:tab/>
      </w:r>
      <w:r>
        <w:t>einen hinterlegten Wertgegenstand des Betreuten.</w:t>
      </w:r>
    </w:p>
    <w:p>
      <w:r>
        <w:rPr>
          <w:rStyle w:val="Satznummer"/>
        </w:rPr>
        <w:t>2</w:t>
      </w:r>
      <w:r>
        <w:t>Das gleiche gilt für die Eingehung der Verpflichtung zu einer solchen Verfügung.</w:t>
      </w:r>
    </w:p>
    <w:p>
      <w:r>
        <w:t xml:space="preserve">(2) </w:t>
      </w:r>
      <w:r>
        <w:rPr>
          <w:rStyle w:val="Satznummer"/>
        </w:rPr>
        <w:t>1</w:t>
      </w:r>
      <w:r>
        <w:t>Einer Genehmigung bedarf es nicht,</w:t>
      </w:r>
    </w:p>
    <w:p>
      <w:pPr>
        <w:tabs>
          <w:tab w:pos="567" w:val="left"/>
        </w:tabs>
        <w:ind w:left="567" w:hanging="567"/>
      </w:pPr>
      <w:r>
        <w:t>1.</w:t>
      </w:r>
      <w:r>
        <w:tab/>
      </w:r>
      <w:r>
        <w:t>im Fall einer Geldleistung nach Absatz 1 Satz 1 Nummer 1, wenn der aus dem Recht folgende Zahlungsanspruch</w:t>
      </w:r>
    </w:p>
    <w:p>
      <w:pPr>
        <w:tabs>
          <w:tab w:pos="1134" w:val="left"/>
        </w:tabs>
        <w:ind w:left="1134" w:hanging="567"/>
      </w:pPr>
      <w:r>
        <w:t>a)</w:t>
      </w:r>
      <w:r>
        <w:tab/>
      </w:r>
      <w:r>
        <w:t>nicht mehr als 3 000 Euro beträgt,</w:t>
      </w:r>
    </w:p>
    <w:p>
      <w:pPr>
        <w:tabs>
          <w:tab w:pos="1134" w:val="left"/>
        </w:tabs>
        <w:ind w:left="1134" w:hanging="567"/>
      </w:pPr>
      <w:r>
        <w:t>b)</w:t>
      </w:r>
      <w:r>
        <w:tab/>
      </w:r>
      <w:r>
        <w:t>das Guthaben auf einem Girokonto des Betreuten betrifft,</w:t>
      </w:r>
    </w:p>
    <w:p>
      <w:pPr>
        <w:tabs>
          <w:tab w:pos="1134" w:val="left"/>
        </w:tabs>
        <w:ind w:left="1134" w:hanging="567"/>
      </w:pPr>
      <w:r>
        <w:t>c)</w:t>
      </w:r>
      <w:r>
        <w:tab/>
      </w:r>
      <w:r>
        <w:t>das Guthaben auf einem vom Betreuer für Verfügungsgeld ohne Sperrvereinbarung eröffneten Anlagekonto betrifft,</w:t>
      </w:r>
    </w:p>
    <w:p>
      <w:pPr>
        <w:tabs>
          <w:tab w:pos="1134" w:val="left"/>
        </w:tabs>
        <w:ind w:left="1134" w:hanging="567"/>
      </w:pPr>
      <w:r>
        <w:t>d)</w:t>
      </w:r>
      <w:r>
        <w:tab/>
      </w:r>
      <w:r>
        <w:t>zu den Nutzungen des Vermögens des Betreuten gehört oder</w:t>
      </w:r>
    </w:p>
    <w:p>
      <w:pPr>
        <w:tabs>
          <w:tab w:pos="1134" w:val="left"/>
        </w:tabs>
        <w:ind w:left="1134" w:hanging="567"/>
      </w:pPr>
      <w:r>
        <w:t>e)</w:t>
      </w:r>
      <w:r>
        <w:tab/>
      </w:r>
      <w:r>
        <w:t>auf Nebenleistungen gerichtet ist,</w:t>
      </w:r>
    </w:p>
    <w:p>
      <w:pPr>
        <w:tabs>
          <w:tab w:pos="567" w:val="left"/>
        </w:tabs>
        <w:ind w:left="567" w:hanging="567"/>
      </w:pPr>
      <w:r>
        <w:t>2.</w:t>
      </w:r>
      <w:r>
        <w:tab/>
      </w:r>
      <w:r>
        <w:t>im Fall von Absatz 1 Satz 1 Nummer 2, wenn die Verfügung über das Wertpapier</w:t>
      </w:r>
    </w:p>
    <w:p>
      <w:pPr>
        <w:tabs>
          <w:tab w:pos="1134" w:val="left"/>
        </w:tabs>
        <w:ind w:left="1134" w:hanging="567"/>
      </w:pPr>
      <w:r>
        <w:t>a)</w:t>
      </w:r>
      <w:r>
        <w:tab/>
      </w:r>
      <w:r>
        <w:t>eine Nutzung des Vermögens des Betreuten darstellt,</w:t>
      </w:r>
    </w:p>
    <w:p>
      <w:pPr>
        <w:tabs>
          <w:tab w:pos="1134" w:val="left"/>
        </w:tabs>
        <w:ind w:left="1134" w:hanging="567"/>
      </w:pPr>
      <w:r>
        <w:t>b)</w:t>
      </w:r>
      <w:r>
        <w:tab/>
      </w:r>
      <w:r>
        <w:t>eine Umschreibung des Wertpapiers auf den Namen des Betreuten darstellt,</w:t>
      </w:r>
    </w:p>
    <w:p>
      <w:pPr>
        <w:tabs>
          <w:tab w:pos="567" w:val="left"/>
        </w:tabs>
        <w:ind w:left="567" w:hanging="567"/>
      </w:pPr>
      <w:r>
        <w:t>3.</w:t>
      </w:r>
      <w:r>
        <w:tab/>
      </w:r>
      <w:r>
        <w:t>im Fall einer Verfügung nach Absatz 1 Satz 1, wenn die Eingehung der Verpflichtung zu einer solchen Verfügung bereits durch das Betreuungsgericht genehmigt worden ist.</w:t>
      </w:r>
    </w:p>
    <w:p>
      <w:r>
        <w:rPr>
          <w:rStyle w:val="Satznummer"/>
        </w:rPr>
        <w:t>2</w:t>
      </w:r>
      <w:r>
        <w:t>Satz 1 Nummer 2 gilt entsprechend für die Eingehung einer Verpflichtung zu einer solchen Verfügung.</w:t>
      </w:r>
    </w:p>
    <w:p>
      <w:r>
        <w:t xml:space="preserve">(3) </w:t>
      </w:r>
      <w:r>
        <w:rPr>
          <w:rStyle w:val="Satznummer"/>
        </w:rPr>
        <w:t>1</w:t>
      </w:r>
      <w:r>
        <w:t xml:space="preserve">Absatz 2 Nummer 1 Buchstabe a ist nicht anzuwenden auf eine Verfügung über einen sich aus einer Geldanlage ergebenden Zahlungsanspruch, soweit er einer Sperrvereinbarung unterliegt, sowie über den sich aus der Einlösung eines Wertpapiers ergebenden Zahlungsanspruch. </w:t>
      </w:r>
      <w:r>
        <w:rPr>
          <w:rStyle w:val="Satznummer"/>
        </w:rPr>
        <w:t>2</w:t>
      </w:r>
      <w:r>
        <w:t>Absatz 2 Nummer 1 Buchstabe d ist nicht anzuwenden auf eine Verfügung über einen Zahlungsanspruch, der einer Sperrvereinbarung unterliegt und eine Kapitalnutzung betrifft.</w:t>
      </w:r>
    </w:p>
    <w:p>
      <w:r>
        <w:t>(4) Die vorstehenden Absätze gelten entsprechend für die Annahme der Leistung.</w:t>
      </w:r>
    </w:p>
    <w:p>
      <w:pPr>
        <w:pStyle w:val="Heading7"/>
      </w:pPr>
      <w:bookmarkStart w:id="2328" w:name="b2313"/>
      <w:r>
        <w:t>§ 1850 Genehmigung für Rechtsgeschäfte über Grundstücke und Schiffe</w:t>
      </w:r>
      <w:r>
        <w:t xml:space="preserve"> </w:t>
      </w:r>
      <w:r>
        <w:rPr>
          <w:rStyle w:val="Suchmarke"/>
        </w:rPr>
        <w:t>#1850#</w:t>
      </w:r>
      <w:bookmarkEnd w:id="2328"/>
    </w:p>
    <w:p>
      <w:r>
        <w:t>Der Betreuer bedarf der Genehmigung des Betreuungsgerichts</w:t>
      </w:r>
    </w:p>
    <w:p>
      <w:pPr>
        <w:tabs>
          <w:tab w:pos="567" w:val="left"/>
        </w:tabs>
        <w:ind w:left="567" w:hanging="567"/>
      </w:pPr>
      <w:r>
        <w:t>1.</w:t>
      </w:r>
      <w:r>
        <w:tab/>
      </w:r>
      <w:r>
        <w:t xml:space="preserve">zur Verfügung über ein Grundstück oder über ein Recht an einem Grundstück, sofern die Genehmigung nicht bereits nach </w:t>
      </w:r>
      <w:hyperlink w:anchor="b2291" w:history="1">
        <w:r>
          <w:rPr>
            <w:color w:val="0A3A8C"/>
            <w:u w:val="single"/>
          </w:rPr>
          <w:t xml:space="preserve">§ 1833</w:t>
        </w:r>
      </w:hyperlink>
      <w:r>
        <w:t xml:space="preserve"> Absatz 3 Satz 1 Nummer 4 erforderlich ist,</w:t>
      </w:r>
    </w:p>
    <w:p>
      <w:pPr>
        <w:tabs>
          <w:tab w:pos="567" w:val="left"/>
        </w:tabs>
        <w:ind w:left="567" w:hanging="567"/>
      </w:pPr>
      <w:r>
        <w:t>2.</w:t>
      </w:r>
      <w:r>
        <w:tab/>
      </w:r>
      <w:r>
        <w:t>zur Verfügung über eine Forderung, die auf Übertragung des Eigentums an einem Grundstück, auf Begründung oder Übertragung eines Rechts an einem Grundstück oder auf Befreiung eines Grundstücks von einem solchen Recht gerichtet ist,</w:t>
      </w:r>
    </w:p>
    <w:p>
      <w:pPr>
        <w:tabs>
          <w:tab w:pos="567" w:val="left"/>
        </w:tabs>
        <w:ind w:left="567" w:hanging="567"/>
      </w:pPr>
      <w:r>
        <w:t>3.</w:t>
      </w:r>
      <w:r>
        <w:tab/>
      </w:r>
      <w:r>
        <w:t>zur Verfügung über ein eingetragenes Schiff oder Schiffsbauwerk oder über eine Forderung, die auf Übertragung des Eigentums an einem eingetragenen Schiff oder Schiffsbauwerk gerichtet ist,</w:t>
      </w:r>
    </w:p>
    <w:p>
      <w:pPr>
        <w:tabs>
          <w:tab w:pos="567" w:val="left"/>
        </w:tabs>
        <w:ind w:left="567" w:hanging="567"/>
      </w:pPr>
      <w:r>
        <w:t>4.</w:t>
      </w:r>
      <w:r>
        <w:tab/>
      </w:r>
      <w:r>
        <w:t>zu einem Rechtsgeschäft, durch das der Betreute unentgeltlich Wohnungs- oder Teileigentum erwirbt,</w:t>
      </w:r>
    </w:p>
    <w:p>
      <w:pPr>
        <w:tabs>
          <w:tab w:pos="567" w:val="left"/>
        </w:tabs>
        <w:ind w:left="567" w:hanging="567"/>
      </w:pPr>
      <w:r>
        <w:t>5.</w:t>
      </w:r>
      <w:r>
        <w:tab/>
      </w:r>
      <w:r>
        <w:t>zur Eingehung einer Verpflichtung zu einer der in den Nummern 1 bis 3 bezeichneten Verfügungen oder des in Nummer 4 bezeichneten Erwerbs sowie</w:t>
      </w:r>
    </w:p>
    <w:p>
      <w:pPr>
        <w:tabs>
          <w:tab w:pos="567" w:val="left"/>
        </w:tabs>
        <w:ind w:left="567" w:hanging="567"/>
      </w:pPr>
      <w:r>
        <w:t>6.</w:t>
      </w:r>
      <w:r>
        <w:tab/>
      </w:r>
      <w:r>
        <w:t>zu einem Rechtsgeschäft, durch das der Betreute zum entgeltlichen Erwerb eines Grundstücks, eines eingetragenen Schiffes oder Schiffsbauwerks oder eines Rechts an einem Grundstück verpflichtet wird, sowie zur Verpflichtung zum entgeltlichen Erwerb einer Forderung auf Übertragung des Eigentums an einem Grundstück, an einem eingetragenen Schiff oder Schiffsbauwerk oder auf Übertragung eines Rechts an einem Grundstück.</w:t>
      </w:r>
    </w:p>
    <w:p>
      <w:pPr>
        <w:pStyle w:val="Heading7"/>
      </w:pPr>
      <w:bookmarkStart w:id="2329" w:name="b2314"/>
      <w:r>
        <w:t>§ 1851 Genehmigung für erbrechtliche Rechtsgeschäfte</w:t>
      </w:r>
      <w:r>
        <w:t xml:space="preserve"> </w:t>
      </w:r>
      <w:r>
        <w:rPr>
          <w:rStyle w:val="Suchmarke"/>
        </w:rPr>
        <w:t>#1851#</w:t>
      </w:r>
      <w:bookmarkEnd w:id="2329"/>
    </w:p>
    <w:p>
      <w:r>
        <w:t>Der Betreuer bedarf der Genehmigung des Betreuungsgerichts</w:t>
      </w:r>
    </w:p>
    <w:p>
      <w:pPr>
        <w:tabs>
          <w:tab w:pos="567" w:val="left"/>
        </w:tabs>
        <w:ind w:left="567" w:hanging="567"/>
      </w:pPr>
      <w:r>
        <w:t>1.</w:t>
      </w:r>
      <w:r>
        <w:tab/>
      </w:r>
      <w:r>
        <w:t>zur Ausschlagung einer Erbschaft oder eines Vermächtnisses, zum Verzicht auf die Geltendmachung eines Vermächtnisses oder Pflichtteilsanspruchs sowie zu einem Auseinandersetzungsvertrag,</w:t>
      </w:r>
    </w:p>
    <w:p>
      <w:pPr>
        <w:tabs>
          <w:tab w:pos="567" w:val="left"/>
        </w:tabs>
        <w:ind w:left="567" w:hanging="567"/>
      </w:pPr>
      <w:r>
        <w:t>2.</w:t>
      </w:r>
      <w:r>
        <w:tab/>
      </w:r>
      <w:r>
        <w:t>zu einem Rechtsgeschäft, durch das der Betreute zu einer Verfügung über eine ihm angefallene Erbschaft, über seinen künftigen gesetzlichen Erbteil oder seinen künftigen Pflichtteil verpflichtet wird,</w:t>
      </w:r>
    </w:p>
    <w:p>
      <w:pPr>
        <w:tabs>
          <w:tab w:pos="567" w:val="left"/>
        </w:tabs>
        <w:ind w:left="567" w:hanging="567"/>
      </w:pPr>
      <w:r>
        <w:t>3.</w:t>
      </w:r>
      <w:r>
        <w:tab/>
      </w:r>
      <w:r>
        <w:t>zu einer Verfügung über den Anteil des Betreuten an einer Erbschaft oder zu einer Vereinbarung, mit der der Betreute aus der Erbengemeinschaft ausscheidet,</w:t>
      </w:r>
    </w:p>
    <w:p>
      <w:pPr>
        <w:tabs>
          <w:tab w:pos="567" w:val="left"/>
        </w:tabs>
        <w:ind w:left="567" w:hanging="567"/>
      </w:pPr>
      <w:r>
        <w:t>4.</w:t>
      </w:r>
      <w:r>
        <w:tab/>
      </w:r>
      <w:r>
        <w:t xml:space="preserve">zu einer Anfechtung eines Erbvertrags für den geschäftsunfähigen Betreuten als Erblasser gemäß </w:t>
      </w:r>
      <w:hyperlink w:anchor="b2734" w:history="1">
        <w:r>
          <w:rPr>
            <w:color w:val="0A3A8C"/>
            <w:u w:val="single"/>
          </w:rPr>
          <w:t xml:space="preserve">§ 2282</w:t>
        </w:r>
      </w:hyperlink>
      <w:r>
        <w:t xml:space="preserve"> Absatz 2,</w:t>
      </w:r>
    </w:p>
    <w:p>
      <w:pPr>
        <w:tabs>
          <w:tab w:pos="567" w:val="left"/>
        </w:tabs>
        <w:ind w:left="567" w:hanging="567"/>
      </w:pPr>
      <w:r>
        <w:t>5.</w:t>
      </w:r>
      <w:r>
        <w:tab/>
      </w:r>
      <w:r>
        <w:t xml:space="preserve">zum Abschluss eines Vertrags mit dem Erblasser über die Aufhebung eines Erbvertrags oder einer einzelnen vertragsmäßigen Verfügung gemäß </w:t>
      </w:r>
      <w:hyperlink w:anchor="b2742" w:history="1">
        <w:r>
          <w:rPr>
            <w:color w:val="0A3A8C"/>
            <w:u w:val="single"/>
          </w:rPr>
          <w:t xml:space="preserve">§ 2290</w:t>
        </w:r>
      </w:hyperlink>
      <w:r>
        <w:t>,</w:t>
      </w:r>
    </w:p>
    <w:p>
      <w:pPr>
        <w:tabs>
          <w:tab w:pos="567" w:val="left"/>
        </w:tabs>
        <w:ind w:left="567" w:hanging="567"/>
      </w:pPr>
      <w:r>
        <w:t>6.</w:t>
      </w:r>
      <w:r>
        <w:tab/>
      </w:r>
      <w:r>
        <w:t xml:space="preserve">zu einer Zustimmung zur testamentarischen Aufhebung einer in einem Erbvertrag mit dem Erblasser geregelten vertragsmäßigen Anordnung eines Vermächtnisses, einer Auflage sowie einer Rechtswahl gemäß </w:t>
      </w:r>
      <w:hyperlink w:anchor="b2743" w:history="1">
        <w:r>
          <w:rPr>
            <w:color w:val="0A3A8C"/>
            <w:u w:val="single"/>
          </w:rPr>
          <w:t xml:space="preserve">§ 2291</w:t>
        </w:r>
      </w:hyperlink>
      <w:r>
        <w:t>,</w:t>
      </w:r>
    </w:p>
    <w:p>
      <w:pPr>
        <w:tabs>
          <w:tab w:pos="567" w:val="left"/>
        </w:tabs>
        <w:ind w:left="567" w:hanging="567"/>
      </w:pPr>
      <w:r>
        <w:t>7.</w:t>
      </w:r>
      <w:r>
        <w:tab/>
      </w:r>
      <w:r>
        <w:t xml:space="preserve">zur Aufhebung eines zwischen Ehegatten oder Lebenspartnern geschlossenen Erbvertrags durch gemeinschaftliches Testament der Ehegatten oder Lebenspartner gemäß </w:t>
      </w:r>
      <w:hyperlink w:anchor="b2744" w:history="1">
        <w:r>
          <w:rPr>
            <w:color w:val="0A3A8C"/>
            <w:u w:val="single"/>
          </w:rPr>
          <w:t xml:space="preserve">§ 2292</w:t>
        </w:r>
      </w:hyperlink>
      <w:r>
        <w:t>,</w:t>
      </w:r>
    </w:p>
    <w:p>
      <w:pPr>
        <w:tabs>
          <w:tab w:pos="567" w:val="left"/>
        </w:tabs>
        <w:ind w:left="567" w:hanging="567"/>
      </w:pPr>
      <w:r>
        <w:t>8.</w:t>
      </w:r>
      <w:r>
        <w:tab/>
      </w:r>
      <w:r>
        <w:t xml:space="preserve">zu einer Rücknahme eines mit dem Erblasser geschlossenen Erbvertrags, der nur Verfügungen von Todes wegen enthält, aus der amtlichen oder notariellen Verwahrung gemäß </w:t>
      </w:r>
      <w:hyperlink w:anchor="b2752" w:history="1">
        <w:r>
          <w:rPr>
            <w:color w:val="0A3A8C"/>
            <w:u w:val="single"/>
          </w:rPr>
          <w:t xml:space="preserve">§ 2300</w:t>
        </w:r>
      </w:hyperlink>
      <w:r>
        <w:t xml:space="preserve"> Absatz 2,</w:t>
      </w:r>
    </w:p>
    <w:p>
      <w:pPr>
        <w:tabs>
          <w:tab w:pos="567" w:val="left"/>
        </w:tabs>
        <w:ind w:left="567" w:hanging="567"/>
      </w:pPr>
      <w:r>
        <w:t>9.</w:t>
      </w:r>
      <w:r>
        <w:tab/>
      </w:r>
      <w:r>
        <w:t xml:space="preserve">zum Abschluss oder zur Aufhebung eines Erb- oder Pflichtteilsverzichtsvertrags gemäß den </w:t>
      </w:r>
      <w:hyperlink w:anchor="b2802" w:history="1">
        <w:r>
          <w:rPr>
            <w:color w:val="0A3A8C"/>
            <w:u w:val="single"/>
          </w:rPr>
          <w:t xml:space="preserve">§§ 2346</w:t>
        </w:r>
      </w:hyperlink>
      <w:r>
        <w:t xml:space="preserve">, </w:t>
      </w:r>
      <w:hyperlink w:anchor="b2807" w:history="1">
        <w:r>
          <w:rPr>
            <w:color w:val="0A3A8C"/>
            <w:u w:val="single"/>
          </w:rPr>
          <w:t xml:space="preserve">2351</w:t>
        </w:r>
      </w:hyperlink>
      <w:r>
        <w:t xml:space="preserve"> sowie zum Abschluss eines Zuwendungsverzichtsvertrags gemäß </w:t>
      </w:r>
      <w:hyperlink w:anchor="b2808" w:history="1">
        <w:r>
          <w:rPr>
            <w:color w:val="0A3A8C"/>
            <w:u w:val="single"/>
          </w:rPr>
          <w:t xml:space="preserve">§ 2352</w:t>
        </w:r>
      </w:hyperlink>
      <w:r>
        <w:t>.</w:t>
      </w:r>
    </w:p>
    <w:p>
      <w:pPr>
        <w:pStyle w:val="Heading7"/>
      </w:pPr>
      <w:bookmarkStart w:id="2330" w:name="b2315"/>
      <w:r>
        <w:t>§ 1852 Genehmigung für handels- und gesellschaftsrechtliche Rechtsgeschäfte</w:t>
      </w:r>
      <w:r>
        <w:t xml:space="preserve"> </w:t>
      </w:r>
      <w:r>
        <w:rPr>
          <w:rStyle w:val="Suchmarke"/>
        </w:rPr>
        <w:t>#1852#</w:t>
      </w:r>
      <w:bookmarkEnd w:id="2330"/>
    </w:p>
    <w:p>
      <w:r>
        <w:t>Der Betreuer bedarf der Genehmigung des Betreuungsgerichts</w:t>
      </w:r>
    </w:p>
    <w:p>
      <w:pPr>
        <w:tabs>
          <w:tab w:pos="567" w:val="left"/>
        </w:tabs>
        <w:ind w:left="567" w:hanging="567"/>
      </w:pPr>
      <w:r>
        <w:t>1.</w:t>
      </w:r>
      <w:r>
        <w:tab/>
      </w:r>
      <w:r>
        <w:t>zu einer Verfügung und zur Eingehung der Verpflichtung zu einer solchen Verfügung, durch die der Betreute</w:t>
      </w:r>
    </w:p>
    <w:p>
      <w:pPr>
        <w:tabs>
          <w:tab w:pos="1134" w:val="left"/>
        </w:tabs>
        <w:ind w:left="1134" w:hanging="567"/>
      </w:pPr>
      <w:r>
        <w:t>a)</w:t>
      </w:r>
      <w:r>
        <w:tab/>
      </w:r>
      <w:r>
        <w:t>ein Erwerbsgeschäft oder</w:t>
      </w:r>
    </w:p>
    <w:p>
      <w:pPr>
        <w:tabs>
          <w:tab w:pos="1134" w:val="left"/>
        </w:tabs>
        <w:ind w:left="1134" w:hanging="567"/>
      </w:pPr>
      <w:r>
        <w:t>b)</w:t>
      </w:r>
      <w:r>
        <w:tab/>
      </w:r>
      <w:r>
        <w:t>einen Anteil an einer Personen- oder Kapitalgesellschaft, die ein Erwerbsgeschäft betreibt,</w:t>
      </w:r>
    </w:p>
    <w:p>
      <w:pPr>
        <w:ind w:left="567"/>
      </w:pPr>
      <w:r>
        <w:t>erwirbt oder veräußert,</w:t>
      </w:r>
    </w:p>
    <w:p>
      <w:pPr>
        <w:tabs>
          <w:tab w:pos="567" w:val="left"/>
        </w:tabs>
        <w:ind w:left="567" w:hanging="567"/>
      </w:pPr>
      <w:r>
        <w:t>2.</w:t>
      </w:r>
      <w:r>
        <w:tab/>
      </w:r>
      <w:r>
        <w:t>zu einem Gesellschaftsvertrag, der zum Betrieb eines Erwerbsgeschäfts eingegangen wird, und</w:t>
      </w:r>
    </w:p>
    <w:p>
      <w:pPr>
        <w:tabs>
          <w:tab w:pos="567" w:val="left"/>
        </w:tabs>
        <w:ind w:left="567" w:hanging="567"/>
      </w:pPr>
      <w:r>
        <w:t>3.</w:t>
      </w:r>
      <w:r>
        <w:tab/>
      </w:r>
      <w:r>
        <w:t>zur Erteilung einer Prokura.</w:t>
      </w:r>
    </w:p>
    <w:p>
      <w:pPr>
        <w:pStyle w:val="Heading7"/>
      </w:pPr>
      <w:bookmarkStart w:id="2331" w:name="b2316"/>
      <w:r>
        <w:t>§ 1853 Genehmigung bei Verträgen über wiederkehrende Leistungen</w:t>
      </w:r>
      <w:r>
        <w:t xml:space="preserve"> </w:t>
      </w:r>
      <w:r>
        <w:rPr>
          <w:rStyle w:val="Suchmarke"/>
        </w:rPr>
        <w:t>#1853#</w:t>
      </w:r>
      <w:bookmarkEnd w:id="2331"/>
    </w:p>
    <w:p>
      <w:r>
        <w:rPr>
          <w:rStyle w:val="Satznummer"/>
        </w:rPr>
        <w:t>1</w:t>
      </w:r>
      <w:r>
        <w:t>Der Betreuer bedarf der Genehmigung des Betreuungsgerichts</w:t>
      </w:r>
    </w:p>
    <w:p>
      <w:pPr>
        <w:tabs>
          <w:tab w:pos="567" w:val="left"/>
        </w:tabs>
        <w:ind w:left="567" w:hanging="567"/>
      </w:pPr>
      <w:r>
        <w:t>1.</w:t>
      </w:r>
      <w:r>
        <w:tab/>
      </w:r>
      <w:r>
        <w:t>zum Abschluss eines Miet- oder Pachtvertrags oder zu einem anderen Vertrag, durch den der Betreute zu wiederkehrenden Leistungen verpflichtet wird, wenn das Vertragsverhältnis länger als vier Jahre dauern soll, und</w:t>
      </w:r>
    </w:p>
    <w:p>
      <w:pPr>
        <w:tabs>
          <w:tab w:pos="567" w:val="left"/>
        </w:tabs>
        <w:ind w:left="567" w:hanging="567"/>
      </w:pPr>
      <w:r>
        <w:t>2.</w:t>
      </w:r>
      <w:r>
        <w:tab/>
      </w:r>
      <w:r>
        <w:t>zu einem Pachtvertrag über einen gewerblichen oder land- oder forstwirtschaftlichen Betrieb.</w:t>
      </w:r>
    </w:p>
    <w:p>
      <w:r>
        <w:rPr>
          <w:rStyle w:val="Satznummer"/>
        </w:rPr>
        <w:t>2</w:t>
      </w:r>
      <w:r>
        <w:t>Satz 1 Nummer 1 gilt nicht, wenn der Betreute das Vertragsverhältnis ohne eigene Nachteile vorzeitig kündigen kann.</w:t>
      </w:r>
    </w:p>
    <w:p>
      <w:pPr>
        <w:pStyle w:val="Heading7"/>
      </w:pPr>
      <w:bookmarkStart w:id="2332" w:name="b2317"/>
      <w:r>
        <w:t>§ 1854 Genehmigung für sonstige Rechtsgeschäfte</w:t>
      </w:r>
      <w:r>
        <w:t xml:space="preserve"> </w:t>
      </w:r>
      <w:r>
        <w:rPr>
          <w:rStyle w:val="Suchmarke"/>
        </w:rPr>
        <w:t>#1854#</w:t>
      </w:r>
      <w:bookmarkEnd w:id="2332"/>
    </w:p>
    <w:p>
      <w:r>
        <w:t>Der Betreuer bedarf der Genehmigung des Betreuungsgerichts</w:t>
      </w:r>
    </w:p>
    <w:p>
      <w:pPr>
        <w:tabs>
          <w:tab w:pos="567" w:val="left"/>
        </w:tabs>
        <w:ind w:left="567" w:hanging="567"/>
      </w:pPr>
      <w:r>
        <w:t>1.</w:t>
      </w:r>
      <w:r>
        <w:tab/>
      </w:r>
      <w:r>
        <w:t>zu einem Rechtsgeschäft, durch das der Betreute zu einer Verfügung über sein Vermögen im Ganzen verpflichtet wird,</w:t>
      </w:r>
    </w:p>
    <w:p>
      <w:pPr>
        <w:tabs>
          <w:tab w:pos="567" w:val="left"/>
        </w:tabs>
        <w:ind w:left="567" w:hanging="567"/>
      </w:pPr>
      <w:r>
        <w:t>2.</w:t>
      </w:r>
      <w:r>
        <w:tab/>
      </w:r>
      <w:r>
        <w:t>zur Aufnahme von Geld auf den Kredit des Betreuten mit Ausnahme einer eingeräumten Überziehungsmöglichkeit für das auf einem Girokonto des Betreuten bei einem Kreditinstitut bereitzuhaltende Verfügungsgeld (</w:t>
      </w:r>
      <w:hyperlink w:anchor="b2300" w:history="1">
        <w:r>
          <w:rPr>
            <w:color w:val="0A3A8C"/>
            <w:u w:val="single"/>
          </w:rPr>
          <w:t xml:space="preserve">§ 1839</w:t>
        </w:r>
      </w:hyperlink>
      <w:r>
        <w:t xml:space="preserve"> Absatz 1),</w:t>
      </w:r>
    </w:p>
    <w:p>
      <w:pPr>
        <w:tabs>
          <w:tab w:pos="567" w:val="left"/>
        </w:tabs>
        <w:ind w:left="567" w:hanging="567"/>
      </w:pPr>
      <w:r>
        <w:t>3.</w:t>
      </w:r>
      <w:r>
        <w:tab/>
      </w:r>
      <w:r>
        <w:t>zur Ausstellung einer Schuldverschreibung auf den Inhaber oder zur Eingehung einer Verbindlichkeit aus einem Wechsel oder einem anderen Papier, das durch Indossament übertragen werden kann,</w:t>
      </w:r>
    </w:p>
    <w:p>
      <w:pPr>
        <w:tabs>
          <w:tab w:pos="567" w:val="left"/>
        </w:tabs>
        <w:ind w:left="567" w:hanging="567"/>
      </w:pPr>
      <w:r>
        <w:t>4.</w:t>
      </w:r>
      <w:r>
        <w:tab/>
      </w:r>
      <w:r>
        <w:t>zu einem Rechtsgeschäft, das auf Übernahme einer fremden Verbindlichkeit gerichtet ist,</w:t>
      </w:r>
    </w:p>
    <w:p>
      <w:pPr>
        <w:tabs>
          <w:tab w:pos="567" w:val="left"/>
        </w:tabs>
        <w:ind w:left="567" w:hanging="567"/>
      </w:pPr>
      <w:r>
        <w:t>5.</w:t>
      </w:r>
      <w:r>
        <w:tab/>
      </w:r>
      <w:r>
        <w:t>zur Eingehung einer Bürgschaft,</w:t>
      </w:r>
    </w:p>
    <w:p>
      <w:pPr>
        <w:tabs>
          <w:tab w:pos="567" w:val="left"/>
        </w:tabs>
        <w:ind w:left="567" w:hanging="567"/>
      </w:pPr>
      <w:r>
        <w:t>6.</w:t>
      </w:r>
      <w:r>
        <w:tab/>
      </w:r>
      <w:r>
        <w:t>zu einem Vergleich oder einer auf ein Schiedsverfahren gerichteten Vereinbarung, es sei denn, dass der Gegenstand des Streites oder der Ungewissheit in Geld schätzbar ist und den Wert von 6 000 Euro nicht übersteigt oder der Vergleich einem schriftlichen oder protokollierten gerichtlichen Vergleichsvorschlag entspricht,</w:t>
      </w:r>
    </w:p>
    <w:p>
      <w:pPr>
        <w:tabs>
          <w:tab w:pos="567" w:val="left"/>
        </w:tabs>
        <w:ind w:left="567" w:hanging="567"/>
      </w:pPr>
      <w:r>
        <w:t>7.</w:t>
      </w:r>
      <w:r>
        <w:tab/>
      </w:r>
      <w:r>
        <w:t>zu einem Rechtsgeschäft, durch das die für eine Forderung des Betreuten bestehende Sicherheit aufgehoben oder gemindert oder die Verpflichtung dazu begründet wird, und</w:t>
      </w:r>
    </w:p>
    <w:p>
      <w:pPr>
        <w:tabs>
          <w:tab w:pos="567" w:val="left"/>
        </w:tabs>
        <w:ind w:left="567" w:hanging="567"/>
      </w:pPr>
      <w:r>
        <w:t>8.</w:t>
      </w:r>
      <w:r>
        <w:tab/>
      </w:r>
      <w:r>
        <w:t>zu einer Schenkung oder unentgeltlichen Zuwendung, es sei denn, diese ist nach den Lebensverhältnissen des Betreuten angemessen oder als Gelegenheitsgeschenk üblich.</w:t>
      </w:r>
    </w:p>
    <w:p>
      <w:pPr>
        <w:pStyle w:val="Heading6"/>
      </w:pPr>
      <w:bookmarkStart w:id="2333" w:name="b2318"/>
      <w:r>
        <w:t>Unterkapitel 5 Genehmigungserklärung</w:t>
      </w:r>
      <w:bookmarkEnd w:id="2333"/>
    </w:p>
    <w:p>
      <w:pPr>
        <w:pStyle w:val="Heading7"/>
      </w:pPr>
      <w:bookmarkStart w:id="2334" w:name="b2319"/>
      <w:r>
        <w:t>§ 1855 Erklärung der Genehmigung</w:t>
      </w:r>
      <w:r>
        <w:t xml:space="preserve"> </w:t>
      </w:r>
      <w:r>
        <w:rPr>
          <w:rStyle w:val="Suchmarke"/>
        </w:rPr>
        <w:t>#1855#</w:t>
      </w:r>
      <w:bookmarkEnd w:id="2334"/>
    </w:p>
    <w:p>
      <w:r>
        <w:t>Das Betreuungsgericht kann die Genehmigung zu einem Rechtsgeschäft nur dem Betreuer gegenüber erklären.</w:t>
      </w:r>
    </w:p>
    <w:p>
      <w:pPr>
        <w:pStyle w:val="Heading7"/>
      </w:pPr>
      <w:bookmarkStart w:id="2335" w:name="b2320"/>
      <w:r>
        <w:t>§ 1856 Nachträgliche Genehmigung</w:t>
      </w:r>
      <w:r>
        <w:t xml:space="preserve"> </w:t>
      </w:r>
      <w:r>
        <w:rPr>
          <w:rStyle w:val="Suchmarke"/>
        </w:rPr>
        <w:t>#1856#</w:t>
      </w:r>
      <w:bookmarkEnd w:id="2335"/>
    </w:p>
    <w:p>
      <w:r>
        <w:t xml:space="preserve">(1) </w:t>
      </w:r>
      <w:r>
        <w:rPr>
          <w:rStyle w:val="Satznummer"/>
        </w:rPr>
        <w:t>1</w:t>
      </w:r>
      <w:r>
        <w:t xml:space="preserve">Schließt der Betreuer einen Vertrag ohne die erforderliche Genehmigung des Betreuungsgerichts, so hängt die Wirksamkeit des Vertrags von der nachträglichen Genehmigung des Betreuungsgerichts ab. </w:t>
      </w:r>
      <w:r>
        <w:rPr>
          <w:rStyle w:val="Satznummer"/>
        </w:rPr>
        <w:t>2</w:t>
      </w:r>
      <w:r>
        <w:t>Die Genehmigung sowie deren Verweigerung wird dem anderen Teil gegenüber erst wirksam, wenn ihm die wirksam gewordene Genehmigung oder Verweigerung durch den Betreuer mitgeteilt wird.</w:t>
      </w:r>
    </w:p>
    <w:p>
      <w:r>
        <w:t>(2) Fordert der andere Teil den Betreuer zur Mitteilung darüber auf, ob die Genehmigung erteilt sei, so kann die Mitteilung der Genehmigung nur bis zum Ablauf des zweiten Monats nach dem Empfang der Aufforderung erfolgen; wird die Genehmigung nicht mitgeteilt, so gilt sie als verweigert.</w:t>
      </w:r>
    </w:p>
    <w:p>
      <w:r>
        <w:t>(3) Soweit die Betreuung aufgehoben oder beendet ist, tritt die Genehmigung des Betreuten an die Stelle der Genehmigung des Betreuungsgerichts.</w:t>
      </w:r>
    </w:p>
    <w:p>
      <w:pPr>
        <w:pStyle w:val="Heading7"/>
      </w:pPr>
      <w:bookmarkStart w:id="2336" w:name="b2321"/>
      <w:r>
        <w:t>§ 1857 Widerrufsrecht des Vertragspartners</w:t>
      </w:r>
      <w:r>
        <w:t xml:space="preserve"> </w:t>
      </w:r>
      <w:r>
        <w:rPr>
          <w:rStyle w:val="Suchmarke"/>
        </w:rPr>
        <w:t>#1857#</w:t>
      </w:r>
      <w:bookmarkEnd w:id="2336"/>
    </w:p>
    <w:p>
      <w:r>
        <w:t>Hat der Betreuer dem anderen Teil gegenüber wahrheitswidrig die Genehmigung des Betreuungsgerichts behauptet, so ist der andere Teil bis zur Mitteilung der nachträglichen Genehmigung des Betreuungsgerichts zum Widerruf berechtigt, es sei denn, dass ihm das Fehlen der Genehmigung bei dem Abschluss des Vertrags bekannt war.</w:t>
      </w:r>
    </w:p>
    <w:p>
      <w:pPr>
        <w:pStyle w:val="Heading7"/>
      </w:pPr>
      <w:bookmarkStart w:id="2337" w:name="b2322"/>
      <w:r>
        <w:t>§ 1858 Einseitiges Rechtsgeschäft</w:t>
      </w:r>
      <w:r>
        <w:t xml:space="preserve"> </w:t>
      </w:r>
      <w:r>
        <w:rPr>
          <w:rStyle w:val="Suchmarke"/>
        </w:rPr>
        <w:t>#1858#</w:t>
      </w:r>
      <w:bookmarkEnd w:id="2337"/>
    </w:p>
    <w:p>
      <w:r>
        <w:t>(1) Ein einseitiges Rechtsgeschäft, das der Betreuer ohne die erforderliche Genehmigung des Betreuungsgerichts vornimmt, ist unwirksam.</w:t>
      </w:r>
    </w:p>
    <w:p>
      <w:r>
        <w:t>(2) Nimmt der Betreuer mit Genehmigung des Betreuungsgerichts ein einseitiges Rechtsgeschäft einem anderen gegenüber vor, so ist das Rechtsgeschäft unwirksam, wenn der Betreuer die Genehmigung nicht vorlegt und der andere das Rechtsgeschäft aus diesem Grunde unverzüglich zurückweist.</w:t>
      </w:r>
    </w:p>
    <w:p>
      <w:r>
        <w:t xml:space="preserve">(3) </w:t>
      </w:r>
      <w:r>
        <w:rPr>
          <w:rStyle w:val="Satznummer"/>
        </w:rPr>
        <w:t>1</w:t>
      </w:r>
      <w:r>
        <w:t xml:space="preserve">Nimmt der Betreuer ein einseitiges Rechtsgeschäft gegenüber einem Gericht oder einer Behörde ohne die erforderliche Genehmigung des Betreuungsgerichts vor, so hängt die Wirksamkeit des Rechtsgeschäfts von der nachträglichen Genehmigung des Betreuungsgerichts ab. </w:t>
      </w:r>
      <w:r>
        <w:rPr>
          <w:rStyle w:val="Satznummer"/>
        </w:rPr>
        <w:t>2</w:t>
      </w:r>
      <w:r>
        <w:t xml:space="preserve">Das Rechtsgeschäft wird mit Rechtskraft der Genehmigung wirksam. </w:t>
      </w:r>
      <w:r>
        <w:rPr>
          <w:rStyle w:val="Satznummer"/>
        </w:rPr>
        <w:t>3</w:t>
      </w:r>
      <w:r>
        <w:t xml:space="preserve">Der Ablauf einer gesetzlichen Frist wird während der Dauer des Genehmigungsverfahrens gehemmt. </w:t>
      </w:r>
      <w:r>
        <w:rPr>
          <w:rStyle w:val="Satznummer"/>
        </w:rPr>
        <w:t>4</w:t>
      </w:r>
      <w:r>
        <w:t xml:space="preserve">Die Hemmung endet mit Rechtskraft des Beschlusses über die Erteilung der Genehmigung. </w:t>
      </w:r>
      <w:r>
        <w:rPr>
          <w:rStyle w:val="Satznummer"/>
        </w:rPr>
        <w:t>5</w:t>
      </w:r>
      <w:r>
        <w:t>Das Betreuungsgericht teilt dem Gericht oder der Behörde nach Rechtskraft des Beschlusses die Erteilung oder Versagung der Genehmigung mit.</w:t>
      </w:r>
    </w:p>
    <w:p>
      <w:pPr>
        <w:pStyle w:val="Heading6"/>
      </w:pPr>
      <w:bookmarkStart w:id="2338" w:name="b2323"/>
      <w:r>
        <w:t>Unterkapitel 6 Befreiungen</w:t>
      </w:r>
      <w:bookmarkEnd w:id="2338"/>
    </w:p>
    <w:p>
      <w:pPr>
        <w:pStyle w:val="Heading7"/>
      </w:pPr>
      <w:bookmarkStart w:id="2339" w:name="b2324"/>
      <w:r>
        <w:t>§ 1859 Gesetzliche Befreiungen</w:t>
      </w:r>
      <w:r>
        <w:t xml:space="preserve"> </w:t>
      </w:r>
      <w:r>
        <w:rPr>
          <w:rStyle w:val="Suchmarke"/>
        </w:rPr>
        <w:t>#1859#</w:t>
      </w:r>
      <w:bookmarkEnd w:id="2339"/>
    </w:p>
    <w:p>
      <w:r>
        <w:t xml:space="preserve">(1) </w:t>
      </w:r>
      <w:r>
        <w:rPr>
          <w:rStyle w:val="Satznummer"/>
        </w:rPr>
        <w:t>1</w:t>
      </w:r>
      <w:r>
        <w:t>Befreite Betreuer sind entbunden</w:t>
      </w:r>
    </w:p>
    <w:p>
      <w:pPr>
        <w:tabs>
          <w:tab w:pos="567" w:val="left"/>
        </w:tabs>
        <w:ind w:left="567" w:hanging="567"/>
      </w:pPr>
      <w:r>
        <w:t>1.</w:t>
      </w:r>
      <w:r>
        <w:tab/>
      </w:r>
      <w:r>
        <w:t xml:space="preserve">von der Pflicht zur Sperrvereinbarung nach </w:t>
      </w:r>
      <w:hyperlink w:anchor="b2306" w:history="1">
        <w:r>
          <w:rPr>
            <w:color w:val="0A3A8C"/>
            <w:u w:val="single"/>
          </w:rPr>
          <w:t xml:space="preserve">§ 1845</w:t>
        </w:r>
      </w:hyperlink>
      <w:r>
        <w:t>,</w:t>
      </w:r>
    </w:p>
    <w:p>
      <w:pPr>
        <w:tabs>
          <w:tab w:pos="567" w:val="left"/>
        </w:tabs>
        <w:ind w:left="567" w:hanging="567"/>
      </w:pPr>
      <w:r>
        <w:t>2.</w:t>
      </w:r>
      <w:r>
        <w:tab/>
      </w:r>
      <w:r>
        <w:t xml:space="preserve">von den Beschränkungen nach </w:t>
      </w:r>
      <w:hyperlink w:anchor="b2312" w:history="1">
        <w:r>
          <w:rPr>
            <w:color w:val="0A3A8C"/>
            <w:u w:val="single"/>
          </w:rPr>
          <w:t xml:space="preserve">§ 1849</w:t>
        </w:r>
      </w:hyperlink>
      <w:r>
        <w:t xml:space="preserve"> Absatz 1 Satz 1 Nummer 1 und 2, Satz 2 und</w:t>
      </w:r>
    </w:p>
    <w:p>
      <w:pPr>
        <w:tabs>
          <w:tab w:pos="567" w:val="left"/>
        </w:tabs>
        <w:ind w:left="567" w:hanging="567"/>
      </w:pPr>
      <w:r>
        <w:t>3.</w:t>
      </w:r>
      <w:r>
        <w:tab/>
      </w:r>
      <w:r>
        <w:t xml:space="preserve">von der Pflicht zur Rechnungslegung nach </w:t>
      </w:r>
      <w:hyperlink w:anchor="b2331" w:history="1">
        <w:r>
          <w:rPr>
            <w:color w:val="0A3A8C"/>
            <w:u w:val="single"/>
          </w:rPr>
          <w:t xml:space="preserve">§ 1865</w:t>
        </w:r>
      </w:hyperlink>
      <w:r>
        <w:t>.</w:t>
      </w:r>
    </w:p>
    <w:p>
      <w:r>
        <w:rPr>
          <w:rStyle w:val="Satznummer"/>
        </w:rPr>
        <w:t>2</w:t>
      </w:r>
      <w:r>
        <w:t xml:space="preserve">Sie haben dem Betreuungsgericht jährlich eine Übersicht über den Bestand des ihrer Verwaltung unterliegenden Vermögens des Betreuten (Vermögensübersicht) einzureichen. </w:t>
      </w:r>
      <w:r>
        <w:rPr>
          <w:rStyle w:val="Satznummer"/>
        </w:rPr>
        <w:t>3</w:t>
      </w:r>
      <w:r>
        <w:t>Das Betreuungsgericht kann anordnen, dass die Vermögensübersicht in längeren, höchstens fünfjährigen Zeiträumen einzureichen ist.</w:t>
      </w:r>
    </w:p>
    <w:p>
      <w:r>
        <w:t xml:space="preserve">(2) </w:t>
      </w:r>
      <w:r>
        <w:rPr>
          <w:rStyle w:val="Satznummer"/>
        </w:rPr>
        <w:t>1</w:t>
      </w:r>
      <w:r>
        <w:t>Befreite Betreuer sind</w:t>
      </w:r>
    </w:p>
    <w:p>
      <w:pPr>
        <w:tabs>
          <w:tab w:pos="567" w:val="left"/>
        </w:tabs>
        <w:ind w:left="567" w:hanging="567"/>
      </w:pPr>
      <w:r>
        <w:t>1.</w:t>
      </w:r>
      <w:r>
        <w:tab/>
      </w:r>
      <w:r>
        <w:t>Verwandte in gerader Linie,</w:t>
      </w:r>
    </w:p>
    <w:p>
      <w:pPr>
        <w:tabs>
          <w:tab w:pos="567" w:val="left"/>
        </w:tabs>
        <w:ind w:left="567" w:hanging="567"/>
      </w:pPr>
      <w:r>
        <w:t>2.</w:t>
      </w:r>
      <w:r>
        <w:tab/>
      </w:r>
      <w:r>
        <w:t>Geschwister,</w:t>
      </w:r>
    </w:p>
    <w:p>
      <w:pPr>
        <w:tabs>
          <w:tab w:pos="567" w:val="left"/>
        </w:tabs>
        <w:ind w:left="567" w:hanging="567"/>
      </w:pPr>
      <w:r>
        <w:t>3.</w:t>
      </w:r>
      <w:r>
        <w:tab/>
      </w:r>
      <w:r>
        <w:t>Ehegatten,</w:t>
      </w:r>
    </w:p>
    <w:p>
      <w:pPr>
        <w:tabs>
          <w:tab w:pos="567" w:val="left"/>
        </w:tabs>
        <w:ind w:left="567" w:hanging="567"/>
      </w:pPr>
      <w:r>
        <w:t>4.</w:t>
      </w:r>
      <w:r>
        <w:tab/>
      </w:r>
      <w:r>
        <w:t>der Betreuungsverein oder ein Vereinsbetreuer,</w:t>
      </w:r>
    </w:p>
    <w:p>
      <w:pPr>
        <w:tabs>
          <w:tab w:pos="567" w:val="left"/>
        </w:tabs>
        <w:ind w:left="567" w:hanging="567"/>
      </w:pPr>
      <w:r>
        <w:t>5.</w:t>
      </w:r>
      <w:r>
        <w:tab/>
      </w:r>
      <w:r>
        <w:t>die Betreuungsbehörde oder ein Behördenbetreuer.</w:t>
      </w:r>
    </w:p>
    <w:p>
      <w:r>
        <w:rPr>
          <w:rStyle w:val="Satznummer"/>
        </w:rPr>
        <w:t>2</w:t>
      </w:r>
      <w:r>
        <w:t xml:space="preserve">Das Betreuungsgericht kann andere als die in Satz 1 genannten Betreuer von den in Absatz 1 Satz 1 genannten Pflichten befreien, wenn der Betreute dies vor der Bestellung des Betreuers schriftlich verfügt hat. </w:t>
      </w:r>
      <w:r>
        <w:rPr>
          <w:rStyle w:val="Satznummer"/>
        </w:rPr>
        <w:t>3</w:t>
      </w:r>
      <w:r>
        <w:t>Dies gilt nicht, wenn der Betreute erkennbar an diesem Wunsch nicht festhalten will.</w:t>
      </w:r>
    </w:p>
    <w:p>
      <w:r>
        <w:t xml:space="preserve">(3) Das Betreuungsgericht hat die Befreiungen aufzuheben, wenn bei ihrer Fortgeltung eine Gefährdung im Sinne des </w:t>
      </w:r>
      <w:hyperlink w:anchor="b2278" w:history="1">
        <w:r>
          <w:rPr>
            <w:color w:val="0A3A8C"/>
            <w:u w:val="single"/>
          </w:rPr>
          <w:t xml:space="preserve">§ 1821</w:t>
        </w:r>
      </w:hyperlink>
      <w:r>
        <w:t xml:space="preserve"> Absatz 3 Nummer 1 zu besorgen wäre.</w:t>
      </w:r>
    </w:p>
    <w:p>
      <w:pPr>
        <w:pStyle w:val="Heading7"/>
      </w:pPr>
      <w:bookmarkStart w:id="2340" w:name="b2325"/>
      <w:r>
        <w:t>§ 1860 Befreiungen auf Anordnung des Gerichts</w:t>
      </w:r>
      <w:r>
        <w:t xml:space="preserve"> </w:t>
      </w:r>
      <w:r>
        <w:rPr>
          <w:rStyle w:val="Suchmarke"/>
        </w:rPr>
        <w:t>#1860#</w:t>
      </w:r>
      <w:bookmarkEnd w:id="2340"/>
    </w:p>
    <w:p>
      <w:r>
        <w:t xml:space="preserve">(1) Das Betreuungsgericht kann den Betreuer auf dessen Antrag von den Beschränkungen nach den </w:t>
      </w:r>
      <w:hyperlink w:anchor="b2302" w:history="1">
        <w:r>
          <w:rPr>
            <w:color w:val="0A3A8C"/>
            <w:u w:val="single"/>
          </w:rPr>
          <w:t xml:space="preserve">§§ 1841</w:t>
        </w:r>
      </w:hyperlink>
      <w:r>
        <w:t xml:space="preserve">, </w:t>
      </w:r>
      <w:hyperlink w:anchor="b2306" w:history="1">
        <w:r>
          <w:rPr>
            <w:color w:val="0A3A8C"/>
            <w:u w:val="single"/>
          </w:rPr>
          <w:t xml:space="preserve">1845</w:t>
        </w:r>
      </w:hyperlink>
      <w:r>
        <w:t xml:space="preserve">, </w:t>
      </w:r>
      <w:hyperlink w:anchor="b2311" w:history="1">
        <w:r>
          <w:rPr>
            <w:color w:val="0A3A8C"/>
            <w:u w:val="single"/>
          </w:rPr>
          <w:t xml:space="preserve">1848</w:t>
        </w:r>
      </w:hyperlink>
      <w:r>
        <w:t xml:space="preserve"> und </w:t>
      </w:r>
      <w:hyperlink w:anchor="b2312" w:history="1">
        <w:r>
          <w:rPr>
            <w:color w:val="0A3A8C"/>
            <w:u w:val="single"/>
          </w:rPr>
          <w:t xml:space="preserve">1849</w:t>
        </w:r>
      </w:hyperlink>
      <w:r>
        <w:t xml:space="preserve"> Absatz 1 Satz 1 Nummer 1 und 2 sowie Satz 2 ganz oder teilweise befreien, wenn der Wert des Vermögens des Betreuten ohne Berücksichtigung von Immobilien und Verbindlichkeiten 6 000 Euro nicht übersteigt.</w:t>
      </w:r>
    </w:p>
    <w:p>
      <w:r>
        <w:t xml:space="preserve">(2) Das Betreuungsgericht kann den Betreuer auf dessen Antrag von den Beschränkungen nach den </w:t>
      </w:r>
      <w:hyperlink w:anchor="b2311" w:history="1">
        <w:r>
          <w:rPr>
            <w:color w:val="0A3A8C"/>
            <w:u w:val="single"/>
          </w:rPr>
          <w:t xml:space="preserve">§§ 1848</w:t>
        </w:r>
      </w:hyperlink>
      <w:r>
        <w:t xml:space="preserve">, </w:t>
      </w:r>
      <w:hyperlink w:anchor="b2312" w:history="1">
        <w:r>
          <w:rPr>
            <w:color w:val="0A3A8C"/>
            <w:u w:val="single"/>
          </w:rPr>
          <w:t xml:space="preserve">1849</w:t>
        </w:r>
      </w:hyperlink>
      <w:r>
        <w:t xml:space="preserve"> Absatz 1 Satz 1 Nummer 1 und 2 sowie Satz 2 und nach </w:t>
      </w:r>
      <w:hyperlink w:anchor="b2317" w:history="1">
        <w:r>
          <w:rPr>
            <w:color w:val="0A3A8C"/>
            <w:u w:val="single"/>
          </w:rPr>
          <w:t xml:space="preserve">§ 1854</w:t>
        </w:r>
      </w:hyperlink>
      <w:r>
        <w:t xml:space="preserve"> Nummer 2 bis 5 befreien, soweit mit der Vermögensverwaltung der Betrieb eines Erwerbsgeschäfts verbunden ist oder besondere Gründe der Vermögensverwaltung dies erfordern.</w:t>
      </w:r>
    </w:p>
    <w:p>
      <w:r>
        <w:t xml:space="preserve">(3) Das Betreuungsgericht kann den Betreuer auf dessen Antrag von den Beschränkungen nach </w:t>
      </w:r>
      <w:hyperlink w:anchor="b2306" w:history="1">
        <w:r>
          <w:rPr>
            <w:color w:val="0A3A8C"/>
            <w:u w:val="single"/>
          </w:rPr>
          <w:t xml:space="preserve">§ 1845</w:t>
        </w:r>
      </w:hyperlink>
      <w:r>
        <w:t xml:space="preserve"> Absatz 2, den </w:t>
      </w:r>
      <w:hyperlink w:anchor="b2311" w:history="1">
        <w:r>
          <w:rPr>
            <w:color w:val="0A3A8C"/>
            <w:u w:val="single"/>
          </w:rPr>
          <w:t xml:space="preserve">§§ 1848</w:t>
        </w:r>
      </w:hyperlink>
      <w:r>
        <w:t xml:space="preserve"> und </w:t>
      </w:r>
      <w:hyperlink w:anchor="b2312" w:history="1">
        <w:r>
          <w:rPr>
            <w:color w:val="0A3A8C"/>
            <w:u w:val="single"/>
          </w:rPr>
          <w:t xml:space="preserve">1849</w:t>
        </w:r>
      </w:hyperlink>
      <w:r>
        <w:t xml:space="preserve"> Absatz 1 Satz 1 Nummer 1 und 2 sowie Satz 2 befreien, wenn ein Wertpapierdepot des Betreuten häufige Wertpapiergeschäfte erfordert und der Betreuer über hinreichende Kapitalmarktkenntnis und Erfahrung verfügt.</w:t>
      </w:r>
    </w:p>
    <w:p>
      <w:r>
        <w:t xml:space="preserve">(4) Eine Befreiung gemäß den Absätzen 1 bis 3 kann das Betreuungsgericht nur anordnen, wenn eine Gefährdung im Sinne des </w:t>
      </w:r>
      <w:hyperlink w:anchor="b2278" w:history="1">
        <w:r>
          <w:rPr>
            <w:color w:val="0A3A8C"/>
            <w:u w:val="single"/>
          </w:rPr>
          <w:t xml:space="preserve">§ 1821</w:t>
        </w:r>
      </w:hyperlink>
      <w:r>
        <w:t xml:space="preserve"> Absatz 3 Nummer 1 nicht zu besorgen ist.</w:t>
      </w:r>
    </w:p>
    <w:p>
      <w:r>
        <w:t>(5) Das Betreuungsgericht hat eine Befreiung aufzuheben, wenn ihre Voraussetzungen nicht mehr vorliegen.</w:t>
      </w:r>
    </w:p>
    <w:p>
      <w:pPr>
        <w:pStyle w:val="Heading4"/>
      </w:pPr>
      <w:bookmarkStart w:id="2341" w:name="b2326"/>
      <w:r>
        <w:t>Untertitel 3 Beratung und Aufsicht durch das Betreuungsgericht</w:t>
      </w:r>
      <w:bookmarkEnd w:id="2341"/>
    </w:p>
    <w:p>
      <w:pPr>
        <w:pStyle w:val="Heading5"/>
      </w:pPr>
      <w:bookmarkStart w:id="2342" w:name="b2327"/>
      <w:r>
        <w:t>§ 1861 Beratung; Verpflichtung des Betreuers</w:t>
      </w:r>
      <w:r>
        <w:t xml:space="preserve"> </w:t>
      </w:r>
      <w:r>
        <w:rPr>
          <w:rStyle w:val="Suchmarke"/>
        </w:rPr>
        <w:t>#1861#</w:t>
      </w:r>
      <w:bookmarkEnd w:id="2342"/>
    </w:p>
    <w:p>
      <w:r>
        <w:t>(1) Das Betreuungsgericht berät den Betreuer über dessen Rechte und Pflichten bei der Wahrnehmung seiner Aufgaben.</w:t>
      </w:r>
    </w:p>
    <w:p>
      <w:r>
        <w:t xml:space="preserve">(2) </w:t>
      </w:r>
      <w:r>
        <w:rPr>
          <w:rStyle w:val="Satznummer"/>
        </w:rPr>
        <w:t>1</w:t>
      </w:r>
      <w:r>
        <w:t xml:space="preserve">Der ehrenamtliche Betreuer wird alsbald nach seiner Bestellung mündlich verpflichtet, über seine Aufgaben unterrichtet und auf Beratungs- und Unterstützungsangebote hingewiesen. </w:t>
      </w:r>
      <w:r>
        <w:rPr>
          <w:rStyle w:val="Satznummer"/>
        </w:rPr>
        <w:t>2</w:t>
      </w:r>
      <w:r>
        <w:t>Das gilt nicht für solche ehrenamtlichen Betreuer, die mehr als eine Betreuung führen oder in den letzten zwei Jahren geführt haben.</w:t>
      </w:r>
    </w:p>
    <w:p>
      <w:pPr>
        <w:pStyle w:val="Heading5"/>
      </w:pPr>
      <w:bookmarkStart w:id="2343" w:name="b2328"/>
      <w:r>
        <w:t>§ 1862 Aufsicht durch das Betreuungsgericht</w:t>
      </w:r>
      <w:r>
        <w:t xml:space="preserve"> </w:t>
      </w:r>
      <w:r>
        <w:rPr>
          <w:rStyle w:val="Suchmarke"/>
        </w:rPr>
        <w:t>#1862#</w:t>
      </w:r>
      <w:bookmarkEnd w:id="2343"/>
    </w:p>
    <w:p>
      <w:r>
        <w:t xml:space="preserve">(1) </w:t>
      </w:r>
      <w:r>
        <w:rPr>
          <w:rStyle w:val="Satznummer"/>
        </w:rPr>
        <w:t>1</w:t>
      </w:r>
      <w:r>
        <w:t xml:space="preserve">Das Betreuungsgericht führt über die gesamte Tätigkeit des Betreuers die Aufsicht. </w:t>
      </w:r>
      <w:r>
        <w:rPr>
          <w:rStyle w:val="Satznummer"/>
        </w:rPr>
        <w:t>2</w:t>
      </w:r>
      <w:r>
        <w:t xml:space="preserve">Es hat dabei auf die Einhaltung der Pflichten des Betreuers zu achten und insbesondere bei Anordnungen nach Absatz 3, der Erteilung von Genehmigungen und einstweiligen Maßnahmen nach § 1867 den in </w:t>
      </w:r>
      <w:hyperlink w:anchor="b2278" w:history="1">
        <w:r>
          <w:rPr>
            <w:color w:val="0A3A8C"/>
            <w:u w:val="single"/>
          </w:rPr>
          <w:t xml:space="preserve">§ 1821</w:t>
        </w:r>
      </w:hyperlink>
      <w:r>
        <w:t xml:space="preserve"> Absatz 2 bis 4 festgelegten Maßstab zu beachten.</w:t>
      </w:r>
    </w:p>
    <w:p>
      <w:r>
        <w:t>(2) Das Betreuungsgericht hat den Betreuten persönlich anzuhören, wenn Anhaltspunkte dafür bestehen, dass der Betreuer pflichtwidrig den Wünschen des Betreuten nicht oder nicht in geeigneter Weise entspricht oder seinen Pflichten gegenüber dem Betreuten in anderer Weise nicht nachkommt, es sei denn, die persönliche Anhörung ist nicht geeignet oder nicht erforderlich, um die Pflichtwidrigkeit aufzuklären.</w:t>
      </w:r>
    </w:p>
    <w:p>
      <w:r>
        <w:t xml:space="preserve">(3) </w:t>
      </w:r>
      <w:r>
        <w:rPr>
          <w:rStyle w:val="Satznummer"/>
        </w:rPr>
        <w:t>1</w:t>
      </w:r>
      <w:r>
        <w:t xml:space="preserve">Das Betreuungsgericht hat gegen Pflichtwidrigkeiten des Betreuers durch geeignete Gebote und Verbote einzuschreiten. </w:t>
      </w:r>
      <w:r>
        <w:rPr>
          <w:rStyle w:val="Satznummer"/>
        </w:rPr>
        <w:t>2</w:t>
      </w:r>
      <w:r>
        <w:t xml:space="preserve">Zur Befolgung seiner Anordnungen kann es den Betreuer durch die Festsetzung von Zwangsgeld anhalten. </w:t>
      </w:r>
      <w:r>
        <w:rPr>
          <w:rStyle w:val="Satznummer"/>
        </w:rPr>
        <w:t>3</w:t>
      </w:r>
      <w:r>
        <w:t>Gegen die Betreuungsbehörde, einen Behördenbetreuer oder einen Betreuungsverein wird kein Zwangsgeld festgesetzt.</w:t>
      </w:r>
    </w:p>
    <w:p>
      <w:r>
        <w:t>(4) Durch Landesrecht kann bestimmt werden, dass Vorschriften, welche die Aufsicht des Betreuungsgerichts in vermögensrechtlicher Hinsicht sowie beim Abschluss von Ausbildungs-, Dienst- oder Arbeitsverträgen betreffen, gegenüber der Betreuungsbehörde außer Anwendung bleiben.</w:t>
      </w:r>
    </w:p>
    <w:p>
      <w:pPr>
        <w:pStyle w:val="Heading5"/>
      </w:pPr>
      <w:bookmarkStart w:id="2344" w:name="b2329"/>
      <w:r>
        <w:t>§ 1863 Berichte über die persönlichen Verhältnisse des Betreuten</w:t>
      </w:r>
      <w:r>
        <w:t xml:space="preserve"> </w:t>
      </w:r>
      <w:r>
        <w:rPr>
          <w:rStyle w:val="Suchmarke"/>
        </w:rPr>
        <w:t>#1863#</w:t>
      </w:r>
      <w:bookmarkEnd w:id="2344"/>
    </w:p>
    <w:p>
      <w:r>
        <w:t xml:space="preserve">(1) </w:t>
      </w:r>
      <w:r>
        <w:rPr>
          <w:rStyle w:val="Satznummer"/>
        </w:rPr>
        <w:t>1</w:t>
      </w:r>
      <w:r>
        <w:t xml:space="preserve">Mit Übernahme der Betreuung hat der Betreuer einen Bericht über die persönlichen Verhältnisse (Anfangsbericht) zu erstellen. </w:t>
      </w:r>
      <w:r>
        <w:rPr>
          <w:rStyle w:val="Satznummer"/>
        </w:rPr>
        <w:t>2</w:t>
      </w:r>
      <w:r>
        <w:t>Der Anfangsbericht hat insbesondere Angaben zu folgenden Sachverhalten zu enthalten:</w:t>
      </w:r>
    </w:p>
    <w:p>
      <w:pPr>
        <w:tabs>
          <w:tab w:pos="567" w:val="left"/>
        </w:tabs>
        <w:ind w:left="567" w:hanging="567"/>
      </w:pPr>
      <w:r>
        <w:t>1.</w:t>
      </w:r>
      <w:r>
        <w:tab/>
      </w:r>
      <w:r>
        <w:t>persönliche Situation des Betreuten,</w:t>
      </w:r>
    </w:p>
    <w:p>
      <w:pPr>
        <w:tabs>
          <w:tab w:pos="567" w:val="left"/>
        </w:tabs>
        <w:ind w:left="567" w:hanging="567"/>
      </w:pPr>
      <w:r>
        <w:t>2.</w:t>
      </w:r>
      <w:r>
        <w:tab/>
      </w:r>
      <w:r>
        <w:t xml:space="preserve">Ziele der Betreuung, bereits durchgeführte und beabsichtigte Maßnahmen, insbesondere im Hinblick auf </w:t>
      </w:r>
      <w:hyperlink w:anchor="b2278" w:history="1">
        <w:r>
          <w:rPr>
            <w:color w:val="0A3A8C"/>
            <w:u w:val="single"/>
          </w:rPr>
          <w:t xml:space="preserve">§ 1821</w:t>
        </w:r>
      </w:hyperlink>
      <w:r>
        <w:t xml:space="preserve"> Absatz 6, und</w:t>
      </w:r>
    </w:p>
    <w:p>
      <w:pPr>
        <w:tabs>
          <w:tab w:pos="567" w:val="left"/>
        </w:tabs>
        <w:ind w:left="567" w:hanging="567"/>
      </w:pPr>
      <w:r>
        <w:t>3.</w:t>
      </w:r>
      <w:r>
        <w:tab/>
      </w:r>
      <w:r>
        <w:t>Wünsche des Betreuten hinsichtlich der Betreuung.</w:t>
      </w:r>
    </w:p>
    <w:p>
      <w:r>
        <w:rPr>
          <w:rStyle w:val="Satznummer"/>
        </w:rPr>
        <w:t>3</w:t>
      </w:r>
      <w:r>
        <w:t xml:space="preserve">Sofern ein Vermögensverzeichnis gemäß </w:t>
      </w:r>
      <w:hyperlink w:anchor="b2295" w:history="1">
        <w:r>
          <w:rPr>
            <w:color w:val="0A3A8C"/>
            <w:u w:val="single"/>
          </w:rPr>
          <w:t xml:space="preserve">§ 1835</w:t>
        </w:r>
      </w:hyperlink>
      <w:r>
        <w:t xml:space="preserve"> zu erstellen ist, ist dieses dem Anfangsbericht beizufügen. </w:t>
      </w:r>
      <w:r>
        <w:rPr>
          <w:rStyle w:val="Satznummer"/>
        </w:rPr>
        <w:t>4</w:t>
      </w:r>
      <w:r>
        <w:t xml:space="preserve">Der Anfangsbericht soll dem Betreuungsgericht innerhalb von drei Monaten nach Bestellung des Betreuers übersandt werden. </w:t>
      </w:r>
      <w:r>
        <w:rPr>
          <w:rStyle w:val="Satznummer"/>
        </w:rPr>
        <w:t>5</w:t>
      </w:r>
      <w:r>
        <w:t>Das Betreuungsgericht kann den Anfangsbericht mit dem Betreuten und dem Betreuer in einem persönlichen Gespräch erörtern.</w:t>
      </w:r>
    </w:p>
    <w:p>
      <w:r>
        <w:t xml:space="preserve">(2) </w:t>
      </w:r>
      <w:r>
        <w:rPr>
          <w:rStyle w:val="Satznummer"/>
        </w:rPr>
        <w:t>1</w:t>
      </w:r>
      <w:r>
        <w:t xml:space="preserve">Absatz 1 gilt nicht, wenn die Betreuung ehrenamtlich von einer Person mit einer familiären Beziehung oder persönlichen Bindung zum Betreuten geführt wird. </w:t>
      </w:r>
      <w:r>
        <w:rPr>
          <w:rStyle w:val="Satznummer"/>
        </w:rPr>
        <w:t>2</w:t>
      </w:r>
      <w:r>
        <w:t xml:space="preserve">In diesem Fall führt das Betreuungsgericht mit dem Betreuten auf dessen Wunsch oder in anderen geeigneten Fällen ein Anfangsgespräch zur Ermittlung der Sachverhalte nach Absatz 1 Satz 2. </w:t>
      </w:r>
      <w:r>
        <w:rPr>
          <w:rStyle w:val="Satznummer"/>
        </w:rPr>
        <w:t>3</w:t>
      </w:r>
      <w:r>
        <w:t xml:space="preserve">Der ehrenamtliche Betreuer soll an dem Gespräch teilnehmen. </w:t>
      </w:r>
      <w:r>
        <w:rPr>
          <w:rStyle w:val="Satznummer"/>
        </w:rPr>
        <w:t>4</w:t>
      </w:r>
      <w:r>
        <w:t xml:space="preserve">Die Pflicht zur Erstellung eines Vermögensverzeichnisses gemäß </w:t>
      </w:r>
      <w:hyperlink w:anchor="b2295" w:history="1">
        <w:r>
          <w:rPr>
            <w:color w:val="0A3A8C"/>
            <w:u w:val="single"/>
          </w:rPr>
          <w:t xml:space="preserve">§ 1835</w:t>
        </w:r>
      </w:hyperlink>
      <w:r>
        <w:t xml:space="preserve"> bleibt unberührt.</w:t>
      </w:r>
    </w:p>
    <w:p>
      <w:r>
        <w:t xml:space="preserve">(3) </w:t>
      </w:r>
      <w:r>
        <w:rPr>
          <w:rStyle w:val="Satznummer"/>
        </w:rPr>
        <w:t>1</w:t>
      </w:r>
      <w:r>
        <w:t xml:space="preserve">Der Betreuer hat dem Betreuungsgericht über die persönlichen Verhältnisse des Betreuten mindestens einmal jährlich zu berichten (Jahresbericht). </w:t>
      </w:r>
      <w:r>
        <w:rPr>
          <w:rStyle w:val="Satznummer"/>
        </w:rPr>
        <w:t>2</w:t>
      </w:r>
      <w:r>
        <w:t xml:space="preserve">Er hat den Jahresbericht mit dem Betreuten zu besprechen, es sei denn, davon sind erhebliche Nachteile für die Gesundheit des Betreuten zu besorgen oder dieser ist offensichtlich nicht in der Lage, den Inhalt des Jahresberichts zur Kenntnis zu nehmen. </w:t>
      </w:r>
      <w:r>
        <w:rPr>
          <w:rStyle w:val="Satznummer"/>
        </w:rPr>
        <w:t>3</w:t>
      </w:r>
      <w:r>
        <w:t>Der Jahresbericht hat insbesondere Angaben zu folgenden Sachverhalten zu enthalten:</w:t>
      </w:r>
    </w:p>
    <w:p>
      <w:pPr>
        <w:tabs>
          <w:tab w:pos="567" w:val="left"/>
        </w:tabs>
        <w:ind w:left="567" w:hanging="567"/>
      </w:pPr>
      <w:r>
        <w:t>1.</w:t>
      </w:r>
      <w:r>
        <w:tab/>
      </w:r>
      <w:r>
        <w:t>Art, Umfang und Anlass der persönlichen Kontakte zum Betreuten und der persönliche Eindruck vom Betreuten,</w:t>
      </w:r>
    </w:p>
    <w:p>
      <w:pPr>
        <w:tabs>
          <w:tab w:pos="567" w:val="left"/>
        </w:tabs>
        <w:ind w:left="567" w:hanging="567"/>
      </w:pPr>
      <w:r>
        <w:t>2.</w:t>
      </w:r>
      <w:r>
        <w:tab/>
      </w:r>
      <w:r>
        <w:t>Umsetzung der bisherigen Betreuungsziele und Darstellung der bereits durchgeführten und beabsichtigten Maßnahmen, insbesondere solcher gegen den Willen des Betreuten,</w:t>
      </w:r>
    </w:p>
    <w:p>
      <w:pPr>
        <w:tabs>
          <w:tab w:pos="567" w:val="left"/>
        </w:tabs>
        <w:ind w:left="567" w:hanging="567"/>
      </w:pPr>
      <w:r>
        <w:t>3.</w:t>
      </w:r>
      <w:r>
        <w:tab/>
      </w:r>
      <w:r>
        <w:t>Gründe für die weitere Erforderlichkeit der Betreuung und des Einwilligungsvorbehalts, insbesondere auch hinsichtlich des Umfangs,</w:t>
      </w:r>
    </w:p>
    <w:p>
      <w:pPr>
        <w:tabs>
          <w:tab w:pos="567" w:val="left"/>
        </w:tabs>
        <w:ind w:left="567" w:hanging="567"/>
      </w:pPr>
      <w:r>
        <w:t>4.</w:t>
      </w:r>
      <w:r>
        <w:tab/>
      </w:r>
      <w:r>
        <w:t>bei einer beruflich geführten Betreuung die Mitteilung, ob die Betreuung zukünftig ehrenamtlich geführt werden kann, und</w:t>
      </w:r>
    </w:p>
    <w:p>
      <w:pPr>
        <w:tabs>
          <w:tab w:pos="567" w:val="left"/>
        </w:tabs>
        <w:ind w:left="567" w:hanging="567"/>
      </w:pPr>
      <w:r>
        <w:t>5.</w:t>
      </w:r>
      <w:r>
        <w:tab/>
      </w:r>
      <w:r>
        <w:t>die Sichtweise des Betreuten zu den Sachverhalten nach den Nummern 1 bis 4.</w:t>
      </w:r>
    </w:p>
    <w:p>
      <w:r>
        <w:t xml:space="preserve">(4) </w:t>
      </w:r>
      <w:r>
        <w:rPr>
          <w:rStyle w:val="Satznummer"/>
        </w:rPr>
        <w:t>1</w:t>
      </w:r>
      <w:r>
        <w:t xml:space="preserve">Bei einem Wechsel des Betreuers hat der bisherige Betreuer einen abschließenden Bericht (Schlussbericht) zu erstellen, in dem die seit dem letzten Jahresbericht eingetretenen Änderungen der persönlichen Verhältnisse mitzuteilen sind. </w:t>
      </w:r>
      <w:r>
        <w:rPr>
          <w:rStyle w:val="Satznummer"/>
        </w:rPr>
        <w:t>2</w:t>
      </w:r>
      <w:r>
        <w:t xml:space="preserve">Der Schlussbericht hat Angaben zu den Sachverhalten nach Absatz 3 Satz 3 Nummer 1, 2 und 5 sowie über die Erfüllung der Herausgabepflicht nach </w:t>
      </w:r>
      <w:hyperlink w:anchor="b2339" w:history="1">
        <w:r>
          <w:rPr>
            <w:color w:val="0A3A8C"/>
            <w:u w:val="single"/>
          </w:rPr>
          <w:t xml:space="preserve">§ 1872</w:t>
        </w:r>
      </w:hyperlink>
      <w:r>
        <w:t xml:space="preserve"> Absatz 3 Satz 1 zu enthalten. </w:t>
      </w:r>
      <w:r>
        <w:rPr>
          <w:rStyle w:val="Satznummer"/>
        </w:rPr>
        <w:t>3</w:t>
      </w:r>
      <w:r>
        <w:t>Der Schlussbericht ist dem Betreuungsgericht zu übersenden.</w:t>
      </w:r>
    </w:p>
    <w:p>
      <w:pPr>
        <w:pStyle w:val="Heading5"/>
      </w:pPr>
      <w:bookmarkStart w:id="2345" w:name="b2330"/>
      <w:r>
        <w:t>§ 1864 Auskunfts- und Mitteilungspflichten des Betreuers</w:t>
      </w:r>
      <w:r>
        <w:t xml:space="preserve"> </w:t>
      </w:r>
      <w:r>
        <w:rPr>
          <w:rStyle w:val="Suchmarke"/>
        </w:rPr>
        <w:t>#1864#</w:t>
      </w:r>
      <w:bookmarkEnd w:id="2345"/>
    </w:p>
    <w:p>
      <w:r>
        <w:t>(1) Der Betreuer hat dem Betreuungsgericht auf dessen Verlangen jederzeit über die Führung der Betreuung und über die persönlichen und wirtschaftlichen Verhältnisse des Betreuten Auskunft zu erteilen.</w:t>
      </w:r>
    </w:p>
    <w:p>
      <w:r>
        <w:t xml:space="preserve">(2) </w:t>
      </w:r>
      <w:r>
        <w:rPr>
          <w:rStyle w:val="Satznummer"/>
        </w:rPr>
        <w:t>1</w:t>
      </w:r>
      <w:r>
        <w:t xml:space="preserve">Der Betreuer hat dem Betreuungsgericht wesentliche Änderungen der persönlichen und wirtschaftlichen Verhältnisse des Betreuten unverzüglich mitzuteilen. </w:t>
      </w:r>
      <w:r>
        <w:rPr>
          <w:rStyle w:val="Satznummer"/>
        </w:rPr>
        <w:t>2</w:t>
      </w:r>
      <w:r>
        <w:t>Dies gilt auch für solche Umstände,</w:t>
      </w:r>
    </w:p>
    <w:p>
      <w:pPr>
        <w:tabs>
          <w:tab w:pos="567" w:val="left"/>
        </w:tabs>
        <w:ind w:left="567" w:hanging="567"/>
      </w:pPr>
      <w:r>
        <w:t>1.</w:t>
      </w:r>
      <w:r>
        <w:tab/>
      </w:r>
      <w:r>
        <w:t>die eine Aufhebung der Betreuung oder des Einwilligungsvorbehalts ermöglichen,</w:t>
      </w:r>
    </w:p>
    <w:p>
      <w:pPr>
        <w:tabs>
          <w:tab w:pos="567" w:val="left"/>
        </w:tabs>
        <w:ind w:left="567" w:hanging="567"/>
      </w:pPr>
      <w:r>
        <w:t>2.</w:t>
      </w:r>
      <w:r>
        <w:tab/>
      </w:r>
      <w:r>
        <w:t>die eine Einschränkung des Aufgabenkreises des Betreuers ermöglichen,</w:t>
      </w:r>
    </w:p>
    <w:p>
      <w:pPr>
        <w:tabs>
          <w:tab w:pos="567" w:val="left"/>
        </w:tabs>
        <w:ind w:left="567" w:hanging="567"/>
      </w:pPr>
      <w:r>
        <w:t>3.</w:t>
      </w:r>
      <w:r>
        <w:tab/>
      </w:r>
      <w:r>
        <w:t>die die Erweiterung des Aufgabenkreises des Betreuers erfordern,</w:t>
      </w:r>
    </w:p>
    <w:p>
      <w:pPr>
        <w:tabs>
          <w:tab w:pos="567" w:val="left"/>
        </w:tabs>
        <w:ind w:left="567" w:hanging="567"/>
      </w:pPr>
      <w:r>
        <w:t>4.</w:t>
      </w:r>
      <w:r>
        <w:tab/>
      </w:r>
      <w:r>
        <w:t>die die Bestellung eines weiteren Betreuers erfordern,</w:t>
      </w:r>
    </w:p>
    <w:p>
      <w:pPr>
        <w:tabs>
          <w:tab w:pos="567" w:val="left"/>
        </w:tabs>
        <w:ind w:left="567" w:hanging="567"/>
      </w:pPr>
      <w:r>
        <w:t>5.</w:t>
      </w:r>
      <w:r>
        <w:tab/>
      </w:r>
      <w:r>
        <w:t>die die Anordnung eines Einwilligungsvorbehalts erfordern und</w:t>
      </w:r>
    </w:p>
    <w:p>
      <w:pPr>
        <w:tabs>
          <w:tab w:pos="567" w:val="left"/>
        </w:tabs>
        <w:ind w:left="567" w:hanging="567"/>
      </w:pPr>
      <w:r>
        <w:t>6.</w:t>
      </w:r>
      <w:r>
        <w:tab/>
      </w:r>
      <w:r>
        <w:t>aus denen sich bei einer beruflich geführten Betreuung ergibt, dass die Betreuung zukünftig ehrenamtlich geführt werden kann.</w:t>
      </w:r>
    </w:p>
    <w:p>
      <w:pPr>
        <w:pStyle w:val="Heading5"/>
      </w:pPr>
      <w:bookmarkStart w:id="2346" w:name="b2331"/>
      <w:r>
        <w:t>§ 1865 Rechnungslegung</w:t>
      </w:r>
      <w:r>
        <w:t xml:space="preserve"> </w:t>
      </w:r>
      <w:r>
        <w:rPr>
          <w:rStyle w:val="Suchmarke"/>
        </w:rPr>
        <w:t>#1865#</w:t>
      </w:r>
      <w:bookmarkEnd w:id="2346"/>
    </w:p>
    <w:p>
      <w:r>
        <w:t>(1) Der Betreuer hat dem Betreuungsgericht über die Vermögensverwaltung Rechnung zu legen, soweit sein Aufgabenkreis die Vermögensverwaltung umfasst.</w:t>
      </w:r>
    </w:p>
    <w:p>
      <w:r>
        <w:t xml:space="preserve">(2) </w:t>
      </w:r>
      <w:r>
        <w:rPr>
          <w:rStyle w:val="Satznummer"/>
        </w:rPr>
        <w:t>1</w:t>
      </w:r>
      <w:r>
        <w:t xml:space="preserve">Die Rechnung ist jährlich zu legen. </w:t>
      </w:r>
      <w:r>
        <w:rPr>
          <w:rStyle w:val="Satznummer"/>
        </w:rPr>
        <w:t>2</w:t>
      </w:r>
      <w:r>
        <w:t>Das Rechnungsjahr wird vom Betreuungsgericht bestimmt.</w:t>
      </w:r>
    </w:p>
    <w:p>
      <w:r>
        <w:t xml:space="preserve">(3) </w:t>
      </w:r>
      <w:r>
        <w:rPr>
          <w:rStyle w:val="Satznummer"/>
        </w:rPr>
        <w:t>1</w:t>
      </w:r>
      <w:r>
        <w:t xml:space="preserve">Die Rechnung soll eine geordnete Zusammenstellung der Einnahmen und Ausgaben enthalten und über den Ab- und Zugang des vom Betreuer verwalteten Vermögens Auskunft geben. </w:t>
      </w:r>
      <w:r>
        <w:rPr>
          <w:rStyle w:val="Satznummer"/>
        </w:rPr>
        <w:t>2</w:t>
      </w:r>
      <w:r>
        <w:t xml:space="preserve">Das Betreuungsgericht kann Einzelheiten zur Erstellung der geordneten Zusammenstellung nach Satz 1 bestimmen. </w:t>
      </w:r>
      <w:r>
        <w:rPr>
          <w:rStyle w:val="Satznummer"/>
        </w:rPr>
        <w:t>3</w:t>
      </w:r>
      <w:r>
        <w:t xml:space="preserve">Es kann in geeigneten Fällen auf die Vorlage von Belegen verzichten. </w:t>
      </w:r>
      <w:r>
        <w:rPr>
          <w:rStyle w:val="Satznummer"/>
        </w:rPr>
        <w:t>4</w:t>
      </w:r>
      <w:r>
        <w:t xml:space="preserve">Verwaltet der Betreute im Rahmen des dem Betreuer übertragenen Aufgabenkreises einen Teil seines Vermögens selbst, so hat der Betreuer dies dem Betreuungsgericht mitzuteilen. </w:t>
      </w:r>
      <w:r>
        <w:rPr>
          <w:rStyle w:val="Satznummer"/>
        </w:rPr>
        <w:t>5</w:t>
      </w:r>
      <w:r>
        <w:t>Der Betreuer hat die Richtigkeit dieser Mitteilung durch eine Erklärung des Betreuten nachzuweisen oder, falls eine solche nicht beigebracht werden kann, die Richtigkeit an Eides statt zu versichern.</w:t>
      </w:r>
    </w:p>
    <w:p>
      <w:r>
        <w:t xml:space="preserve">(4) </w:t>
      </w:r>
      <w:r>
        <w:rPr>
          <w:rStyle w:val="Satznummer"/>
        </w:rPr>
        <w:t>1</w:t>
      </w:r>
      <w:r>
        <w:t xml:space="preserve">Wird vom Betreuten ein Erwerbsgeschäft mit kaufmännischer Buchführung betrieben, so genügt als Rechnung ein aus den Büchern gezogener Jahresabschluss. </w:t>
      </w:r>
      <w:r>
        <w:rPr>
          <w:rStyle w:val="Satznummer"/>
        </w:rPr>
        <w:t>2</w:t>
      </w:r>
      <w:r>
        <w:t>Das Betreuungsgericht kann Vorlage der Bücher und sonstigen Belege verlangen.</w:t>
      </w:r>
    </w:p>
    <w:p>
      <w:pPr>
        <w:pStyle w:val="Heading5"/>
      </w:pPr>
      <w:bookmarkStart w:id="2347" w:name="b2332"/>
      <w:r>
        <w:t>§ 1866 Prüfung der Rechnung durch das Betreuungsgericht</w:t>
      </w:r>
      <w:r>
        <w:t xml:space="preserve"> </w:t>
      </w:r>
      <w:r>
        <w:rPr>
          <w:rStyle w:val="Suchmarke"/>
        </w:rPr>
        <w:t>#1866#</w:t>
      </w:r>
      <w:bookmarkEnd w:id="2347"/>
    </w:p>
    <w:p>
      <w:r>
        <w:t>(1) Das Betreuungsgericht hat die Rechnung sachlich und rechnerisch zu prüfen und, soweit erforderlich, ihre Berichtigung und Ergänzung durch den Betreuer herbeizuführen.</w:t>
      </w:r>
    </w:p>
    <w:p>
      <w:r>
        <w:t xml:space="preserve">(2) </w:t>
      </w:r>
      <w:r>
        <w:rPr>
          <w:rStyle w:val="Satznummer"/>
        </w:rPr>
        <w:t>1</w:t>
      </w:r>
      <w:r>
        <w:t xml:space="preserve">Die Möglichkeit der Geltendmachung streitig gebliebener Ansprüche zwischen Betreuer und Betreutem im Rechtsweg bleibt unberührt. </w:t>
      </w:r>
      <w:r>
        <w:rPr>
          <w:rStyle w:val="Satznummer"/>
        </w:rPr>
        <w:t>2</w:t>
      </w:r>
      <w:r>
        <w:t>Die Ansprüche können schon vor der Beendigung der Betreuung geltend gemacht werden.</w:t>
      </w:r>
    </w:p>
    <w:p>
      <w:pPr>
        <w:pStyle w:val="Heading5"/>
      </w:pPr>
      <w:bookmarkStart w:id="2348" w:name="b2333"/>
      <w:r>
        <w:t>§ 1867 Einstweilige Maßnahmen des Betreuungsgerichts</w:t>
      </w:r>
      <w:r>
        <w:t xml:space="preserve"> </w:t>
      </w:r>
      <w:r>
        <w:rPr>
          <w:rStyle w:val="Suchmarke"/>
        </w:rPr>
        <w:t>#1867#</w:t>
      </w:r>
      <w:bookmarkEnd w:id="2348"/>
    </w:p>
    <w:p>
      <w:r>
        <w:t>Bestehen dringende Gründe für die Annahme, dass die Voraussetzungen für die Bestellung eines Betreuers gegeben sind, und konnte ein Betreuer noch nicht bestellt werden oder ist der Betreuer an der Erfüllung seiner Pflichten gehindert, so hat das Betreuungsgericht die dringend erforderlichen Maßnahmen zu treffen.</w:t>
      </w:r>
    </w:p>
    <w:p>
      <w:pPr>
        <w:pStyle w:val="Heading4"/>
      </w:pPr>
      <w:bookmarkStart w:id="2349" w:name="b2334"/>
      <w:r>
        <w:t>Untertitel 4 Beendigung, Aufhebung oder Änderung von Betreuung und Einwilligungsvorbehalt</w:t>
      </w:r>
      <w:bookmarkEnd w:id="2349"/>
    </w:p>
    <w:p>
      <w:pPr>
        <w:pStyle w:val="Heading5"/>
      </w:pPr>
      <w:bookmarkStart w:id="2350" w:name="b2335"/>
      <w:r>
        <w:t>§ 1868 Entlassung des Betreuers</w:t>
      </w:r>
      <w:r>
        <w:t xml:space="preserve"> </w:t>
      </w:r>
      <w:r>
        <w:rPr>
          <w:rStyle w:val="Suchmarke"/>
        </w:rPr>
        <w:t>#1868#</w:t>
      </w:r>
      <w:bookmarkEnd w:id="2350"/>
    </w:p>
    <w:p>
      <w:r>
        <w:t xml:space="preserve">(1) </w:t>
      </w:r>
      <w:r>
        <w:rPr>
          <w:rStyle w:val="Satznummer"/>
        </w:rPr>
        <w:t>1</w:t>
      </w:r>
      <w:r>
        <w:t xml:space="preserve">Das Betreuungsgericht hat den Betreuer zu entlassen, wenn dessen Eignung, die Angelegenheiten des Betreuten zu besorgen, nicht oder nicht mehr gewährleistet ist oder ein anderer wichtiger Grund für die Entlassung vorliegt. </w:t>
      </w:r>
      <w:r>
        <w:rPr>
          <w:rStyle w:val="Satznummer"/>
        </w:rPr>
        <w:t>2</w:t>
      </w:r>
      <w:r>
        <w:t>Ein wichtiger Grund liegt auch vor, wenn der Betreuer eine erforderliche Abrechnung vorsätzlich falsch erteilt oder den erforderlichen persönlichen Kontakt zum Betreuten nicht gehalten hat.</w:t>
      </w:r>
    </w:p>
    <w:p>
      <w:r>
        <w:t>(2) Das Betreuungsgericht hat den beruflichen Betreuer zu entlassen, wenn dessen Registrierung nach § 27 Absatz 1 und 2 des Betreuungsorganisationsgesetzes widerrufen oder zurückgenommen wurde.</w:t>
      </w:r>
    </w:p>
    <w:p>
      <w:r>
        <w:t>(3) Das Betreuungsgericht soll den beruflichen Betreuer, den Betreuungsverein, den Behördenbetreuer oder die Betreuungsbehörde entlassen, wenn der Betreute zukünftig ehrenamtlich betreut werden kann.</w:t>
      </w:r>
    </w:p>
    <w:p>
      <w:r>
        <w:t>(4) Das Betreuungsgericht entlässt den Betreuer auf dessen Verlangen, wenn nach dessen Bestellung Umstände eingetreten sind, aufgrund derer ihm die Führung der Betreuung nicht mehr zugemutet werden kann.</w:t>
      </w:r>
    </w:p>
    <w:p>
      <w:r>
        <w:t>(5) Das Betreuungsgericht kann den Betreuer entlassen, wenn der Betreute eine mindestens gleich geeignete Person, die zur Übernahme der Betreuung bereit ist, als neuen Betreuer vorschlägt.</w:t>
      </w:r>
    </w:p>
    <w:p>
      <w:r>
        <w:t xml:space="preserve">(6) </w:t>
      </w:r>
      <w:r>
        <w:rPr>
          <w:rStyle w:val="Satznummer"/>
        </w:rPr>
        <w:t>1</w:t>
      </w:r>
      <w:r>
        <w:t xml:space="preserve">Der Vereinsbetreuer ist auch dann zu entlassen, wenn der Betreuungsverein dies beantragt. </w:t>
      </w:r>
      <w:r>
        <w:rPr>
          <w:rStyle w:val="Satznummer"/>
        </w:rPr>
        <w:t>2</w:t>
      </w:r>
      <w:r>
        <w:t xml:space="preserve">Wünscht der Betreute die Fortführung der Betreuung durch den bisherigen Vereinsbetreuer, so kann das Betreuungsgericht statt der Entlassung des Vereinsbetreuers mit dessen Einverständnis feststellen, dass dieser die Betreuung künftig als Privatperson weiterführt. </w:t>
      </w:r>
      <w:r>
        <w:rPr>
          <w:rStyle w:val="Satznummer"/>
        </w:rPr>
        <w:t>3</w:t>
      </w:r>
      <w:r>
        <w:t>Die Sätze 1 und 2 gelten für den Behördenbetreuer entsprechend.</w:t>
      </w:r>
    </w:p>
    <w:p>
      <w:r>
        <w:t xml:space="preserve">(7) </w:t>
      </w:r>
      <w:r>
        <w:rPr>
          <w:rStyle w:val="Satznummer"/>
        </w:rPr>
        <w:t>1</w:t>
      </w:r>
      <w:r>
        <w:t xml:space="preserve">Der Betreuungsverein oder die Betreuungsbehörde ist als Betreuer zu entlassen, sobald der Betreute durch eine oder mehrere natürliche Personen hinreichend betreut werden kann. </w:t>
      </w:r>
      <w:r>
        <w:rPr>
          <w:rStyle w:val="Satznummer"/>
        </w:rPr>
        <w:t>2</w:t>
      </w:r>
      <w:r>
        <w:t>Dies gilt für den Betreuungsverein nicht, wenn der Wunsch des Betreuten dem entgegensteht.</w:t>
      </w:r>
    </w:p>
    <w:p>
      <w:pPr>
        <w:pStyle w:val="Heading5"/>
      </w:pPr>
      <w:bookmarkStart w:id="2351" w:name="b2336"/>
      <w:r>
        <w:t>§ 1869 Bestellung eines neuen Betreuers</w:t>
      </w:r>
      <w:r>
        <w:t xml:space="preserve"> </w:t>
      </w:r>
      <w:r>
        <w:rPr>
          <w:rStyle w:val="Suchmarke"/>
        </w:rPr>
        <w:t>#1869#</w:t>
      </w:r>
      <w:bookmarkEnd w:id="2351"/>
    </w:p>
    <w:p>
      <w:r>
        <w:t>Mit der Entlassung des Betreuers oder nach dessen Tod ist ein neuer Betreuer zu bestellen.</w:t>
      </w:r>
    </w:p>
    <w:p>
      <w:pPr>
        <w:pStyle w:val="Heading5"/>
      </w:pPr>
      <w:bookmarkStart w:id="2352" w:name="b2337"/>
      <w:r>
        <w:t>§ 1870 Ende der Betreuung</w:t>
      </w:r>
      <w:r>
        <w:t xml:space="preserve"> </w:t>
      </w:r>
      <w:r>
        <w:rPr>
          <w:rStyle w:val="Suchmarke"/>
        </w:rPr>
        <w:t>#1870#</w:t>
      </w:r>
      <w:bookmarkEnd w:id="2352"/>
    </w:p>
    <w:p>
      <w:r>
        <w:t>Die Betreuung endet mit der Aufhebung der Betreuung durch das Betreuungsgericht oder mit dem Tod des Betreuten.</w:t>
      </w:r>
    </w:p>
    <w:p>
      <w:pPr>
        <w:pStyle w:val="Heading5"/>
      </w:pPr>
      <w:bookmarkStart w:id="2353" w:name="b2338"/>
      <w:r>
        <w:t>§ 1871 Aufhebung oder Änderung von Betreuung und Einwilligungsvorbehalt</w:t>
      </w:r>
      <w:r>
        <w:t xml:space="preserve"> </w:t>
      </w:r>
      <w:r>
        <w:rPr>
          <w:rStyle w:val="Suchmarke"/>
        </w:rPr>
        <w:t>#1871#</w:t>
      </w:r>
      <w:bookmarkEnd w:id="2353"/>
    </w:p>
    <w:p>
      <w:r>
        <w:t xml:space="preserve">(1) </w:t>
      </w:r>
      <w:r>
        <w:rPr>
          <w:rStyle w:val="Satznummer"/>
        </w:rPr>
        <w:t>1</w:t>
      </w:r>
      <w:r>
        <w:t xml:space="preserve">Die Betreuung ist aufzuheben, wenn ihre Voraussetzungen wegfallen. </w:t>
      </w:r>
      <w:r>
        <w:rPr>
          <w:rStyle w:val="Satznummer"/>
        </w:rPr>
        <w:t>2</w:t>
      </w:r>
      <w:r>
        <w:t>Fallen die Voraussetzungen nur für einen Teil der Aufgabenbereiche des Betreuers weg, so ist dessen Aufgabenkreis einzuschränken.</w:t>
      </w:r>
    </w:p>
    <w:p>
      <w:r>
        <w:t xml:space="preserve">(2) </w:t>
      </w:r>
      <w:r>
        <w:rPr>
          <w:rStyle w:val="Satznummer"/>
        </w:rPr>
        <w:t>1</w:t>
      </w:r>
      <w:r>
        <w:t xml:space="preserve">Ist der Betreuer auf Antrag des Betreuten bestellt, so ist die Betreuung auf dessen Antrag wieder aufzuheben, es sei denn, die Aufrechterhaltung der Betreuung ist auch unter Berücksichtigung von </w:t>
      </w:r>
      <w:hyperlink w:anchor="b2269" w:history="1">
        <w:r>
          <w:rPr>
            <w:color w:val="0A3A8C"/>
            <w:u w:val="single"/>
          </w:rPr>
          <w:t xml:space="preserve">§ 1814</w:t>
        </w:r>
      </w:hyperlink>
      <w:r>
        <w:t xml:space="preserve"> Absatz 2 erforderlich. </w:t>
      </w:r>
      <w:r>
        <w:rPr>
          <w:rStyle w:val="Satznummer"/>
        </w:rPr>
        <w:t>2</w:t>
      </w:r>
      <w:r>
        <w:t>Dies gilt für die Einschränkung des Aufgabenkreises des Betreuers entsprechend.</w:t>
      </w:r>
    </w:p>
    <w:p>
      <w:r>
        <w:t xml:space="preserve">(3) </w:t>
      </w:r>
      <w:r>
        <w:rPr>
          <w:rStyle w:val="Satznummer"/>
        </w:rPr>
        <w:t>1</w:t>
      </w:r>
      <w:r>
        <w:t xml:space="preserve">Der Aufgabenkreis des Betreuers ist zu erweitern, wenn dies erforderlich wird. </w:t>
      </w:r>
      <w:r>
        <w:rPr>
          <w:rStyle w:val="Satznummer"/>
        </w:rPr>
        <w:t>2</w:t>
      </w:r>
      <w:r>
        <w:t>Die Vorschriften über die Bestellung des Betreuers gelten hierfür entsprechend.</w:t>
      </w:r>
    </w:p>
    <w:p>
      <w:r>
        <w:t>(4) Für den Einwilligungsvorbehalt gelten die Absätze 1 und 3 entsprechend.</w:t>
      </w:r>
    </w:p>
    <w:p>
      <w:pPr>
        <w:pStyle w:val="Heading5"/>
      </w:pPr>
      <w:bookmarkStart w:id="2354" w:name="b2339"/>
      <w:r>
        <w:t>§ 1872 Herausgabe von Vermögen und Unterlagen; Schlussrechnungslegung; Vermögensübersicht</w:t>
      </w:r>
      <w:r>
        <w:t xml:space="preserve"> </w:t>
      </w:r>
      <w:r>
        <w:rPr>
          <w:rStyle w:val="Suchmarke"/>
        </w:rPr>
        <w:t>#1872#</w:t>
      </w:r>
      <w:bookmarkEnd w:id="2354"/>
    </w:p>
    <w:p>
      <w:r>
        <w:t>(1) Endet die Betreuung, hat der Betreuer das seiner Verwaltung unterliegende Vermögen und alle im Rahmen der Betreuung erlangten Unterlagen an den Betreuten, dessen Erben oder sonstigen Berechtigten herauszugeben und auf deren Verlangen über die Verwaltung Rechenschaft abzulegen.</w:t>
      </w:r>
    </w:p>
    <w:p>
      <w:r>
        <w:t xml:space="preserve">(2) </w:t>
      </w:r>
      <w:r>
        <w:rPr>
          <w:rStyle w:val="Satznummer"/>
        </w:rPr>
        <w:t>1</w:t>
      </w:r>
      <w:r>
        <w:t xml:space="preserve">Der Betreuer hat nach Beendigung der Betreuung eine Vermögensübersicht mit der Versicherung der Richtigkeit und Vollständigkeit beim Betreuungsgericht einzureichen. </w:t>
      </w:r>
      <w:r>
        <w:rPr>
          <w:rStyle w:val="Satznummer"/>
        </w:rPr>
        <w:t>2</w:t>
      </w:r>
      <w:r>
        <w:t>Die Vermögensübersicht soll auch Angaben zu den regelmäßigen Einnahmen und Ausgaben des Betreuten enthalten.</w:t>
      </w:r>
    </w:p>
    <w:p>
      <w:r>
        <w:t xml:space="preserve">(3) </w:t>
      </w:r>
      <w:r>
        <w:rPr>
          <w:rStyle w:val="Satznummer"/>
        </w:rPr>
        <w:t>1</w:t>
      </w:r>
      <w:r>
        <w:t xml:space="preserve">Bei einem Wechsel des Betreuers hat der bisherige Betreuer das seiner Verwaltung unterliegende Vermögen und alle im Rahmen der Betreuung erlangten Unterlagen an den neuen Betreuer herauszugeben. </w:t>
      </w:r>
      <w:r>
        <w:rPr>
          <w:rStyle w:val="Satznummer"/>
        </w:rPr>
        <w:t>2</w:t>
      </w:r>
      <w:r>
        <w:t xml:space="preserve">Über die Verwaltung seit der letzten beim Betreuungsgericht eingereichten Rechnungslegung hat er Rechenschaft durch eine Schlussrechnung abzulegen. </w:t>
      </w:r>
      <w:r>
        <w:rPr>
          <w:rStyle w:val="Satznummer"/>
        </w:rPr>
        <w:t>3</w:t>
      </w:r>
      <w:r>
        <w:t>Die Schlussrechnung ist beim Betreuungsgericht einzureichen.</w:t>
      </w:r>
    </w:p>
    <w:p>
      <w:r>
        <w:t xml:space="preserve">(4) War der Betreuer bei Beendigung seines Amtes gemäß </w:t>
      </w:r>
      <w:hyperlink w:anchor="b2324" w:history="1">
        <w:r>
          <w:rPr>
            <w:color w:val="0A3A8C"/>
            <w:u w:val="single"/>
          </w:rPr>
          <w:t xml:space="preserve">§ 1859</w:t>
        </w:r>
      </w:hyperlink>
      <w:r>
        <w:t xml:space="preserve"> befreit, genügt zur Erfüllung der Verpflichtung aus Absatz 3 Satz 2 die Erstellung einer Vermögensübersicht nach Absatz 2.</w:t>
      </w:r>
    </w:p>
    <w:p>
      <w:pPr>
        <w:pStyle w:val="Heading5"/>
      </w:pPr>
      <w:bookmarkStart w:id="2355" w:name="b2340"/>
      <w:r>
        <w:t>§ 1873 Schlussmitteilung; Rechnungsprüfung</w:t>
      </w:r>
      <w:r>
        <w:t xml:space="preserve"> </w:t>
      </w:r>
      <w:r>
        <w:rPr>
          <w:rStyle w:val="Suchmarke"/>
        </w:rPr>
        <w:t>#1873#</w:t>
      </w:r>
      <w:bookmarkEnd w:id="2355"/>
    </w:p>
    <w:p>
      <w:r>
        <w:t xml:space="preserve">(1) </w:t>
      </w:r>
      <w:r>
        <w:rPr>
          <w:rStyle w:val="Satznummer"/>
        </w:rPr>
        <w:t>1</w:t>
      </w:r>
      <w:r>
        <w:t xml:space="preserve">Nach Beendigung der Betreuung hat der Betreuer dem Betreuungsgericht eine Schlussmitteilung mit Angaben zur Herausgabe des der Verwaltung des Betreuers unterliegenden Vermögens des Betreuten und aller im Rahmen der Betreuung erlangten Unterlagen zu übersenden. </w:t>
      </w:r>
      <w:r>
        <w:rPr>
          <w:rStyle w:val="Satznummer"/>
        </w:rPr>
        <w:t>2</w:t>
      </w:r>
      <w:r>
        <w:t xml:space="preserve">Sollte der Betreuer nach Beendigung der Betreuung gemäß </w:t>
      </w:r>
      <w:hyperlink w:anchor="b2341" w:history="1">
        <w:r>
          <w:rPr>
            <w:color w:val="0A3A8C"/>
            <w:u w:val="single"/>
          </w:rPr>
          <w:t xml:space="preserve">§ 1874</w:t>
        </w:r>
      </w:hyperlink>
      <w:r>
        <w:t xml:space="preserve"> tätig geworden sein, hat die Mitteilung auch Angaben zu den nach Beendigung der Betreuung besorgten Angelegenheiten zu enthalten.</w:t>
      </w:r>
    </w:p>
    <w:p>
      <w:r>
        <w:t xml:space="preserve">(2) </w:t>
      </w:r>
      <w:r>
        <w:rPr>
          <w:rStyle w:val="Satznummer"/>
        </w:rPr>
        <w:t>1</w:t>
      </w:r>
      <w:r>
        <w:t xml:space="preserve">Liegt ein Fall des </w:t>
      </w:r>
      <w:hyperlink w:anchor="b2339" w:history="1">
        <w:r>
          <w:rPr>
            <w:color w:val="0A3A8C"/>
            <w:u w:val="single"/>
          </w:rPr>
          <w:t xml:space="preserve">§ 1872</w:t>
        </w:r>
      </w:hyperlink>
      <w:r>
        <w:t xml:space="preserve"> Absatz 3 vor, hat das Betreuungsgericht die Schlussrechnung oder die Vermögensübersicht sachlich und rechnerisch zu prüfen und, soweit erforderlich, ihre Ergänzung herbeizuführen. </w:t>
      </w:r>
      <w:r>
        <w:rPr>
          <w:rStyle w:val="Satznummer"/>
        </w:rPr>
        <w:t>2</w:t>
      </w:r>
      <w:r>
        <w:t>Das Betreuungsgericht übersendet das Ergebnis seiner Prüfung nach Satz 1 an den neuen Betreuer.</w:t>
      </w:r>
    </w:p>
    <w:p>
      <w:pPr>
        <w:pStyle w:val="Heading5"/>
      </w:pPr>
      <w:bookmarkStart w:id="2356" w:name="b2341"/>
      <w:r>
        <w:t>§ 1874 Besorgung der Angelegenheiten des Betreuten nach Beendigung der Betreuung</w:t>
      </w:r>
      <w:r>
        <w:t xml:space="preserve"> </w:t>
      </w:r>
      <w:r>
        <w:rPr>
          <w:rStyle w:val="Suchmarke"/>
        </w:rPr>
        <w:t>#1874#</w:t>
      </w:r>
      <w:bookmarkEnd w:id="2356"/>
    </w:p>
    <w:p>
      <w:r>
        <w:t xml:space="preserve">(1) </w:t>
      </w:r>
      <w:r>
        <w:rPr>
          <w:rStyle w:val="Satznummer"/>
        </w:rPr>
        <w:t>1</w:t>
      </w:r>
      <w:r>
        <w:t xml:space="preserve">Der Betreuer darf die Besorgung der Angelegenheiten des Betreuten fortführen, bis er von der Beendigung der Betreuung Kenntnis erlangt oder diese kennen muss. </w:t>
      </w:r>
      <w:r>
        <w:rPr>
          <w:rStyle w:val="Satznummer"/>
        </w:rPr>
        <w:t>2</w:t>
      </w:r>
      <w:r>
        <w:t>Ein Dritter kann sich auf diese Befugnis nicht berufen, wenn er bei der Vornahme des Rechtsgeschäfts die Beendigung kennt oder kennen muss.</w:t>
      </w:r>
    </w:p>
    <w:p>
      <w:r>
        <w:t>(2) Endet die Betreuung durch den Tod des Betreuten, so hat der Betreuer im Rahmen des ihm übertragenen Aufgabenkreises die Angelegenheiten, die keinen Aufschub dulden, zu besorgen, bis der Erbe diese besorgen kann.</w:t>
      </w:r>
    </w:p>
    <w:p>
      <w:pPr>
        <w:pStyle w:val="Heading4"/>
      </w:pPr>
      <w:bookmarkStart w:id="2357" w:name="b2342"/>
      <w:r>
        <w:t>Untertitel 5 Vergütung und Aufwendungsersatz</w:t>
      </w:r>
      <w:bookmarkEnd w:id="2357"/>
    </w:p>
    <w:p>
      <w:pPr>
        <w:pStyle w:val="Heading5"/>
      </w:pPr>
      <w:bookmarkStart w:id="2358" w:name="b2343"/>
      <w:r>
        <w:t>§ 1875 Vergütung und Aufwendungsersatz</w:t>
      </w:r>
      <w:r>
        <w:t xml:space="preserve"> </w:t>
      </w:r>
      <w:r>
        <w:rPr>
          <w:rStyle w:val="Suchmarke"/>
        </w:rPr>
        <w:t>#1875#</w:t>
      </w:r>
      <w:bookmarkEnd w:id="2358"/>
    </w:p>
    <w:p>
      <w:r>
        <w:t>(1) Vergütung und Aufwendungsersatz des ehrenamtlichen Betreuers bestimmen sich nach den Vorschriften dieses Untertitels.</w:t>
      </w:r>
    </w:p>
    <w:p>
      <w:r>
        <w:t>(2) Vergütung und Aufwendungsersatz des beruflichen Betreuers, des Betreuungsvereins, des Behördenbetreuers und der Betreuungsbehörde bestimmen sich nach dem Vormünder- und Betreuervergütungsgesetz.</w:t>
      </w:r>
    </w:p>
    <w:p>
      <w:pPr>
        <w:pStyle w:val="Heading5"/>
      </w:pPr>
      <w:bookmarkStart w:id="2359" w:name="b2344"/>
      <w:r>
        <w:t>§ 1876 Vergütung</w:t>
      </w:r>
      <w:r>
        <w:t xml:space="preserve"> </w:t>
      </w:r>
      <w:r>
        <w:rPr>
          <w:rStyle w:val="Suchmarke"/>
        </w:rPr>
        <w:t>#1876#</w:t>
      </w:r>
      <w:bookmarkEnd w:id="2359"/>
    </w:p>
    <w:p>
      <w:r>
        <w:rPr>
          <w:rStyle w:val="Satznummer"/>
        </w:rPr>
        <w:t>1</w:t>
      </w:r>
      <w:r>
        <w:t xml:space="preserve">Dem ehrenamtlichen Betreuer steht grundsätzlich kein Anspruch auf Vergütung zu. </w:t>
      </w:r>
      <w:r>
        <w:rPr>
          <w:rStyle w:val="Satznummer"/>
        </w:rPr>
        <w:t>2</w:t>
      </w:r>
      <w:r>
        <w:t>Das Betreuungsgericht kann ihm abweichend von Satz 1 eine angemessene Vergütung bewilligen, wenn</w:t>
      </w:r>
    </w:p>
    <w:p>
      <w:pPr>
        <w:tabs>
          <w:tab w:pos="567" w:val="left"/>
        </w:tabs>
        <w:ind w:left="567" w:hanging="567"/>
      </w:pPr>
      <w:r>
        <w:t>1.</w:t>
      </w:r>
      <w:r>
        <w:tab/>
      </w:r>
      <w:r>
        <w:t>der Umfang oder die Schwierigkeit der Wahrnehmung der Angelegenheiten des Betreuten dies rechtfertigen und</w:t>
      </w:r>
    </w:p>
    <w:p>
      <w:pPr>
        <w:tabs>
          <w:tab w:pos="567" w:val="left"/>
        </w:tabs>
        <w:ind w:left="567" w:hanging="567"/>
      </w:pPr>
      <w:r>
        <w:t>2.</w:t>
      </w:r>
      <w:r>
        <w:tab/>
      </w:r>
      <w:r>
        <w:t>der Betreute nicht mittellos ist.</w:t>
      </w:r>
    </w:p>
    <w:p>
      <w:pPr>
        <w:pStyle w:val="Heading5"/>
      </w:pPr>
      <w:bookmarkStart w:id="2360" w:name="b2345"/>
      <w:r>
        <w:t>§ 1877 Aufwendungsersatz</w:t>
      </w:r>
      <w:r>
        <w:t xml:space="preserve"> </w:t>
      </w:r>
      <w:r>
        <w:rPr>
          <w:rStyle w:val="Suchmarke"/>
        </w:rPr>
        <w:t>#1877#</w:t>
      </w:r>
      <w:bookmarkEnd w:id="2360"/>
    </w:p>
    <w:p>
      <w:r>
        <w:t xml:space="preserve">(1) </w:t>
      </w:r>
      <w:r>
        <w:rPr>
          <w:rStyle w:val="Satznummer"/>
        </w:rPr>
        <w:t>1</w:t>
      </w:r>
      <w:r>
        <w:t xml:space="preserve">Macht der Betreuer zur Führung der Betreuung Aufwendungen, so kann er nach den für den Auftrag geltenden Vorschriften der §§ 669 und 670 vom Betreuten Vorschuss oder Ersatz verlangen. </w:t>
      </w:r>
      <w:r>
        <w:rPr>
          <w:rStyle w:val="Satznummer"/>
        </w:rPr>
        <w:t>2</w:t>
      </w:r>
      <w:r>
        <w:t>Für den Ersatz von Fahrtkosten des Betreuers gilt die in § 5 des Justizvergütungs- und -entschädigungsgesetzes für Sachverständige getroffene Regelung entsprechend.</w:t>
      </w:r>
    </w:p>
    <w:p>
      <w:r>
        <w:t xml:space="preserve">(2) </w:t>
      </w:r>
      <w:r>
        <w:rPr>
          <w:rStyle w:val="Satznummer"/>
        </w:rPr>
        <w:t>1</w:t>
      </w:r>
      <w:r>
        <w:t>Zu den Aufwendungen gehören auch die Kosten einer angemessenen Versicherung gegen Schäden, die</w:t>
      </w:r>
    </w:p>
    <w:p>
      <w:pPr>
        <w:tabs>
          <w:tab w:pos="567" w:val="left"/>
        </w:tabs>
        <w:ind w:left="567" w:hanging="567"/>
      </w:pPr>
      <w:r>
        <w:t>1.</w:t>
      </w:r>
      <w:r>
        <w:tab/>
      </w:r>
      <w:r>
        <w:t>dem Betreuten durch den Betreuer zugefügt werden können oder</w:t>
      </w:r>
    </w:p>
    <w:p>
      <w:pPr>
        <w:tabs>
          <w:tab w:pos="567" w:val="left"/>
        </w:tabs>
        <w:ind w:left="567" w:hanging="567"/>
      </w:pPr>
      <w:r>
        <w:t>2.</w:t>
      </w:r>
      <w:r>
        <w:tab/>
      </w:r>
      <w:r>
        <w:t>dem Betreuer dadurch entstehen können, dass er einem Dritten zum Ersatz eines durch die Führung der Betreuung verursachten Schadens verpflichtet ist.</w:t>
      </w:r>
    </w:p>
    <w:p>
      <w:r>
        <w:rPr>
          <w:rStyle w:val="Satznummer"/>
        </w:rPr>
        <w:t>2</w:t>
      </w:r>
      <w:r>
        <w:t>Kosten für die Haftpflichtversicherung des Halters eines Kraftfahrzeugs gehören nicht zu diesen Aufwendungen.</w:t>
      </w:r>
    </w:p>
    <w:p>
      <w:r>
        <w:t>(3) Als Aufwendungen gelten auch solche Dienste des Betreuers, die zu seinem Gewerbe oder Beruf gehören.</w:t>
      </w:r>
    </w:p>
    <w:p>
      <w:r>
        <w:t xml:space="preserve">(4) </w:t>
      </w:r>
      <w:r>
        <w:rPr>
          <w:rStyle w:val="Satznummer"/>
        </w:rPr>
        <w:t>1</w:t>
      </w:r>
      <w:r>
        <w:t xml:space="preserve">Der Anspruch auf Aufwendungsersatz erlischt, wenn er nicht binnen 15 Monaten nach seiner Entstehung gerichtlich geltend gemacht wird. </w:t>
      </w:r>
      <w:r>
        <w:rPr>
          <w:rStyle w:val="Satznummer"/>
        </w:rPr>
        <w:t>2</w:t>
      </w:r>
      <w:r>
        <w:t xml:space="preserve">Die Geltendmachung beim Betreuungsgericht gilt als Geltendmachung gegen den Betreuten. </w:t>
      </w:r>
      <w:r>
        <w:rPr>
          <w:rStyle w:val="Satznummer"/>
        </w:rPr>
        <w:t>3</w:t>
      </w:r>
      <w:r>
        <w:t>Die Geltendmachung gegen den Betreuten gilt auch als Geltendmachung gegen die Staatskasse.</w:t>
      </w:r>
    </w:p>
    <w:p>
      <w:r>
        <w:t xml:space="preserve">(5) </w:t>
      </w:r>
      <w:r>
        <w:rPr>
          <w:rStyle w:val="Satznummer"/>
        </w:rPr>
        <w:t>1</w:t>
      </w:r>
      <w:r>
        <w:t xml:space="preserve">Das Betreuungsgericht kann eine von Absatz 4 Satz 1 abweichende kürzere oder längere Frist für das Erlöschen des Anspruchs bestimmen sowie diese gesetzte Frist auf Antrag verlängern. </w:t>
      </w:r>
      <w:r>
        <w:rPr>
          <w:rStyle w:val="Satznummer"/>
        </w:rPr>
        <w:t>2</w:t>
      </w:r>
      <w:r>
        <w:t xml:space="preserve">Mit der Fristbestimmung ist über das Erlöschen des Ersatzanspruchs bei Versäumung der Frist zu belehren. </w:t>
      </w:r>
      <w:r>
        <w:rPr>
          <w:rStyle w:val="Satznummer"/>
        </w:rPr>
        <w:t>3</w:t>
      </w:r>
      <w:r>
        <w:t>Der Anspruch ist innerhalb der Frist zu beziffern.</w:t>
      </w:r>
    </w:p>
    <w:p>
      <w:pPr>
        <w:pStyle w:val="Heading5"/>
      </w:pPr>
      <w:bookmarkStart w:id="2361" w:name="b2346"/>
      <w:r>
        <w:t>§ 1878 Aufwandspauschale</w:t>
      </w:r>
      <w:r>
        <w:t xml:space="preserve"> </w:t>
      </w:r>
      <w:r>
        <w:rPr>
          <w:rStyle w:val="Suchmarke"/>
        </w:rPr>
        <w:t>#1878#</w:t>
      </w:r>
      <w:bookmarkEnd w:id="2361"/>
    </w:p>
    <w:p>
      <w:r>
        <w:t xml:space="preserve">(1) </w:t>
      </w:r>
      <w:r>
        <w:rPr>
          <w:rStyle w:val="Satznummer"/>
        </w:rPr>
        <w:t>1</w:t>
      </w:r>
      <w:r>
        <w:t xml:space="preserve">Zur Abgeltung seines Anspruchs auf Aufwendungsersatz kann der Betreuer für die Führung jeder Betreuung, für die er keine Vergütung erhält, vom Betreuten einen pauschalen Geldbetrag verlangen (Aufwandspauschale). </w:t>
      </w:r>
      <w:r>
        <w:rPr>
          <w:rStyle w:val="Satznummer"/>
        </w:rPr>
        <w:t>2</w:t>
      </w:r>
      <w:r>
        <w:t xml:space="preserve">Dieser entspricht für ein Jahr dem 18fachen dessen, was einem Zeugen als Höchstbetrag der Entschädigung für eine Stunde versäumter Arbeitszeit (§ 22 des Justizvergütungs- und -entschädigungsgesetzes) gewährt werden kann. </w:t>
      </w:r>
      <w:r>
        <w:rPr>
          <w:rStyle w:val="Satznummer"/>
        </w:rPr>
        <w:t>3</w:t>
      </w:r>
      <w:r>
        <w:t>Hat der Betreuer für solche Aufwendungen bereits Vorschuss oder Ersatz erhalten, so verringert sich die Aufwandspauschale entsprechend.</w:t>
      </w:r>
    </w:p>
    <w:p>
      <w:r>
        <w:t xml:space="preserve">(2) </w:t>
      </w:r>
      <w:r>
        <w:rPr>
          <w:rStyle w:val="Satznummer"/>
        </w:rPr>
        <w:t>1</w:t>
      </w:r>
      <w:r>
        <w:t xml:space="preserve">Sind mehrere Betreuer bestellt, kann jeder Betreuer den Anspruch auf Aufwandspauschale geltend machen. </w:t>
      </w:r>
      <w:r>
        <w:rPr>
          <w:rStyle w:val="Satznummer"/>
        </w:rPr>
        <w:t>2</w:t>
      </w:r>
      <w:r>
        <w:t xml:space="preserve">In den Fällen der Bestellung eines Verhinderungsbetreuers nach </w:t>
      </w:r>
      <w:hyperlink w:anchor="b2272" w:history="1">
        <w:r>
          <w:rPr>
            <w:color w:val="0A3A8C"/>
            <w:u w:val="single"/>
          </w:rPr>
          <w:t xml:space="preserve">§ 1817</w:t>
        </w:r>
      </w:hyperlink>
      <w:r>
        <w:t xml:space="preserve"> Absatz 4 kann dieser den Anspruch auf Aufwandspauschale nur für den Zeitraum geltend machen, in dem er tatsächlich tätig geworden ist.</w:t>
      </w:r>
    </w:p>
    <w:p>
      <w:r>
        <w:t xml:space="preserve">(3) </w:t>
      </w:r>
      <w:r>
        <w:rPr>
          <w:rStyle w:val="Satznummer"/>
        </w:rPr>
        <w:t>1</w:t>
      </w:r>
      <w:r>
        <w:t xml:space="preserve">Die Aufwandspauschale ist jährlich zu zahlen, erstmals ein Jahr nach Bestellung des Betreuers. </w:t>
      </w:r>
      <w:r>
        <w:rPr>
          <w:rStyle w:val="Satznummer"/>
        </w:rPr>
        <w:t>2</w:t>
      </w:r>
      <w:r>
        <w:t>Endet das Amt des Betreuers, ist die Aufwandspauschale anteilig nach den Monaten des bis zur Beendigung des Amtes laufenden Betreuungsjahres zu zahlen; ein angefangener Monat gilt als voller Monat.</w:t>
      </w:r>
    </w:p>
    <w:p>
      <w:r>
        <w:t xml:space="preserve">(4) </w:t>
      </w:r>
      <w:r>
        <w:rPr>
          <w:rStyle w:val="Satznummer"/>
        </w:rPr>
        <w:t>1</w:t>
      </w:r>
      <w:r>
        <w:t xml:space="preserve">Der Anspruch erlischt, wenn er nicht binnen sechs Monaten nach Ablauf des Jahres, in dem der Anspruch entstanden ist, gerichtlich geltend gemacht wird. </w:t>
      </w:r>
      <w:r>
        <w:rPr>
          <w:rStyle w:val="Satznummer"/>
        </w:rPr>
        <w:t>2</w:t>
      </w:r>
      <w:hyperlink w:anchor="b2345" w:history="1">
        <w:r>
          <w:rPr>
            <w:color w:val="0A3A8C"/>
            <w:u w:val="single"/>
          </w:rPr>
          <w:t xml:space="preserve">§ 1877</w:t>
        </w:r>
      </w:hyperlink>
      <w:r>
        <w:t xml:space="preserve"> Absatz 4 Satz 2 und 3 gilt entsprechend. </w:t>
      </w:r>
      <w:r>
        <w:rPr>
          <w:rStyle w:val="Satznummer"/>
        </w:rPr>
        <w:t>3</w:t>
      </w:r>
      <w:r>
        <w:t>Ist der Anspruch einmalig ausdrücklich gerichtlich geltend gemacht worden, so gilt in den Folgejahren die Einreichung des Jahresberichts jeweils als Antrag, es sei denn, der Betreuer verzichtet ausdrücklich auf eine weitere Geltendmachung.</w:t>
      </w:r>
    </w:p>
    <w:p>
      <w:pPr>
        <w:pStyle w:val="Heading5"/>
      </w:pPr>
      <w:bookmarkStart w:id="2362" w:name="b2347"/>
      <w:r>
        <w:t>§ 1879 Zahlung aus der Staatskasse</w:t>
      </w:r>
      <w:r>
        <w:t xml:space="preserve"> </w:t>
      </w:r>
      <w:r>
        <w:rPr>
          <w:rStyle w:val="Suchmarke"/>
        </w:rPr>
        <w:t>#1879#</w:t>
      </w:r>
      <w:bookmarkEnd w:id="2362"/>
    </w:p>
    <w:p>
      <w:r>
        <w:t xml:space="preserve">Gilt der Betreute als mittellos im Sinne von </w:t>
      </w:r>
      <w:hyperlink w:anchor="b2348" w:history="1">
        <w:r>
          <w:rPr>
            <w:color w:val="0A3A8C"/>
            <w:u w:val="single"/>
          </w:rPr>
          <w:t xml:space="preserve">§ 1880</w:t>
        </w:r>
      </w:hyperlink>
      <w:r>
        <w:t xml:space="preserve">, so kann der Betreuer den Vorschuss, den Aufwendungsersatz nach </w:t>
      </w:r>
      <w:hyperlink w:anchor="b2345" w:history="1">
        <w:r>
          <w:rPr>
            <w:color w:val="0A3A8C"/>
            <w:u w:val="single"/>
          </w:rPr>
          <w:t xml:space="preserve">§ 1877</w:t>
        </w:r>
      </w:hyperlink>
      <w:r>
        <w:t xml:space="preserve"> oder die Aufwandspauschale nach § 1878 aus der Staatskasse verlangen.</w:t>
      </w:r>
    </w:p>
    <w:p>
      <w:pPr>
        <w:pStyle w:val="Heading5"/>
      </w:pPr>
      <w:bookmarkStart w:id="2363" w:name="b2348"/>
      <w:r>
        <w:t>§ 1880 Mittellosigkeit des Betreuten</w:t>
      </w:r>
      <w:r>
        <w:t xml:space="preserve"> </w:t>
      </w:r>
      <w:r>
        <w:rPr>
          <w:rStyle w:val="Suchmarke"/>
        </w:rPr>
        <w:t>#1880#</w:t>
      </w:r>
      <w:bookmarkEnd w:id="2363"/>
    </w:p>
    <w:p>
      <w:r>
        <w:t>(1) Der Betreute gilt als mittellos, wenn er den Vorschuss, den Aufwendungsersatz oder die Aufwandspauschale aus seinem einzusetzenden Vermögen nicht, nur zum Teil oder nur in Raten aufbringen kann.</w:t>
      </w:r>
    </w:p>
    <w:p>
      <w:r>
        <w:t>(2) Der Betreute hat sein Vermögen nach Maßgabe des § 90 des Zwölften Buches Sozialgesetzbuch einzusetzen.</w:t>
      </w:r>
    </w:p>
    <w:p>
      <w:pPr>
        <w:pStyle w:val="Heading5"/>
      </w:pPr>
      <w:bookmarkStart w:id="2364" w:name="b2349"/>
      <w:r>
        <w:t>§ 1881 Gesetzlicher Forderungsübergang</w:t>
      </w:r>
      <w:r>
        <w:t xml:space="preserve"> </w:t>
      </w:r>
      <w:r>
        <w:rPr>
          <w:rStyle w:val="Suchmarke"/>
        </w:rPr>
        <w:t>#1881#</w:t>
      </w:r>
      <w:bookmarkEnd w:id="2364"/>
    </w:p>
    <w:p>
      <w:r>
        <w:rPr>
          <w:rStyle w:val="Satznummer"/>
        </w:rPr>
        <w:t>1</w:t>
      </w:r>
      <w:r>
        <w:t xml:space="preserve">Soweit die Staatskasse den Betreuer befriedigt, gehen Ansprüche des Betreuers gegen den Betreuten auf die Staatskasse über. </w:t>
      </w:r>
      <w:r>
        <w:rPr>
          <w:rStyle w:val="Satznummer"/>
        </w:rPr>
        <w:t>2</w:t>
      </w:r>
      <w:r>
        <w:t xml:space="preserve">Nach dem Tode des Betreuten haftet sein Erbe nur mit dem Wert des im Zeitpunkt des Erbfalls vorhandenen Nachlasses; § 102 Absatz 3 und 4 des Zwölften Buches Sozialgesetzbuch gilt entsprechend, </w:t>
      </w:r>
      <w:hyperlink w:anchor="b2348" w:history="1">
        <w:r>
          <w:rPr>
            <w:color w:val="0A3A8C"/>
            <w:u w:val="single"/>
          </w:rPr>
          <w:t xml:space="preserve">§ 1880</w:t>
        </w:r>
      </w:hyperlink>
      <w:r>
        <w:t xml:space="preserve"> Absatz 2 ist auf den Erben nicht anzuwenden.</w:t>
      </w:r>
    </w:p>
    <w:p>
      <w:pPr>
        <w:pStyle w:val="Heading3"/>
      </w:pPr>
      <w:bookmarkStart w:id="2365" w:name="b2350"/>
      <w:r>
        <w:t>Titel 4 Sonstige Pflegschaft</w:t>
      </w:r>
      <w:bookmarkEnd w:id="2365"/>
    </w:p>
    <w:p>
      <w:pPr>
        <w:pStyle w:val="Heading4"/>
      </w:pPr>
      <w:bookmarkStart w:id="2366" w:name="b2351"/>
      <w:r>
        <w:t>§ 1882 Pflegschaft für unbekannte Beteiligte</w:t>
      </w:r>
      <w:r>
        <w:t xml:space="preserve"> </w:t>
      </w:r>
      <w:r>
        <w:rPr>
          <w:rStyle w:val="Suchmarke"/>
        </w:rPr>
        <w:t>#1882#</w:t>
      </w:r>
      <w:bookmarkEnd w:id="2366"/>
    </w:p>
    <w:p>
      <w:r>
        <w:rPr>
          <w:rStyle w:val="Satznummer"/>
        </w:rPr>
        <w:t>1</w:t>
      </w:r>
      <w:r>
        <w:t xml:space="preserve">Ist unbekannt oder ungewiss, wer bei einer Angelegenheit der Beteiligte ist, so kann dem Beteiligten für diese Angelegenheit, soweit eine Fürsorge erforderlich ist, ein Pfleger bestellt werden. </w:t>
      </w:r>
      <w:r>
        <w:rPr>
          <w:rStyle w:val="Satznummer"/>
        </w:rPr>
        <w:t>2</w:t>
      </w:r>
      <w:r>
        <w:t>Insbesondere kann für einen Nacherben, der noch nicht gezeugt ist oder dessen Persönlichkeit erst durch ein künftiges Ereignis bestimmt wird, für die Zeit bis zum Eintritt der Nacherbfolge ein Pfleger bestellt werden.</w:t>
      </w:r>
    </w:p>
    <w:p>
      <w:pPr>
        <w:pStyle w:val="Heading4"/>
      </w:pPr>
      <w:bookmarkStart w:id="2367" w:name="b2352"/>
      <w:r>
        <w:t>§ 1883 Pflegschaft für gesammeltes Vermögen</w:t>
      </w:r>
      <w:r>
        <w:t xml:space="preserve"> </w:t>
      </w:r>
      <w:r>
        <w:rPr>
          <w:rStyle w:val="Suchmarke"/>
        </w:rPr>
        <w:t>#1883#</w:t>
      </w:r>
      <w:bookmarkEnd w:id="2367"/>
    </w:p>
    <w:p>
      <w:r>
        <w:t>Ist durch öffentliche Sammlung Vermögen für einen vorübergehenden Zweck zusammengebracht worden, so kann zum Zwecke der Verwaltung und Verwendung des Vermögens ein Pfleger bestellt werden, wenn die zu der Verwaltung und Verwendung berufenen Personen weggefallen sind.</w:t>
      </w:r>
    </w:p>
    <w:p>
      <w:pPr>
        <w:pStyle w:val="Heading4"/>
      </w:pPr>
      <w:bookmarkStart w:id="2368" w:name="b2353"/>
      <w:r>
        <w:t>§ 1884 Abwesenheitspflegschaft</w:t>
      </w:r>
      <w:r>
        <w:t xml:space="preserve"> </w:t>
      </w:r>
      <w:r>
        <w:rPr>
          <w:rStyle w:val="Suchmarke"/>
        </w:rPr>
        <w:t>#1884#</w:t>
      </w:r>
      <w:bookmarkEnd w:id="2368"/>
    </w:p>
    <w:p>
      <w:r>
        <w:t xml:space="preserve">(1) </w:t>
      </w:r>
      <w:r>
        <w:rPr>
          <w:rStyle w:val="Satznummer"/>
        </w:rPr>
        <w:t>1</w:t>
      </w:r>
      <w:r>
        <w:t xml:space="preserve">Ein abwesender Volljähriger, dessen Aufenthalt unbekannt ist, erhält für seine Vermögensangelegenheiten, soweit sie der Fürsorge bedürfen, einen Abwesenheitspfleger. </w:t>
      </w:r>
      <w:r>
        <w:rPr>
          <w:rStyle w:val="Satznummer"/>
        </w:rPr>
        <w:t>2</w:t>
      </w:r>
      <w:r>
        <w:t>Ein solcher Abwesenheitspfleger ist ihm insbesondere auch dann zu bestellen, wenn er durch Erteilung eines Auftrags oder einer Vollmacht Fürsorge getroffen hat, aber Umstände eingetreten sind, die zum Widerruf des Auftrags oder der Vollmacht Anlass geben.</w:t>
      </w:r>
    </w:p>
    <w:p>
      <w:r>
        <w:t>(2) Das Gleiche gilt für einen Abwesenden, dessen Aufenthalt bekannt, der aber an der Rückkehr und der Besorgung seiner Vermögensangelegenheiten verhindert ist.</w:t>
      </w:r>
    </w:p>
    <w:p>
      <w:pPr>
        <w:pStyle w:val="Heading4"/>
      </w:pPr>
      <w:bookmarkStart w:id="2369" w:name="b2354"/>
      <w:r>
        <w:t>§ 1885 Bestellung des sonstigen Pflegers</w:t>
      </w:r>
      <w:r>
        <w:t xml:space="preserve"> </w:t>
      </w:r>
      <w:r>
        <w:rPr>
          <w:rStyle w:val="Suchmarke"/>
        </w:rPr>
        <w:t>#1885#</w:t>
      </w:r>
      <w:bookmarkEnd w:id="2369"/>
    </w:p>
    <w:p>
      <w:r>
        <w:t>Das Betreuungsgericht oder im Falle der Nachlasspflegschaft das Nachlassgericht ordnet die Pflegschaft an, wählt einen geeigneten Pfleger aus und bestellt ihn, nachdem er sich zur Übernahme des Amtes bereit erklärt hat.</w:t>
      </w:r>
    </w:p>
    <w:p>
      <w:pPr>
        <w:pStyle w:val="Heading4"/>
      </w:pPr>
      <w:bookmarkStart w:id="2370" w:name="b2355"/>
      <w:r>
        <w:t>§ 1886 Aufhebung der Pflegschaft</w:t>
      </w:r>
      <w:r>
        <w:t xml:space="preserve"> </w:t>
      </w:r>
      <w:r>
        <w:rPr>
          <w:rStyle w:val="Suchmarke"/>
        </w:rPr>
        <w:t>#1886#</w:t>
      </w:r>
      <w:bookmarkEnd w:id="2370"/>
    </w:p>
    <w:p>
      <w:r>
        <w:t>(1) Die Pflegschaft für einen Abwesenden ist aufzuheben,</w:t>
      </w:r>
    </w:p>
    <w:p>
      <w:pPr>
        <w:tabs>
          <w:tab w:pos="567" w:val="left"/>
        </w:tabs>
        <w:ind w:left="567" w:hanging="567"/>
      </w:pPr>
      <w:r>
        <w:t>1.</w:t>
      </w:r>
      <w:r>
        <w:tab/>
      </w:r>
      <w:r>
        <w:t>wenn der Abwesende an der Besorgung seiner Vermögensangelegenheiten nicht mehr verhindert ist,</w:t>
      </w:r>
    </w:p>
    <w:p>
      <w:pPr>
        <w:tabs>
          <w:tab w:pos="567" w:val="left"/>
        </w:tabs>
        <w:ind w:left="567" w:hanging="567"/>
      </w:pPr>
      <w:r>
        <w:t>2.</w:t>
      </w:r>
      <w:r>
        <w:tab/>
      </w:r>
      <w:r>
        <w:t>wenn der Abwesende stirbt.</w:t>
      </w:r>
    </w:p>
    <w:p>
      <w:r>
        <w:t>(2) Im Übrigen ist eine Pflegschaft aufzuheben, wenn der Grund für ihre Anordnung weggefallen ist.</w:t>
      </w:r>
    </w:p>
    <w:p>
      <w:pPr>
        <w:pStyle w:val="Heading4"/>
      </w:pPr>
      <w:bookmarkStart w:id="2371" w:name="b2356"/>
      <w:r>
        <w:t>§ 1887 Ende der Pflegschaft kraft Gesetzes</w:t>
      </w:r>
      <w:r>
        <w:t xml:space="preserve"> </w:t>
      </w:r>
      <w:r>
        <w:rPr>
          <w:rStyle w:val="Suchmarke"/>
        </w:rPr>
        <w:t>#1887#</w:t>
      </w:r>
      <w:bookmarkEnd w:id="2371"/>
    </w:p>
    <w:p>
      <w:r>
        <w:t>(1) Wird der Abwesende für tot erklärt oder wird seine Todeszeit nach den Vorschriften des Verschollenheitsgesetzes festgestellt, so endet die Pflegschaft mit der Rechtskraft des Beschlusses über die Todeserklärung oder die Feststellung der Todeszeit.</w:t>
      </w:r>
    </w:p>
    <w:p>
      <w:r>
        <w:t>(2) Im Übrigen endet die Pflegschaft zur Besorgung einer einzelnen Angelegenheit mit deren Erledigung.</w:t>
      </w:r>
    </w:p>
    <w:p>
      <w:pPr>
        <w:pStyle w:val="Heading4"/>
      </w:pPr>
      <w:bookmarkStart w:id="2372" w:name="b2357"/>
      <w:r>
        <w:t>§ 1888 Anwendung des Betreuungsrechts</w:t>
      </w:r>
      <w:r>
        <w:t xml:space="preserve"> </w:t>
      </w:r>
      <w:r>
        <w:rPr>
          <w:rStyle w:val="Suchmarke"/>
        </w:rPr>
        <w:t>#1888#</w:t>
      </w:r>
      <w:bookmarkEnd w:id="2372"/>
    </w:p>
    <w:p>
      <w:r>
        <w:t>(1) Die Vorschriften des Betreuungsrechts sind auf sonstige Pflegschaften entsprechend anwendbar, soweit sich nicht aus dem Gesetz ein anderes ergibt.</w:t>
      </w:r>
    </w:p>
    <w:p>
      <w:r>
        <w:t xml:space="preserve">(2) </w:t>
      </w:r>
      <w:r>
        <w:rPr>
          <w:rStyle w:val="Satznummer"/>
        </w:rPr>
        <w:t>1</w:t>
      </w:r>
      <w:r>
        <w:t xml:space="preserve">Die Ansprüche des berufsmäßig tätigen Pflegers auf Vergütung und Aufwendungsersatz richten sich nach den §§ 1 bis 6 des Vormünder- und Betreuervergütungsgesetzes. </w:t>
      </w:r>
      <w:r>
        <w:rPr>
          <w:rStyle w:val="Satznummer"/>
        </w:rPr>
        <w:t>2</w:t>
      </w:r>
      <w:r>
        <w:t>Sofern der Pflegling nicht mittellos ist, bestimmt sich die Höhe des Stundensatzes des Pflegers jedoch nach den für die Führung der Pflegschaftsgeschäfte nutzbaren Fachkenntnissen des Pflegers sowie nach dem Umfang und der Schwierigkeit der Pflegschaftsgeschäfte.</w:t>
      </w:r>
    </w:p>
    <w:p>
      <w:pPr>
        <w:pStyle w:val="Heading4"/>
      </w:pPr>
      <w:bookmarkStart w:id="2373" w:name="b2358"/>
      <w:r>
        <w:t>§§ 1889 bis 1921 (weggefallen)</w:t>
      </w:r>
      <w:bookmarkEnd w:id="2373"/>
    </w:p>
    <w:p>
      <w:pPr>
        <w:pStyle w:val="Heading1"/>
      </w:pPr>
      <w:bookmarkStart w:id="2374" w:name="b2359"/>
      <w:r>
        <w:t>Buch 5 Erbrecht</w:t>
      </w:r>
      <w:bookmarkEnd w:id="2374"/>
    </w:p>
    <w:p>
      <w:pPr>
        <w:pStyle w:val="Heading2"/>
      </w:pPr>
      <w:bookmarkStart w:id="2375" w:name="b2360"/>
      <w:r>
        <w:t>Abschnitt 1 Erbfolge</w:t>
      </w:r>
      <w:bookmarkEnd w:id="2375"/>
    </w:p>
    <w:p>
      <w:pPr>
        <w:pStyle w:val="Heading3"/>
      </w:pPr>
      <w:bookmarkStart w:id="2376" w:name="b2361"/>
      <w:r>
        <w:t>§ 1922 Gesamtrechtsnachfolge</w:t>
      </w:r>
      <w:r>
        <w:t xml:space="preserve"> </w:t>
      </w:r>
      <w:r>
        <w:rPr>
          <w:rStyle w:val="Suchmarke"/>
        </w:rPr>
        <w:t>#1922#</w:t>
      </w:r>
      <w:bookmarkEnd w:id="2376"/>
    </w:p>
    <w:p>
      <w:r>
        <w:t>(1) Mit dem Tode einer Person (Erbfall) geht deren Vermögen (Erbschaft) als Ganzes auf eine oder mehrere andere Personen (Erben) über.</w:t>
      </w:r>
    </w:p>
    <w:p>
      <w:r>
        <w:t>(2) Auf den Anteil eines Miterben (Erbteil) finden die sich auf die Erbschaft beziehenden Vorschriften Anwendung.</w:t>
      </w:r>
    </w:p>
    <w:p>
      <w:pPr>
        <w:pStyle w:val="Heading3"/>
      </w:pPr>
      <w:bookmarkStart w:id="2377" w:name="b2362"/>
      <w:r>
        <w:t>§ 1923 Erbfähigkeit</w:t>
      </w:r>
      <w:r>
        <w:t xml:space="preserve"> </w:t>
      </w:r>
      <w:r>
        <w:rPr>
          <w:rStyle w:val="Suchmarke"/>
        </w:rPr>
        <w:t>#1923#</w:t>
      </w:r>
      <w:bookmarkEnd w:id="2377"/>
    </w:p>
    <w:p>
      <w:r>
        <w:t>(1) Erbe kann nur werden, wer zur Zeit des Erbfalls lebt.</w:t>
      </w:r>
    </w:p>
    <w:p>
      <w:r>
        <w:t>(2) Wer zur Zeit des Erbfalls noch nicht lebte, aber bereits gezeugt war, gilt als vor dem Erbfall geboren.</w:t>
      </w:r>
    </w:p>
    <w:p>
      <w:pPr>
        <w:pStyle w:val="Heading3"/>
      </w:pPr>
      <w:bookmarkStart w:id="2378" w:name="b2363"/>
      <w:r>
        <w:t>§ 1924 Gesetzliche Erben erster Ordnung</w:t>
      </w:r>
      <w:r>
        <w:t xml:space="preserve"> </w:t>
      </w:r>
      <w:r>
        <w:rPr>
          <w:rStyle w:val="Suchmarke"/>
        </w:rPr>
        <w:t>#1924#</w:t>
      </w:r>
      <w:bookmarkEnd w:id="2378"/>
    </w:p>
    <w:p>
      <w:r>
        <w:t>(1) Gesetzliche Erben der ersten Ordnung sind die Abkömmlinge des Erblassers.</w:t>
      </w:r>
    </w:p>
    <w:p>
      <w:r>
        <w:t>(2) Ein zur Zeit des Erbfalls lebender Abkömmling schließt die durch ihn mit dem Erblasser verwandten Abkömmlinge von der Erbfolge aus.</w:t>
      </w:r>
    </w:p>
    <w:p>
      <w:r>
        <w:t>(3) An die Stelle eines zur Zeit des Erbfalls nicht mehr lebenden Abkömmlings treten die durch ihn mit dem Erblasser verwandten Abkömmlinge (Erbfolge nach Stämmen).</w:t>
      </w:r>
    </w:p>
    <w:p>
      <w:r>
        <w:t>(4) Kinder erben zu gleichen Teilen.</w:t>
      </w:r>
    </w:p>
    <w:p>
      <w:pPr>
        <w:pStyle w:val="Heading3"/>
      </w:pPr>
      <w:bookmarkStart w:id="2379" w:name="b2364"/>
      <w:r>
        <w:t>§ 1925 Gesetzliche Erben zweiter Ordnung</w:t>
      </w:r>
      <w:r>
        <w:t xml:space="preserve"> </w:t>
      </w:r>
      <w:r>
        <w:rPr>
          <w:rStyle w:val="Suchmarke"/>
        </w:rPr>
        <w:t>#1925#</w:t>
      </w:r>
      <w:bookmarkEnd w:id="2379"/>
    </w:p>
    <w:p>
      <w:r>
        <w:t>(1) Gesetzliche Erben der zweiten Ordnung sind die Eltern des Erblassers und deren Abkömmlinge.</w:t>
      </w:r>
    </w:p>
    <w:p>
      <w:r>
        <w:t>(2) Leben zur Zeit des Erbfalls die Eltern, so erben sie allein und zu gleichen Teilen.</w:t>
      </w:r>
    </w:p>
    <w:p>
      <w:r>
        <w:t xml:space="preserve">(3) </w:t>
      </w:r>
      <w:r>
        <w:rPr>
          <w:rStyle w:val="Satznummer"/>
        </w:rPr>
        <w:t>1</w:t>
      </w:r>
      <w:r>
        <w:t xml:space="preserve">Lebt zur Zeit des Erbfalls der Vater oder die Mutter nicht mehr, so treten an die Stelle des Verstorbenen dessen Abkömmlinge nach den für die Beerbung in der ersten Ordnung geltenden Vorschriften. </w:t>
      </w:r>
      <w:r>
        <w:rPr>
          <w:rStyle w:val="Satznummer"/>
        </w:rPr>
        <w:t>2</w:t>
      </w:r>
      <w:r>
        <w:t>Sind Abkömmlinge nicht vorhanden, so erbt der überlebende Teil allein.</w:t>
      </w:r>
    </w:p>
    <w:p>
      <w:r>
        <w:t xml:space="preserve">(4) In den Fällen des </w:t>
      </w:r>
      <w:hyperlink w:anchor="b2192" w:history="1">
        <w:r>
          <w:rPr>
            <w:color w:val="0A3A8C"/>
            <w:u w:val="single"/>
          </w:rPr>
          <w:t xml:space="preserve">§ 1756</w:t>
        </w:r>
      </w:hyperlink>
      <w:r>
        <w:t xml:space="preserve"> sind das angenommene Kind und die Abkömmlinge der leiblichen Eltern oder des anderen Elternteils des Kindes im Verhältnis zueinander nicht Erben der zweiten Ordnung.</w:t>
      </w:r>
    </w:p>
    <w:p>
      <w:pPr>
        <w:pStyle w:val="Heading3"/>
      </w:pPr>
      <w:bookmarkStart w:id="2380" w:name="b2365"/>
      <w:r>
        <w:t>§ 1926 Gesetzliche Erben dritter Ordnung</w:t>
      </w:r>
      <w:r>
        <w:t xml:space="preserve"> </w:t>
      </w:r>
      <w:r>
        <w:rPr>
          <w:rStyle w:val="Suchmarke"/>
        </w:rPr>
        <w:t>#1926#</w:t>
      </w:r>
      <w:bookmarkEnd w:id="2380"/>
    </w:p>
    <w:p>
      <w:r>
        <w:t>(1) Gesetzliche Erben der dritten Ordnung sind die Großeltern des Erblassers und deren Abkömmlinge.</w:t>
      </w:r>
    </w:p>
    <w:p>
      <w:r>
        <w:t>(2) Leben zur Zeit des Erbfalls die Großeltern, so erben sie allein und zu gleichen Teilen.</w:t>
      </w:r>
    </w:p>
    <w:p>
      <w:r>
        <w:t xml:space="preserve">(3) </w:t>
      </w:r>
      <w:r>
        <w:rPr>
          <w:rStyle w:val="Satznummer"/>
        </w:rPr>
        <w:t>1</w:t>
      </w:r>
      <w:r>
        <w:t xml:space="preserve">Lebt zur Zeit des Erbfalls von einem Großelternpaar der Großvater oder die Großmutter nicht mehr, so treten an die Stelle des Verstorbenen dessen Abkömmlinge. </w:t>
      </w:r>
      <w:r>
        <w:rPr>
          <w:rStyle w:val="Satznummer"/>
        </w:rPr>
        <w:t>2</w:t>
      </w:r>
      <w:r>
        <w:t>Sind Abkömmlinge nicht vorhanden, so fällt der Anteil des Verstorbenen dem anderen Teil des Großelternpaars und, wenn dieser nicht mehr lebt, dessen Abkömmlingen zu.</w:t>
      </w:r>
    </w:p>
    <w:p>
      <w:r>
        <w:t>(4) Lebt zur Zeit des Erbfalls ein Großelternpaar nicht mehr und sind Abkömmlinge der Verstorbenen nicht vorhanden, so erben die anderen Großeltern oder ihre Abkömmlinge allein.</w:t>
      </w:r>
    </w:p>
    <w:p>
      <w:r>
        <w:t>(5) Soweit Abkömmlinge an die Stelle ihrer Eltern oder ihrer Voreltern treten, finden die für die Beerbung in der ersten Ordnung geltenden Vorschriften Anwendung.</w:t>
      </w:r>
    </w:p>
    <w:p>
      <w:pPr>
        <w:pStyle w:val="Heading3"/>
      </w:pPr>
      <w:bookmarkStart w:id="2381" w:name="b2366"/>
      <w:r>
        <w:t>§ 1927 Mehrere Erbteile bei mehrfacher Verwandtschaft</w:t>
      </w:r>
      <w:r>
        <w:t xml:space="preserve"> </w:t>
      </w:r>
      <w:r>
        <w:rPr>
          <w:rStyle w:val="Suchmarke"/>
        </w:rPr>
        <w:t>#1927#</w:t>
      </w:r>
      <w:bookmarkEnd w:id="2381"/>
    </w:p>
    <w:p>
      <w:r>
        <w:rPr>
          <w:rStyle w:val="Satznummer"/>
        </w:rPr>
        <w:t>1</w:t>
      </w:r>
      <w:r>
        <w:t xml:space="preserve">Wer in der ersten, der zweiten oder der dritten Ordnung verschiedenen Stämmen angehört, erhält den in jedem dieser Stämme ihm zufallenden Anteil. </w:t>
      </w:r>
      <w:r>
        <w:rPr>
          <w:rStyle w:val="Satznummer"/>
        </w:rPr>
        <w:t>2</w:t>
      </w:r>
      <w:r>
        <w:t>Jeder Anteil gilt als besonderer Erbteil.</w:t>
      </w:r>
    </w:p>
    <w:p>
      <w:pPr>
        <w:pStyle w:val="Heading3"/>
      </w:pPr>
      <w:bookmarkStart w:id="2382" w:name="b2367"/>
      <w:r>
        <w:t>§ 1928 Gesetzliche Erben vierter Ordnung</w:t>
      </w:r>
      <w:r>
        <w:t xml:space="preserve"> </w:t>
      </w:r>
      <w:r>
        <w:rPr>
          <w:rStyle w:val="Suchmarke"/>
        </w:rPr>
        <w:t>#1928#</w:t>
      </w:r>
      <w:bookmarkEnd w:id="2382"/>
    </w:p>
    <w:p>
      <w:r>
        <w:t>(1) Gesetzliche Erben der vierten Ordnung sind die Urgroßeltern des Erblassers und deren Abkömmlinge.</w:t>
      </w:r>
    </w:p>
    <w:p>
      <w:r>
        <w:t>(2) Leben zur Zeit des Erbfalls Urgroßeltern, so erben sie allein; mehrere erben zu gleichen Teilen, ohne Unterschied, ob sie derselben Linie oder verschiedenen Linien angehören.</w:t>
      </w:r>
    </w:p>
    <w:p>
      <w:r>
        <w:t>(3) Leben zur Zeit des Erbfalls Urgroßeltern nicht mehr, so erbt von ihren Abkömmlingen derjenige, welcher mit dem Erblasser dem Grade nach am nächsten verwandt ist; mehrere gleich nahe Verwandte erben zu gleichen Teilen.</w:t>
      </w:r>
    </w:p>
    <w:p>
      <w:pPr>
        <w:pStyle w:val="Heading3"/>
      </w:pPr>
      <w:bookmarkStart w:id="2383" w:name="b2368"/>
      <w:r>
        <w:t>§ 1929 Fernere Ordnungen</w:t>
      </w:r>
      <w:r>
        <w:t xml:space="preserve"> </w:t>
      </w:r>
      <w:r>
        <w:rPr>
          <w:rStyle w:val="Suchmarke"/>
        </w:rPr>
        <w:t>#1929#</w:t>
      </w:r>
      <w:bookmarkEnd w:id="2383"/>
    </w:p>
    <w:p>
      <w:r>
        <w:t>(1) Gesetzliche Erben der fünften Ordnung und der ferneren Ordnungen sind die entfernteren Voreltern des Erblassers und deren Abkömmlinge.</w:t>
      </w:r>
    </w:p>
    <w:p>
      <w:r>
        <w:t xml:space="preserve">(2) Die Vorschrift des </w:t>
      </w:r>
      <w:hyperlink w:anchor="b2367" w:history="1">
        <w:r>
          <w:rPr>
            <w:color w:val="0A3A8C"/>
            <w:u w:val="single"/>
          </w:rPr>
          <w:t xml:space="preserve">§ 1928</w:t>
        </w:r>
      </w:hyperlink>
      <w:r>
        <w:t xml:space="preserve"> Abs. 2, 3 findet entsprechende Anwendung.</w:t>
      </w:r>
    </w:p>
    <w:p>
      <w:pPr>
        <w:pStyle w:val="Heading3"/>
      </w:pPr>
      <w:bookmarkStart w:id="2384" w:name="b2369"/>
      <w:r>
        <w:t>§ 1930 Rangfolge der Ordnungen</w:t>
      </w:r>
      <w:r>
        <w:t xml:space="preserve"> </w:t>
      </w:r>
      <w:r>
        <w:rPr>
          <w:rStyle w:val="Suchmarke"/>
        </w:rPr>
        <w:t>#1930#</w:t>
      </w:r>
      <w:bookmarkEnd w:id="2384"/>
    </w:p>
    <w:p>
      <w:r>
        <w:t>Ein Verwandter ist nicht zur Erbfolge berufen, solange ein Verwandter einer vorhergehenden Ordnung vorhanden ist.</w:t>
      </w:r>
    </w:p>
    <w:p>
      <w:pPr>
        <w:pStyle w:val="Heading3"/>
      </w:pPr>
      <w:bookmarkStart w:id="2385" w:name="b2370"/>
      <w:r>
        <w:t>§ 1931 Gesetzliches Erbrecht des Ehegatten</w:t>
      </w:r>
      <w:r>
        <w:t xml:space="preserve"> </w:t>
      </w:r>
      <w:r>
        <w:rPr>
          <w:rStyle w:val="Suchmarke"/>
        </w:rPr>
        <w:t>#1931#</w:t>
      </w:r>
      <w:bookmarkEnd w:id="2385"/>
    </w:p>
    <w:p>
      <w:r>
        <w:t xml:space="preserve">(1) </w:t>
      </w:r>
      <w:r>
        <w:rPr>
          <w:rStyle w:val="Satznummer"/>
        </w:rPr>
        <w:t>1</w:t>
      </w:r>
      <w:r>
        <w:t xml:space="preserve">Der überlebende Ehegatte des Erblassers ist neben Verwandten der ersten Ordnung zu einem Viertel, neben Verwandten der zweiten Ordnung oder neben Großeltern zur Hälfte der Erbschaft als gesetzlicher Erbe berufen. </w:t>
      </w:r>
      <w:r>
        <w:rPr>
          <w:rStyle w:val="Satznummer"/>
        </w:rPr>
        <w:t>2</w:t>
      </w:r>
      <w:r>
        <w:t>Treffen mit Großeltern Abkömmlinge von Großeltern zusammen, so erhält der Ehegatte auch von der anderen Hälfte den Anteil, der nach § 1926 den Abkömmlingen zufallen würde.</w:t>
      </w:r>
    </w:p>
    <w:p>
      <w:r>
        <w:t>(2) Sind weder Verwandte der ersten oder der zweiten Ordnung noch Großeltern vorhanden, so erhält der überlebende Ehegatte die ganze Erbschaft.</w:t>
      </w:r>
    </w:p>
    <w:p>
      <w:r>
        <w:t xml:space="preserve">(3) Die Vorschrift des </w:t>
      </w:r>
      <w:hyperlink w:anchor="b1839" w:history="1">
        <w:r>
          <w:rPr>
            <w:color w:val="0A3A8C"/>
            <w:u w:val="single"/>
          </w:rPr>
          <w:t xml:space="preserve">§ 1371</w:t>
        </w:r>
      </w:hyperlink>
      <w:r>
        <w:t xml:space="preserve"> bleibt unberührt.</w:t>
      </w:r>
    </w:p>
    <w:p>
      <w:r>
        <w:t xml:space="preserve">(4) Bestand beim Erbfall Gütertrennung und sind als gesetzliche Erben neben dem überlebenden Ehegatten ein oder zwei Kinder des Erblassers berufen, so erben der überlebende Ehegatte und jedes Kind zu gleichen Teilen; </w:t>
      </w:r>
      <w:hyperlink w:anchor="b2363" w:history="1">
        <w:r>
          <w:rPr>
            <w:color w:val="0A3A8C"/>
            <w:u w:val="single"/>
          </w:rPr>
          <w:t xml:space="preserve">§ 1924</w:t>
        </w:r>
      </w:hyperlink>
      <w:r>
        <w:t xml:space="preserve"> Abs. 3 gilt auch in diesem Falle.</w:t>
      </w:r>
    </w:p>
    <w:p>
      <w:pPr>
        <w:pStyle w:val="Heading3"/>
      </w:pPr>
      <w:bookmarkStart w:id="2386" w:name="b2371"/>
      <w:r>
        <w:t>§ 1932 Voraus des Ehegatten</w:t>
      </w:r>
      <w:r>
        <w:t xml:space="preserve"> </w:t>
      </w:r>
      <w:r>
        <w:rPr>
          <w:rStyle w:val="Suchmarke"/>
        </w:rPr>
        <w:t>#1932#</w:t>
      </w:r>
      <w:bookmarkEnd w:id="2386"/>
    </w:p>
    <w:p>
      <w:r>
        <w:t xml:space="preserve">(1) </w:t>
      </w:r>
      <w:r>
        <w:rPr>
          <w:rStyle w:val="Satznummer"/>
        </w:rPr>
        <w:t>1</w:t>
      </w:r>
      <w:r>
        <w:t xml:space="preserve">Ist der überlebende Ehegatte neben Verwandten der zweiten Ordnung oder neben Großeltern gesetzlicher Erbe, so gebühren ihm außer dem Erbteil die zum ehelichen Haushalt gehörenden Gegenstände, soweit sie nicht Zubehör eines Grundstücks sind, und die Hochzeitsgeschenke als Voraus. </w:t>
      </w:r>
      <w:r>
        <w:rPr>
          <w:rStyle w:val="Satznummer"/>
        </w:rPr>
        <w:t>2</w:t>
      </w:r>
      <w:r>
        <w:t>Ist der überlebende Ehegatte neben Verwandten der ersten Ordnung gesetzlicher Erbe, so gebühren ihm diese Gegenstände, soweit er sie zur Führung eines angemessenen Haushalts benötigt.</w:t>
      </w:r>
    </w:p>
    <w:p>
      <w:r>
        <w:t>(2) Auf den Voraus sind die für Vermächtnisse geltenden Vorschriften anzuwenden.</w:t>
      </w:r>
    </w:p>
    <w:p>
      <w:pPr>
        <w:pStyle w:val="Heading3"/>
      </w:pPr>
      <w:bookmarkStart w:id="2387" w:name="b2372"/>
      <w:r>
        <w:t>§ 1933 Ausschluss des Ehegattenerbrechts</w:t>
      </w:r>
      <w:r>
        <w:t xml:space="preserve"> </w:t>
      </w:r>
      <w:r>
        <w:rPr>
          <w:rStyle w:val="Suchmarke"/>
        </w:rPr>
        <w:t>#1933#</w:t>
      </w:r>
      <w:bookmarkEnd w:id="2387"/>
    </w:p>
    <w:p>
      <w:r>
        <w:rPr>
          <w:rStyle w:val="Satznummer"/>
        </w:rPr>
        <w:t>1</w:t>
      </w:r>
      <w:r>
        <w:t xml:space="preserve">Das Erbrecht des überlebenden Ehegatten sowie das Recht auf den Voraus ist ausgeschlossen, wenn zur Zeit des Todes des Erblassers die Voraussetzungen für die Scheidung der Ehe gegeben waren und der Erblasser die Scheidung beantragt oder ihr zugestimmt hatte. </w:t>
      </w:r>
      <w:r>
        <w:rPr>
          <w:rStyle w:val="Satznummer"/>
        </w:rPr>
        <w:t>2</w:t>
      </w:r>
      <w:r>
        <w:t xml:space="preserve">Das Gleiche gilt, wenn der Erblasser berechtigt war, die Aufhebung der Ehe zu beantragen, und den Antrag gestellt hatte. </w:t>
      </w:r>
      <w:r>
        <w:rPr>
          <w:rStyle w:val="Satznummer"/>
        </w:rPr>
        <w:t>3</w:t>
      </w:r>
      <w:r>
        <w:t xml:space="preserve">In diesen Fällen ist der Ehegatte nach Maßgabe der </w:t>
      </w:r>
      <w:hyperlink w:anchor="b1996" w:history="1">
        <w:r>
          <w:rPr>
            <w:color w:val="0A3A8C"/>
            <w:u w:val="single"/>
          </w:rPr>
          <w:t xml:space="preserve">§§ 1569</w:t>
        </w:r>
      </w:hyperlink>
      <w:r>
        <w:t xml:space="preserve"> bis </w:t>
      </w:r>
      <w:hyperlink w:anchor="b2024" w:history="1">
        <w:r>
          <w:rPr>
            <w:color w:val="0A3A8C"/>
            <w:u w:val="single"/>
          </w:rPr>
          <w:t xml:space="preserve">1586b</w:t>
        </w:r>
      </w:hyperlink>
      <w:r>
        <w:t xml:space="preserve"> unterhaltsberechtigt.</w:t>
      </w:r>
    </w:p>
    <w:p>
      <w:pPr>
        <w:pStyle w:val="Heading3"/>
      </w:pPr>
      <w:bookmarkStart w:id="2388" w:name="b2373"/>
      <w:r>
        <w:t>§ 1934 Erbrecht des verwandten Ehegatten</w:t>
      </w:r>
      <w:r>
        <w:t xml:space="preserve"> </w:t>
      </w:r>
      <w:r>
        <w:rPr>
          <w:rStyle w:val="Suchmarke"/>
        </w:rPr>
        <w:t>#1934#</w:t>
      </w:r>
      <w:bookmarkEnd w:id="2388"/>
    </w:p>
    <w:p>
      <w:r>
        <w:rPr>
          <w:rStyle w:val="Satznummer"/>
        </w:rPr>
        <w:t>1</w:t>
      </w:r>
      <w:r>
        <w:t xml:space="preserve">Gehört der überlebende Ehegatte zu den erbberechtigten Verwandten, so erbt er zugleich als Verwandter. </w:t>
      </w:r>
      <w:r>
        <w:rPr>
          <w:rStyle w:val="Satznummer"/>
        </w:rPr>
        <w:t>2</w:t>
      </w:r>
      <w:r>
        <w:t>Der Erbteil, der ihm auf Grund der Verwandtschaft zufällt, gilt als besonderer Erbteil.</w:t>
      </w:r>
    </w:p>
    <w:p>
      <w:pPr>
        <w:pStyle w:val="Heading3"/>
      </w:pPr>
      <w:bookmarkStart w:id="2389" w:name="b2374"/>
      <w:r>
        <w:t>§ 1935 Folgen der Erbteilserhöhung</w:t>
      </w:r>
      <w:r>
        <w:t xml:space="preserve"> </w:t>
      </w:r>
      <w:r>
        <w:rPr>
          <w:rStyle w:val="Suchmarke"/>
        </w:rPr>
        <w:t>#1935#</w:t>
      </w:r>
      <w:bookmarkEnd w:id="2389"/>
    </w:p>
    <w:p>
      <w:r>
        <w:t>Fällt ein gesetzlicher Erbe vor oder nach dem Erbfall weg und erhöht sich infolgedessen der Erbteil eines anderen gesetzlichen Erben, so gilt der Teil, um welchen sich der Erbteil erhöht, in Ansehung der Vermächtnisse und Auflagen, mit denen dieser Erbe oder der wegfallende Erbe beschwert ist, sowie in Ansehung der Ausgleichungspflicht als besonderer Erbteil.</w:t>
      </w:r>
    </w:p>
    <w:p>
      <w:pPr>
        <w:pStyle w:val="Heading3"/>
      </w:pPr>
      <w:bookmarkStart w:id="2390" w:name="b2375"/>
      <w:r>
        <w:t>§ 1936 Gesetzliches Erbrecht des Staates</w:t>
      </w:r>
      <w:r>
        <w:t xml:space="preserve"> </w:t>
      </w:r>
      <w:r>
        <w:rPr>
          <w:rStyle w:val="Suchmarke"/>
        </w:rPr>
        <w:t>#1936#</w:t>
      </w:r>
      <w:bookmarkEnd w:id="2390"/>
    </w:p>
    <w:p>
      <w:r>
        <w:rPr>
          <w:rStyle w:val="Satznummer"/>
        </w:rPr>
        <w:t>1</w:t>
      </w:r>
      <w:r>
        <w:t xml:space="preserve">Ist zur Zeit des Erbfalls kein Verwandter, Ehegatte oder Lebenspartner des Erblassers vorhanden, erbt das Land, in dem der Erblasser zur Zeit des Erbfalls seinen letzten Wohnsitz oder, wenn ein solcher nicht feststellbar ist, seinen gewöhnlichen Aufenthalt hatte. </w:t>
      </w:r>
      <w:r>
        <w:rPr>
          <w:rStyle w:val="Satznummer"/>
        </w:rPr>
        <w:t>2</w:t>
      </w:r>
      <w:r>
        <w:t>Im Übrigen erbt der Bund.</w:t>
      </w:r>
    </w:p>
    <w:p>
      <w:pPr>
        <w:pStyle w:val="Heading3"/>
      </w:pPr>
      <w:bookmarkStart w:id="2391" w:name="b2376"/>
      <w:r>
        <w:t>§ 1937 Erbeinsetzung durch letztwillige Verfügung</w:t>
      </w:r>
      <w:r>
        <w:t xml:space="preserve"> </w:t>
      </w:r>
      <w:r>
        <w:rPr>
          <w:rStyle w:val="Suchmarke"/>
        </w:rPr>
        <w:t>#1937#</w:t>
      </w:r>
      <w:bookmarkEnd w:id="2391"/>
    </w:p>
    <w:p>
      <w:r>
        <w:t>Der Erblasser kann durch einseitige Verfügung von Todes wegen (Testament, letztwillige Verfügung) den Erben bestimmen.</w:t>
      </w:r>
    </w:p>
    <w:p>
      <w:pPr>
        <w:pStyle w:val="Heading3"/>
      </w:pPr>
      <w:bookmarkStart w:id="2392" w:name="b2377"/>
      <w:r>
        <w:t>§ 1938 Enterbung ohne Erbeinsetzung</w:t>
      </w:r>
      <w:r>
        <w:t xml:space="preserve"> </w:t>
      </w:r>
      <w:r>
        <w:rPr>
          <w:rStyle w:val="Suchmarke"/>
        </w:rPr>
        <w:t>#1938#</w:t>
      </w:r>
      <w:bookmarkEnd w:id="2392"/>
    </w:p>
    <w:p>
      <w:r>
        <w:t>Der Erblasser kann durch Testament einen Verwandten, den Ehegatten oder den Lebenspartner von der gesetzlichen Erbfolge ausschließen, ohne einen Erben einzusetzen.</w:t>
      </w:r>
    </w:p>
    <w:p>
      <w:pPr>
        <w:pStyle w:val="Heading3"/>
      </w:pPr>
      <w:bookmarkStart w:id="2393" w:name="b2378"/>
      <w:r>
        <w:t>§ 1939 Vermächtnis</w:t>
      </w:r>
      <w:r>
        <w:t xml:space="preserve"> </w:t>
      </w:r>
      <w:r>
        <w:rPr>
          <w:rStyle w:val="Suchmarke"/>
        </w:rPr>
        <w:t>#1939#</w:t>
      </w:r>
      <w:bookmarkEnd w:id="2393"/>
    </w:p>
    <w:p>
      <w:r>
        <w:t>Der Erblasser kann durch Testament einem anderen, ohne ihn als Erben einzusetzen, einen Vermögensvorteil zuwenden (Vermächtnis).</w:t>
      </w:r>
    </w:p>
    <w:p>
      <w:pPr>
        <w:pStyle w:val="Heading3"/>
      </w:pPr>
      <w:bookmarkStart w:id="2394" w:name="b2379"/>
      <w:r>
        <w:t>§ 1940 Auflage</w:t>
      </w:r>
      <w:r>
        <w:t xml:space="preserve"> </w:t>
      </w:r>
      <w:r>
        <w:rPr>
          <w:rStyle w:val="Suchmarke"/>
        </w:rPr>
        <w:t>#1940#</w:t>
      </w:r>
      <w:bookmarkEnd w:id="2394"/>
    </w:p>
    <w:p>
      <w:r>
        <w:t>Der Erblasser kann durch Testament den Erben oder einen Vermächtnisnehmer zu einer Leistung verpflichten, ohne einem anderen ein Recht auf die Leistung zuzuwenden (Auflage).</w:t>
      </w:r>
    </w:p>
    <w:p>
      <w:pPr>
        <w:pStyle w:val="Heading3"/>
      </w:pPr>
      <w:bookmarkStart w:id="2395" w:name="b2380"/>
      <w:r>
        <w:t>§ 1941 Erbvertrag</w:t>
      </w:r>
      <w:r>
        <w:t xml:space="preserve"> </w:t>
      </w:r>
      <w:r>
        <w:rPr>
          <w:rStyle w:val="Suchmarke"/>
        </w:rPr>
        <w:t>#1941#</w:t>
      </w:r>
      <w:bookmarkEnd w:id="2395"/>
    </w:p>
    <w:p>
      <w:r>
        <w:t>(1) Der Erblasser kann durch Vertrag einen Erben einsetzen, Vermächtnisse und Auflagen anordnen sowie das anzuwendende Erbrecht wählen (Erbvertrag).</w:t>
      </w:r>
    </w:p>
    <w:p>
      <w:r>
        <w:t>(2) Als Erbe (Vertragserbe) oder als Vermächtnisnehmer kann sowohl der andere Vertragschließende als ein Dritter bedacht werden.</w:t>
      </w:r>
    </w:p>
    <w:p>
      <w:pPr>
        <w:pStyle w:val="Heading2"/>
      </w:pPr>
      <w:bookmarkStart w:id="2396" w:name="b2381"/>
      <w:r>
        <w:t>Abschnitt 2 Rechtliche Stellung des Erben</w:t>
      </w:r>
      <w:bookmarkEnd w:id="2396"/>
    </w:p>
    <w:p>
      <w:pPr>
        <w:pStyle w:val="Heading3"/>
      </w:pPr>
      <w:bookmarkStart w:id="2397" w:name="b2382"/>
      <w:r>
        <w:t>Titel 1 Annahme und Ausschlagung der Erbschaft, Fürsorge des Nachlassgerichts</w:t>
      </w:r>
      <w:bookmarkEnd w:id="2397"/>
    </w:p>
    <w:p>
      <w:pPr>
        <w:pStyle w:val="Heading4"/>
      </w:pPr>
      <w:bookmarkStart w:id="2398" w:name="b2383"/>
      <w:r>
        <w:t>§ 1942 Anfall und Ausschlagung der Erbschaft</w:t>
      </w:r>
      <w:r>
        <w:t xml:space="preserve"> </w:t>
      </w:r>
      <w:r>
        <w:rPr>
          <w:rStyle w:val="Suchmarke"/>
        </w:rPr>
        <w:t>#1942#</w:t>
      </w:r>
      <w:bookmarkEnd w:id="2398"/>
    </w:p>
    <w:p>
      <w:r>
        <w:t>(1) Die Erbschaft geht auf den berufenen Erben unbeschadet des Rechts über, sie auszuschlagen (Anfall der Erbschaft).</w:t>
      </w:r>
    </w:p>
    <w:p>
      <w:r>
        <w:t>(2) Der Fiskus kann die ihm als gesetzlichem Erben angefallene Erbschaft nicht ausschlagen.</w:t>
      </w:r>
    </w:p>
    <w:p>
      <w:pPr>
        <w:pStyle w:val="Heading4"/>
      </w:pPr>
      <w:bookmarkStart w:id="2399" w:name="b2384"/>
      <w:r>
        <w:t>§ 1943 Annahme und Ausschlagung der Erbschaft</w:t>
      </w:r>
      <w:r>
        <w:t xml:space="preserve"> </w:t>
      </w:r>
      <w:r>
        <w:rPr>
          <w:rStyle w:val="Suchmarke"/>
        </w:rPr>
        <w:t>#1943#</w:t>
      </w:r>
      <w:bookmarkEnd w:id="2399"/>
    </w:p>
    <w:p>
      <w:r>
        <w:t>Der Erbe kann die Erbschaft nicht mehr ausschlagen, wenn er sie angenommen hat oder wenn die für die Ausschlagung vorgeschriebene Frist verstrichen ist; mit dem Ablauf der Frist gilt die Erbschaft als angenommen.</w:t>
      </w:r>
    </w:p>
    <w:p>
      <w:pPr>
        <w:pStyle w:val="Heading4"/>
      </w:pPr>
      <w:bookmarkStart w:id="2400" w:name="b2385"/>
      <w:r>
        <w:t>§ 1944 Ausschlagungsfrist</w:t>
      </w:r>
      <w:r>
        <w:t xml:space="preserve"> </w:t>
      </w:r>
      <w:r>
        <w:rPr>
          <w:rStyle w:val="Suchmarke"/>
        </w:rPr>
        <w:t>#1944#</w:t>
      </w:r>
      <w:bookmarkEnd w:id="2400"/>
    </w:p>
    <w:p>
      <w:r>
        <w:t>(1) Die Ausschlagung kann nur binnen sechs Wochen erfolgen.</w:t>
      </w:r>
    </w:p>
    <w:p>
      <w:r>
        <w:t xml:space="preserve">(2) </w:t>
      </w:r>
      <w:r>
        <w:rPr>
          <w:rStyle w:val="Satznummer"/>
        </w:rPr>
        <w:t>1</w:t>
      </w:r>
      <w:r>
        <w:t xml:space="preserve">Die Frist beginnt mit dem Zeitpunkt, in welchem der Erbe von dem Anfall und dem Grunde der Berufung Kenntnis erlangt. </w:t>
      </w:r>
      <w:r>
        <w:rPr>
          <w:rStyle w:val="Satznummer"/>
        </w:rPr>
        <w:t>2</w:t>
      </w:r>
      <w:r>
        <w:t xml:space="preserve">Ist der Erbe durch Verfügung von Todes wegen berufen, beginnt die Frist nicht vor Bekanntgabe der Verfügung von Todes wegen durch das Nachlassgericht. </w:t>
      </w:r>
      <w:r>
        <w:rPr>
          <w:rStyle w:val="Satznummer"/>
        </w:rPr>
        <w:t>3</w:t>
      </w:r>
      <w:r>
        <w:t xml:space="preserve">Auf den Lauf der Frist finden die für die Verjährung geltenden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entsprechende Anwendung.</w:t>
      </w:r>
    </w:p>
    <w:p>
      <w:r>
        <w:t>(3) Die Frist beträgt sechs Monate, wenn der Erblasser seinen letzten Wohnsitz nur im Ausland gehabt hat oder wenn sich der Erbe bei dem Beginn der Frist im Ausland aufhält.</w:t>
      </w:r>
    </w:p>
    <w:p>
      <w:pPr>
        <w:pStyle w:val="Heading4"/>
      </w:pPr>
      <w:bookmarkStart w:id="2401" w:name="b2386"/>
      <w:r>
        <w:t>§ 1945 Form der Ausschlagung</w:t>
      </w:r>
      <w:r>
        <w:t xml:space="preserve"> </w:t>
      </w:r>
      <w:r>
        <w:rPr>
          <w:rStyle w:val="Suchmarke"/>
        </w:rPr>
        <w:t>#1945#</w:t>
      </w:r>
      <w:bookmarkEnd w:id="2401"/>
    </w:p>
    <w:p>
      <w:r>
        <w:t>(1) Die Ausschlagung erfolgt durch Erklärung gegenüber dem Nachlassgericht; die Erklärung ist zur Niederschrift des Nachlassgerichts oder in öffentlich beglaubigter Form abzugeben.</w:t>
      </w:r>
    </w:p>
    <w:p>
      <w:r>
        <w:t>(2) Die Niederschrift des Nachlassgerichts wird nach den Vorschriften des Beurkundungsgesetzes errichtet.</w:t>
      </w:r>
    </w:p>
    <w:p>
      <w:r>
        <w:t xml:space="preserve">(3) </w:t>
      </w:r>
      <w:r>
        <w:rPr>
          <w:rStyle w:val="Satznummer"/>
        </w:rPr>
        <w:t>1</w:t>
      </w:r>
      <w:r>
        <w:t xml:space="preserve">Ein Bevollmächtigter bedarf einer öffentlich beglaubigten Vollmacht. </w:t>
      </w:r>
      <w:r>
        <w:rPr>
          <w:rStyle w:val="Satznummer"/>
        </w:rPr>
        <w:t>2</w:t>
      </w:r>
      <w:r>
        <w:t xml:space="preserve">Die Vollmacht muss der Erklärung beigefügt oder innerhalb der Ausschlagungsfrist nachgebracht werden. </w:t>
      </w:r>
      <w:r>
        <w:rPr>
          <w:rStyle w:val="Satznummer"/>
        </w:rPr>
        <w:t>3</w:t>
      </w:r>
      <w:r>
        <w:t>Der Nachweis der Vollmacht kann auch durch beigefügte oder nachgebrachte notarielle Bescheinigung erfolgen.</w:t>
      </w:r>
    </w:p>
    <w:p>
      <w:pPr>
        <w:pStyle w:val="Heading4"/>
      </w:pPr>
      <w:bookmarkStart w:id="2402" w:name="b2387"/>
      <w:r>
        <w:t>§ 1946 Zeitpunkt für Annahme oder Ausschlagung</w:t>
      </w:r>
      <w:r>
        <w:t xml:space="preserve"> </w:t>
      </w:r>
      <w:r>
        <w:rPr>
          <w:rStyle w:val="Suchmarke"/>
        </w:rPr>
        <w:t>#1946#</w:t>
      </w:r>
      <w:bookmarkEnd w:id="2402"/>
    </w:p>
    <w:p>
      <w:r>
        <w:t>Der Erbe kann die Erbschaft annehmen oder ausschlagen, sobald der Erbfall eingetreten ist.</w:t>
      </w:r>
    </w:p>
    <w:p>
      <w:pPr>
        <w:pStyle w:val="Heading4"/>
      </w:pPr>
      <w:bookmarkStart w:id="2403" w:name="b2388"/>
      <w:r>
        <w:t>§ 1947 Bedingung und Zeitbestimmung</w:t>
      </w:r>
      <w:r>
        <w:t xml:space="preserve"> </w:t>
      </w:r>
      <w:r>
        <w:rPr>
          <w:rStyle w:val="Suchmarke"/>
        </w:rPr>
        <w:t>#1947#</w:t>
      </w:r>
      <w:bookmarkEnd w:id="2403"/>
    </w:p>
    <w:p>
      <w:r>
        <w:t>Die Annahme und die Ausschlagung können nicht unter einer Bedingung oder einer Zeitbestimmung erfolgen.</w:t>
      </w:r>
    </w:p>
    <w:p>
      <w:pPr>
        <w:pStyle w:val="Heading4"/>
      </w:pPr>
      <w:bookmarkStart w:id="2404" w:name="b2389"/>
      <w:r>
        <w:t>§ 1948 Mehrere Berufungsgründe</w:t>
      </w:r>
      <w:r>
        <w:t xml:space="preserve"> </w:t>
      </w:r>
      <w:r>
        <w:rPr>
          <w:rStyle w:val="Suchmarke"/>
        </w:rPr>
        <w:t>#1948#</w:t>
      </w:r>
      <w:bookmarkEnd w:id="2404"/>
    </w:p>
    <w:p>
      <w:r>
        <w:t>(1) Wer durch Verfügung von Todes wegen als Erbe berufen ist, kann, wenn er ohne die Verfügung als gesetzlicher Erbe berufen sein würde, die Erbschaft als eingesetzter Erbe ausschlagen und als gesetzlicher Erbe annehmen.</w:t>
      </w:r>
    </w:p>
    <w:p>
      <w:r>
        <w:t>(2) Wer durch Testament und durch Erbvertrag als Erbe berufen ist, kann die Erbschaft aus dem einen Berufungsgrund annehmen und aus dem anderen ausschlagen.</w:t>
      </w:r>
    </w:p>
    <w:p>
      <w:pPr>
        <w:pStyle w:val="Heading4"/>
      </w:pPr>
      <w:bookmarkStart w:id="2405" w:name="b2390"/>
      <w:r>
        <w:t>§ 1949 Irrtum über den Berufungsgrund</w:t>
      </w:r>
      <w:r>
        <w:t xml:space="preserve"> </w:t>
      </w:r>
      <w:r>
        <w:rPr>
          <w:rStyle w:val="Suchmarke"/>
        </w:rPr>
        <w:t>#1949#</w:t>
      </w:r>
      <w:bookmarkEnd w:id="2405"/>
    </w:p>
    <w:p>
      <w:r>
        <w:t>(1) Die Annahme gilt als nicht erfolgt, wenn der Erbe über den Berufungsgrund im Irrtum war.</w:t>
      </w:r>
    </w:p>
    <w:p>
      <w:r>
        <w:t>(2) Die Ausschlagung erstreckt sich im Zweifel auf alle Berufungsgründe, die dem Erben zur Zeit der Erklärung bekannt sind.</w:t>
      </w:r>
    </w:p>
    <w:p>
      <w:pPr>
        <w:pStyle w:val="Heading4"/>
      </w:pPr>
      <w:bookmarkStart w:id="2406" w:name="b2391"/>
      <w:r>
        <w:t>§ 1950 Teilannahme; Teilausschlagung</w:t>
      </w:r>
      <w:r>
        <w:t xml:space="preserve"> </w:t>
      </w:r>
      <w:r>
        <w:rPr>
          <w:rStyle w:val="Suchmarke"/>
        </w:rPr>
        <w:t>#1950#</w:t>
      </w:r>
      <w:bookmarkEnd w:id="2406"/>
    </w:p>
    <w:p>
      <w:r>
        <w:rPr>
          <w:rStyle w:val="Satznummer"/>
        </w:rPr>
        <w:t>1</w:t>
      </w:r>
      <w:r>
        <w:t xml:space="preserve">Die Annahme und die Ausschlagung können nicht auf einen Teil der Erbschaft beschränkt werden. </w:t>
      </w:r>
      <w:r>
        <w:rPr>
          <w:rStyle w:val="Satznummer"/>
        </w:rPr>
        <w:t>2</w:t>
      </w:r>
      <w:r>
        <w:t>Die Annahme oder Ausschlagung eines Teils ist unwirksam.</w:t>
      </w:r>
    </w:p>
    <w:p>
      <w:pPr>
        <w:pStyle w:val="Heading4"/>
      </w:pPr>
      <w:bookmarkStart w:id="2407" w:name="b2392"/>
      <w:r>
        <w:t>§ 1951 Mehrere Erbteile</w:t>
      </w:r>
      <w:r>
        <w:t xml:space="preserve"> </w:t>
      </w:r>
      <w:r>
        <w:rPr>
          <w:rStyle w:val="Suchmarke"/>
        </w:rPr>
        <w:t>#1951#</w:t>
      </w:r>
      <w:bookmarkEnd w:id="2407"/>
    </w:p>
    <w:p>
      <w:r>
        <w:t>(1) Wer zu mehreren Erbteilen berufen ist, kann, wenn die Berufung auf verschiedenen Gründen beruht, den einen Erbteil annehmen und den anderen ausschlagen.</w:t>
      </w:r>
    </w:p>
    <w:p>
      <w:r>
        <w:t xml:space="preserve">(2) </w:t>
      </w:r>
      <w:r>
        <w:rPr>
          <w:rStyle w:val="Satznummer"/>
        </w:rPr>
        <w:t>1</w:t>
      </w:r>
      <w:r>
        <w:t xml:space="preserve">Beruht die Berufung auf demselben Grund, so gilt die Annahme oder Ausschlagung des einen Erbteils auch für den anderen, selbst wenn der andere erst später anfällt. </w:t>
      </w:r>
      <w:r>
        <w:rPr>
          <w:rStyle w:val="Satznummer"/>
        </w:rPr>
        <w:t>2</w:t>
      </w:r>
      <w:r>
        <w:t>Die Berufung beruht auf demselben Grund auch dann, wenn sie in verschiedenen Testamenten oder vertragsmäßig in verschiedenen zwischen denselben Personen geschlossenen Erbverträgen angeordnet ist.</w:t>
      </w:r>
    </w:p>
    <w:p>
      <w:r>
        <w:t>(3) Setzt der Erblasser einen Erben auf mehrere Erbteile ein, so kann er ihm durch Verfügung von Todes wegen gestatten, den einen Erbteil anzunehmen und den anderen auszuschlagen.</w:t>
      </w:r>
    </w:p>
    <w:p>
      <w:pPr>
        <w:pStyle w:val="Heading4"/>
      </w:pPr>
      <w:bookmarkStart w:id="2408" w:name="b2393"/>
      <w:r>
        <w:t>§ 1952 Vererblichkeit des Ausschlagungsrechts</w:t>
      </w:r>
      <w:r>
        <w:t xml:space="preserve"> </w:t>
      </w:r>
      <w:r>
        <w:rPr>
          <w:rStyle w:val="Suchmarke"/>
        </w:rPr>
        <w:t>#1952#</w:t>
      </w:r>
      <w:bookmarkEnd w:id="2408"/>
    </w:p>
    <w:p>
      <w:r>
        <w:t>(1) Das Recht des Erben, die Erbschaft auszuschlagen, ist vererblich.</w:t>
      </w:r>
    </w:p>
    <w:p>
      <w:r>
        <w:t>(2) Stirbt der Erbe vor dem Ablauf der Ausschlagungsfrist, so endigt die Frist nicht vor dem Ablauf der für die Erbschaft des Erben vorgeschriebenen Ausschlagungsfrist.</w:t>
      </w:r>
    </w:p>
    <w:p>
      <w:r>
        <w:t>(3) Von mehreren Erben des Erben kann jeder den seinem Erbteil entsprechenden Teil der Erbschaft ausschlagen.</w:t>
      </w:r>
    </w:p>
    <w:p>
      <w:pPr>
        <w:pStyle w:val="Heading4"/>
      </w:pPr>
      <w:bookmarkStart w:id="2409" w:name="b2394"/>
      <w:r>
        <w:t>§ 1953 Wirkung der Ausschlagung</w:t>
      </w:r>
      <w:r>
        <w:t xml:space="preserve"> </w:t>
      </w:r>
      <w:r>
        <w:rPr>
          <w:rStyle w:val="Suchmarke"/>
        </w:rPr>
        <w:t>#1953#</w:t>
      </w:r>
      <w:bookmarkEnd w:id="2409"/>
    </w:p>
    <w:p>
      <w:r>
        <w:t>(1) Wird die Erbschaft ausgeschlagen, so gilt der Anfall an den Ausschlagenden als nicht erfolgt.</w:t>
      </w:r>
    </w:p>
    <w:p>
      <w:r>
        <w:t>(2) Die Erbschaft fällt demjenigen an, welcher berufen sein würde, wenn der Ausschlagende zur Zeit des Erbfalls nicht gelebt hätte; der Anfall gilt als mit dem Erbfall erfolgt.</w:t>
      </w:r>
    </w:p>
    <w:p>
      <w:r>
        <w:t xml:space="preserve">(3) </w:t>
      </w:r>
      <w:r>
        <w:rPr>
          <w:rStyle w:val="Satznummer"/>
        </w:rPr>
        <w:t>1</w:t>
      </w:r>
      <w:r>
        <w:t xml:space="preserve">Das Nachlassgericht soll die Ausschlagung demjenigen mitteilen, welchem die Erbschaft infolge der Ausschlagung angefallen ist. </w:t>
      </w:r>
      <w:r>
        <w:rPr>
          <w:rStyle w:val="Satznummer"/>
        </w:rPr>
        <w:t>2</w:t>
      </w:r>
      <w:r>
        <w:t>Es hat die Einsicht der Erklärung jedem zu gestatten, der ein rechtliches Interesse glaubhaft macht.</w:t>
      </w:r>
    </w:p>
    <w:p>
      <w:pPr>
        <w:pStyle w:val="Heading4"/>
      </w:pPr>
      <w:bookmarkStart w:id="2410" w:name="b2395"/>
      <w:r>
        <w:t>§ 1954 Anfechtungsfrist</w:t>
      </w:r>
      <w:r>
        <w:t xml:space="preserve"> </w:t>
      </w:r>
      <w:r>
        <w:rPr>
          <w:rStyle w:val="Suchmarke"/>
        </w:rPr>
        <w:t>#1954#</w:t>
      </w:r>
      <w:bookmarkEnd w:id="2410"/>
    </w:p>
    <w:p>
      <w:r>
        <w:t>(1) Ist die Annahme oder die Ausschlagung anfechtbar, so kann die Anfechtung nur binnen sechs Wochen erfolgen.</w:t>
      </w:r>
    </w:p>
    <w:p>
      <w:r>
        <w:t xml:space="preserve">(2) </w:t>
      </w:r>
      <w:r>
        <w:rPr>
          <w:rStyle w:val="Satznummer"/>
        </w:rPr>
        <w:t>1</w:t>
      </w:r>
      <w:r>
        <w:t xml:space="preserve">Die Frist beginnt im Falle der Anfechtbarkeit wegen Drohung mit dem Zeitpunkt, in welchem die Zwangslage aufhört, in den übrigen Fällen mit dem Zeitpunkt, in welchem der Anfechtungsberechtigte von dem Anfechtungsgrund Kenntnis erlangt. </w:t>
      </w:r>
      <w:r>
        <w:rPr>
          <w:rStyle w:val="Satznummer"/>
        </w:rPr>
        <w:t>2</w:t>
      </w:r>
      <w:r>
        <w:t xml:space="preserve">Auf den Lauf der Frist finden die für die Verjährung geltenden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w:t>
      </w:r>
      <w:hyperlink w:anchor="b251" w:history="1">
        <w:r>
          <w:rPr>
            <w:color w:val="0A3A8C"/>
            <w:u w:val="single"/>
          </w:rPr>
          <w:t xml:space="preserve">211</w:t>
        </w:r>
      </w:hyperlink>
      <w:r>
        <w:t xml:space="preserve"> entsprechende Anwendung.</w:t>
      </w:r>
    </w:p>
    <w:p>
      <w:r>
        <w:t>(3) Die Frist beträgt sechs Monate, wenn der Erblasser seinen letzten Wohnsitz nur im Ausland gehabt hat oder wenn sich der Erbe bei dem Beginn der Frist im Ausland aufhält.</w:t>
      </w:r>
    </w:p>
    <w:p>
      <w:r>
        <w:t>(4) Die Anfechtung ist ausgeschlossen, wenn seit der Annahme oder der Ausschlagung 30 Jahre verstrichen sind.</w:t>
      </w:r>
    </w:p>
    <w:p>
      <w:pPr>
        <w:pStyle w:val="Heading4"/>
      </w:pPr>
      <w:bookmarkStart w:id="2411" w:name="b2396"/>
      <w:r>
        <w:t>§ 1955 Form der Anfechtung</w:t>
      </w:r>
      <w:r>
        <w:t xml:space="preserve"> </w:t>
      </w:r>
      <w:r>
        <w:rPr>
          <w:rStyle w:val="Suchmarke"/>
        </w:rPr>
        <w:t>#1955#</w:t>
      </w:r>
      <w:bookmarkEnd w:id="2411"/>
    </w:p>
    <w:p>
      <w:r>
        <w:rPr>
          <w:rStyle w:val="Satznummer"/>
        </w:rPr>
        <w:t>1</w:t>
      </w:r>
      <w:r>
        <w:t xml:space="preserve">Die Anfechtung der Annahme oder der Ausschlagung erfolgt durch Erklärung gegenüber dem Nachlassgericht. </w:t>
      </w:r>
      <w:r>
        <w:rPr>
          <w:rStyle w:val="Satznummer"/>
        </w:rPr>
        <w:t>2</w:t>
      </w:r>
      <w:r>
        <w:t xml:space="preserve">Für die Erklärung gelten die Vorschriften des </w:t>
      </w:r>
      <w:hyperlink w:anchor="b2386" w:history="1">
        <w:r>
          <w:rPr>
            <w:color w:val="0A3A8C"/>
            <w:u w:val="single"/>
          </w:rPr>
          <w:t xml:space="preserve">§ 1945</w:t>
        </w:r>
      </w:hyperlink>
      <w:r>
        <w:t>.</w:t>
      </w:r>
    </w:p>
    <w:p>
      <w:pPr>
        <w:pStyle w:val="Heading4"/>
      </w:pPr>
      <w:bookmarkStart w:id="2412" w:name="b2397"/>
      <w:r>
        <w:t>§ 1956 Anfechtung der Fristversäumung</w:t>
      </w:r>
      <w:r>
        <w:t xml:space="preserve"> </w:t>
      </w:r>
      <w:r>
        <w:rPr>
          <w:rStyle w:val="Suchmarke"/>
        </w:rPr>
        <w:t>#1956#</w:t>
      </w:r>
      <w:bookmarkEnd w:id="2412"/>
    </w:p>
    <w:p>
      <w:r>
        <w:t>Die Versäumung der Ausschlagungsfrist kann in gleicher Weise wie die Annahme angefochten werden.</w:t>
      </w:r>
    </w:p>
    <w:p>
      <w:pPr>
        <w:pStyle w:val="Heading4"/>
      </w:pPr>
      <w:bookmarkStart w:id="2413" w:name="b2398"/>
      <w:r>
        <w:t>§ 1957 Wirkung der Anfechtung</w:t>
      </w:r>
      <w:r>
        <w:t xml:space="preserve"> </w:t>
      </w:r>
      <w:r>
        <w:rPr>
          <w:rStyle w:val="Suchmarke"/>
        </w:rPr>
        <w:t>#1957#</w:t>
      </w:r>
      <w:bookmarkEnd w:id="2413"/>
    </w:p>
    <w:p>
      <w:r>
        <w:t>(1) Die Anfechtung der Annahme gilt als Ausschlagung, die Anfechtung der Ausschlagung gilt als Annahme.</w:t>
      </w:r>
    </w:p>
    <w:p>
      <w:r>
        <w:t xml:space="preserve">(2) </w:t>
      </w:r>
      <w:r>
        <w:rPr>
          <w:rStyle w:val="Satznummer"/>
        </w:rPr>
        <w:t>1</w:t>
      </w:r>
      <w:r>
        <w:t xml:space="preserve">Das Nachlassgericht soll die Anfechtung der Ausschlagung demjenigen mitteilen, welchem die Erbschaft infolge der Ausschlagung angefallen war. </w:t>
      </w:r>
      <w:r>
        <w:rPr>
          <w:rStyle w:val="Satznummer"/>
        </w:rPr>
        <w:t>2</w:t>
      </w:r>
      <w:r>
        <w:t xml:space="preserve">Die Vorschrift des </w:t>
      </w:r>
      <w:hyperlink w:anchor="b2394" w:history="1">
        <w:r>
          <w:rPr>
            <w:color w:val="0A3A8C"/>
            <w:u w:val="single"/>
          </w:rPr>
          <w:t xml:space="preserve">§ 1953</w:t>
        </w:r>
      </w:hyperlink>
      <w:r>
        <w:t xml:space="preserve"> Abs. 3 Satz 2 findet Anwendung.</w:t>
      </w:r>
    </w:p>
    <w:p>
      <w:pPr>
        <w:pStyle w:val="Heading4"/>
      </w:pPr>
      <w:bookmarkStart w:id="2414" w:name="b2399"/>
      <w:r>
        <w:t>§ 1958 Gerichtliche Geltendmachung von Ansprüchen gegen den Erben</w:t>
      </w:r>
      <w:r>
        <w:t xml:space="preserve"> </w:t>
      </w:r>
      <w:r>
        <w:rPr>
          <w:rStyle w:val="Suchmarke"/>
        </w:rPr>
        <w:t>#1958#</w:t>
      </w:r>
      <w:bookmarkEnd w:id="2414"/>
    </w:p>
    <w:p>
      <w:r>
        <w:t>Vor der Annahme der Erbschaft kann ein Anspruch, der sich gegen den Nachlass richtet, nicht gegen den Erben gerichtlich geltend gemacht werden.</w:t>
      </w:r>
    </w:p>
    <w:p>
      <w:pPr>
        <w:pStyle w:val="Heading4"/>
      </w:pPr>
      <w:bookmarkStart w:id="2415" w:name="b2400"/>
      <w:r>
        <w:t>§ 1959 Geschäftsführung vor der Ausschlagung</w:t>
      </w:r>
      <w:r>
        <w:t xml:space="preserve"> </w:t>
      </w:r>
      <w:r>
        <w:rPr>
          <w:rStyle w:val="Suchmarke"/>
        </w:rPr>
        <w:t>#1959#</w:t>
      </w:r>
      <w:bookmarkEnd w:id="2415"/>
    </w:p>
    <w:p>
      <w:r>
        <w:t>(1) Besorgt der Erbe vor der Ausschlagung erbschaftliche Geschäfte, so ist er demjenigen gegenüber, welcher Erbe wird, wie ein Geschäftsführer ohne Auftrag berechtigt und verpflichtet.</w:t>
      </w:r>
    </w:p>
    <w:p>
      <w:r>
        <w:t>(2) Verfügt der Erbe vor der Ausschlagung über einen Nachlassgegenstand, so wird die Wirksamkeit der Verfügung durch die Ausschlagung nicht berührt, wenn die Verfügung nicht ohne Nachteil für den Nachlass verschoben werden konnte.</w:t>
      </w:r>
    </w:p>
    <w:p>
      <w:r>
        <w:t>(3) Ein Rechtsgeschäft, das gegenüber dem Erben als solchem vorgenommen werden muss, bleibt, wenn es vor der Ausschlagung dem Ausschlagenden gegenüber vorgenommen wird, auch nach der Ausschlagung wirksam.</w:t>
      </w:r>
    </w:p>
    <w:p>
      <w:pPr>
        <w:pStyle w:val="Heading4"/>
      </w:pPr>
      <w:bookmarkStart w:id="2416" w:name="b2401"/>
      <w:r>
        <w:t>§ 1960 Sicherung des Nachlasses; Nachlasspfleger</w:t>
      </w:r>
      <w:r>
        <w:t xml:space="preserve"> </w:t>
      </w:r>
      <w:r>
        <w:rPr>
          <w:rStyle w:val="Suchmarke"/>
        </w:rPr>
        <w:t>#1960#</w:t>
      </w:r>
      <w:bookmarkEnd w:id="2416"/>
    </w:p>
    <w:p>
      <w:r>
        <w:t xml:space="preserve">(1) </w:t>
      </w:r>
      <w:r>
        <w:rPr>
          <w:rStyle w:val="Satznummer"/>
        </w:rPr>
        <w:t>1</w:t>
      </w:r>
      <w:r>
        <w:t xml:space="preserve">Bis zur Annahme der Erbschaft hat das Nachlassgericht für die Sicherung des Nachlasses zu sorgen, soweit ein Bedürfnis besteht. </w:t>
      </w:r>
      <w:r>
        <w:rPr>
          <w:rStyle w:val="Satznummer"/>
        </w:rPr>
        <w:t>2</w:t>
      </w:r>
      <w:r>
        <w:t>Das Gleiche gilt, wenn der Erbe unbekannt oder wenn ungewiss ist, ob er die Erbschaft angenommen hat.</w:t>
      </w:r>
    </w:p>
    <w:p>
      <w:r>
        <w:t>(2) Das Nachlassgericht kann insbesondere die Anlegung von Siegeln, die Hinterlegung von Geld, Wertpapieren und Kostbarkeiten sowie die Aufnahme eines Nachlassverzeichnisses anordnen und für denjenigen, welcher Erbe wird, einen Pfleger (Nachlasspfleger) bestellen.</w:t>
      </w:r>
    </w:p>
    <w:p>
      <w:r>
        <w:t xml:space="preserve">(3) Die Vorschrift des </w:t>
      </w:r>
      <w:hyperlink w:anchor="b2399" w:history="1">
        <w:r>
          <w:rPr>
            <w:color w:val="0A3A8C"/>
            <w:u w:val="single"/>
          </w:rPr>
          <w:t xml:space="preserve">§ 1958</w:t>
        </w:r>
      </w:hyperlink>
      <w:r>
        <w:t xml:space="preserve"> findet auf den Nachlasspfleger keine Anwendung.</w:t>
      </w:r>
    </w:p>
    <w:p>
      <w:pPr>
        <w:pStyle w:val="Heading4"/>
      </w:pPr>
      <w:bookmarkStart w:id="2417" w:name="b2402"/>
      <w:r>
        <w:t>§ 1961 Nachlasspflegschaft auf Antrag</w:t>
      </w:r>
      <w:r>
        <w:t xml:space="preserve"> </w:t>
      </w:r>
      <w:r>
        <w:rPr>
          <w:rStyle w:val="Suchmarke"/>
        </w:rPr>
        <w:t>#1961#</w:t>
      </w:r>
      <w:bookmarkEnd w:id="2417"/>
    </w:p>
    <w:p>
      <w:r>
        <w:t xml:space="preserve">Das Nachlassgericht hat in den Fällen des </w:t>
      </w:r>
      <w:hyperlink w:anchor="b2401" w:history="1">
        <w:r>
          <w:rPr>
            <w:color w:val="0A3A8C"/>
            <w:u w:val="single"/>
          </w:rPr>
          <w:t xml:space="preserve">§ 1960</w:t>
        </w:r>
      </w:hyperlink>
      <w:r>
        <w:t xml:space="preserve"> Abs. 1 einen Nachlasspfleger zu bestellen, wenn die Bestellung zum Zwecke der gerichtlichen Geltendmachung eines Anspruchs, der sich gegen den Nachlass richtet, von dem Berechtigten beantragt wird.</w:t>
      </w:r>
    </w:p>
    <w:p>
      <w:pPr>
        <w:pStyle w:val="Heading4"/>
      </w:pPr>
      <w:bookmarkStart w:id="2418" w:name="b2403"/>
      <w:r>
        <w:t>§ 1962 Zuständigkeit des Nachlassgerichts</w:t>
      </w:r>
      <w:r>
        <w:t xml:space="preserve"> </w:t>
      </w:r>
      <w:r>
        <w:rPr>
          <w:rStyle w:val="Suchmarke"/>
        </w:rPr>
        <w:t>#1962#</w:t>
      </w:r>
      <w:bookmarkEnd w:id="2418"/>
    </w:p>
    <w:p>
      <w:r>
        <w:t>Für die Nachlasspflegschaft tritt an die Stelle des Familiengerichts oder Betreuungsgerichts das Nachlassgericht.</w:t>
      </w:r>
    </w:p>
    <w:p>
      <w:pPr>
        <w:pStyle w:val="Heading4"/>
      </w:pPr>
      <w:bookmarkStart w:id="2419" w:name="b2404"/>
      <w:r>
        <w:t>§ 1963 Unterhalt der werdenden Mutter eines Erben</w:t>
      </w:r>
      <w:r>
        <w:t xml:space="preserve"> </w:t>
      </w:r>
      <w:r>
        <w:rPr>
          <w:rStyle w:val="Suchmarke"/>
        </w:rPr>
        <w:t>#1963#</w:t>
      </w:r>
      <w:bookmarkEnd w:id="2419"/>
    </w:p>
    <w:p>
      <w:r>
        <w:rPr>
          <w:rStyle w:val="Satznummer"/>
        </w:rPr>
        <w:t>1</w:t>
      </w:r>
      <w:r>
        <w:t xml:space="preserve">Ist zur Zeit des Erbfalls die Geburt eines Erben zu erwarten, so kann die Mutter, falls sie außerstande ist, sich selbst zu unterhalten, bis zur Entbindung angemessenen Unterhalt aus dem Nachlass oder, wenn noch andere Personen als Erben berufen sind, aus dem Erbteil des Kindes verlangen. </w:t>
      </w:r>
      <w:r>
        <w:rPr>
          <w:rStyle w:val="Satznummer"/>
        </w:rPr>
        <w:t>2</w:t>
      </w:r>
      <w:r>
        <w:t>Bei der Bemessung des Erbteils ist anzunehmen, dass nur ein Kind geboren wird.</w:t>
      </w:r>
    </w:p>
    <w:p>
      <w:pPr>
        <w:pStyle w:val="Heading4"/>
      </w:pPr>
      <w:bookmarkStart w:id="2420" w:name="b2405"/>
      <w:r>
        <w:t>§ 1964 Erbvermutung für den Fiskus durch Feststellung</w:t>
      </w:r>
      <w:r>
        <w:t xml:space="preserve"> </w:t>
      </w:r>
      <w:r>
        <w:rPr>
          <w:rStyle w:val="Suchmarke"/>
        </w:rPr>
        <w:t>#1964#</w:t>
      </w:r>
      <w:bookmarkEnd w:id="2420"/>
    </w:p>
    <w:p>
      <w:r>
        <w:t>(1) Wird der Erbe nicht innerhalb einer den Umständen entsprechenden Frist ermittelt, so hat das Nachlassgericht festzustellen, dass ein anderer Erbe als der Fiskus nicht vorhanden ist.</w:t>
      </w:r>
    </w:p>
    <w:p>
      <w:r>
        <w:t>(2) Die Feststellung begründet die Vermutung, dass der Fiskus gesetzlicher Erbe sei.</w:t>
      </w:r>
    </w:p>
    <w:p>
      <w:pPr>
        <w:pStyle w:val="Heading4"/>
      </w:pPr>
      <w:bookmarkStart w:id="2421" w:name="b2406"/>
      <w:r>
        <w:t>§ 1965 Öffentliche Aufforderung zur Anmeldung der Erbrechte</w:t>
      </w:r>
      <w:r>
        <w:t xml:space="preserve"> </w:t>
      </w:r>
      <w:r>
        <w:rPr>
          <w:rStyle w:val="Suchmarke"/>
        </w:rPr>
        <w:t>#1965#</w:t>
      </w:r>
      <w:bookmarkEnd w:id="2421"/>
    </w:p>
    <w:p>
      <w:r>
        <w:t xml:space="preserve">(1) </w:t>
      </w:r>
      <w:r>
        <w:rPr>
          <w:rStyle w:val="Satznummer"/>
        </w:rPr>
        <w:t>1</w:t>
      </w:r>
      <w:r>
        <w:t xml:space="preserve">Der Feststellung hat eine öffentliche Aufforderung zur Anmeldung der Erbrechte unter Bestimmung einer Anmeldungsfrist vorauszugehen; die Art der Bekanntmachung und die Dauer der Anmeldungsfrist bestimmen sich nach den für das Aufgebotsverfahren geltenden Vorschriften. </w:t>
      </w:r>
      <w:r>
        <w:rPr>
          <w:rStyle w:val="Satznummer"/>
        </w:rPr>
        <w:t>2</w:t>
      </w:r>
      <w:r>
        <w:t>Die Aufforderung darf unterbleiben, wenn die Kosten dem Bestand des Nachlasses gegenüber unverhältnismäßig groß sind.</w:t>
      </w:r>
    </w:p>
    <w:p>
      <w:r>
        <w:t xml:space="preserve">(2) </w:t>
      </w:r>
      <w:r>
        <w:rPr>
          <w:rStyle w:val="Satznummer"/>
        </w:rPr>
        <w:t>1</w:t>
      </w:r>
      <w:r>
        <w:t xml:space="preserve">Ein Erbrecht bleibt unberücksichtigt, wenn nicht dem Nachlassgericht binnen drei Monaten nach dem Ablauf der Anmeldungsfrist nachgewiesen wird, dass das Erbrecht besteht oder dass es gegen den Fiskus im Wege der Klage geltend gemacht ist. </w:t>
      </w:r>
      <w:r>
        <w:rPr>
          <w:rStyle w:val="Satznummer"/>
        </w:rPr>
        <w:t>2</w:t>
      </w:r>
      <w:r>
        <w:t>Ist eine öffentliche Aufforderung nicht ergangen, so beginnt die dreimonatige Frist mit der gerichtlichen Aufforderung, das Erbrecht oder die Erhebung der Klage nachzuweisen.</w:t>
      </w:r>
    </w:p>
    <w:p>
      <w:pPr>
        <w:pStyle w:val="Heading4"/>
      </w:pPr>
      <w:bookmarkStart w:id="2422" w:name="b2407"/>
      <w:r>
        <w:t>§ 1966 Rechtsstellung des Fiskus vor Feststellung</w:t>
      </w:r>
      <w:r>
        <w:t xml:space="preserve"> </w:t>
      </w:r>
      <w:r>
        <w:rPr>
          <w:rStyle w:val="Suchmarke"/>
        </w:rPr>
        <w:t>#1966#</w:t>
      </w:r>
      <w:bookmarkEnd w:id="2422"/>
    </w:p>
    <w:p>
      <w:r>
        <w:t>Von dem Fiskus als gesetzlichem Erben und gegen den Fiskus als gesetzlichen Erben kann ein Recht erst geltend gemacht werden, nachdem von dem Nachlassgericht festgestellt worden ist, dass ein anderer Erbe nicht vorhanden ist.</w:t>
      </w:r>
    </w:p>
    <w:p>
      <w:pPr>
        <w:pStyle w:val="Heading3"/>
      </w:pPr>
      <w:bookmarkStart w:id="2423" w:name="b2408"/>
      <w:r>
        <w:t>Titel 2 Haftung des Erben für die Nachlassverbindlichkeiten</w:t>
      </w:r>
      <w:bookmarkEnd w:id="2423"/>
    </w:p>
    <w:p>
      <w:pPr>
        <w:pStyle w:val="Heading4"/>
      </w:pPr>
      <w:bookmarkStart w:id="2424" w:name="b2409"/>
      <w:r>
        <w:t>Untertitel 1 Nachlassverbindlichkeiten</w:t>
      </w:r>
      <w:bookmarkEnd w:id="2424"/>
    </w:p>
    <w:p>
      <w:pPr>
        <w:pStyle w:val="Heading5"/>
      </w:pPr>
      <w:bookmarkStart w:id="2425" w:name="b2410"/>
      <w:r>
        <w:t>§ 1967 Erbenhaftung, Nachlassverbindlichkeiten</w:t>
      </w:r>
      <w:r>
        <w:t xml:space="preserve"> </w:t>
      </w:r>
      <w:r>
        <w:rPr>
          <w:rStyle w:val="Suchmarke"/>
        </w:rPr>
        <w:t>#1967#</w:t>
      </w:r>
      <w:bookmarkEnd w:id="2425"/>
    </w:p>
    <w:p>
      <w:r>
        <w:t>(1) Der Erbe haftet für die Nachlassverbindlichkeiten.</w:t>
      </w:r>
    </w:p>
    <w:p>
      <w:r>
        <w:t>(2) Zu den Nachlassverbindlichkeiten gehören außer den vom Erblasser herrührenden Schulden die den Erben als solchen treffenden Verbindlichkeiten, insbesondere die Verbindlichkeiten aus Pflichtteilsrechten, Vermächtnissen und Auflagen.</w:t>
      </w:r>
    </w:p>
    <w:p>
      <w:pPr>
        <w:pStyle w:val="Heading5"/>
      </w:pPr>
      <w:bookmarkStart w:id="2426" w:name="b2411"/>
      <w:r>
        <w:t>§ 1968 Beerdigungskosten</w:t>
      </w:r>
      <w:r>
        <w:t xml:space="preserve"> </w:t>
      </w:r>
      <w:r>
        <w:rPr>
          <w:rStyle w:val="Suchmarke"/>
        </w:rPr>
        <w:t>#1968#</w:t>
      </w:r>
      <w:bookmarkEnd w:id="2426"/>
    </w:p>
    <w:p>
      <w:r>
        <w:t>Der Erbe trägt die Kosten der Beerdigung des Erblassers.</w:t>
      </w:r>
    </w:p>
    <w:p>
      <w:pPr>
        <w:pStyle w:val="Heading5"/>
      </w:pPr>
      <w:bookmarkStart w:id="2427" w:name="b2412"/>
      <w:r>
        <w:t>§ 1969 Dreißigster</w:t>
      </w:r>
      <w:r>
        <w:t xml:space="preserve"> </w:t>
      </w:r>
      <w:r>
        <w:rPr>
          <w:rStyle w:val="Suchmarke"/>
        </w:rPr>
        <w:t>#1969#</w:t>
      </w:r>
      <w:bookmarkEnd w:id="2427"/>
    </w:p>
    <w:p>
      <w:r>
        <w:t xml:space="preserve">(1) </w:t>
      </w:r>
      <w:r>
        <w:rPr>
          <w:rStyle w:val="Satznummer"/>
        </w:rPr>
        <w:t>1</w:t>
      </w:r>
      <w:r>
        <w:t xml:space="preserve">Der Erbe ist verpflichtet, Familienangehörigen des Erblassers, die zur Zeit des Todes des Erblassers zu dessen Hausstand gehören und von ihm Unterhalt bezogen haben, in den ersten 30 Tagen nach dem Eintritt des Erbfalls in demselben Umfang, wie der Erblasser es getan hat, Unterhalt zu gewähren und die Benutzung der Wohnung und der Haushaltsgegenstände zu gestatten. </w:t>
      </w:r>
      <w:r>
        <w:rPr>
          <w:rStyle w:val="Satznummer"/>
        </w:rPr>
        <w:t>2</w:t>
      </w:r>
      <w:r>
        <w:t>Der Erblasser kann durch letztwillige Verfügung eine abweichende Anordnung treffen.</w:t>
      </w:r>
    </w:p>
    <w:p>
      <w:r>
        <w:t>(2) Die Vorschriften über Vermächtnisse finden entsprechende Anwendung.</w:t>
      </w:r>
    </w:p>
    <w:p>
      <w:pPr>
        <w:pStyle w:val="Heading4"/>
      </w:pPr>
      <w:bookmarkStart w:id="2428" w:name="b2413"/>
      <w:r>
        <w:t>Untertitel 2 Aufgebot der Nachlassgläubiger</w:t>
      </w:r>
      <w:bookmarkEnd w:id="2428"/>
    </w:p>
    <w:p>
      <w:pPr>
        <w:pStyle w:val="Heading5"/>
      </w:pPr>
      <w:bookmarkStart w:id="2429" w:name="b2414"/>
      <w:r>
        <w:t>§ 1970 Anmeldung der Forderungen</w:t>
      </w:r>
      <w:r>
        <w:t xml:space="preserve"> </w:t>
      </w:r>
      <w:r>
        <w:rPr>
          <w:rStyle w:val="Suchmarke"/>
        </w:rPr>
        <w:t>#1970#</w:t>
      </w:r>
      <w:bookmarkEnd w:id="2429"/>
    </w:p>
    <w:p>
      <w:r>
        <w:t>Die Nachlassgläubiger können im Wege des Aufgebotsverfahrens zur Anmeldung ihrer Forderungen aufgefordert werden.</w:t>
      </w:r>
    </w:p>
    <w:p>
      <w:pPr>
        <w:pStyle w:val="Heading5"/>
      </w:pPr>
      <w:bookmarkStart w:id="2430" w:name="b2415"/>
      <w:r>
        <w:t>§ 1971 Nicht betroffene Gläubiger</w:t>
      </w:r>
      <w:r>
        <w:t xml:space="preserve"> </w:t>
      </w:r>
      <w:r>
        <w:rPr>
          <w:rStyle w:val="Suchmarke"/>
        </w:rPr>
        <w:t>#1971#</w:t>
      </w:r>
      <w:bookmarkEnd w:id="2430"/>
    </w:p>
    <w:p>
      <w:r>
        <w:rPr>
          <w:rStyle w:val="Satznummer"/>
        </w:rPr>
        <w:t>1</w:t>
      </w:r>
      <w:r>
        <w:t xml:space="preserve">Pfandgläubiger und Gläubiger, die im Insolvenzverfahren den Pfandgläubigern gleichstehen, sowie Gläubiger, die bei der Zwangsvollstreckung in das unbewegliche Vermögen ein Recht auf Befriedigung aus diesem Vermögen haben, werden, soweit es sich um die Befriedigung aus den ihnen haftenden Gegenständen handelt, durch das Aufgebot nicht betroffen. </w:t>
      </w:r>
      <w:r>
        <w:rPr>
          <w:rStyle w:val="Satznummer"/>
        </w:rPr>
        <w:t>2</w:t>
      </w:r>
      <w:r>
        <w:t>Das Gleiche gilt von Gläubigern, deren Ansprüche durch eine Vormerkung gesichert sind oder denen im Insolvenzverfahren ein Aussonderungsrecht zusteht, in Ansehung des Gegenstands ihres Rechts.</w:t>
      </w:r>
    </w:p>
    <w:p>
      <w:pPr>
        <w:pStyle w:val="Heading5"/>
      </w:pPr>
      <w:bookmarkStart w:id="2431" w:name="b2416"/>
      <w:r>
        <w:t>§ 1972 Nicht betroffene Rechte</w:t>
      </w:r>
      <w:r>
        <w:t xml:space="preserve"> </w:t>
      </w:r>
      <w:r>
        <w:rPr>
          <w:rStyle w:val="Suchmarke"/>
        </w:rPr>
        <w:t>#1972#</w:t>
      </w:r>
      <w:bookmarkEnd w:id="2431"/>
    </w:p>
    <w:p>
      <w:r>
        <w:t xml:space="preserve">Pflichtteilsrechte, Vermächtnisse und Auflagen werden durch das Aufgebot nicht betroffen, unbeschadet der Vorschrift des </w:t>
      </w:r>
      <w:hyperlink w:anchor="b2512" w:history="1">
        <w:r>
          <w:rPr>
            <w:color w:val="0A3A8C"/>
            <w:u w:val="single"/>
          </w:rPr>
          <w:t xml:space="preserve">§ 2060</w:t>
        </w:r>
      </w:hyperlink>
      <w:r>
        <w:t xml:space="preserve"> Nr. 1.</w:t>
      </w:r>
    </w:p>
    <w:p>
      <w:pPr>
        <w:pStyle w:val="Heading5"/>
      </w:pPr>
      <w:bookmarkStart w:id="2432" w:name="b2417"/>
      <w:r>
        <w:t>§ 1973 Ausschluss von Nachlassgläubigern</w:t>
      </w:r>
      <w:r>
        <w:t xml:space="preserve"> </w:t>
      </w:r>
      <w:r>
        <w:rPr>
          <w:rStyle w:val="Suchmarke"/>
        </w:rPr>
        <w:t>#1973#</w:t>
      </w:r>
      <w:bookmarkEnd w:id="2432"/>
    </w:p>
    <w:p>
      <w:r>
        <w:t xml:space="preserve">(1) </w:t>
      </w:r>
      <w:r>
        <w:rPr>
          <w:rStyle w:val="Satznummer"/>
        </w:rPr>
        <w:t>1</w:t>
      </w:r>
      <w:r>
        <w:t xml:space="preserve">Der Erbe kann die Befriedigung eines im Aufgebotsverfahren ausgeschlossenen Nachlassgläubigers insoweit verweigern, als der Nachlass durch die Befriedigung der nicht ausgeschlossenen Gläubiger erschöpft wird. </w:t>
      </w:r>
      <w:r>
        <w:rPr>
          <w:rStyle w:val="Satznummer"/>
        </w:rPr>
        <w:t>2</w:t>
      </w:r>
      <w:r>
        <w:t>Der Erbe hat jedoch den ausgeschlossenen Gläubiger vor den Verbindlichkeiten aus Pflichtteilsrechten, Vermächtnissen und Auflagen zu befriedigen, es sei denn, dass der Gläubiger seine Forderung erst nach der Berichtigung dieser Verbindlichkeiten geltend macht.</w:t>
      </w:r>
    </w:p>
    <w:p>
      <w:r>
        <w:t xml:space="preserve">(2) </w:t>
      </w:r>
      <w:r>
        <w:rPr>
          <w:rStyle w:val="Satznummer"/>
        </w:rPr>
        <w:t>1</w:t>
      </w:r>
      <w:r>
        <w:t xml:space="preserve">Einen Überschuss hat der Erbe zum Zwecke der Befriedigung des Gläubigers im Wege der Zwangsvollstreckung nach den Vorschriften über die Herausgabe einer ungerechtfertigten Bereicherung herauszugeben. </w:t>
      </w:r>
      <w:r>
        <w:rPr>
          <w:rStyle w:val="Satznummer"/>
        </w:rPr>
        <w:t>2</w:t>
      </w:r>
      <w:r>
        <w:t xml:space="preserve">Er kann die Herausgabe der noch vorhandenen Nachlassgegenstände durch Zahlung des Wertes abwenden. </w:t>
      </w:r>
      <w:r>
        <w:rPr>
          <w:rStyle w:val="Satznummer"/>
        </w:rPr>
        <w:t>3</w:t>
      </w:r>
      <w:r>
        <w:t>Die rechtskräftige Verurteilung des Erben zur Befriedigung eines ausgeschlossenen Gläubigers wirkt einem anderen Gläubiger gegenüber wie die Befriedigung.</w:t>
      </w:r>
    </w:p>
    <w:p>
      <w:pPr>
        <w:pStyle w:val="Heading5"/>
      </w:pPr>
      <w:bookmarkStart w:id="2433" w:name="b2418"/>
      <w:r>
        <w:t>§ 1974 Verschweigungseinrede</w:t>
      </w:r>
      <w:r>
        <w:t xml:space="preserve"> </w:t>
      </w:r>
      <w:r>
        <w:rPr>
          <w:rStyle w:val="Suchmarke"/>
        </w:rPr>
        <w:t>#1974#</w:t>
      </w:r>
      <w:bookmarkEnd w:id="2433"/>
    </w:p>
    <w:p>
      <w:r>
        <w:t xml:space="preserve">(1) </w:t>
      </w:r>
      <w:r>
        <w:rPr>
          <w:rStyle w:val="Satznummer"/>
        </w:rPr>
        <w:t>1</w:t>
      </w:r>
      <w:r>
        <w:t xml:space="preserve">Ein Nachlassgläubiger, der seine Forderung später als fünf Jahre nach dem Erbfall dem Erben gegenüber geltend macht, steht einem ausgeschlossenen Gläubiger gleich, es sei denn, dass die Forderung dem Erben vor dem Ablauf der fünf Jahre bekannt geworden oder im Aufgebotsverfahren angemeldet worden ist. </w:t>
      </w:r>
      <w:r>
        <w:rPr>
          <w:rStyle w:val="Satznummer"/>
        </w:rPr>
        <w:t>2</w:t>
      </w:r>
      <w:r>
        <w:t>Wird der Erblasser für tot erklärt oder wird seine Todeszeit nach den Vorschriften des Verschollenheitsgesetzes festgestellt, so beginnt die Frist nicht vor dem Eintritt der Rechtskraft des Beschlusses über die Todeserklärung oder die Feststellung der Todeszeit.</w:t>
      </w:r>
    </w:p>
    <w:p>
      <w:r>
        <w:t xml:space="preserve">(2) Die dem Erben nach </w:t>
      </w:r>
      <w:hyperlink w:anchor="b2417" w:history="1">
        <w:r>
          <w:rPr>
            <w:color w:val="0A3A8C"/>
            <w:u w:val="single"/>
          </w:rPr>
          <w:t xml:space="preserve">§ 1973</w:t>
        </w:r>
      </w:hyperlink>
      <w:r>
        <w:t xml:space="preserve"> Abs. 1 Satz 2 obliegende Verpflichtung tritt im Verhältnis von Verbindlichkeiten aus Pflichtteilsrechten, Vermächtnissen und Auflagen zueinander nur insoweit ein, als der Gläubiger im Falle des Nachlassinsolvenzverfahrens im Range vorgehen würde.</w:t>
      </w:r>
    </w:p>
    <w:p>
      <w:r>
        <w:t>(3) Soweit ein Gläubiger nach § 1971 von dem Aufgebot nicht betroffen wird, finden die Vorschriften des Absatzes 1 auf ihn keine Anwendung.</w:t>
      </w:r>
    </w:p>
    <w:p>
      <w:pPr>
        <w:pStyle w:val="Heading4"/>
      </w:pPr>
      <w:bookmarkStart w:id="2434" w:name="b2419"/>
      <w:r>
        <w:t>Untertitel 3 Beschränkung der Haftung des Erben</w:t>
      </w:r>
      <w:bookmarkEnd w:id="2434"/>
    </w:p>
    <w:p>
      <w:pPr>
        <w:pStyle w:val="Heading5"/>
      </w:pPr>
      <w:bookmarkStart w:id="2435" w:name="b2420"/>
      <w:r>
        <w:t>§ 1975 Nachlassverwaltung; Nachlassinsolvenz</w:t>
      </w:r>
      <w:r>
        <w:t xml:space="preserve"> </w:t>
      </w:r>
      <w:r>
        <w:rPr>
          <w:rStyle w:val="Suchmarke"/>
        </w:rPr>
        <w:t>#1975#</w:t>
      </w:r>
      <w:bookmarkEnd w:id="2435"/>
    </w:p>
    <w:p>
      <w:r>
        <w:t>Die Haftung des Erben für die Nachlassverbindlichkeiten beschränkt sich auf den Nachlass, wenn eine Nachlasspflegschaft zum Zwecke der Befriedigung der Nachlassgläubiger (Nachlassverwaltung) angeordnet oder das Nachlassinsolvenzverfahren eröffnet ist.</w:t>
      </w:r>
    </w:p>
    <w:p>
      <w:pPr>
        <w:pStyle w:val="Heading5"/>
      </w:pPr>
      <w:bookmarkStart w:id="2436" w:name="b2421"/>
      <w:r>
        <w:t>§ 1976 Wirkung auf durch Vereinigung erloschene Rechtsverhältnisse</w:t>
      </w:r>
      <w:r>
        <w:t xml:space="preserve"> </w:t>
      </w:r>
      <w:r>
        <w:rPr>
          <w:rStyle w:val="Suchmarke"/>
        </w:rPr>
        <w:t>#1976#</w:t>
      </w:r>
      <w:bookmarkEnd w:id="2436"/>
    </w:p>
    <w:p>
      <w:r>
        <w:t>Ist die Nachlassverwaltung angeordnet oder das Nachlassinsolvenzverfahren eröffnet, so gelten die infolge des Erbfalls durch Vereinigung von Recht und Verbindlichkeit oder von Recht und Belastung erloschenen Rechtsverhältnisse als nicht erloschen.</w:t>
      </w:r>
    </w:p>
    <w:p>
      <w:pPr>
        <w:pStyle w:val="Heading5"/>
      </w:pPr>
      <w:bookmarkStart w:id="2437" w:name="b2422"/>
      <w:r>
        <w:t>§ 1977 Wirkung auf eine Aufrechnung</w:t>
      </w:r>
      <w:r>
        <w:t xml:space="preserve"> </w:t>
      </w:r>
      <w:r>
        <w:rPr>
          <w:rStyle w:val="Suchmarke"/>
        </w:rPr>
        <w:t>#1977#</w:t>
      </w:r>
      <w:bookmarkEnd w:id="2437"/>
    </w:p>
    <w:p>
      <w:r>
        <w:t>(1) Hat ein Nachlassgläubiger vor der Anordnung der Nachlassverwaltung oder vor der Eröffnung des Nachlassinsolvenzverfahrens seine Forderung gegen eine nicht zum Nachlass gehörende Forderung des Erben ohne dessen Zustimmung aufgerechnet, so ist nach der Anordnung der Nachlassverwaltung oder der Eröffnung des Nachlassinsolvenzverfahrens die Aufrechnung als nicht erfolgt anzusehen.</w:t>
      </w:r>
    </w:p>
    <w:p>
      <w:r>
        <w:t>(2) Das Gleiche gilt, wenn ein Gläubiger, der nicht Nachlassgläubiger ist, die ihm gegen den Erben zustehende Forderung gegen eine zum Nachlass gehörende Forderung aufgerechnet hat.</w:t>
      </w:r>
    </w:p>
    <w:p>
      <w:pPr>
        <w:pStyle w:val="Heading5"/>
      </w:pPr>
      <w:bookmarkStart w:id="2438" w:name="b2423"/>
      <w:r>
        <w:t>§ 1978 Verantwortlichkeit des Erben für bisherige Verwaltung, Aufwendungsersatz</w:t>
      </w:r>
      <w:r>
        <w:t xml:space="preserve"> </w:t>
      </w:r>
      <w:r>
        <w:rPr>
          <w:rStyle w:val="Suchmarke"/>
        </w:rPr>
        <w:t>#1978#</w:t>
      </w:r>
      <w:bookmarkEnd w:id="2438"/>
    </w:p>
    <w:p>
      <w:r>
        <w:t xml:space="preserve">(1) </w:t>
      </w:r>
      <w:r>
        <w:rPr>
          <w:rStyle w:val="Satznummer"/>
        </w:rPr>
        <w:t>1</w:t>
      </w:r>
      <w:r>
        <w:t xml:space="preserve">Ist die Nachlassverwaltung angeordnet oder das Nachlassinsolvenzverfahren eröffnet, so ist der Erbe den Nachlassgläubigern für die bisherige Verwaltung des Nachlasses so verantwortlich, wie wenn er von der Annahme der Erbschaft an die Verwaltung für sie als Beauftragter zu führen gehabt hätte. </w:t>
      </w:r>
      <w:r>
        <w:rPr>
          <w:rStyle w:val="Satznummer"/>
        </w:rPr>
        <w:t>2</w:t>
      </w:r>
      <w:r>
        <w:t>Auf die vor der Annahme der Erbschaft von dem Erben besorgten erbschaftlichen Geschäfte finden die Vorschriften über die Geschäftsführung ohne Auftrag entsprechende Anwendung.</w:t>
      </w:r>
    </w:p>
    <w:p>
      <w:r>
        <w:t>(2) Die den Nachlassgläubigern nach Absatz 1 zustehenden Ansprüche gelten als zum Nachlass gehörend.</w:t>
      </w:r>
    </w:p>
    <w:p>
      <w:r>
        <w:t>(3) Aufwendungen sind dem Erben aus dem Nachlass zu ersetzen, soweit er nach den Vorschriften über den Auftrag oder über die Geschäftsführung ohne Auftrag Ersatz verlangen könnte.</w:t>
      </w:r>
    </w:p>
    <w:p>
      <w:pPr>
        <w:pStyle w:val="Heading5"/>
      </w:pPr>
      <w:bookmarkStart w:id="2439" w:name="b2424"/>
      <w:r>
        <w:t>§ 1979 Berichtigung von Nachlassverbindlichkeiten</w:t>
      </w:r>
      <w:r>
        <w:t xml:space="preserve"> </w:t>
      </w:r>
      <w:r>
        <w:rPr>
          <w:rStyle w:val="Suchmarke"/>
        </w:rPr>
        <w:t>#1979#</w:t>
      </w:r>
      <w:bookmarkEnd w:id="2439"/>
    </w:p>
    <w:p>
      <w:r>
        <w:t>Die Berichtigung einer Nachlassverbindlichkeit durch den Erben müssen die Nachlassgläubiger als für Rechnung des Nachlasses erfolgt gelten lassen, wenn der Erbe den Umständen nach annehmen durfte, dass der Nachlass zur Berichtigung aller Nachlassverbindlichkeiten ausreiche.</w:t>
      </w:r>
    </w:p>
    <w:p>
      <w:pPr>
        <w:pStyle w:val="Heading5"/>
      </w:pPr>
      <w:bookmarkStart w:id="2440" w:name="b2425"/>
      <w:r>
        <w:t>§ 1980 Antrag auf Eröffnung des Nachlassinsolvenzverfahrens</w:t>
      </w:r>
      <w:r>
        <w:t xml:space="preserve"> </w:t>
      </w:r>
      <w:r>
        <w:rPr>
          <w:rStyle w:val="Suchmarke"/>
        </w:rPr>
        <w:t>#1980#</w:t>
      </w:r>
      <w:bookmarkEnd w:id="2440"/>
    </w:p>
    <w:p>
      <w:r>
        <w:t xml:space="preserve">(1) </w:t>
      </w:r>
      <w:r>
        <w:rPr>
          <w:rStyle w:val="Satznummer"/>
        </w:rPr>
        <w:t>1</w:t>
      </w:r>
      <w:r>
        <w:t xml:space="preserve">Hat der Erbe von der Zahlungsunfähigkeit oder der Überschuldung des Nachlasses Kenntnis erlangt, so hat er unverzüglich die Eröffnung des Nachlassinsolvenzverfahrens zu beantragen. </w:t>
      </w:r>
      <w:r>
        <w:rPr>
          <w:rStyle w:val="Satznummer"/>
        </w:rPr>
        <w:t>2</w:t>
      </w:r>
      <w:r>
        <w:t xml:space="preserve">Verletzt er diese Pflicht, so ist er den Gläubigern für den daraus entstehenden Schaden verantwortlich. </w:t>
      </w:r>
      <w:r>
        <w:rPr>
          <w:rStyle w:val="Satznummer"/>
        </w:rPr>
        <w:t>3</w:t>
      </w:r>
      <w:r>
        <w:t>Bei der Bemessung der Zulänglichkeit des Nachlasses bleiben die Verbindlichkeiten aus Vermächtnissen und Auflagen außer Betracht.</w:t>
      </w:r>
    </w:p>
    <w:p>
      <w:r>
        <w:t xml:space="preserve">(2) </w:t>
      </w:r>
      <w:r>
        <w:rPr>
          <w:rStyle w:val="Satznummer"/>
        </w:rPr>
        <w:t>1</w:t>
      </w:r>
      <w:r>
        <w:t xml:space="preserve">Der Kenntnis der Zahlungsunfähigkeit oder der Überschuldung steht die auf Fahrlässigkeit beruhende Unkenntnis gleich. </w:t>
      </w:r>
      <w:r>
        <w:rPr>
          <w:rStyle w:val="Satznummer"/>
        </w:rPr>
        <w:t>2</w:t>
      </w:r>
      <w:r>
        <w:t>Als Fahrlässigkeit gilt es insbesondere, wenn der Erbe das Aufgebot der Nachlassgläubiger nicht beantragt, obwohl er Grund hat, das Vorhandensein unbekannter Nachlassverbindlichkeiten anzunehmen; das Aufgebot ist nicht erforderlich, wenn die Kosten des Verfahrens dem Bestand des Nachlasses gegenüber unverhältnismäßig groß sind.</w:t>
      </w:r>
    </w:p>
    <w:p>
      <w:pPr>
        <w:pStyle w:val="Heading5"/>
      </w:pPr>
      <w:bookmarkStart w:id="2441" w:name="b2426"/>
      <w:r>
        <w:t>§ 1981 Anordnung der Nachlassverwaltung</w:t>
      </w:r>
      <w:r>
        <w:t xml:space="preserve"> </w:t>
      </w:r>
      <w:r>
        <w:rPr>
          <w:rStyle w:val="Suchmarke"/>
        </w:rPr>
        <w:t>#1981#</w:t>
      </w:r>
      <w:bookmarkEnd w:id="2441"/>
    </w:p>
    <w:p>
      <w:r>
        <w:t>(1) Die Nachlassverwaltung ist von dem Nachlassgericht anzuordnen, wenn der Erbe die Anordnung beantragt.</w:t>
      </w:r>
    </w:p>
    <w:p>
      <w:r>
        <w:t xml:space="preserve">(2) </w:t>
      </w:r>
      <w:r>
        <w:rPr>
          <w:rStyle w:val="Satznummer"/>
        </w:rPr>
        <w:t>1</w:t>
      </w:r>
      <w:r>
        <w:t xml:space="preserve">Auf Antrag eines Nachlassgläubigers ist die Nachlassverwaltung anzuordnen, wenn Grund zu der Annahme besteht, dass die Befriedigung der Nachlassgläubiger aus dem Nachlass durch das Verhalten oder die Vermögenslage des Erben gefährdet wird. </w:t>
      </w:r>
      <w:r>
        <w:rPr>
          <w:rStyle w:val="Satznummer"/>
        </w:rPr>
        <w:t>2</w:t>
      </w:r>
      <w:r>
        <w:t>Der Antrag kann nicht mehr gestellt werden, wenn seit der Annahme der Erbschaft zwei Jahre verstrichen sind.</w:t>
      </w:r>
    </w:p>
    <w:p>
      <w:r>
        <w:t>(3) (weggefallen)</w:t>
      </w:r>
    </w:p>
    <w:p>
      <w:pPr>
        <w:pStyle w:val="Heading5"/>
      </w:pPr>
      <w:bookmarkStart w:id="2442" w:name="b2427"/>
      <w:r>
        <w:t>§ 1982 Ablehnung der Anordnung der Nachlassverwaltung mangels Masse</w:t>
      </w:r>
      <w:r>
        <w:t xml:space="preserve"> </w:t>
      </w:r>
      <w:r>
        <w:rPr>
          <w:rStyle w:val="Suchmarke"/>
        </w:rPr>
        <w:t>#1982#</w:t>
      </w:r>
      <w:bookmarkEnd w:id="2442"/>
    </w:p>
    <w:p>
      <w:r>
        <w:t>Die Anordnung der Nachlassverwaltung kann abgelehnt werden, wenn eine den Kosten entsprechende Masse nicht vorhanden ist.</w:t>
      </w:r>
    </w:p>
    <w:p>
      <w:pPr>
        <w:pStyle w:val="Heading5"/>
      </w:pPr>
      <w:bookmarkStart w:id="2443" w:name="b2428"/>
      <w:r>
        <w:t>§ 1983 Bekanntmachung</w:t>
      </w:r>
      <w:r>
        <w:t xml:space="preserve"> </w:t>
      </w:r>
      <w:r>
        <w:rPr>
          <w:rStyle w:val="Suchmarke"/>
        </w:rPr>
        <w:t>#1983#</w:t>
      </w:r>
      <w:bookmarkEnd w:id="2443"/>
    </w:p>
    <w:p>
      <w:r>
        <w:t>Das Nachlassgericht hat die Anordnung der Nachlassverwaltung durch das für seine Bekanntmachungen bestimmte Blatt zu veröffentlichen.</w:t>
      </w:r>
    </w:p>
    <w:p>
      <w:pPr>
        <w:pStyle w:val="Heading5"/>
      </w:pPr>
      <w:bookmarkStart w:id="2444" w:name="b2429"/>
      <w:r>
        <w:t>§ 1984 Wirkung der Anordnung</w:t>
      </w:r>
      <w:r>
        <w:t xml:space="preserve"> </w:t>
      </w:r>
      <w:r>
        <w:rPr>
          <w:rStyle w:val="Suchmarke"/>
        </w:rPr>
        <w:t>#1984#</w:t>
      </w:r>
      <w:bookmarkEnd w:id="2444"/>
    </w:p>
    <w:p>
      <w:r>
        <w:t xml:space="preserve">(1) </w:t>
      </w:r>
      <w:r>
        <w:rPr>
          <w:rStyle w:val="Satznummer"/>
        </w:rPr>
        <w:t>1</w:t>
      </w:r>
      <w:r>
        <w:t xml:space="preserve">Mit der Anordnung der Nachlassverwaltung verliert der Erbe die Befugnis, den Nachlass zu verwalten und über ihn zu verfügen. </w:t>
      </w:r>
      <w:r>
        <w:rPr>
          <w:rStyle w:val="Satznummer"/>
        </w:rPr>
        <w:t>2</w:t>
      </w:r>
      <w:r>
        <w:t xml:space="preserve">Die Vorschriften der §§ 81 und 82 der Insolvenzordnung finden entsprechende Anwendung. </w:t>
      </w:r>
      <w:r>
        <w:rPr>
          <w:rStyle w:val="Satznummer"/>
        </w:rPr>
        <w:t>3</w:t>
      </w:r>
      <w:r>
        <w:t>Ein Anspruch, der sich gegen den Nachlass richtet, kann nur gegen den Nachlassverwalter geltend gemacht werden.</w:t>
      </w:r>
    </w:p>
    <w:p>
      <w:r>
        <w:t>(2) Zwangsvollstreckungen und Arreste in den Nachlass zugunsten eines Gläubigers, der nicht Nachlassgläubiger ist, sind ausgeschlossen.</w:t>
      </w:r>
    </w:p>
    <w:p>
      <w:pPr>
        <w:pStyle w:val="Heading5"/>
      </w:pPr>
      <w:bookmarkStart w:id="2445" w:name="b2430"/>
      <w:r>
        <w:t>§ 1985 Pflichten und Haftung des Nachlassverwalters</w:t>
      </w:r>
      <w:r>
        <w:t xml:space="preserve"> </w:t>
      </w:r>
      <w:r>
        <w:rPr>
          <w:rStyle w:val="Suchmarke"/>
        </w:rPr>
        <w:t>#1985#</w:t>
      </w:r>
      <w:bookmarkEnd w:id="2445"/>
    </w:p>
    <w:p>
      <w:r>
        <w:t>(1) Der Nachlassverwalter hat den Nachlass zu verwalten und die Nachlassverbindlichkeiten aus dem Nachlass zu berichtigen.</w:t>
      </w:r>
    </w:p>
    <w:p>
      <w:r>
        <w:t xml:space="preserve">(2) </w:t>
      </w:r>
      <w:r>
        <w:rPr>
          <w:rStyle w:val="Satznummer"/>
        </w:rPr>
        <w:t>1</w:t>
      </w:r>
      <w:r>
        <w:t xml:space="preserve">Der Nachlassverwalter ist für die Verwaltung des Nachlasses auch den Nachlassgläubigern verantwortlich. </w:t>
      </w:r>
      <w:r>
        <w:rPr>
          <w:rStyle w:val="Satznummer"/>
        </w:rPr>
        <w:t>2</w:t>
      </w:r>
      <w:r>
        <w:t xml:space="preserve">Die Vorschriften des </w:t>
      </w:r>
      <w:hyperlink w:anchor="b2423" w:history="1">
        <w:r>
          <w:rPr>
            <w:color w:val="0A3A8C"/>
            <w:u w:val="single"/>
          </w:rPr>
          <w:t xml:space="preserve">§ 1978</w:t>
        </w:r>
      </w:hyperlink>
      <w:r>
        <w:t xml:space="preserve"> Abs. 2 und der </w:t>
      </w:r>
      <w:hyperlink w:anchor="b2424" w:history="1">
        <w:r>
          <w:rPr>
            <w:color w:val="0A3A8C"/>
            <w:u w:val="single"/>
          </w:rPr>
          <w:t xml:space="preserve">§§ 1979</w:t>
        </w:r>
      </w:hyperlink>
      <w:r>
        <w:t xml:space="preserve">, </w:t>
      </w:r>
      <w:hyperlink w:anchor="b2425" w:history="1">
        <w:r>
          <w:rPr>
            <w:color w:val="0A3A8C"/>
            <w:u w:val="single"/>
          </w:rPr>
          <w:t xml:space="preserve">1980</w:t>
        </w:r>
      </w:hyperlink>
      <w:r>
        <w:t xml:space="preserve"> finden entsprechende Anwendung.</w:t>
      </w:r>
    </w:p>
    <w:p>
      <w:pPr>
        <w:pStyle w:val="Heading5"/>
      </w:pPr>
      <w:bookmarkStart w:id="2446" w:name="b2431"/>
      <w:r>
        <w:t>§ 1986 Herausgabe des Nachlasses</w:t>
      </w:r>
      <w:r>
        <w:t xml:space="preserve"> </w:t>
      </w:r>
      <w:r>
        <w:rPr>
          <w:rStyle w:val="Suchmarke"/>
        </w:rPr>
        <w:t>#1986#</w:t>
      </w:r>
      <w:bookmarkEnd w:id="2446"/>
    </w:p>
    <w:p>
      <w:r>
        <w:t>(1) Der Nachlassverwalter darf den Nachlass dem Erben erst ausantworten, wenn die bekannten Nachlassverbindlichkeiten berichtigt sind.</w:t>
      </w:r>
    </w:p>
    <w:p>
      <w:r>
        <w:t xml:space="preserve">(2) </w:t>
      </w:r>
      <w:r>
        <w:rPr>
          <w:rStyle w:val="Satznummer"/>
        </w:rPr>
        <w:t>1</w:t>
      </w:r>
      <w:r>
        <w:t xml:space="preserve">Ist die Berichtigung einer Verbindlichkeit zur Zeit nicht ausführbar oder ist eine Verbindlichkeit streitig, so darf die Ausantwortung des Nachlasses nur erfolgen, wenn dem Gläubiger Sicherheit geleistet wird. </w:t>
      </w:r>
      <w:r>
        <w:rPr>
          <w:rStyle w:val="Satznummer"/>
        </w:rPr>
        <w:t>2</w:t>
      </w:r>
      <w:r>
        <w:t>Für eine bedingte Forderung ist Sicherheitsleistung nicht erforderlich, wenn die Möglichkeit des Eintritts der Bedingung eine so entfernte ist, dass die Forderung einen gegenwärtigen Vermögenswert nicht hat.</w:t>
      </w:r>
    </w:p>
    <w:p>
      <w:pPr>
        <w:pStyle w:val="Heading5"/>
      </w:pPr>
      <w:bookmarkStart w:id="2447" w:name="b2432"/>
      <w:r>
        <w:t>§ 1987 Vergütung des Nachlassverwalters</w:t>
      </w:r>
      <w:r>
        <w:t xml:space="preserve"> </w:t>
      </w:r>
      <w:r>
        <w:rPr>
          <w:rStyle w:val="Suchmarke"/>
        </w:rPr>
        <w:t>#1987#</w:t>
      </w:r>
      <w:bookmarkEnd w:id="2447"/>
    </w:p>
    <w:p>
      <w:r>
        <w:t>Der Nachlassverwalter kann für die Führung seines Amts eine angemessene Vergütung verlangen.</w:t>
      </w:r>
    </w:p>
    <w:p>
      <w:pPr>
        <w:pStyle w:val="Heading5"/>
      </w:pPr>
      <w:bookmarkStart w:id="2448" w:name="b2433"/>
      <w:r>
        <w:t>§ 1988 Ende und Aufhebung der Nachlassverwaltung</w:t>
      </w:r>
      <w:r>
        <w:t xml:space="preserve"> </w:t>
      </w:r>
      <w:r>
        <w:rPr>
          <w:rStyle w:val="Suchmarke"/>
        </w:rPr>
        <w:t>#1988#</w:t>
      </w:r>
      <w:bookmarkEnd w:id="2448"/>
    </w:p>
    <w:p>
      <w:r>
        <w:t>(1) Die Nachlassverwaltung endigt mit der Eröffnung des Nachlassinsolvenzverfahrens.</w:t>
      </w:r>
    </w:p>
    <w:p>
      <w:r>
        <w:t>(2) Die Nachlassverwaltung kann aufgehoben werden, wenn sich ergibt, dass eine den Kosten entsprechende Masse nicht vorhanden ist.</w:t>
      </w:r>
    </w:p>
    <w:p>
      <w:pPr>
        <w:pStyle w:val="Heading5"/>
      </w:pPr>
      <w:bookmarkStart w:id="2449" w:name="b2434"/>
      <w:r>
        <w:t>§ 1989 Erschöpfungseinrede des Erben</w:t>
      </w:r>
      <w:r>
        <w:t xml:space="preserve"> </w:t>
      </w:r>
      <w:r>
        <w:rPr>
          <w:rStyle w:val="Suchmarke"/>
        </w:rPr>
        <w:t>#1989#</w:t>
      </w:r>
      <w:bookmarkEnd w:id="2449"/>
    </w:p>
    <w:p>
      <w:r>
        <w:t xml:space="preserve">Ist das Nachlassinsolvenzverfahren durch Verteilung der Masse oder durch einen Insolvenzplan beendet, so findet auf die Haftung des Erben die Vorschrift des </w:t>
      </w:r>
      <w:hyperlink w:anchor="b2417" w:history="1">
        <w:r>
          <w:rPr>
            <w:color w:val="0A3A8C"/>
            <w:u w:val="single"/>
          </w:rPr>
          <w:t xml:space="preserve">§ 1973</w:t>
        </w:r>
      </w:hyperlink>
      <w:r>
        <w:t xml:space="preserve"> entsprechende Anwendung.</w:t>
      </w:r>
    </w:p>
    <w:p>
      <w:pPr>
        <w:pStyle w:val="Heading5"/>
      </w:pPr>
      <w:bookmarkStart w:id="2450" w:name="b2435"/>
      <w:r>
        <w:t>§ 1990 Dürftigkeitseinrede des Erben</w:t>
      </w:r>
      <w:r>
        <w:t xml:space="preserve"> </w:t>
      </w:r>
      <w:r>
        <w:rPr>
          <w:rStyle w:val="Suchmarke"/>
        </w:rPr>
        <w:t>#1990#</w:t>
      </w:r>
      <w:bookmarkEnd w:id="2450"/>
    </w:p>
    <w:p>
      <w:r>
        <w:t xml:space="preserve">(1) </w:t>
      </w:r>
      <w:r>
        <w:rPr>
          <w:rStyle w:val="Satznummer"/>
        </w:rPr>
        <w:t>1</w:t>
      </w:r>
      <w:r>
        <w:t xml:space="preserve">Ist die Anordnung der Nachlassverwaltung oder die Eröffnung des Nachlassinsolvenzverfahrens wegen Mangels einer den Kosten entsprechenden Masse nicht tunlich oder wird aus diesem Grunde die Nachlassverwaltung aufgehoben oder das Insolvenzverfahren eingestellt, so kann der Erbe die Befriedigung eines Nachlassgläubigers insoweit verweigern, als der Nachlass nicht ausreicht. </w:t>
      </w:r>
      <w:r>
        <w:rPr>
          <w:rStyle w:val="Satznummer"/>
        </w:rPr>
        <w:t>2</w:t>
      </w:r>
      <w:r>
        <w:t>Der Erbe ist in diesem Falle verpflichtet, den Nachlass zum Zwecke der Befriedigung des Gläubigers im Wege der Zwangsvollstreckung herauszugeben.</w:t>
      </w:r>
    </w:p>
    <w:p>
      <w:r>
        <w:t>(2) Das Recht des Erben wird nicht dadurch ausgeschlossen, dass der Gläubiger nach dem Eintritt des Erbfalls im Wege der Zwangsvollstreckung oder der Arrestvollziehung ein Pfandrecht oder eine Hypothek oder im Wege der einstweiligen Verfügung eine Vormerkung erlangt hat.</w:t>
      </w:r>
    </w:p>
    <w:p>
      <w:pPr>
        <w:pStyle w:val="Heading5"/>
      </w:pPr>
      <w:bookmarkStart w:id="2451" w:name="b2436"/>
      <w:r>
        <w:t>§ 1991 Folgen der Dürftigkeitseinrede</w:t>
      </w:r>
      <w:r>
        <w:t xml:space="preserve"> </w:t>
      </w:r>
      <w:r>
        <w:rPr>
          <w:rStyle w:val="Suchmarke"/>
        </w:rPr>
        <w:t>#1991#</w:t>
      </w:r>
      <w:bookmarkEnd w:id="2451"/>
    </w:p>
    <w:p>
      <w:r>
        <w:t xml:space="preserve">(1) Macht der Erbe von dem ihm nach </w:t>
      </w:r>
      <w:hyperlink w:anchor="b2435" w:history="1">
        <w:r>
          <w:rPr>
            <w:color w:val="0A3A8C"/>
            <w:u w:val="single"/>
          </w:rPr>
          <w:t xml:space="preserve">§ 1990</w:t>
        </w:r>
      </w:hyperlink>
      <w:r>
        <w:t xml:space="preserve"> zustehenden Recht Gebrauch, so finden auf seine Verantwortlichkeit und den Ersatz seiner Aufwendungen die Vorschriften der §§ 1978, 1979 Anwendung.</w:t>
      </w:r>
    </w:p>
    <w:p>
      <w:r>
        <w:t>(2) Die infolge des Erbfalls durch Vereinigung von Recht und Verbindlichkeit oder von Recht und Belastung erloschenen Rechtsverhältnisse gelten im Verhältnis zwischen dem Gläubiger und dem Erben als nicht erloschen.</w:t>
      </w:r>
    </w:p>
    <w:p>
      <w:r>
        <w:t>(3) Die rechtskräftige Verurteilung des Erben zur Befriedigung eines Gläubigers wirkt einem anderen Gläubiger gegenüber wie die Befriedigung.</w:t>
      </w:r>
    </w:p>
    <w:p>
      <w:r>
        <w:t>(4) Die Verbindlichkeiten aus Pflichtteilsrechten, Vermächtnissen und Auflagen hat der Erbe so zu berichtigen, wie sie im Falle des Insolvenzverfahrens zur Berichtigung kommen würden.</w:t>
      </w:r>
    </w:p>
    <w:p>
      <w:pPr>
        <w:pStyle w:val="Heading5"/>
      </w:pPr>
      <w:bookmarkStart w:id="2452" w:name="b2437"/>
      <w:r>
        <w:t>§ 1992 Überschuldung durch Vermächtnisse und Auflagen</w:t>
      </w:r>
      <w:r>
        <w:t xml:space="preserve"> </w:t>
      </w:r>
      <w:r>
        <w:rPr>
          <w:rStyle w:val="Suchmarke"/>
        </w:rPr>
        <w:t>#1992#</w:t>
      </w:r>
      <w:bookmarkEnd w:id="2452"/>
    </w:p>
    <w:p>
      <w:r>
        <w:rPr>
          <w:rStyle w:val="Satznummer"/>
        </w:rPr>
        <w:t>1</w:t>
      </w:r>
      <w:r>
        <w:t xml:space="preserve">Beruht die Überschuldung des Nachlasses auf Vermächtnissen und Auflagen, so ist der Erbe, auch wenn die Voraussetzungen des </w:t>
      </w:r>
      <w:hyperlink w:anchor="b2435" w:history="1">
        <w:r>
          <w:rPr>
            <w:color w:val="0A3A8C"/>
            <w:u w:val="single"/>
          </w:rPr>
          <w:t xml:space="preserve">§ 1990</w:t>
        </w:r>
      </w:hyperlink>
      <w:r>
        <w:t xml:space="preserve"> nicht vorliegen, berechtigt, die Berichtigung dieser Verbindlichkeiten nach den Vorschriften der </w:t>
      </w:r>
      <w:hyperlink w:anchor="b2435" w:history="1">
        <w:r>
          <w:rPr>
            <w:color w:val="0A3A8C"/>
            <w:u w:val="single"/>
          </w:rPr>
          <w:t xml:space="preserve">§§ 1990</w:t>
        </w:r>
      </w:hyperlink>
      <w:r>
        <w:t xml:space="preserve">, </w:t>
      </w:r>
      <w:hyperlink w:anchor="b2436" w:history="1">
        <w:r>
          <w:rPr>
            <w:color w:val="0A3A8C"/>
            <w:u w:val="single"/>
          </w:rPr>
          <w:t xml:space="preserve">1991</w:t>
        </w:r>
      </w:hyperlink>
      <w:r>
        <w:t xml:space="preserve"> zu bewirken. </w:t>
      </w:r>
      <w:r>
        <w:rPr>
          <w:rStyle w:val="Satznummer"/>
        </w:rPr>
        <w:t>2</w:t>
      </w:r>
      <w:r>
        <w:t>Er kann die Herausgabe der noch vorhandenen Nachlassgegenstände durch Zahlung des Wertes abwenden.</w:t>
      </w:r>
    </w:p>
    <w:p>
      <w:pPr>
        <w:pStyle w:val="Heading4"/>
      </w:pPr>
      <w:bookmarkStart w:id="2453" w:name="b2438"/>
      <w:r>
        <w:t>Untertitel 4 Inventarerrichtung, unbeschränkte Haftung des Erben</w:t>
      </w:r>
      <w:bookmarkEnd w:id="2453"/>
    </w:p>
    <w:p>
      <w:pPr>
        <w:pStyle w:val="Heading5"/>
      </w:pPr>
      <w:bookmarkStart w:id="2454" w:name="b2439"/>
      <w:r>
        <w:t>§ 1993 Inventarerrichtung</w:t>
      </w:r>
      <w:r>
        <w:t xml:space="preserve"> </w:t>
      </w:r>
      <w:r>
        <w:rPr>
          <w:rStyle w:val="Suchmarke"/>
        </w:rPr>
        <w:t>#1993#</w:t>
      </w:r>
      <w:bookmarkEnd w:id="2454"/>
    </w:p>
    <w:p>
      <w:r>
        <w:t>Der Erbe ist berechtigt, ein Verzeichnis des Nachlasses (Inventar) bei dem Nachlassgericht einzureichen (Inventarerrichtung).</w:t>
      </w:r>
    </w:p>
    <w:p>
      <w:pPr>
        <w:pStyle w:val="Heading5"/>
      </w:pPr>
      <w:bookmarkStart w:id="2455" w:name="b2440"/>
      <w:r>
        <w:t>§ 1994 Inventarfrist</w:t>
      </w:r>
      <w:r>
        <w:t xml:space="preserve"> </w:t>
      </w:r>
      <w:r>
        <w:rPr>
          <w:rStyle w:val="Suchmarke"/>
        </w:rPr>
        <w:t>#1994#</w:t>
      </w:r>
      <w:bookmarkEnd w:id="2455"/>
    </w:p>
    <w:p>
      <w:r>
        <w:t xml:space="preserve">(1) </w:t>
      </w:r>
      <w:r>
        <w:rPr>
          <w:rStyle w:val="Satznummer"/>
        </w:rPr>
        <w:t>1</w:t>
      </w:r>
      <w:r>
        <w:t xml:space="preserve">Das Nachlassgericht hat dem Erben auf Antrag eines Nachlassgläubigers zur Errichtung des Inventars eine Frist (Inventarfrist) zu bestimmen. </w:t>
      </w:r>
      <w:r>
        <w:rPr>
          <w:rStyle w:val="Satznummer"/>
        </w:rPr>
        <w:t>2</w:t>
      </w:r>
      <w:r>
        <w:t>Nach dem Ablauf der Frist haftet der Erbe für die Nachlassverbindlichkeiten unbeschränkt, wenn nicht vorher das Inventar errichtet wird.</w:t>
      </w:r>
    </w:p>
    <w:p>
      <w:r>
        <w:t xml:space="preserve">(2) </w:t>
      </w:r>
      <w:r>
        <w:rPr>
          <w:rStyle w:val="Satznummer"/>
        </w:rPr>
        <w:t>1</w:t>
      </w:r>
      <w:r>
        <w:t xml:space="preserve">Der Antragsteller hat seine Forderung glaubhaft zu machen. </w:t>
      </w:r>
      <w:r>
        <w:rPr>
          <w:rStyle w:val="Satznummer"/>
        </w:rPr>
        <w:t>2</w:t>
      </w:r>
      <w:r>
        <w:t>Auf die Wirksamkeit der Fristbestimmung ist es ohne Einfluss, wenn die Forderung nicht besteht.</w:t>
      </w:r>
    </w:p>
    <w:p>
      <w:pPr>
        <w:pStyle w:val="Heading5"/>
      </w:pPr>
      <w:bookmarkStart w:id="2456" w:name="b2441"/>
      <w:r>
        <w:t>§ 1995 Dauer der Frist</w:t>
      </w:r>
      <w:r>
        <w:t xml:space="preserve"> </w:t>
      </w:r>
      <w:r>
        <w:rPr>
          <w:rStyle w:val="Suchmarke"/>
        </w:rPr>
        <w:t>#1995#</w:t>
      </w:r>
      <w:bookmarkEnd w:id="2456"/>
    </w:p>
    <w:p>
      <w:r>
        <w:t xml:space="preserve">(1) </w:t>
      </w:r>
      <w:r>
        <w:rPr>
          <w:rStyle w:val="Satznummer"/>
        </w:rPr>
        <w:t>1</w:t>
      </w:r>
      <w:r>
        <w:t xml:space="preserve">Die Inventarfrist soll mindestens einen Monat, höchstens drei Monate betragen. </w:t>
      </w:r>
      <w:r>
        <w:rPr>
          <w:rStyle w:val="Satznummer"/>
        </w:rPr>
        <w:t>2</w:t>
      </w:r>
      <w:r>
        <w:t>Sie beginnt mit der Zustellung des Beschlusses, durch den die Frist bestimmt wird.</w:t>
      </w:r>
    </w:p>
    <w:p>
      <w:r>
        <w:t>(2) Wird die Frist vor der Annahme der Erbschaft bestimmt, so beginnt sie erst mit der Annahme der Erbschaft.</w:t>
      </w:r>
    </w:p>
    <w:p>
      <w:r>
        <w:t>(3) Auf Antrag des Erben kann das Nachlassgericht die Frist nach seinem Ermessen verlängern.</w:t>
      </w:r>
    </w:p>
    <w:p>
      <w:pPr>
        <w:pStyle w:val="Heading5"/>
      </w:pPr>
      <w:bookmarkStart w:id="2457" w:name="b2442"/>
      <w:r>
        <w:t>§ 1996 Bestimmung einer neuen Frist</w:t>
      </w:r>
      <w:r>
        <w:t xml:space="preserve"> </w:t>
      </w:r>
      <w:r>
        <w:rPr>
          <w:rStyle w:val="Suchmarke"/>
        </w:rPr>
        <w:t>#1996#</w:t>
      </w:r>
      <w:bookmarkEnd w:id="2457"/>
    </w:p>
    <w:p>
      <w:r>
        <w:t>(1) War der Erbe ohne sein Verschulden verhindert, das Inventar rechtzeitig zu errichten, die nach den Umständen gerechtfertigte Verlängerung der Inventarfrist zu beantragen oder die in Absatz 2 bestimmte Frist von zwei Wochen einzuhalten, so hat ihm auf seinen Antrag das Nachlassgericht eine neue Inventarfrist zu bestimmen.</w:t>
      </w:r>
    </w:p>
    <w:p>
      <w:r>
        <w:t>(2) Der Antrag muss binnen zwei Wochen nach der Beseitigung des Hindernisses und spätestens vor dem Ablauf eines Jahres nach dem Ende der zuerst bestimmten Frist gestellt werden.</w:t>
      </w:r>
    </w:p>
    <w:p>
      <w:r>
        <w:t>(3) Vor der Entscheidung soll der Nachlassgläubiger, auf dessen Antrag die erste Frist bestimmt worden ist, wenn tunlich gehört werden.</w:t>
      </w:r>
    </w:p>
    <w:p>
      <w:pPr>
        <w:pStyle w:val="Heading5"/>
      </w:pPr>
      <w:bookmarkStart w:id="2458" w:name="b2443"/>
      <w:r>
        <w:t>§ 1997 Hemmung des Fristablaufs</w:t>
      </w:r>
      <w:r>
        <w:t xml:space="preserve"> </w:t>
      </w:r>
      <w:r>
        <w:rPr>
          <w:rStyle w:val="Suchmarke"/>
        </w:rPr>
        <w:t>#1997#</w:t>
      </w:r>
      <w:bookmarkEnd w:id="2458"/>
    </w:p>
    <w:p>
      <w:r>
        <w:t xml:space="preserve">Auf den Lauf der Inventarfrist und der im </w:t>
      </w:r>
      <w:hyperlink w:anchor="b2442" w:history="1">
        <w:r>
          <w:rPr>
            <w:color w:val="0A3A8C"/>
            <w:u w:val="single"/>
          </w:rPr>
          <w:t xml:space="preserve">§ 1996</w:t>
        </w:r>
      </w:hyperlink>
      <w:r>
        <w:t xml:space="preserve"> Abs. 2 bestimmten Frist von zwei Wochen finden die für die Verjährung geltenden Vorschriften des </w:t>
      </w:r>
      <w:hyperlink w:anchor="b250" w:history="1">
        <w:r>
          <w:rPr>
            <w:color w:val="0A3A8C"/>
            <w:u w:val="single"/>
          </w:rPr>
          <w:t xml:space="preserve">§ 210</w:t>
        </w:r>
      </w:hyperlink>
      <w:r>
        <w:t xml:space="preserve"> entsprechende Anwendung.</w:t>
      </w:r>
    </w:p>
    <w:p>
      <w:pPr>
        <w:pStyle w:val="Heading5"/>
      </w:pPr>
      <w:bookmarkStart w:id="2459" w:name="b2444"/>
      <w:r>
        <w:t>§ 1998 Tod des Erben vor Fristablauf</w:t>
      </w:r>
      <w:r>
        <w:t xml:space="preserve"> </w:t>
      </w:r>
      <w:r>
        <w:rPr>
          <w:rStyle w:val="Suchmarke"/>
        </w:rPr>
        <w:t>#1998#</w:t>
      </w:r>
      <w:bookmarkEnd w:id="2459"/>
    </w:p>
    <w:p>
      <w:r>
        <w:t xml:space="preserve">Stirbt der Erbe vor dem Ablauf der Inventarfrist oder der in </w:t>
      </w:r>
      <w:hyperlink w:anchor="b2442" w:history="1">
        <w:r>
          <w:rPr>
            <w:color w:val="0A3A8C"/>
            <w:u w:val="single"/>
          </w:rPr>
          <w:t xml:space="preserve">§ 1996</w:t>
        </w:r>
      </w:hyperlink>
      <w:r>
        <w:t xml:space="preserve"> Abs. 2 bestimmten Frist von zwei Wochen, so endigt die Frist nicht vor dem Ablauf der für die Erbschaft des Erben vorgeschriebenen Ausschlagungsfrist.</w:t>
      </w:r>
    </w:p>
    <w:p>
      <w:pPr>
        <w:pStyle w:val="Heading5"/>
      </w:pPr>
      <w:bookmarkStart w:id="2460" w:name="b2445"/>
      <w:r>
        <w:t>§ 1999 Mitteilung an das Gericht</w:t>
      </w:r>
      <w:r>
        <w:t xml:space="preserve"> </w:t>
      </w:r>
      <w:r>
        <w:rPr>
          <w:rStyle w:val="Suchmarke"/>
        </w:rPr>
        <w:t>#1999#</w:t>
      </w:r>
      <w:bookmarkEnd w:id="2460"/>
    </w:p>
    <w:p>
      <w:r>
        <w:rPr>
          <w:rStyle w:val="Satznummer"/>
        </w:rPr>
        <w:t>1</w:t>
      </w:r>
      <w:r>
        <w:t xml:space="preserve">Steht der Erbe unter elterlicher Sorge oder unter Vormundschaft, so soll das Nachlassgericht dem Familiengericht von der Bestimmung der Inventarfrist Mitteilung machen. </w:t>
      </w:r>
      <w:r>
        <w:rPr>
          <w:rStyle w:val="Satznummer"/>
        </w:rPr>
        <w:t>2</w:t>
      </w:r>
      <w:r>
        <w:t>Fällt die Nachlassangelegenheit in den Aufgabenkreis eines Betreuers des Erben, tritt an die Stelle des Familiengerichts das Betreuungsgericht.</w:t>
      </w:r>
    </w:p>
    <w:p>
      <w:pPr>
        <w:pStyle w:val="Heading5"/>
      </w:pPr>
      <w:bookmarkStart w:id="2461" w:name="b2446"/>
      <w:r>
        <w:t>§ 2000 Unwirksamkeit der Fristbestimmung</w:t>
      </w:r>
      <w:r>
        <w:t xml:space="preserve"> </w:t>
      </w:r>
      <w:r>
        <w:rPr>
          <w:rStyle w:val="Suchmarke"/>
        </w:rPr>
        <w:t>#2000#</w:t>
      </w:r>
      <w:bookmarkEnd w:id="2461"/>
    </w:p>
    <w:p>
      <w:r>
        <w:rPr>
          <w:rStyle w:val="Satznummer"/>
        </w:rPr>
        <w:t>1</w:t>
      </w:r>
      <w:r>
        <w:t xml:space="preserve">Die Bestimmung einer Inventarfrist wird unwirksam, wenn eine Nachlassverwaltung angeordnet oder das Nachlassinsolvenzverfahren eröffnet wird. </w:t>
      </w:r>
      <w:r>
        <w:rPr>
          <w:rStyle w:val="Satznummer"/>
        </w:rPr>
        <w:t>2</w:t>
      </w:r>
      <w:r>
        <w:t xml:space="preserve">Während der Dauer der Nachlassverwaltung oder des Nachlassinsolvenzverfahrens kann eine Inventarfrist nicht bestimmt werden. </w:t>
      </w:r>
      <w:r>
        <w:rPr>
          <w:rStyle w:val="Satznummer"/>
        </w:rPr>
        <w:t>3</w:t>
      </w:r>
      <w:r>
        <w:t>Ist das Nachlassinsolvenzverfahren durch Verteilung der Masse oder durch einen Insolvenzplan beendet, so bedarf es zur Abwendung der unbeschränkten Haftung der Inventarerrichtung nicht.</w:t>
      </w:r>
    </w:p>
    <w:p>
      <w:pPr>
        <w:pStyle w:val="Heading5"/>
      </w:pPr>
      <w:bookmarkStart w:id="2462" w:name="b2447"/>
      <w:r>
        <w:t>§ 2001 Inhalt des Inventars</w:t>
      </w:r>
      <w:r>
        <w:t xml:space="preserve"> </w:t>
      </w:r>
      <w:r>
        <w:rPr>
          <w:rStyle w:val="Suchmarke"/>
        </w:rPr>
        <w:t>#2001#</w:t>
      </w:r>
      <w:bookmarkEnd w:id="2462"/>
    </w:p>
    <w:p>
      <w:r>
        <w:t>(1) In dem Inventar sollen die bei dem Eintritt des Erbfalls vorhandenen Nachlassgegenstände und die Nachlassverbindlichkeiten vollständig angegeben werden.</w:t>
      </w:r>
    </w:p>
    <w:p>
      <w:r>
        <w:t>(2) Das Inventar soll außerdem eine Beschreibung der Nachlassgegenstände, soweit eine solche zur Bestimmung des Wertes erforderlich ist, und die Angabe des Wertes enthalten.</w:t>
      </w:r>
    </w:p>
    <w:p>
      <w:pPr>
        <w:pStyle w:val="Heading5"/>
      </w:pPr>
      <w:bookmarkStart w:id="2463" w:name="b2448"/>
      <w:r>
        <w:t>§ 2002 Aufnahme des Inventars durch den Erben</w:t>
      </w:r>
      <w:r>
        <w:t xml:space="preserve"> </w:t>
      </w:r>
      <w:r>
        <w:rPr>
          <w:rStyle w:val="Suchmarke"/>
        </w:rPr>
        <w:t>#2002#</w:t>
      </w:r>
      <w:bookmarkEnd w:id="2463"/>
    </w:p>
    <w:p>
      <w:r>
        <w:t>Der Erbe muss zu der Aufnahme des Inventars eine zuständige Behörde oder einen zuständigen Beamten oder Notar zuziehen.</w:t>
      </w:r>
    </w:p>
    <w:p>
      <w:pPr>
        <w:pStyle w:val="Heading5"/>
      </w:pPr>
      <w:bookmarkStart w:id="2464" w:name="b2449"/>
      <w:r>
        <w:t>§ 2003 Amtliche Aufnahme des Inventars</w:t>
      </w:r>
      <w:r>
        <w:t xml:space="preserve"> </w:t>
      </w:r>
      <w:r>
        <w:rPr>
          <w:rStyle w:val="Suchmarke"/>
        </w:rPr>
        <w:t>#2003#</w:t>
      </w:r>
      <w:bookmarkEnd w:id="2464"/>
    </w:p>
    <w:p>
      <w:r>
        <w:t xml:space="preserve">(1) </w:t>
      </w:r>
      <w:r>
        <w:rPr>
          <w:rStyle w:val="Satznummer"/>
        </w:rPr>
        <w:t>1</w:t>
      </w:r>
      <w:r>
        <w:t xml:space="preserve">Die amtliche Aufnahme des Inventars erfolgt auf Antrag des Erben durch einen vom Nachlassgericht beauftragten Notar. </w:t>
      </w:r>
      <w:r>
        <w:rPr>
          <w:rStyle w:val="Satznummer"/>
        </w:rPr>
        <w:t>2</w:t>
      </w:r>
      <w:r>
        <w:t>Durch die Stellung des Antrags wird die Inventarfrist gewahrt.</w:t>
      </w:r>
    </w:p>
    <w:p>
      <w:r>
        <w:t>(2) Der Erbe ist verpflichtet, die zur Aufnahme des Inventars erforderliche Auskunft zu erteilen.</w:t>
      </w:r>
    </w:p>
    <w:p>
      <w:r>
        <w:t>(3) Das Inventar ist von dem Notar bei dem Nachlassgericht einzureichen.</w:t>
      </w:r>
    </w:p>
    <w:p>
      <w:pPr>
        <w:pStyle w:val="Heading5"/>
      </w:pPr>
      <w:bookmarkStart w:id="2465" w:name="b2450"/>
      <w:r>
        <w:t>§ 2004 Bezugnahme auf ein vorhandenes Inventar</w:t>
      </w:r>
      <w:r>
        <w:t xml:space="preserve"> </w:t>
      </w:r>
      <w:r>
        <w:rPr>
          <w:rStyle w:val="Suchmarke"/>
        </w:rPr>
        <w:t>#2004#</w:t>
      </w:r>
      <w:bookmarkEnd w:id="2465"/>
    </w:p>
    <w:p>
      <w:r>
        <w:t xml:space="preserve">Befindet sich bei dem Nachlassgericht schon ein den Vorschriften der </w:t>
      </w:r>
      <w:hyperlink w:anchor="b2448" w:history="1">
        <w:r>
          <w:rPr>
            <w:color w:val="0A3A8C"/>
            <w:u w:val="single"/>
          </w:rPr>
          <w:t xml:space="preserve">§§ 2002</w:t>
        </w:r>
      </w:hyperlink>
      <w:r>
        <w:t xml:space="preserve">, </w:t>
      </w:r>
      <w:hyperlink w:anchor="b2449" w:history="1">
        <w:r>
          <w:rPr>
            <w:color w:val="0A3A8C"/>
            <w:u w:val="single"/>
          </w:rPr>
          <w:t xml:space="preserve">2003</w:t>
        </w:r>
      </w:hyperlink>
      <w:r>
        <w:t xml:space="preserve"> entsprechendes Inventar, so genügt es, wenn der Erbe vor dem Ablauf der Inventarfrist dem Nachlassgericht gegenüber erklärt, dass das Inventar als von ihm eingereicht gelten soll.</w:t>
      </w:r>
    </w:p>
    <w:p>
      <w:pPr>
        <w:pStyle w:val="Heading5"/>
      </w:pPr>
      <w:bookmarkStart w:id="2466" w:name="b2451"/>
      <w:r>
        <w:t>§ 2005 Unbeschränkte Haftung des Erben bei Unrichtigkeit des Inventars</w:t>
      </w:r>
      <w:r>
        <w:t xml:space="preserve"> </w:t>
      </w:r>
      <w:r>
        <w:rPr>
          <w:rStyle w:val="Suchmarke"/>
        </w:rPr>
        <w:t>#2005#</w:t>
      </w:r>
      <w:bookmarkEnd w:id="2466"/>
    </w:p>
    <w:p>
      <w:r>
        <w:t xml:space="preserve">(1) </w:t>
      </w:r>
      <w:r>
        <w:rPr>
          <w:rStyle w:val="Satznummer"/>
        </w:rPr>
        <w:t>1</w:t>
      </w:r>
      <w:r>
        <w:t xml:space="preserve">Führt der Erbe absichtlich eine erhebliche Unvollständigkeit der im Inventar enthaltenen Angabe der Nachlassgegenstände herbei oder bewirkt er in der Absicht, die Nachlassgläubiger zu benachteiligen, die Aufnahme einer nicht bestehenden Nachlassverbindlichkeit, so haftet er für die Nachlassverbindlichkeiten unbeschränkt. </w:t>
      </w:r>
      <w:r>
        <w:rPr>
          <w:rStyle w:val="Satznummer"/>
        </w:rPr>
        <w:t>2</w:t>
      </w:r>
      <w:r>
        <w:t xml:space="preserve">Das Gleiche gilt, wenn er im Falle des </w:t>
      </w:r>
      <w:hyperlink w:anchor="b2449" w:history="1">
        <w:r>
          <w:rPr>
            <w:color w:val="0A3A8C"/>
            <w:u w:val="single"/>
          </w:rPr>
          <w:t xml:space="preserve">§ 2003</w:t>
        </w:r>
      </w:hyperlink>
      <w:r>
        <w:t xml:space="preserve"> die Erteilung der Auskunft verweigert oder absichtlich in erheblichem Maße verzögert.</w:t>
      </w:r>
    </w:p>
    <w:p>
      <w:r>
        <w:t>(2) Ist die Angabe der Nachlassgegenstände unvollständig, ohne dass ein Fall des Absatzes 1 vorliegt, so kann dem Erben zur Ergänzung eine neue Inventarfrist bestimmt werden.</w:t>
      </w:r>
    </w:p>
    <w:p>
      <w:pPr>
        <w:pStyle w:val="Heading5"/>
      </w:pPr>
      <w:bookmarkStart w:id="2467" w:name="b2452"/>
      <w:r>
        <w:t>§ 2006 Eidesstattliche Versicherung</w:t>
      </w:r>
      <w:r>
        <w:t xml:space="preserve"> </w:t>
      </w:r>
      <w:r>
        <w:rPr>
          <w:rStyle w:val="Suchmarke"/>
        </w:rPr>
        <w:t>#2006#</w:t>
      </w:r>
      <w:bookmarkEnd w:id="2467"/>
    </w:p>
    <w:p>
      <w:r>
        <w:t>(1) Der Erbe hat auf Verlangen eines Nachlassgläubigers zu Protokoll des Nachlassgerichts an Eides statt zu versichern,</w:t>
      </w:r>
    </w:p>
    <w:p>
      <w:pPr>
        <w:ind w:left="567"/>
      </w:pPr>
      <w:r>
        <w:t>dass er nach bestem Wissen die Nachlassgegenstände so vollständig angegeben habe, als er dazu imstande sei.</w:t>
      </w:r>
    </w:p>
    <w:p>
      <w:r>
        <w:t>(2) Der Erbe kann vor der Abgabe der eidesstattlichen Versicherung das Inventar vervollständigen.</w:t>
      </w:r>
    </w:p>
    <w:p>
      <w:r>
        <w:t xml:space="preserve">(3) </w:t>
      </w:r>
      <w:r>
        <w:rPr>
          <w:rStyle w:val="Satznummer"/>
        </w:rPr>
        <w:t>1</w:t>
      </w:r>
      <w:r>
        <w:t xml:space="preserve">Verweigert der Erbe die Abgabe der eidesstattlichen Versicherung, so haftet er dem Gläubiger, der den Antrag gestellt hat, unbeschränkt. </w:t>
      </w:r>
      <w:r>
        <w:rPr>
          <w:rStyle w:val="Satznummer"/>
        </w:rPr>
        <w:t>2</w:t>
      </w:r>
      <w:r>
        <w:t>Das Gleiche gilt, wenn er weder in dem Termin noch in einem auf Antrag des Gläubigers bestimmten neuen Termin erscheint, es sei denn, dass ein Grund vorliegt, durch den das Nichterscheinen in diesem Termin genügend entschuldigt wird.</w:t>
      </w:r>
    </w:p>
    <w:p>
      <w:r>
        <w:t>(4) Eine wiederholte Abgabe der eidesstattlichen Versicherung kann derselbe Gläubiger oder ein anderer Gläubiger nur verlangen, wenn Grund zu der Annahme besteht, dass dem Erben nach der Abgabe der eidesstattlichen Versicherung weitere Nachlassgegenstände bekannt geworden sind.</w:t>
      </w:r>
    </w:p>
    <w:p>
      <w:pPr>
        <w:pStyle w:val="Heading5"/>
      </w:pPr>
      <w:bookmarkStart w:id="2468" w:name="b2453"/>
      <w:r>
        <w:t>§ 2007 Haftung bei mehreren Erbteilen</w:t>
      </w:r>
      <w:r>
        <w:t xml:space="preserve"> </w:t>
      </w:r>
      <w:r>
        <w:rPr>
          <w:rStyle w:val="Suchmarke"/>
        </w:rPr>
        <w:t>#2007#</w:t>
      </w:r>
      <w:bookmarkEnd w:id="2468"/>
    </w:p>
    <w:p>
      <w:r>
        <w:rPr>
          <w:rStyle w:val="Satznummer"/>
        </w:rPr>
        <w:t>1</w:t>
      </w:r>
      <w:r>
        <w:t xml:space="preserve">Ist ein Erbe zu mehreren Erbteilen berufen, so bestimmt sich seine Haftung für die Nachlassverbindlichkeiten in Ansehung eines jeden der Erbteile so, wie wenn die Erbteile verschiedenen Erben gehörten. </w:t>
      </w:r>
      <w:r>
        <w:rPr>
          <w:rStyle w:val="Satznummer"/>
        </w:rPr>
        <w:t>2</w:t>
      </w:r>
      <w:r>
        <w:t xml:space="preserve">In den Fällen der Anwachsung und des </w:t>
      </w:r>
      <w:hyperlink w:anchor="b2374" w:history="1">
        <w:r>
          <w:rPr>
            <w:color w:val="0A3A8C"/>
            <w:u w:val="single"/>
          </w:rPr>
          <w:t xml:space="preserve">§ 1935</w:t>
        </w:r>
      </w:hyperlink>
      <w:r>
        <w:t xml:space="preserve"> gilt dies nur dann, wenn die Erbteile verschieden beschwert sind.</w:t>
      </w:r>
    </w:p>
    <w:p>
      <w:pPr>
        <w:pStyle w:val="Heading5"/>
      </w:pPr>
      <w:bookmarkStart w:id="2469" w:name="b2454"/>
      <w:r>
        <w:t>§ 2008 Inventar für eine zum Gesamtgut gehörende Erbschaft</w:t>
      </w:r>
      <w:r>
        <w:t xml:space="preserve"> </w:t>
      </w:r>
      <w:r>
        <w:rPr>
          <w:rStyle w:val="Suchmarke"/>
        </w:rPr>
        <w:t>#2008#</w:t>
      </w:r>
      <w:bookmarkEnd w:id="2469"/>
    </w:p>
    <w:p>
      <w:r>
        <w:t xml:space="preserve">(1) </w:t>
      </w:r>
      <w:r>
        <w:rPr>
          <w:rStyle w:val="Satznummer"/>
        </w:rPr>
        <w:t>1</w:t>
      </w:r>
      <w:r>
        <w:t xml:space="preserve">Ist ein in Gütergemeinschaft lebender Ehegatte Erbe und gehört die Erbschaft zum Gesamtgut, so ist die Bestimmung der Inventarfrist nur wirksam, wenn sie auch dem anderen Ehegatten gegenüber erfolgt, sofern dieser das Gesamtgut allein oder mit seinem Ehegatten gemeinschaftlich verwaltet. </w:t>
      </w:r>
      <w:r>
        <w:rPr>
          <w:rStyle w:val="Satznummer"/>
        </w:rPr>
        <w:t>2</w:t>
      </w:r>
      <w:r>
        <w:t xml:space="preserve">Solange die Frist diesem gegenüber nicht verstrichen ist, endet sie auch nicht dem Ehegatten gegenüber, der Erbe ist. </w:t>
      </w:r>
      <w:r>
        <w:rPr>
          <w:rStyle w:val="Satznummer"/>
        </w:rPr>
        <w:t>3</w:t>
      </w:r>
      <w:r>
        <w:t>Die Errichtung des Inventars durch den anderen Ehegatten kommt dem Ehegatten, der Erbe ist, zustatten.</w:t>
      </w:r>
    </w:p>
    <w:p>
      <w:r>
        <w:t>(2) Die Vorschriften des Absatzes 1 gelten auch nach der Beendigung der Gütergemeinschaft.</w:t>
      </w:r>
    </w:p>
    <w:p>
      <w:pPr>
        <w:pStyle w:val="Heading5"/>
      </w:pPr>
      <w:bookmarkStart w:id="2470" w:name="b2455"/>
      <w:r>
        <w:t>§ 2009 Wirkung der Inventarerrichtung</w:t>
      </w:r>
      <w:r>
        <w:t xml:space="preserve"> </w:t>
      </w:r>
      <w:r>
        <w:rPr>
          <w:rStyle w:val="Suchmarke"/>
        </w:rPr>
        <w:t>#2009#</w:t>
      </w:r>
      <w:bookmarkEnd w:id="2470"/>
    </w:p>
    <w:p>
      <w:r>
        <w:t>Ist das Inventar rechtzeitig errichtet worden, so wird im Verhältnis zwischen dem Erben und den Nachlassgläubigern vermutet, dass zur Zeit des Erbfalls weitere Nachlassgegenstände als die angegebenen nicht vorhanden gewesen seien.</w:t>
      </w:r>
    </w:p>
    <w:p>
      <w:pPr>
        <w:pStyle w:val="Heading5"/>
      </w:pPr>
      <w:bookmarkStart w:id="2471" w:name="b2456"/>
      <w:r>
        <w:t>§ 2010 Einsicht des Inventars</w:t>
      </w:r>
      <w:r>
        <w:t xml:space="preserve"> </w:t>
      </w:r>
      <w:r>
        <w:rPr>
          <w:rStyle w:val="Suchmarke"/>
        </w:rPr>
        <w:t>#2010#</w:t>
      </w:r>
      <w:bookmarkEnd w:id="2471"/>
    </w:p>
    <w:p>
      <w:r>
        <w:t>Das Nachlassgericht hat die Einsicht des Inventars jedem zu gestatten, der ein rechtliches Interesse glaubhaft macht.</w:t>
      </w:r>
    </w:p>
    <w:p>
      <w:pPr>
        <w:pStyle w:val="Heading5"/>
      </w:pPr>
      <w:bookmarkStart w:id="2472" w:name="b2457"/>
      <w:r>
        <w:t>§ 2011 Keine Inventarfrist für den Fiskus als Erben</w:t>
      </w:r>
      <w:r>
        <w:t xml:space="preserve"> </w:t>
      </w:r>
      <w:r>
        <w:rPr>
          <w:rStyle w:val="Suchmarke"/>
        </w:rPr>
        <w:t>#2011#</w:t>
      </w:r>
      <w:bookmarkEnd w:id="2472"/>
    </w:p>
    <w:p>
      <w:r>
        <w:rPr>
          <w:rStyle w:val="Satznummer"/>
        </w:rPr>
        <w:t>1</w:t>
      </w:r>
      <w:r>
        <w:t xml:space="preserve">Dem Fiskus als gesetzlichem Erben kann eine Inventarfrist nicht bestimmt werden. </w:t>
      </w:r>
      <w:r>
        <w:rPr>
          <w:rStyle w:val="Satznummer"/>
        </w:rPr>
        <w:t>2</w:t>
      </w:r>
      <w:r>
        <w:t>Der Fiskus ist den Nachlassgläubigern gegenüber verpflichtet, über den Bestand des Nachlasses Auskunft zu erteilen.</w:t>
      </w:r>
    </w:p>
    <w:p>
      <w:pPr>
        <w:pStyle w:val="Heading5"/>
      </w:pPr>
      <w:bookmarkStart w:id="2473" w:name="b2458"/>
      <w:r>
        <w:t>§ 2012 Keine Inventarfrist für den Nachlasspfleger und Nachlassverwalter</w:t>
      </w:r>
      <w:r>
        <w:t xml:space="preserve"> </w:t>
      </w:r>
      <w:r>
        <w:rPr>
          <w:rStyle w:val="Suchmarke"/>
        </w:rPr>
        <w:t>#2012#</w:t>
      </w:r>
      <w:bookmarkEnd w:id="2473"/>
    </w:p>
    <w:p>
      <w:r>
        <w:t xml:space="preserve">(1) </w:t>
      </w:r>
      <w:r>
        <w:rPr>
          <w:rStyle w:val="Satznummer"/>
        </w:rPr>
        <w:t>1</w:t>
      </w:r>
      <w:r>
        <w:t xml:space="preserve">Einem nach den </w:t>
      </w:r>
      <w:hyperlink w:anchor="b2401" w:history="1">
        <w:r>
          <w:rPr>
            <w:color w:val="0A3A8C"/>
            <w:u w:val="single"/>
          </w:rPr>
          <w:t xml:space="preserve">§§ 1960</w:t>
        </w:r>
      </w:hyperlink>
      <w:r>
        <w:t xml:space="preserve">, </w:t>
      </w:r>
      <w:hyperlink w:anchor="b2402" w:history="1">
        <w:r>
          <w:rPr>
            <w:color w:val="0A3A8C"/>
            <w:u w:val="single"/>
          </w:rPr>
          <w:t xml:space="preserve">1961</w:t>
        </w:r>
      </w:hyperlink>
      <w:r>
        <w:t xml:space="preserve"> bestellten Nachlasspfleger kann eine Inventarfrist nicht bestimmt werden. </w:t>
      </w:r>
      <w:r>
        <w:rPr>
          <w:rStyle w:val="Satznummer"/>
        </w:rPr>
        <w:t>2</w:t>
      </w:r>
      <w:r>
        <w:t xml:space="preserve">Der Nachlasspfleger ist den Nachlassgläubigern gegenüber verpflichtet, über den Bestand des Nachlasses Auskunft zu erteilen. </w:t>
      </w:r>
      <w:r>
        <w:rPr>
          <w:rStyle w:val="Satznummer"/>
        </w:rPr>
        <w:t>3</w:t>
      </w:r>
      <w:r>
        <w:t>Der Nachlasspfleger kann nicht auf die Beschränkung der Haftung des Erben verzichten.</w:t>
      </w:r>
    </w:p>
    <w:p>
      <w:r>
        <w:t>(2) Diese Vorschriften gelten auch für den Nachlassverwalter.</w:t>
      </w:r>
    </w:p>
    <w:p>
      <w:pPr>
        <w:pStyle w:val="Heading5"/>
      </w:pPr>
      <w:bookmarkStart w:id="2474" w:name="b2459"/>
      <w:r>
        <w:t>§ 2013 Folgen der unbeschränkten Haftung des Erben</w:t>
      </w:r>
      <w:r>
        <w:t xml:space="preserve"> </w:t>
      </w:r>
      <w:r>
        <w:rPr>
          <w:rStyle w:val="Suchmarke"/>
        </w:rPr>
        <w:t>#2013#</w:t>
      </w:r>
      <w:bookmarkEnd w:id="2474"/>
    </w:p>
    <w:p>
      <w:r>
        <w:t xml:space="preserve">(1) </w:t>
      </w:r>
      <w:r>
        <w:rPr>
          <w:rStyle w:val="Satznummer"/>
        </w:rPr>
        <w:t>1</w:t>
      </w:r>
      <w:r>
        <w:t xml:space="preserve">Haftet der Erbe für die Nachlassverbindlichkeiten unbeschränkt, so finden die Vorschriften der </w:t>
      </w:r>
      <w:hyperlink w:anchor="b2417" w:history="1">
        <w:r>
          <w:rPr>
            <w:color w:val="0A3A8C"/>
            <w:u w:val="single"/>
          </w:rPr>
          <w:t xml:space="preserve">§§ 1973</w:t>
        </w:r>
      </w:hyperlink>
      <w:r>
        <w:t xml:space="preserve"> bis </w:t>
      </w:r>
      <w:hyperlink w:anchor="b2420" w:history="1">
        <w:r>
          <w:rPr>
            <w:color w:val="0A3A8C"/>
            <w:u w:val="single"/>
          </w:rPr>
          <w:t xml:space="preserve">1975</w:t>
        </w:r>
      </w:hyperlink>
      <w:r>
        <w:t xml:space="preserve">, </w:t>
      </w:r>
      <w:hyperlink w:anchor="b2422" w:history="1">
        <w:r>
          <w:rPr>
            <w:color w:val="0A3A8C"/>
            <w:u w:val="single"/>
          </w:rPr>
          <w:t xml:space="preserve">1977</w:t>
        </w:r>
      </w:hyperlink>
      <w:r>
        <w:t xml:space="preserve"> bis </w:t>
      </w:r>
      <w:hyperlink w:anchor="b2425" w:history="1">
        <w:r>
          <w:rPr>
            <w:color w:val="0A3A8C"/>
            <w:u w:val="single"/>
          </w:rPr>
          <w:t xml:space="preserve">1980</w:t>
        </w:r>
      </w:hyperlink>
      <w:r>
        <w:t xml:space="preserve">, </w:t>
      </w:r>
      <w:hyperlink w:anchor="b2434" w:history="1">
        <w:r>
          <w:rPr>
            <w:color w:val="0A3A8C"/>
            <w:u w:val="single"/>
          </w:rPr>
          <w:t xml:space="preserve">1989</w:t>
        </w:r>
      </w:hyperlink>
      <w:r>
        <w:t xml:space="preserve"> bis </w:t>
      </w:r>
      <w:hyperlink w:anchor="b2437" w:history="1">
        <w:r>
          <w:rPr>
            <w:color w:val="0A3A8C"/>
            <w:u w:val="single"/>
          </w:rPr>
          <w:t xml:space="preserve">1992</w:t>
        </w:r>
      </w:hyperlink>
      <w:r>
        <w:t xml:space="preserve"> keine Anwendung; der Erbe ist nicht berechtigt, die Anordnung einer Nachlassverwaltung zu beantragen. </w:t>
      </w:r>
      <w:r>
        <w:rPr>
          <w:rStyle w:val="Satznummer"/>
        </w:rPr>
        <w:t>2</w:t>
      </w:r>
      <w:r>
        <w:t xml:space="preserve">Auf eine nach </w:t>
      </w:r>
      <w:hyperlink w:anchor="b2417" w:history="1">
        <w:r>
          <w:rPr>
            <w:color w:val="0A3A8C"/>
            <w:u w:val="single"/>
          </w:rPr>
          <w:t xml:space="preserve">§ 1973</w:t>
        </w:r>
      </w:hyperlink>
      <w:r>
        <w:t xml:space="preserve"> oder nach </w:t>
      </w:r>
      <w:hyperlink w:anchor="b2418" w:history="1">
        <w:r>
          <w:rPr>
            <w:color w:val="0A3A8C"/>
            <w:u w:val="single"/>
          </w:rPr>
          <w:t xml:space="preserve">§ 1974</w:t>
        </w:r>
      </w:hyperlink>
      <w:r>
        <w:t xml:space="preserve"> eingetretene Beschränkung der Haftung kann sich der Erbe jedoch berufen, wenn später der Fall des </w:t>
      </w:r>
      <w:hyperlink w:anchor="b2440" w:history="1">
        <w:r>
          <w:rPr>
            <w:color w:val="0A3A8C"/>
            <w:u w:val="single"/>
          </w:rPr>
          <w:t xml:space="preserve">§ 1994</w:t>
        </w:r>
      </w:hyperlink>
      <w:r>
        <w:t xml:space="preserve"> Abs. 1 Satz 2 oder des </w:t>
      </w:r>
      <w:hyperlink w:anchor="b2451" w:history="1">
        <w:r>
          <w:rPr>
            <w:color w:val="0A3A8C"/>
            <w:u w:val="single"/>
          </w:rPr>
          <w:t xml:space="preserve">§ 2005</w:t>
        </w:r>
      </w:hyperlink>
      <w:r>
        <w:t xml:space="preserve"> Abs. 1 eintritt.</w:t>
      </w:r>
    </w:p>
    <w:p>
      <w:r>
        <w:t xml:space="preserve">(2) Die Vorschriften der </w:t>
      </w:r>
      <w:hyperlink w:anchor="b2422" w:history="1">
        <w:r>
          <w:rPr>
            <w:color w:val="0A3A8C"/>
            <w:u w:val="single"/>
          </w:rPr>
          <w:t xml:space="preserve">§§ 1977</w:t>
        </w:r>
      </w:hyperlink>
      <w:r>
        <w:t xml:space="preserve"> bis </w:t>
      </w:r>
      <w:hyperlink w:anchor="b2425" w:history="1">
        <w:r>
          <w:rPr>
            <w:color w:val="0A3A8C"/>
            <w:u w:val="single"/>
          </w:rPr>
          <w:t xml:space="preserve">1980</w:t>
        </w:r>
      </w:hyperlink>
      <w:r>
        <w:t xml:space="preserve"> und das Recht des Erben, die Anordnung einer Nachlassverwaltung zu beantragen, werden nicht dadurch ausgeschlossen, dass der Erbe einzelnen Nachlassgläubigern gegenüber unbeschränkt haftet.</w:t>
      </w:r>
    </w:p>
    <w:p>
      <w:pPr>
        <w:pStyle w:val="Heading4"/>
      </w:pPr>
      <w:bookmarkStart w:id="2475" w:name="b2460"/>
      <w:r>
        <w:t>Untertitel 5 Aufschiebende Einreden</w:t>
      </w:r>
      <w:bookmarkEnd w:id="2475"/>
    </w:p>
    <w:p>
      <w:pPr>
        <w:pStyle w:val="Heading5"/>
      </w:pPr>
      <w:bookmarkStart w:id="2476" w:name="b2461"/>
      <w:r>
        <w:t>§ 2014 Dreimonatseinrede</w:t>
      </w:r>
      <w:r>
        <w:t xml:space="preserve"> </w:t>
      </w:r>
      <w:r>
        <w:rPr>
          <w:rStyle w:val="Suchmarke"/>
        </w:rPr>
        <w:t>#2014#</w:t>
      </w:r>
      <w:bookmarkEnd w:id="2476"/>
    </w:p>
    <w:p>
      <w:r>
        <w:t>Der Erbe ist berechtigt, die Berichtigung einer Nachlassverbindlichkeit bis zum Ablauf der ersten drei Monate nach der Annahme der Erbschaft, jedoch nicht über die Errichtung des Inventars hinaus, zu verweigern.</w:t>
      </w:r>
    </w:p>
    <w:p>
      <w:pPr>
        <w:pStyle w:val="Heading5"/>
      </w:pPr>
      <w:bookmarkStart w:id="2477" w:name="b2462"/>
      <w:r>
        <w:t>§ 2015 Einrede des Aufgebotsverfahrens</w:t>
      </w:r>
      <w:r>
        <w:t xml:space="preserve"> </w:t>
      </w:r>
      <w:r>
        <w:rPr>
          <w:rStyle w:val="Suchmarke"/>
        </w:rPr>
        <w:t>#2015#</w:t>
      </w:r>
      <w:bookmarkEnd w:id="2477"/>
    </w:p>
    <w:p>
      <w:r>
        <w:t>(1) Hat der Erbe den Antrag auf Einleitung des Aufgebotsverfahrens der Nachlassgläubiger innerhalb eines Jahres nach der Annahme der Erbschaft gestellt und ist der Antrag zugelassen, so ist der Erbe berechtigt, die Berichtigung einer Nachlassverbindlichkeit bis zur Beendigung des Aufgebotsverfahrens zu verweigern.</w:t>
      </w:r>
    </w:p>
    <w:p>
      <w:r>
        <w:t>(2) (weggefallen)</w:t>
      </w:r>
    </w:p>
    <w:p>
      <w:r>
        <w:t>(3) Wird der Ausschließungsbeschluss erlassen oder der Antrag auf Erlass des Ausschließungsbeschlusses zurückgewiesen, so ist das Aufgebotsverfahren erst dann als beendet anzusehen, wenn der Beschluss rechtskräftig ist.</w:t>
      </w:r>
    </w:p>
    <w:p>
      <w:pPr>
        <w:pStyle w:val="Heading5"/>
      </w:pPr>
      <w:bookmarkStart w:id="2478" w:name="b2463"/>
      <w:r>
        <w:t>§ 2016 Ausschluss der Einreden bei unbeschränkter Erbenhaftung</w:t>
      </w:r>
      <w:r>
        <w:t xml:space="preserve"> </w:t>
      </w:r>
      <w:r>
        <w:rPr>
          <w:rStyle w:val="Suchmarke"/>
        </w:rPr>
        <w:t>#2016#</w:t>
      </w:r>
      <w:bookmarkEnd w:id="2478"/>
    </w:p>
    <w:p>
      <w:r>
        <w:t xml:space="preserve">(1) Die Vorschriften der </w:t>
      </w:r>
      <w:hyperlink w:anchor="b2461" w:history="1">
        <w:r>
          <w:rPr>
            <w:color w:val="0A3A8C"/>
            <w:u w:val="single"/>
          </w:rPr>
          <w:t xml:space="preserve">§§ 2014</w:t>
        </w:r>
      </w:hyperlink>
      <w:r>
        <w:t xml:space="preserve">, </w:t>
      </w:r>
      <w:hyperlink w:anchor="b2462" w:history="1">
        <w:r>
          <w:rPr>
            <w:color w:val="0A3A8C"/>
            <w:u w:val="single"/>
          </w:rPr>
          <w:t xml:space="preserve">2015</w:t>
        </w:r>
      </w:hyperlink>
      <w:r>
        <w:t xml:space="preserve"> finden keine Anwendung, wenn der Erbe unbeschränkt haftet.</w:t>
      </w:r>
    </w:p>
    <w:p>
      <w:r>
        <w:t>(2) Das Gleiche gilt, soweit ein Gläubiger nach § 1971 von dem Aufgebot der Nachlassgläubiger nicht betroffen wird, mit der Maßgabe, dass ein erst nach dem Eintritt des Erbfalls im Wege der Zwangsvollstreckung oder der Arrestvollziehung erlangtes Recht sowie eine erst nach diesem Zeitpunkt im Wege der einstweiligen Verfügung erlangte Vormerkung außer Betracht bleibt.</w:t>
      </w:r>
    </w:p>
    <w:p>
      <w:pPr>
        <w:pStyle w:val="Heading5"/>
      </w:pPr>
      <w:bookmarkStart w:id="2479" w:name="b2464"/>
      <w:r>
        <w:t>§ 2017 Fristbeginn bei Nachlasspflegschaft</w:t>
      </w:r>
      <w:r>
        <w:t xml:space="preserve"> </w:t>
      </w:r>
      <w:r>
        <w:rPr>
          <w:rStyle w:val="Suchmarke"/>
        </w:rPr>
        <w:t>#2017#</w:t>
      </w:r>
      <w:bookmarkEnd w:id="2479"/>
    </w:p>
    <w:p>
      <w:r>
        <w:t xml:space="preserve">Wird vor der Annahme der Erbschaft zur Verwaltung des Nachlasses ein Nachlasspfleger bestellt, so beginnen die in </w:t>
      </w:r>
      <w:hyperlink w:anchor="b2461" w:history="1">
        <w:r>
          <w:rPr>
            <w:color w:val="0A3A8C"/>
            <w:u w:val="single"/>
          </w:rPr>
          <w:t xml:space="preserve">§ 2014</w:t>
        </w:r>
      </w:hyperlink>
      <w:r>
        <w:t xml:space="preserve"> und in </w:t>
      </w:r>
      <w:hyperlink w:anchor="b2462" w:history="1">
        <w:r>
          <w:rPr>
            <w:color w:val="0A3A8C"/>
            <w:u w:val="single"/>
          </w:rPr>
          <w:t xml:space="preserve">§ 2015</w:t>
        </w:r>
      </w:hyperlink>
      <w:r>
        <w:t xml:space="preserve"> Abs. 1 bestimmten Fristen mit der Bestellung.</w:t>
      </w:r>
    </w:p>
    <w:p>
      <w:pPr>
        <w:pStyle w:val="Heading3"/>
      </w:pPr>
      <w:bookmarkStart w:id="2480" w:name="b2465"/>
      <w:r>
        <w:t>Titel 3 Erbschaftsanspruch</w:t>
      </w:r>
      <w:bookmarkEnd w:id="2480"/>
    </w:p>
    <w:p>
      <w:pPr>
        <w:pStyle w:val="Heading4"/>
      </w:pPr>
      <w:bookmarkStart w:id="2481" w:name="b2466"/>
      <w:r>
        <w:t>§ 2018 Herausgabepflicht des Erbschaftsbesitzers</w:t>
      </w:r>
      <w:r>
        <w:t xml:space="preserve"> </w:t>
      </w:r>
      <w:r>
        <w:rPr>
          <w:rStyle w:val="Suchmarke"/>
        </w:rPr>
        <w:t>#2018#</w:t>
      </w:r>
      <w:bookmarkEnd w:id="2481"/>
    </w:p>
    <w:p>
      <w:r>
        <w:t>Der Erbe kann von jedem, der auf Grund eines ihm in Wirklichkeit nicht zustehenden Erbrechts etwas aus der Erbschaft erlangt hat (Erbschaftsbesitzer), die Herausgabe des Erlangten verlangen.</w:t>
      </w:r>
    </w:p>
    <w:p>
      <w:pPr>
        <w:pStyle w:val="Heading4"/>
      </w:pPr>
      <w:bookmarkStart w:id="2482" w:name="b2467"/>
      <w:r>
        <w:t>§ 2019 Unmittelbare Ersetzung</w:t>
      </w:r>
      <w:r>
        <w:t xml:space="preserve"> </w:t>
      </w:r>
      <w:r>
        <w:rPr>
          <w:rStyle w:val="Suchmarke"/>
        </w:rPr>
        <w:t>#2019#</w:t>
      </w:r>
      <w:bookmarkEnd w:id="2482"/>
    </w:p>
    <w:p>
      <w:r>
        <w:t>(1) Als aus der Erbschaft erlangt gilt auch, was der Erbschaftsbesitzer durch Rechtsgeschäft mit Mitteln der Erbschaft erwirbt.</w:t>
      </w:r>
    </w:p>
    <w:p>
      <w:r>
        <w:t xml:space="preserve">(2) Die Zugehörigkeit einer in solcher Weise erworbenen Forderung zur Erbschaft hat der Schuldner erst dann gegen sich gelten zu lassen, wenn er von der Zugehörigkeit Kenntnis erlangt; die Vorschriften der </w:t>
      </w:r>
      <w:hyperlink w:anchor="b529" w:history="1">
        <w:r>
          <w:rPr>
            <w:color w:val="0A3A8C"/>
            <w:u w:val="single"/>
          </w:rPr>
          <w:t xml:space="preserve">§§ 406</w:t>
        </w:r>
      </w:hyperlink>
      <w:r>
        <w:t xml:space="preserve"> bis </w:t>
      </w:r>
      <w:hyperlink w:anchor="b531" w:history="1">
        <w:r>
          <w:rPr>
            <w:color w:val="0A3A8C"/>
            <w:u w:val="single"/>
          </w:rPr>
          <w:t xml:space="preserve">408</w:t>
        </w:r>
      </w:hyperlink>
      <w:r>
        <w:t xml:space="preserve"> finden entsprechende Anwendung.</w:t>
      </w:r>
    </w:p>
    <w:p>
      <w:pPr>
        <w:pStyle w:val="Heading4"/>
      </w:pPr>
      <w:bookmarkStart w:id="2483" w:name="b2468"/>
      <w:r>
        <w:t>§ 2020 Nutzungen und Früchte</w:t>
      </w:r>
      <w:r>
        <w:t xml:space="preserve"> </w:t>
      </w:r>
      <w:r>
        <w:rPr>
          <w:rStyle w:val="Suchmarke"/>
        </w:rPr>
        <w:t>#2020#</w:t>
      </w:r>
      <w:bookmarkEnd w:id="2483"/>
    </w:p>
    <w:p>
      <w:r>
        <w:t>Der Erbschaftsbesitzer hat dem Erben die gezogenen Nutzungen herauszugeben; die Verpflichtung zur Herausgabe erstreckt sich auch auf Früchte, an denen er das Eigentum erworben hat.</w:t>
      </w:r>
    </w:p>
    <w:p>
      <w:pPr>
        <w:pStyle w:val="Heading4"/>
      </w:pPr>
      <w:bookmarkStart w:id="2484" w:name="b2469"/>
      <w:r>
        <w:t>§ 2021 Herausgabepflicht nach Bereicherungsgrundsätzen</w:t>
      </w:r>
      <w:r>
        <w:t xml:space="preserve"> </w:t>
      </w:r>
      <w:r>
        <w:rPr>
          <w:rStyle w:val="Suchmarke"/>
        </w:rPr>
        <w:t>#2021#</w:t>
      </w:r>
      <w:bookmarkEnd w:id="2484"/>
    </w:p>
    <w:p>
      <w:r>
        <w:t>Soweit der Erbschaftsbesitzer zur Herausgabe außerstande ist, bestimmt sich seine Verpflichtung nach den Vorschriften über die Herausgabe einer ungerechtfertigten Bereicherung.</w:t>
      </w:r>
    </w:p>
    <w:p>
      <w:pPr>
        <w:pStyle w:val="Heading4"/>
      </w:pPr>
      <w:bookmarkStart w:id="2485" w:name="b2470"/>
      <w:r>
        <w:t>§ 2022 Ersatz von Verwendungen und Aufwendungen</w:t>
      </w:r>
      <w:r>
        <w:t xml:space="preserve"> </w:t>
      </w:r>
      <w:r>
        <w:rPr>
          <w:rStyle w:val="Suchmarke"/>
        </w:rPr>
        <w:t>#2022#</w:t>
      </w:r>
      <w:bookmarkEnd w:id="2485"/>
    </w:p>
    <w:p>
      <w:r>
        <w:t xml:space="preserve">(1) </w:t>
      </w:r>
      <w:r>
        <w:rPr>
          <w:rStyle w:val="Satznummer"/>
        </w:rPr>
        <w:t>1</w:t>
      </w:r>
      <w:r>
        <w:t xml:space="preserve">Der Erbschaftsbesitzer ist zur Herausgabe der zur Erbschaft gehörenden Sachen nur gegen Ersatz aller Verwendungen verpflichtet, soweit nicht die Verwendungen durch Anrechnung auf die nach </w:t>
      </w:r>
      <w:hyperlink w:anchor="b2469" w:history="1">
        <w:r>
          <w:rPr>
            <w:color w:val="0A3A8C"/>
            <w:u w:val="single"/>
          </w:rPr>
          <w:t xml:space="preserve">§ 2021</w:t>
        </w:r>
      </w:hyperlink>
      <w:r>
        <w:t xml:space="preserve"> herauszugebende Bereicherung gedeckt werden. </w:t>
      </w:r>
      <w:r>
        <w:rPr>
          <w:rStyle w:val="Satznummer"/>
        </w:rPr>
        <w:t>2</w:t>
      </w:r>
      <w:r>
        <w:t xml:space="preserve">Die für den Eigentumsanspruch geltenden Vorschriften der </w:t>
      </w:r>
      <w:hyperlink w:anchor="b1472" w:history="1">
        <w:r>
          <w:rPr>
            <w:color w:val="0A3A8C"/>
            <w:u w:val="single"/>
          </w:rPr>
          <w:t xml:space="preserve">§§ 1000</w:t>
        </w:r>
      </w:hyperlink>
      <w:r>
        <w:t xml:space="preserve"> bis </w:t>
      </w:r>
      <w:hyperlink w:anchor="b1475" w:history="1">
        <w:r>
          <w:rPr>
            <w:color w:val="0A3A8C"/>
            <w:u w:val="single"/>
          </w:rPr>
          <w:t xml:space="preserve">1003</w:t>
        </w:r>
      </w:hyperlink>
      <w:r>
        <w:t xml:space="preserve"> finden Anwendung.</w:t>
      </w:r>
    </w:p>
    <w:p>
      <w:r>
        <w:t>(2) Zu den Verwendungen gehören auch die Aufwendungen, die der Erbschaftsbesitzer zur Bestreitung von Lasten der Erbschaft oder zur Berichtigung von Nachlassverbindlichkeiten macht.</w:t>
      </w:r>
    </w:p>
    <w:p>
      <w:r>
        <w:t>(3) Soweit der Erbe für Aufwendungen, die nicht auf einzelne Sachen gemacht worden sind, insbesondere für die im Absatz 2 bezeichneten Aufwendungen, nach den allgemeinen Vorschriften in weiterem Umfang Ersatz zu leisten hat, bleibt der Anspruch des Erbschaftsbesitzers unberührt.</w:t>
      </w:r>
    </w:p>
    <w:p>
      <w:pPr>
        <w:pStyle w:val="Heading4"/>
      </w:pPr>
      <w:bookmarkStart w:id="2486" w:name="b2471"/>
      <w:r>
        <w:t>§ 2023 Haftung bei Rechtshängigkeit, Nutzungen und Verwendungen</w:t>
      </w:r>
      <w:r>
        <w:t xml:space="preserve"> </w:t>
      </w:r>
      <w:r>
        <w:rPr>
          <w:rStyle w:val="Suchmarke"/>
        </w:rPr>
        <w:t>#2023#</w:t>
      </w:r>
      <w:bookmarkEnd w:id="2486"/>
    </w:p>
    <w:p>
      <w:r>
        <w:t>(1) Hat der Erbschaftsbesitzer zur Erbschaft gehörende Sachen herauszugeben, so bestimmt sich von dem Eintritt der Rechtshängigkeit an der Anspruch des Erben auf Schadensersatz wegen Verschlechterung, Untergangs oder einer aus einem anderen Grund eintretenden Unmöglichkeit der Herausgabe nach den Vorschriften, die für das Verhältnis zwischen dem Eigentümer und dem Besitzer von dem Eintritt der Rechtshängigkeit des Eigentumsanspruchs an gelten.</w:t>
      </w:r>
    </w:p>
    <w:p>
      <w:r>
        <w:t>(2) Das Gleiche gilt von dem Anspruch des Erben auf Herausgabe oder Vergütung von Nutzungen und von dem Anspruch des Erbschaftsbesitzers auf Ersatz von Verwendungen.</w:t>
      </w:r>
    </w:p>
    <w:p>
      <w:pPr>
        <w:pStyle w:val="Heading4"/>
      </w:pPr>
      <w:bookmarkStart w:id="2487" w:name="b2472"/>
      <w:r>
        <w:t>§ 2024 Haftung bei Kenntnis</w:t>
      </w:r>
      <w:r>
        <w:t xml:space="preserve"> </w:t>
      </w:r>
      <w:r>
        <w:rPr>
          <w:rStyle w:val="Suchmarke"/>
        </w:rPr>
        <w:t>#2024#</w:t>
      </w:r>
      <w:bookmarkEnd w:id="2487"/>
    </w:p>
    <w:p>
      <w:r>
        <w:rPr>
          <w:rStyle w:val="Satznummer"/>
        </w:rPr>
        <w:t>1</w:t>
      </w:r>
      <w:r>
        <w:t xml:space="preserve">Ist der Erbschaftsbesitzer bei dem Beginn des Erbschaftsbesitzes nicht in gutem Glauben, so haftet er so, wie wenn der Anspruch des Erben zu dieser Zeit rechtshängig geworden wäre. </w:t>
      </w:r>
      <w:r>
        <w:rPr>
          <w:rStyle w:val="Satznummer"/>
        </w:rPr>
        <w:t>2</w:t>
      </w:r>
      <w:r>
        <w:t xml:space="preserve">Erfährt der Erbschaftsbesitzer später, dass er nicht Erbe ist, so haftet er in gleicher Weise von der Erlangung der Kenntnis an. </w:t>
      </w:r>
      <w:r>
        <w:rPr>
          <w:rStyle w:val="Satznummer"/>
        </w:rPr>
        <w:t>3</w:t>
      </w:r>
      <w:r>
        <w:t>Eine weitergehende Haftung wegen Verzugs bleibt unberührt.</w:t>
      </w:r>
    </w:p>
    <w:p>
      <w:pPr>
        <w:pStyle w:val="Heading4"/>
      </w:pPr>
      <w:bookmarkStart w:id="2488" w:name="b2473"/>
      <w:r>
        <w:t>§ 2025 Haftung bei unerlaubter Handlung</w:t>
      </w:r>
      <w:r>
        <w:t xml:space="preserve"> </w:t>
      </w:r>
      <w:r>
        <w:rPr>
          <w:rStyle w:val="Suchmarke"/>
        </w:rPr>
        <w:t>#2025#</w:t>
      </w:r>
      <w:bookmarkEnd w:id="2488"/>
    </w:p>
    <w:p>
      <w:r>
        <w:rPr>
          <w:rStyle w:val="Satznummer"/>
        </w:rPr>
        <w:t>1</w:t>
      </w:r>
      <w:r>
        <w:t xml:space="preserve">Hat der Erbschaftsbesitzer einen Erbschaftsgegenstand durch eine Straftat oder eine zur Erbschaft gehörende Sache durch verbotene Eigenmacht erlangt, so haftet er nach den Vorschriften über den Schadensersatz wegen unerlaubter Handlungen. </w:t>
      </w:r>
      <w:r>
        <w:rPr>
          <w:rStyle w:val="Satznummer"/>
        </w:rPr>
        <w:t>2</w:t>
      </w:r>
      <w:r>
        <w:t>Ein gutgläubiger Erbschaftsbesitzer haftet jedoch wegen verbotener Eigenmacht nach diesen Vorschriften nur, wenn der Erbe den Besitz der Sache bereits tatsächlich ergriffen hatte.</w:t>
      </w:r>
    </w:p>
    <w:p>
      <w:pPr>
        <w:pStyle w:val="Heading4"/>
      </w:pPr>
      <w:bookmarkStart w:id="2489" w:name="b2474"/>
      <w:r>
        <w:t>§ 2026 Keine Berufung auf Ersitzung</w:t>
      </w:r>
      <w:r>
        <w:t xml:space="preserve"> </w:t>
      </w:r>
      <w:r>
        <w:rPr>
          <w:rStyle w:val="Suchmarke"/>
        </w:rPr>
        <w:t>#2026#</w:t>
      </w:r>
      <w:bookmarkEnd w:id="2489"/>
    </w:p>
    <w:p>
      <w:r>
        <w:t>Der Erbschaftsbesitzer kann sich dem Erben gegenüber, solange nicht der Erbschaftsanspruch verjährt ist, nicht auf die Ersitzung einer Sache berufen, die er als zur Erbschaft gehörend im Besitz hat.</w:t>
      </w:r>
    </w:p>
    <w:p>
      <w:pPr>
        <w:pStyle w:val="Heading4"/>
      </w:pPr>
      <w:bookmarkStart w:id="2490" w:name="b2475"/>
      <w:r>
        <w:t>§ 2027 Auskunftspflicht des Erbschaftsbesitzers</w:t>
      </w:r>
      <w:r>
        <w:t xml:space="preserve"> </w:t>
      </w:r>
      <w:r>
        <w:rPr>
          <w:rStyle w:val="Suchmarke"/>
        </w:rPr>
        <w:t>#2027#</w:t>
      </w:r>
      <w:bookmarkEnd w:id="2490"/>
    </w:p>
    <w:p>
      <w:r>
        <w:t>(1) Der Erbschaftsbesitzer ist verpflichtet, dem Erben über den Bestand der Erbschaft und über den Verbleib der Erbschaftsgegenstände Auskunft zu erteilen.</w:t>
      </w:r>
    </w:p>
    <w:p>
      <w:r>
        <w:t>(2) Die gleiche Verpflichtung hat, wer, ohne Erbschaftsbesitzer zu sein, eine Sache aus dem Nachlass in Besitz nimmt, bevor der Erbe den Besitz tatsächlich ergriffen hat.</w:t>
      </w:r>
    </w:p>
    <w:p>
      <w:pPr>
        <w:pStyle w:val="Heading4"/>
      </w:pPr>
      <w:bookmarkStart w:id="2491" w:name="b2476"/>
      <w:r>
        <w:t>§ 2028 Auskunftspflicht des Hausgenossen</w:t>
      </w:r>
      <w:r>
        <w:t xml:space="preserve"> </w:t>
      </w:r>
      <w:r>
        <w:rPr>
          <w:rStyle w:val="Suchmarke"/>
        </w:rPr>
        <w:t>#2028#</w:t>
      </w:r>
      <w:bookmarkEnd w:id="2491"/>
    </w:p>
    <w:p>
      <w:r>
        <w:t>(1) Wer sich zur Zeit des Erbfalls mit dem Erblasser in häuslicher Gemeinschaft befunden hat, ist verpflichtet, dem Erben auf Verlangen Auskunft darüber zu erteilen, welche erbschaftlichen Geschäfte er geführt hat und was ihm über den Verbleib der Erbschaftsgegenstände bekannt ist.</w:t>
      </w:r>
    </w:p>
    <w:p>
      <w:r>
        <w:t>(2) Besteht Grund zu der Annahme, dass die Auskunft nicht mit der erforderlichen Sorgfalt erteilt worden ist, so hat der Verpflichtete auf Verlangen des Erben zu Protokoll an Eides statt zu versichern, dass er seine Angaben nach bestem Wissen so vollständig gemacht habe, als er dazu imstande sei.</w:t>
      </w:r>
    </w:p>
    <w:p>
      <w:r>
        <w:t xml:space="preserve">(3) Die Vorschriften des </w:t>
      </w:r>
      <w:hyperlink w:anchor="b301" w:history="1">
        <w:r>
          <w:rPr>
            <w:color w:val="0A3A8C"/>
            <w:u w:val="single"/>
          </w:rPr>
          <w:t xml:space="preserve">§ 259</w:t>
        </w:r>
      </w:hyperlink>
      <w:r>
        <w:t xml:space="preserve"> Abs. 3 und des </w:t>
      </w:r>
      <w:hyperlink w:anchor="b303" w:history="1">
        <w:r>
          <w:rPr>
            <w:color w:val="0A3A8C"/>
            <w:u w:val="single"/>
          </w:rPr>
          <w:t xml:space="preserve">§ 261</w:t>
        </w:r>
      </w:hyperlink>
      <w:r>
        <w:t xml:space="preserve"> finden Anwendung.</w:t>
      </w:r>
    </w:p>
    <w:p>
      <w:pPr>
        <w:pStyle w:val="Heading4"/>
      </w:pPr>
      <w:bookmarkStart w:id="2492" w:name="b2477"/>
      <w:r>
        <w:t>§ 2029 Haftung bei Einzelansprüchen des Erben</w:t>
      </w:r>
      <w:r>
        <w:t xml:space="preserve"> </w:t>
      </w:r>
      <w:r>
        <w:rPr>
          <w:rStyle w:val="Suchmarke"/>
        </w:rPr>
        <w:t>#2029#</w:t>
      </w:r>
      <w:bookmarkEnd w:id="2492"/>
    </w:p>
    <w:p>
      <w:r>
        <w:t>Die Haftung des Erbschaftsbesitzers bestimmt sich auch gegenüber den Ansprüchen, die dem Erben in Ansehung der einzelnen Erbschaftsgegenstände zustehen, nach den Vorschriften über den Erbschaftsanspruch.</w:t>
      </w:r>
    </w:p>
    <w:p>
      <w:pPr>
        <w:pStyle w:val="Heading4"/>
      </w:pPr>
      <w:bookmarkStart w:id="2493" w:name="b2478"/>
      <w:r>
        <w:t>§ 2030 Rechtsstellung des Erbschaftserwerbers</w:t>
      </w:r>
      <w:r>
        <w:t xml:space="preserve"> </w:t>
      </w:r>
      <w:r>
        <w:rPr>
          <w:rStyle w:val="Suchmarke"/>
        </w:rPr>
        <w:t>#2030#</w:t>
      </w:r>
      <w:bookmarkEnd w:id="2493"/>
    </w:p>
    <w:p>
      <w:r>
        <w:t>Wer die Erbschaft durch Vertrag von einem Erbschaftsbesitzer erwirbt, steht im Verhältnis zu dem Erben einem Erbschaftsbesitzer gleich.</w:t>
      </w:r>
    </w:p>
    <w:p>
      <w:pPr>
        <w:pStyle w:val="Heading4"/>
      </w:pPr>
      <w:bookmarkStart w:id="2494" w:name="b2479"/>
      <w:r>
        <w:t>§ 2031 Herausgabeanspruch des für tot Erklärten</w:t>
      </w:r>
      <w:r>
        <w:t xml:space="preserve"> </w:t>
      </w:r>
      <w:r>
        <w:rPr>
          <w:rStyle w:val="Suchmarke"/>
        </w:rPr>
        <w:t>#2031#</w:t>
      </w:r>
      <w:bookmarkEnd w:id="2494"/>
    </w:p>
    <w:p>
      <w:r>
        <w:t xml:space="preserve">(1) </w:t>
      </w:r>
      <w:r>
        <w:rPr>
          <w:rStyle w:val="Satznummer"/>
        </w:rPr>
        <w:t>1</w:t>
      </w:r>
      <w:r>
        <w:t xml:space="preserve">Überlebt eine Person, die für tot erklärt oder deren Todeszeit nach den Vorschriften des Verschollenheitsgesetzes festgestellt ist, den Zeitpunkt, der als Zeitpunkt ihres Todes gilt, so kann sie die Herausgabe ihres Vermögens nach den für den Erbschaftsanspruch geltenden Vorschriften verlangen. </w:t>
      </w:r>
      <w:r>
        <w:rPr>
          <w:rStyle w:val="Satznummer"/>
        </w:rPr>
        <w:t>2</w:t>
      </w:r>
      <w:r>
        <w:t>Solange sie noch lebt, wird die Verjährung ihres Anspruchs nicht vor dem Ablauf eines Jahres nach dem Zeitpunkt vollendet, in welchem sie von der Todeserklärung oder der Feststellung der Todeszeit Kenntnis erlangt.</w:t>
      </w:r>
    </w:p>
    <w:p>
      <w:r>
        <w:t>(2) Das Gleiche gilt, wenn der Tod einer Person ohne Todeserklärung oder Feststellung der Todeszeit mit Unrecht angenommen worden ist.</w:t>
      </w:r>
    </w:p>
    <w:p>
      <w:pPr>
        <w:pStyle w:val="Heading3"/>
      </w:pPr>
      <w:bookmarkStart w:id="2495" w:name="b2480"/>
      <w:r>
        <w:t>Titel 4 Mehrheit von Erben</w:t>
      </w:r>
      <w:bookmarkEnd w:id="2495"/>
    </w:p>
    <w:p>
      <w:pPr>
        <w:pStyle w:val="Heading4"/>
      </w:pPr>
      <w:bookmarkStart w:id="2496" w:name="b2481"/>
      <w:r>
        <w:t>Untertitel 1 Rechtsverhältnis der Erben untereinander</w:t>
      </w:r>
      <w:bookmarkEnd w:id="2496"/>
    </w:p>
    <w:p>
      <w:pPr>
        <w:pStyle w:val="Heading5"/>
      </w:pPr>
      <w:bookmarkStart w:id="2497" w:name="b2482"/>
      <w:r>
        <w:t>§ 2032 Erbengemeinschaft</w:t>
      </w:r>
      <w:r>
        <w:t xml:space="preserve"> </w:t>
      </w:r>
      <w:r>
        <w:rPr>
          <w:rStyle w:val="Suchmarke"/>
        </w:rPr>
        <w:t>#2032#</w:t>
      </w:r>
      <w:bookmarkEnd w:id="2497"/>
    </w:p>
    <w:p>
      <w:r>
        <w:t>(1) Hinterlässt der Erblasser mehrere Erben, so wird der Nachlass gemeinschaftliches Vermögen der Erben.</w:t>
      </w:r>
    </w:p>
    <w:p>
      <w:r>
        <w:t xml:space="preserve">(2) Bis zur Auseinandersetzung gelten die Vorschriften der </w:t>
      </w:r>
      <w:hyperlink w:anchor="b2483" w:history="1">
        <w:r>
          <w:rPr>
            <w:color w:val="0A3A8C"/>
            <w:u w:val="single"/>
          </w:rPr>
          <w:t xml:space="preserve">§§ 2033</w:t>
        </w:r>
      </w:hyperlink>
      <w:r>
        <w:t xml:space="preserve"> bis </w:t>
      </w:r>
      <w:hyperlink w:anchor="b2491" w:history="1">
        <w:r>
          <w:rPr>
            <w:color w:val="0A3A8C"/>
            <w:u w:val="single"/>
          </w:rPr>
          <w:t xml:space="preserve">2041</w:t>
        </w:r>
      </w:hyperlink>
      <w:r>
        <w:t>.</w:t>
      </w:r>
    </w:p>
    <w:p>
      <w:pPr>
        <w:pStyle w:val="Heading5"/>
      </w:pPr>
      <w:bookmarkStart w:id="2498" w:name="b2483"/>
      <w:r>
        <w:t>§ 2033 Verfügungsrecht des Miterben</w:t>
      </w:r>
      <w:r>
        <w:t xml:space="preserve"> </w:t>
      </w:r>
      <w:r>
        <w:rPr>
          <w:rStyle w:val="Suchmarke"/>
        </w:rPr>
        <w:t>#2033#</w:t>
      </w:r>
      <w:bookmarkEnd w:id="2498"/>
    </w:p>
    <w:p>
      <w:r>
        <w:t xml:space="preserve">(1) </w:t>
      </w:r>
      <w:r>
        <w:rPr>
          <w:rStyle w:val="Satznummer"/>
        </w:rPr>
        <w:t>1</w:t>
      </w:r>
      <w:r>
        <w:t xml:space="preserve">Jeder Miterbe kann über seinen Anteil an dem Nachlass verfügen. </w:t>
      </w:r>
      <w:r>
        <w:rPr>
          <w:rStyle w:val="Satznummer"/>
        </w:rPr>
        <w:t>2</w:t>
      </w:r>
      <w:r>
        <w:t>Der Vertrag, durch den ein Miterbe über seinen Anteil verfügt, bedarf der notariellen Beurkundung.</w:t>
      </w:r>
    </w:p>
    <w:p>
      <w:r>
        <w:t>(2) Über seinen Anteil an den einzelnen Nachlassgegenständen kann ein Miterbe nicht verfügen.</w:t>
      </w:r>
    </w:p>
    <w:p>
      <w:pPr>
        <w:pStyle w:val="Heading5"/>
      </w:pPr>
      <w:bookmarkStart w:id="2499" w:name="b2484"/>
      <w:r>
        <w:t>§ 2034 Vorkaufsrecht gegenüber dem Verkäufer</w:t>
      </w:r>
      <w:r>
        <w:t xml:space="preserve"> </w:t>
      </w:r>
      <w:r>
        <w:rPr>
          <w:rStyle w:val="Suchmarke"/>
        </w:rPr>
        <w:t>#2034#</w:t>
      </w:r>
      <w:bookmarkEnd w:id="2499"/>
    </w:p>
    <w:p>
      <w:r>
        <w:t>(1) Verkauft ein Miterbe seinen Anteil an einen Dritten, so sind die übrigen Miterben zum Vorkauf berechtigt.</w:t>
      </w:r>
    </w:p>
    <w:p>
      <w:r>
        <w:t xml:space="preserve">(2) </w:t>
      </w:r>
      <w:r>
        <w:rPr>
          <w:rStyle w:val="Satznummer"/>
        </w:rPr>
        <w:t>1</w:t>
      </w:r>
      <w:r>
        <w:t xml:space="preserve">Die Frist für die Ausübung des Vorkaufsrechts beträgt zwei Monate. </w:t>
      </w:r>
      <w:r>
        <w:rPr>
          <w:rStyle w:val="Satznummer"/>
        </w:rPr>
        <w:t>2</w:t>
      </w:r>
      <w:r>
        <w:t>Das Vorkaufsrecht ist vererblich.</w:t>
      </w:r>
    </w:p>
    <w:p>
      <w:pPr>
        <w:pStyle w:val="Heading5"/>
      </w:pPr>
      <w:bookmarkStart w:id="2500" w:name="b2485"/>
      <w:r>
        <w:t>§ 2035 Vorkaufsrecht gegenüber dem Käufer</w:t>
      </w:r>
      <w:r>
        <w:t xml:space="preserve"> </w:t>
      </w:r>
      <w:r>
        <w:rPr>
          <w:rStyle w:val="Suchmarke"/>
        </w:rPr>
        <w:t>#2035#</w:t>
      </w:r>
      <w:bookmarkEnd w:id="2500"/>
    </w:p>
    <w:p>
      <w:r>
        <w:t xml:space="preserve">(1) </w:t>
      </w:r>
      <w:r>
        <w:rPr>
          <w:rStyle w:val="Satznummer"/>
        </w:rPr>
        <w:t>1</w:t>
      </w:r>
      <w:r>
        <w:t xml:space="preserve">Ist der verkaufte Anteil auf den Käufer übertragen, so können die Miterben das ihnen nach § 2034 dem Verkäufer gegenüber zustehende Vorkaufsrecht dem Käufer gegenüber ausüben. </w:t>
      </w:r>
      <w:r>
        <w:rPr>
          <w:rStyle w:val="Satznummer"/>
        </w:rPr>
        <w:t>2</w:t>
      </w:r>
      <w:r>
        <w:t>Dem Verkäufer gegenüber erlischt das Vorkaufsrecht mit der Übertragung des Anteils.</w:t>
      </w:r>
    </w:p>
    <w:p>
      <w:r>
        <w:t>(2) Der Verkäufer hat die Miterben von der Übertragung unverzüglich zu benachrichtigen.</w:t>
      </w:r>
    </w:p>
    <w:p>
      <w:pPr>
        <w:pStyle w:val="Heading5"/>
      </w:pPr>
      <w:bookmarkStart w:id="2501" w:name="b2486"/>
      <w:r>
        <w:t>§ 2036 Haftung des Erbteilkäufers</w:t>
      </w:r>
      <w:r>
        <w:t xml:space="preserve"> </w:t>
      </w:r>
      <w:r>
        <w:rPr>
          <w:rStyle w:val="Suchmarke"/>
        </w:rPr>
        <w:t>#2036#</w:t>
      </w:r>
      <w:bookmarkEnd w:id="2501"/>
    </w:p>
    <w:p>
      <w:r>
        <w:rPr>
          <w:rStyle w:val="Satznummer"/>
        </w:rPr>
        <w:t>1</w:t>
      </w:r>
      <w:r>
        <w:t xml:space="preserve">Mit der Übertragung des Anteils auf die Miterben wird der Käufer von der Haftung für die Nachlassverbindlichkeiten frei. </w:t>
      </w:r>
      <w:r>
        <w:rPr>
          <w:rStyle w:val="Satznummer"/>
        </w:rPr>
        <w:t>2</w:t>
      </w:r>
      <w:r>
        <w:t xml:space="preserve">Seine Haftung bleibt jedoch bestehen, soweit er den Nachlassgläubigern nach den </w:t>
      </w:r>
      <w:hyperlink w:anchor="b2423" w:history="1">
        <w:r>
          <w:rPr>
            <w:color w:val="0A3A8C"/>
            <w:u w:val="single"/>
          </w:rPr>
          <w:t xml:space="preserve">§§ 1978</w:t>
        </w:r>
      </w:hyperlink>
      <w:r>
        <w:t xml:space="preserve"> bis </w:t>
      </w:r>
      <w:hyperlink w:anchor="b2425" w:history="1">
        <w:r>
          <w:rPr>
            <w:color w:val="0A3A8C"/>
            <w:u w:val="single"/>
          </w:rPr>
          <w:t xml:space="preserve">1980</w:t>
        </w:r>
      </w:hyperlink>
      <w:r>
        <w:t xml:space="preserve"> verantwortlich ist; die Vorschriften der </w:t>
      </w:r>
      <w:hyperlink w:anchor="b2435" w:history="1">
        <w:r>
          <w:rPr>
            <w:color w:val="0A3A8C"/>
            <w:u w:val="single"/>
          </w:rPr>
          <w:t xml:space="preserve">§§ 1990</w:t>
        </w:r>
      </w:hyperlink>
      <w:r>
        <w:t xml:space="preserve">, </w:t>
      </w:r>
      <w:hyperlink w:anchor="b2436" w:history="1">
        <w:r>
          <w:rPr>
            <w:color w:val="0A3A8C"/>
            <w:u w:val="single"/>
          </w:rPr>
          <w:t xml:space="preserve">1991</w:t>
        </w:r>
      </w:hyperlink>
      <w:r>
        <w:t xml:space="preserve"> finden entsprechende Anwendung.</w:t>
      </w:r>
    </w:p>
    <w:p>
      <w:pPr>
        <w:pStyle w:val="Heading5"/>
      </w:pPr>
      <w:bookmarkStart w:id="2502" w:name="b2487"/>
      <w:r>
        <w:t>§ 2037 Weiterveräußerung des Erbteils</w:t>
      </w:r>
      <w:r>
        <w:t xml:space="preserve"> </w:t>
      </w:r>
      <w:r>
        <w:rPr>
          <w:rStyle w:val="Suchmarke"/>
        </w:rPr>
        <w:t>#2037#</w:t>
      </w:r>
      <w:bookmarkEnd w:id="2502"/>
    </w:p>
    <w:p>
      <w:r>
        <w:t xml:space="preserve">Überträgt der Käufer den Anteil auf einen anderen, so finden die Vorschriften der </w:t>
      </w:r>
      <w:hyperlink w:anchor="b2483" w:history="1">
        <w:r>
          <w:rPr>
            <w:color w:val="0A3A8C"/>
            <w:u w:val="single"/>
          </w:rPr>
          <w:t xml:space="preserve">§§ 2033</w:t>
        </w:r>
      </w:hyperlink>
      <w:r>
        <w:t xml:space="preserve">, </w:t>
      </w:r>
      <w:hyperlink w:anchor="b2485" w:history="1">
        <w:r>
          <w:rPr>
            <w:color w:val="0A3A8C"/>
            <w:u w:val="single"/>
          </w:rPr>
          <w:t xml:space="preserve">2035</w:t>
        </w:r>
      </w:hyperlink>
      <w:r>
        <w:t xml:space="preserve">, </w:t>
      </w:r>
      <w:hyperlink w:anchor="b2486" w:history="1">
        <w:r>
          <w:rPr>
            <w:color w:val="0A3A8C"/>
            <w:u w:val="single"/>
          </w:rPr>
          <w:t xml:space="preserve">2036</w:t>
        </w:r>
      </w:hyperlink>
      <w:r>
        <w:t xml:space="preserve"> entsprechende Anwendung.</w:t>
      </w:r>
    </w:p>
    <w:p>
      <w:pPr>
        <w:pStyle w:val="Heading5"/>
      </w:pPr>
      <w:bookmarkStart w:id="2503" w:name="b2488"/>
      <w:r>
        <w:t>§ 2038 Gemeinschaftliche Verwaltung des Nachlasses</w:t>
      </w:r>
      <w:r>
        <w:t xml:space="preserve"> </w:t>
      </w:r>
      <w:r>
        <w:rPr>
          <w:rStyle w:val="Suchmarke"/>
        </w:rPr>
        <w:t>#2038#</w:t>
      </w:r>
      <w:bookmarkEnd w:id="2503"/>
    </w:p>
    <w:p>
      <w:r>
        <w:t xml:space="preserve">(1) </w:t>
      </w:r>
      <w:r>
        <w:rPr>
          <w:rStyle w:val="Satznummer"/>
        </w:rPr>
        <w:t>1</w:t>
      </w:r>
      <w:r>
        <w:t xml:space="preserve">Die Verwaltung des Nachlasses steht den Erben gemeinschaftlich zu. </w:t>
      </w:r>
      <w:r>
        <w:rPr>
          <w:rStyle w:val="Satznummer"/>
        </w:rPr>
        <w:t>2</w:t>
      </w:r>
      <w:r>
        <w:t>Jeder Miterbe ist den anderen gegenüber verpflichtet, zu Maßregeln mitzuwirken, die zur ordnungsmäßigen Verwaltung erforderlich sind; die zur Erhaltung notwendigen Maßregeln kann jeder Miterbe ohne Mitwirkung der anderen treffen.</w:t>
      </w:r>
    </w:p>
    <w:p>
      <w:r>
        <w:t xml:space="preserve">(2) </w:t>
      </w:r>
      <w:r>
        <w:rPr>
          <w:rStyle w:val="Satznummer"/>
        </w:rPr>
        <w:t>1</w:t>
      </w:r>
      <w:r>
        <w:t xml:space="preserve">Die Vorschriften der </w:t>
      </w:r>
      <w:hyperlink w:anchor="b1187" w:history="1">
        <w:r>
          <w:rPr>
            <w:color w:val="0A3A8C"/>
            <w:u w:val="single"/>
          </w:rPr>
          <w:t xml:space="preserve">§§ 743</w:t>
        </w:r>
      </w:hyperlink>
      <w:r>
        <w:t xml:space="preserve">, </w:t>
      </w:r>
      <w:hyperlink w:anchor="b1189" w:history="1">
        <w:r>
          <w:rPr>
            <w:color w:val="0A3A8C"/>
            <w:u w:val="single"/>
          </w:rPr>
          <w:t xml:space="preserve">745</w:t>
        </w:r>
      </w:hyperlink>
      <w:r>
        <w:t xml:space="preserve">, </w:t>
      </w:r>
      <w:hyperlink w:anchor="b1190" w:history="1">
        <w:r>
          <w:rPr>
            <w:color w:val="0A3A8C"/>
            <w:u w:val="single"/>
          </w:rPr>
          <w:t xml:space="preserve">746</w:t>
        </w:r>
      </w:hyperlink>
      <w:r>
        <w:t xml:space="preserve">, </w:t>
      </w:r>
      <w:hyperlink w:anchor="b1192" w:history="1">
        <w:r>
          <w:rPr>
            <w:color w:val="0A3A8C"/>
            <w:u w:val="single"/>
          </w:rPr>
          <w:t xml:space="preserve">748</w:t>
        </w:r>
      </w:hyperlink>
      <w:r>
        <w:t xml:space="preserve"> finden Anwendung. </w:t>
      </w:r>
      <w:r>
        <w:rPr>
          <w:rStyle w:val="Satznummer"/>
        </w:rPr>
        <w:t>2</w:t>
      </w:r>
      <w:r>
        <w:t xml:space="preserve">Die Teilung der Früchte erfolgt erst bei der Auseinandersetzung. </w:t>
      </w:r>
      <w:r>
        <w:rPr>
          <w:rStyle w:val="Satznummer"/>
        </w:rPr>
        <w:t>3</w:t>
      </w:r>
      <w:r>
        <w:t>Ist die Auseinandersetzung auf längere Zeit als ein Jahr ausgeschlossen, so kann jeder Miterbe am Schluss jedes Jahres die Teilung des Reinertrags verlangen.</w:t>
      </w:r>
    </w:p>
    <w:p>
      <w:pPr>
        <w:pStyle w:val="Heading5"/>
      </w:pPr>
      <w:bookmarkStart w:id="2504" w:name="b2489"/>
      <w:r>
        <w:t>§ 2039 Nachlassforderungen</w:t>
      </w:r>
      <w:r>
        <w:t xml:space="preserve"> </w:t>
      </w:r>
      <w:r>
        <w:rPr>
          <w:rStyle w:val="Suchmarke"/>
        </w:rPr>
        <w:t>#2039#</w:t>
      </w:r>
      <w:bookmarkEnd w:id="2504"/>
    </w:p>
    <w:p>
      <w:r>
        <w:rPr>
          <w:rStyle w:val="Satznummer"/>
        </w:rPr>
        <w:t>1</w:t>
      </w:r>
      <w:r>
        <w:t xml:space="preserve">Gehört ein Anspruch zum Nachlass, so kann der Verpflichtete nur an alle Erben gemeinschaftlich leisten und jeder Miterbe nur die Leistung an alle Erben fordern. </w:t>
      </w:r>
      <w:r>
        <w:rPr>
          <w:rStyle w:val="Satznummer"/>
        </w:rPr>
        <w:t>2</w:t>
      </w:r>
      <w:r>
        <w:t>Jeder Miterbe kann verlangen, dass der Verpflichtete die zu leistende Sache für alle Erben hinterlegt oder, wenn sie sich nicht zur Hinterlegung eignet, an einen gerichtlich zu bestellenden Verwahrer abliefert.</w:t>
      </w:r>
    </w:p>
    <w:p>
      <w:pPr>
        <w:pStyle w:val="Heading5"/>
      </w:pPr>
      <w:bookmarkStart w:id="2505" w:name="b2490"/>
      <w:r>
        <w:t>§ 2040 Verfügung über Nachlassgegenstände, Aufrechnung</w:t>
      </w:r>
      <w:r>
        <w:t xml:space="preserve"> </w:t>
      </w:r>
      <w:r>
        <w:rPr>
          <w:rStyle w:val="Suchmarke"/>
        </w:rPr>
        <w:t>#2040#</w:t>
      </w:r>
      <w:bookmarkEnd w:id="2505"/>
    </w:p>
    <w:p>
      <w:r>
        <w:t>(1) Die Erben können über einen Nachlassgegenstand nur gemeinschaftlich verfügen.</w:t>
      </w:r>
    </w:p>
    <w:p>
      <w:r>
        <w:t>(2) Gegen eine zum Nachlass gehörende Forderung kann der Schuldner nicht eine ihm gegen einen einzelnen Miterben zustehende Forderung aufrechnen.</w:t>
      </w:r>
    </w:p>
    <w:p>
      <w:pPr>
        <w:pStyle w:val="Heading5"/>
      </w:pPr>
      <w:bookmarkStart w:id="2506" w:name="b2491"/>
      <w:r>
        <w:t>§ 2041 Unmittelbare Ersetzung</w:t>
      </w:r>
      <w:r>
        <w:t xml:space="preserve"> </w:t>
      </w:r>
      <w:r>
        <w:rPr>
          <w:rStyle w:val="Suchmarke"/>
        </w:rPr>
        <w:t>#2041#</w:t>
      </w:r>
      <w:bookmarkEnd w:id="2506"/>
    </w:p>
    <w:p>
      <w:r>
        <w:rPr>
          <w:rStyle w:val="Satznummer"/>
        </w:rPr>
        <w:t>1</w:t>
      </w:r>
      <w:r>
        <w:t xml:space="preserve">Was auf Grund eines zum Nachlass gehörenden Rechts oder als Ersatz für die Zerstörung, Beschädigung oder Entziehung eines Nachlassgegenstands oder durch ein Rechtsgeschäft erworben wird, das sich auf den Nachlass bezieht, gehört zum Nachlass. </w:t>
      </w:r>
      <w:r>
        <w:rPr>
          <w:rStyle w:val="Satznummer"/>
        </w:rPr>
        <w:t>2</w:t>
      </w:r>
      <w:r>
        <w:t>Auf eine durch ein solches Rechtsgeschäft erworbene Forderung findet die Vorschrift des § 2019 Abs. 2 Anwendung.</w:t>
      </w:r>
    </w:p>
    <w:p>
      <w:pPr>
        <w:pStyle w:val="Heading5"/>
      </w:pPr>
      <w:bookmarkStart w:id="2507" w:name="b2492"/>
      <w:r>
        <w:t>§ 2042 Auseinandersetzung</w:t>
      </w:r>
      <w:r>
        <w:t xml:space="preserve"> </w:t>
      </w:r>
      <w:r>
        <w:rPr>
          <w:rStyle w:val="Suchmarke"/>
        </w:rPr>
        <w:t>#2042#</w:t>
      </w:r>
      <w:bookmarkEnd w:id="2507"/>
    </w:p>
    <w:p>
      <w:r>
        <w:t xml:space="preserve">(1) Jeder Miterbe kann jederzeit die Auseinandersetzung verlangen, soweit sich nicht aus den </w:t>
      </w:r>
      <w:hyperlink w:anchor="b2493" w:history="1">
        <w:r>
          <w:rPr>
            <w:color w:val="0A3A8C"/>
            <w:u w:val="single"/>
          </w:rPr>
          <w:t xml:space="preserve">§§ 2043</w:t>
        </w:r>
      </w:hyperlink>
      <w:r>
        <w:t xml:space="preserve"> bis </w:t>
      </w:r>
      <w:hyperlink w:anchor="b2495" w:history="1">
        <w:r>
          <w:rPr>
            <w:color w:val="0A3A8C"/>
            <w:u w:val="single"/>
          </w:rPr>
          <w:t xml:space="preserve">2045</w:t>
        </w:r>
      </w:hyperlink>
      <w:r>
        <w:t xml:space="preserve"> ein anderes ergibt.</w:t>
      </w:r>
    </w:p>
    <w:p>
      <w:r>
        <w:t xml:space="preserve">(2) Die Vorschriften des </w:t>
      </w:r>
      <w:hyperlink w:anchor="b1193" w:history="1">
        <w:r>
          <w:rPr>
            <w:color w:val="0A3A8C"/>
            <w:u w:val="single"/>
          </w:rPr>
          <w:t xml:space="preserve">§ 749</w:t>
        </w:r>
      </w:hyperlink>
      <w:r>
        <w:t xml:space="preserve"> Abs. 2, 3 und der </w:t>
      </w:r>
      <w:hyperlink w:anchor="b1194" w:history="1">
        <w:r>
          <w:rPr>
            <w:color w:val="0A3A8C"/>
            <w:u w:val="single"/>
          </w:rPr>
          <w:t xml:space="preserve">§§ 750</w:t>
        </w:r>
      </w:hyperlink>
      <w:r>
        <w:t xml:space="preserve"> bis </w:t>
      </w:r>
      <w:hyperlink w:anchor="b1202" w:history="1">
        <w:r>
          <w:rPr>
            <w:color w:val="0A3A8C"/>
            <w:u w:val="single"/>
          </w:rPr>
          <w:t xml:space="preserve">758</w:t>
        </w:r>
      </w:hyperlink>
      <w:r>
        <w:t xml:space="preserve"> finden Anwendung.</w:t>
      </w:r>
    </w:p>
    <w:p>
      <w:pPr>
        <w:pStyle w:val="Heading5"/>
      </w:pPr>
      <w:bookmarkStart w:id="2508" w:name="b2493"/>
      <w:r>
        <w:t>§ 2043 Aufschub der Auseinandersetzung</w:t>
      </w:r>
      <w:r>
        <w:t xml:space="preserve"> </w:t>
      </w:r>
      <w:r>
        <w:rPr>
          <w:rStyle w:val="Suchmarke"/>
        </w:rPr>
        <w:t>#2043#</w:t>
      </w:r>
      <w:bookmarkEnd w:id="2508"/>
    </w:p>
    <w:p>
      <w:r>
        <w:t>(1) Soweit die Erbteile wegen der zu erwartenden Geburt eines Miterben noch unbestimmt sind, ist die Auseinandersetzung bis zur Hebung der Unbestimmtheit ausgeschlossen.</w:t>
      </w:r>
    </w:p>
    <w:p>
      <w:r>
        <w:t>(2) Das Gleiche gilt, soweit die Erbteile deshalb noch unbestimmt sind, weil die Entscheidung über einen Antrag auf Annahme als Kind, über die Aufhebung des Annahmeverhältnisses oder über die Anerkennung einer vom Erblasser errichteten Stiftung als rechtsfähig noch aussteht.</w:t>
      </w:r>
    </w:p>
    <w:p>
      <w:pPr>
        <w:pStyle w:val="Heading5"/>
      </w:pPr>
      <w:bookmarkStart w:id="2509" w:name="b2494"/>
      <w:r>
        <w:t>§ 2044 Ausschluss der Auseinandersetzung</w:t>
      </w:r>
      <w:r>
        <w:t xml:space="preserve"> </w:t>
      </w:r>
      <w:r>
        <w:rPr>
          <w:rStyle w:val="Suchmarke"/>
        </w:rPr>
        <w:t>#2044#</w:t>
      </w:r>
      <w:bookmarkEnd w:id="2509"/>
    </w:p>
    <w:p>
      <w:r>
        <w:t xml:space="preserve">(1) </w:t>
      </w:r>
      <w:r>
        <w:rPr>
          <w:rStyle w:val="Satznummer"/>
        </w:rPr>
        <w:t>1</w:t>
      </w:r>
      <w:r>
        <w:t xml:space="preserve">Der Erblasser kann durch letztwillige Verfügung die Auseinandersetzung in Ansehung des Nachlasses oder einzelner Nachlassgegenstände ausschließen oder von der Einhaltung einer Kündigungsfrist abhängig machen. </w:t>
      </w:r>
      <w:r>
        <w:rPr>
          <w:rStyle w:val="Satznummer"/>
        </w:rPr>
        <w:t>2</w:t>
      </w:r>
      <w:r>
        <w:t xml:space="preserve">Die Vorschriften des </w:t>
      </w:r>
      <w:hyperlink w:anchor="b1193" w:history="1">
        <w:r>
          <w:rPr>
            <w:color w:val="0A3A8C"/>
            <w:u w:val="single"/>
          </w:rPr>
          <w:t xml:space="preserve">§ 749</w:t>
        </w:r>
      </w:hyperlink>
      <w:r>
        <w:t xml:space="preserve"> Abs. 2, 3, der </w:t>
      </w:r>
      <w:hyperlink w:anchor="b1194" w:history="1">
        <w:r>
          <w:rPr>
            <w:color w:val="0A3A8C"/>
            <w:u w:val="single"/>
          </w:rPr>
          <w:t xml:space="preserve">§§ 750</w:t>
        </w:r>
      </w:hyperlink>
      <w:r>
        <w:t xml:space="preserve">, </w:t>
      </w:r>
      <w:hyperlink w:anchor="b1195" w:history="1">
        <w:r>
          <w:rPr>
            <w:color w:val="0A3A8C"/>
            <w:u w:val="single"/>
          </w:rPr>
          <w:t xml:space="preserve">751</w:t>
        </w:r>
      </w:hyperlink>
      <w:r>
        <w:t xml:space="preserve"> und des </w:t>
      </w:r>
      <w:hyperlink w:anchor="b1483" w:history="1">
        <w:r>
          <w:rPr>
            <w:color w:val="0A3A8C"/>
            <w:u w:val="single"/>
          </w:rPr>
          <w:t xml:space="preserve">§ 1010</w:t>
        </w:r>
      </w:hyperlink>
      <w:r>
        <w:t xml:space="preserve"> Abs. 1 finden entsprechende Anwendung.</w:t>
      </w:r>
    </w:p>
    <w:p>
      <w:r>
        <w:t xml:space="preserve">(2) </w:t>
      </w:r>
      <w:r>
        <w:rPr>
          <w:rStyle w:val="Satznummer"/>
        </w:rPr>
        <w:t>1</w:t>
      </w:r>
      <w:r>
        <w:t xml:space="preserve">Die Verfügung wird unwirksam, wenn 30 Jahre seit dem Eintritt des Erbfalls verstrichen sind. </w:t>
      </w:r>
      <w:r>
        <w:rPr>
          <w:rStyle w:val="Satznummer"/>
        </w:rPr>
        <w:t>2</w:t>
      </w:r>
      <w:r>
        <w:t xml:space="preserve">Der Erblasser kann jedoch anordnen, dass die Verfügung bis zum Eintritt eines bestimmten Ereignisses in der Person eines Miterben oder, falls er eine Nacherbfolge oder ein Vermächtnis anordnet, bis zum Eintritt der Nacherbfolge oder bis zum Anfall des Vermächtnisses gelten soll. </w:t>
      </w:r>
      <w:r>
        <w:rPr>
          <w:rStyle w:val="Satznummer"/>
        </w:rPr>
        <w:t>3</w:t>
      </w:r>
      <w:r>
        <w:t>Ist der Miterbe, in dessen Person das Ereignis eintreten soll, eine juristische Person, so bewendet es bei der dreißigjährigen Frist.</w:t>
      </w:r>
    </w:p>
    <w:p>
      <w:pPr>
        <w:pStyle w:val="Heading5"/>
      </w:pPr>
      <w:bookmarkStart w:id="2510" w:name="b2495"/>
      <w:r>
        <w:t>§ 2045 Aufschub der Auseinandersetzung</w:t>
      </w:r>
      <w:r>
        <w:t xml:space="preserve"> </w:t>
      </w:r>
      <w:r>
        <w:rPr>
          <w:rStyle w:val="Suchmarke"/>
        </w:rPr>
        <w:t>#2045#</w:t>
      </w:r>
      <w:bookmarkEnd w:id="2510"/>
    </w:p>
    <w:p>
      <w:r>
        <w:rPr>
          <w:rStyle w:val="Satznummer"/>
        </w:rPr>
        <w:t>1</w:t>
      </w:r>
      <w:r>
        <w:t xml:space="preserve">Jeder Miterbe kann verlangen, dass die Auseinandersetzung bis zur Beendigung des nach </w:t>
      </w:r>
      <w:hyperlink w:anchor="b2414" w:history="1">
        <w:r>
          <w:rPr>
            <w:color w:val="0A3A8C"/>
            <w:u w:val="single"/>
          </w:rPr>
          <w:t xml:space="preserve">§ 1970</w:t>
        </w:r>
      </w:hyperlink>
      <w:r>
        <w:t xml:space="preserve"> zulässigen Aufgebotsverfahrens oder bis zum Ablauf der in </w:t>
      </w:r>
      <w:hyperlink w:anchor="b2513" w:history="1">
        <w:r>
          <w:rPr>
            <w:color w:val="0A3A8C"/>
            <w:u w:val="single"/>
          </w:rPr>
          <w:t xml:space="preserve">§ 2061</w:t>
        </w:r>
      </w:hyperlink>
      <w:r>
        <w:t xml:space="preserve"> bestimmten Anmeldungsfrist aufgeschoben wird. </w:t>
      </w:r>
      <w:r>
        <w:rPr>
          <w:rStyle w:val="Satznummer"/>
        </w:rPr>
        <w:t>2</w:t>
      </w:r>
      <w:r>
        <w:t xml:space="preserve">Ist der Antrag auf Einleitung des Aufgebotsverfahrens noch nicht gestellt oder die öffentliche Aufforderung nach </w:t>
      </w:r>
      <w:hyperlink w:anchor="b2513" w:history="1">
        <w:r>
          <w:rPr>
            <w:color w:val="0A3A8C"/>
            <w:u w:val="single"/>
          </w:rPr>
          <w:t xml:space="preserve">§ 2061</w:t>
        </w:r>
      </w:hyperlink>
      <w:r>
        <w:t xml:space="preserve"> noch nicht erlassen, so kann der Aufschub nur verlangt werden, wenn unverzüglich der Antrag gestellt oder die Aufforderung erlassen wird.</w:t>
      </w:r>
    </w:p>
    <w:p>
      <w:pPr>
        <w:pStyle w:val="Heading5"/>
      </w:pPr>
      <w:bookmarkStart w:id="2511" w:name="b2496"/>
      <w:r>
        <w:t>§ 2046 Berichtigung der Nachlassverbindlichkeiten</w:t>
      </w:r>
      <w:r>
        <w:t xml:space="preserve"> </w:t>
      </w:r>
      <w:r>
        <w:rPr>
          <w:rStyle w:val="Suchmarke"/>
        </w:rPr>
        <w:t>#2046#</w:t>
      </w:r>
      <w:bookmarkEnd w:id="2511"/>
    </w:p>
    <w:p>
      <w:r>
        <w:t xml:space="preserve">(1) </w:t>
      </w:r>
      <w:r>
        <w:rPr>
          <w:rStyle w:val="Satznummer"/>
        </w:rPr>
        <w:t>1</w:t>
      </w:r>
      <w:r>
        <w:t xml:space="preserve">Aus dem Nachlass sind zunächst die Nachlassverbindlichkeiten zu berichtigen. </w:t>
      </w:r>
      <w:r>
        <w:rPr>
          <w:rStyle w:val="Satznummer"/>
        </w:rPr>
        <w:t>2</w:t>
      </w:r>
      <w:r>
        <w:t>Ist eine Nachlassverbindlichkeit noch nicht fällig oder ist sie streitig, so ist das zur Berichtigung Erforderliche zurückzubehalten.</w:t>
      </w:r>
    </w:p>
    <w:p>
      <w:r>
        <w:t>(2) Fällt eine Nachlassverbindlichkeit nur einigen Miterben zur Last, so können diese die Berichtigung nur aus dem verlangen, was ihnen bei der Auseinandersetzung zukommt.</w:t>
      </w:r>
    </w:p>
    <w:p>
      <w:r>
        <w:t>(3) Zur Berichtigung ist der Nachlass, soweit erforderlich, in Geld umzusetzen.</w:t>
      </w:r>
    </w:p>
    <w:p>
      <w:pPr>
        <w:pStyle w:val="Heading5"/>
      </w:pPr>
      <w:bookmarkStart w:id="2512" w:name="b2497"/>
      <w:r>
        <w:t>§ 2047 Verteilung des Überschusses</w:t>
      </w:r>
      <w:r>
        <w:t xml:space="preserve"> </w:t>
      </w:r>
      <w:r>
        <w:rPr>
          <w:rStyle w:val="Suchmarke"/>
        </w:rPr>
        <w:t>#2047#</w:t>
      </w:r>
      <w:bookmarkEnd w:id="2512"/>
    </w:p>
    <w:p>
      <w:r>
        <w:t>(1) Der nach der Berichtigung der Nachlassverbindlichkeiten verbleibende Überschuss gebührt den Erben nach dem Verhältnis der Erbteile.</w:t>
      </w:r>
    </w:p>
    <w:p>
      <w:r>
        <w:t>(2) Schriftstücke, die sich auf die persönlichen Verhältnisse des Erblassers, auf dessen Familie oder auf den ganzen Nachlass beziehen, bleiben gemeinschaftlich.</w:t>
      </w:r>
    </w:p>
    <w:p>
      <w:pPr>
        <w:pStyle w:val="Heading5"/>
      </w:pPr>
      <w:bookmarkStart w:id="2513" w:name="b2498"/>
      <w:r>
        <w:t>§ 2048 Teilungsanordnungen des Erblassers</w:t>
      </w:r>
      <w:r>
        <w:t xml:space="preserve"> </w:t>
      </w:r>
      <w:r>
        <w:rPr>
          <w:rStyle w:val="Suchmarke"/>
        </w:rPr>
        <w:t>#2048#</w:t>
      </w:r>
      <w:bookmarkEnd w:id="2513"/>
    </w:p>
    <w:p>
      <w:r>
        <w:rPr>
          <w:rStyle w:val="Satznummer"/>
        </w:rPr>
        <w:t>1</w:t>
      </w:r>
      <w:r>
        <w:t xml:space="preserve">Der Erblasser kann durch letztwillige Verfügung Anordnungen für die Auseinandersetzung treffen. </w:t>
      </w:r>
      <w:r>
        <w:rPr>
          <w:rStyle w:val="Satznummer"/>
        </w:rPr>
        <w:t>2</w:t>
      </w:r>
      <w:r>
        <w:t xml:space="preserve">Er kann insbesondere anordnen, dass die Auseinandersetzung nach dem billigen Ermessen eines Dritten erfolgen soll. </w:t>
      </w:r>
      <w:r>
        <w:rPr>
          <w:rStyle w:val="Satznummer"/>
        </w:rPr>
        <w:t>3</w:t>
      </w:r>
      <w:r>
        <w:t>Die von dem Dritten auf Grund der Anordnung getroffene Bestimmung ist für die Erben nicht verbindlich, wenn sie offenbar unbillig ist; die Bestimmung erfolgt in diesem Falle durch Urteil.</w:t>
      </w:r>
    </w:p>
    <w:p>
      <w:pPr>
        <w:pStyle w:val="Heading5"/>
      </w:pPr>
      <w:bookmarkStart w:id="2514" w:name="b2499"/>
      <w:r>
        <w:t>§ 2049 Übernahme eines Landguts</w:t>
      </w:r>
      <w:r>
        <w:t xml:space="preserve"> </w:t>
      </w:r>
      <w:r>
        <w:rPr>
          <w:rStyle w:val="Suchmarke"/>
        </w:rPr>
        <w:t>#2049#</w:t>
      </w:r>
      <w:bookmarkEnd w:id="2514"/>
    </w:p>
    <w:p>
      <w:r>
        <w:t>(1) Hat der Erblasser angeordnet, dass einer der Miterben das Recht haben soll, ein zum Nachlass gehörendes Landgut zu übernehmen, so ist im Zweifel anzunehmen, dass das Landgut zu dem Ertragswert angesetzt werden soll.</w:t>
      </w:r>
    </w:p>
    <w:p>
      <w:r>
        <w:t>(2) Der Ertragswert bestimmt sich nach dem Reinertrag, den das Landgut nach seiner bisherigen wirtschaftlichen Bestimmung bei ordnungsmäßiger Bewirtschaftung nachhaltig gewähren kann.</w:t>
      </w:r>
    </w:p>
    <w:p>
      <w:pPr>
        <w:pStyle w:val="Heading5"/>
      </w:pPr>
      <w:bookmarkStart w:id="2515" w:name="b2500"/>
      <w:r>
        <w:t>§ 2050 Ausgleichungspflicht für Abkömmlinge als gesetzliche Erben</w:t>
      </w:r>
      <w:r>
        <w:t xml:space="preserve"> </w:t>
      </w:r>
      <w:r>
        <w:rPr>
          <w:rStyle w:val="Suchmarke"/>
        </w:rPr>
        <w:t>#2050#</w:t>
      </w:r>
      <w:bookmarkEnd w:id="2515"/>
    </w:p>
    <w:p>
      <w:r>
        <w:t>(1) Abkömmlinge, die als gesetzliche Erben zur Erbfolge gelangen, sind verpflichtet, dasjenige, was sie von dem Erblasser bei dessen Lebzeiten als Ausstattung erhalten haben, bei der Auseinandersetzung untereinander zur Ausgleichung zu bringen, soweit nicht der Erblasser bei der Zuwendung ein anderes angeordnet hat.</w:t>
      </w:r>
    </w:p>
    <w:p>
      <w:r>
        <w:t>(2) Zuschüsse, die zu dem Zwecke gegeben worden sind, als Einkünfte verwendet zu werden, sowie Aufwendungen für die Vorbildung zu einem Beruf sind insoweit zur Ausgleichung zu bringen, als sie das den Vermögensverhältnissen des Erblassers entsprechende Maß überstiegen haben.</w:t>
      </w:r>
    </w:p>
    <w:p>
      <w:r>
        <w:t>(3) Andere Zuwendungen unter Lebenden sind zur Ausgleichung zu bringen, wenn der Erblasser bei der Zuwendung die Ausgleichung angeordnet hat.</w:t>
      </w:r>
    </w:p>
    <w:p>
      <w:pPr>
        <w:pStyle w:val="Heading5"/>
      </w:pPr>
      <w:bookmarkStart w:id="2516" w:name="b2501"/>
      <w:r>
        <w:t>§ 2051 Ausgleichungspflicht bei Wegfall eines Abkömmlings</w:t>
      </w:r>
      <w:r>
        <w:t xml:space="preserve"> </w:t>
      </w:r>
      <w:r>
        <w:rPr>
          <w:rStyle w:val="Suchmarke"/>
        </w:rPr>
        <w:t>#2051#</w:t>
      </w:r>
      <w:bookmarkEnd w:id="2516"/>
    </w:p>
    <w:p>
      <w:r>
        <w:t>(1) Fällt ein Abkömmling, der als Erbe zur Ausgleichung verpflichtet sein würde, vor oder nach dem Erbfall weg, so ist wegen der ihm gemachten Zuwendungen der an seine Stelle tretende Abkömmling zur Ausgleichung verpflichtet.</w:t>
      </w:r>
    </w:p>
    <w:p>
      <w:r>
        <w:t>(2) Hat der Erblasser für den wegfallenden Abkömmling einen Ersatzerben eingesetzt, so ist im Zweifel anzunehmen, dass dieser nicht mehr erhalten soll, als der Abkömmling unter Berücksichtigung der Ausgleichungspflicht erhalten würde.</w:t>
      </w:r>
    </w:p>
    <w:p>
      <w:pPr>
        <w:pStyle w:val="Heading5"/>
      </w:pPr>
      <w:bookmarkStart w:id="2517" w:name="b2502"/>
      <w:r>
        <w:t>§ 2052 Ausgleichungspflicht für Abkömmlinge als gewillkürte Erben</w:t>
      </w:r>
      <w:r>
        <w:t xml:space="preserve"> </w:t>
      </w:r>
      <w:r>
        <w:rPr>
          <w:rStyle w:val="Suchmarke"/>
        </w:rPr>
        <w:t>#2052#</w:t>
      </w:r>
      <w:bookmarkEnd w:id="2517"/>
    </w:p>
    <w:p>
      <w:r>
        <w:t>Hat der Erblasser die Abkömmlinge auf dasjenige als Erben eingesetzt, was sie als gesetzliche Erben erhalten würden, oder hat er ihre Erbteile so bestimmt, dass sie zueinander in demselben Verhältnis stehen wie die gesetzlichen Erbteile, so ist im Zweifel anzunehmen, dass die Abkömmlinge nach den §§ 2050, 2051 zur Ausgleichung verpflichtet sein sollen.</w:t>
      </w:r>
    </w:p>
    <w:p>
      <w:pPr>
        <w:pStyle w:val="Heading5"/>
      </w:pPr>
      <w:bookmarkStart w:id="2518" w:name="b2503"/>
      <w:r>
        <w:t>§ 2053 Zuwendung an entfernteren oder angenommenen Abkömmling</w:t>
      </w:r>
      <w:r>
        <w:t xml:space="preserve"> </w:t>
      </w:r>
      <w:r>
        <w:rPr>
          <w:rStyle w:val="Suchmarke"/>
        </w:rPr>
        <w:t>#2053#</w:t>
      </w:r>
      <w:bookmarkEnd w:id="2518"/>
    </w:p>
    <w:p>
      <w:r>
        <w:t>(1) Eine Zuwendung, die ein entfernterer Abkömmling vor dem Wegfall des ihn von der Erbfolge ausschließenden näheren Abkömmlings oder ein an die Stelle eines Abkömmlings als Ersatzerbe tretender Abkömmling von dem Erblasser erhalten hat, ist nicht zur Ausgleichung zu bringen, es sei denn, dass der Erblasser bei der Zuwendung die Ausgleichung angeordnet hat.</w:t>
      </w:r>
    </w:p>
    <w:p>
      <w:r>
        <w:t>(2) Das Gleiche gilt, wenn ein Abkömmling, bevor er die rechtliche Stellung eines solchen erlangt hatte, eine Zuwendung von dem Erblasser erhalten hat.</w:t>
      </w:r>
    </w:p>
    <w:p>
      <w:pPr>
        <w:pStyle w:val="Heading5"/>
      </w:pPr>
      <w:bookmarkStart w:id="2519" w:name="b2504"/>
      <w:r>
        <w:t>§ 2054 Zuwendung aus dem Gesamtgut</w:t>
      </w:r>
      <w:r>
        <w:t xml:space="preserve"> </w:t>
      </w:r>
      <w:r>
        <w:rPr>
          <w:rStyle w:val="Suchmarke"/>
        </w:rPr>
        <w:t>#2054#</w:t>
      </w:r>
      <w:bookmarkEnd w:id="2519"/>
    </w:p>
    <w:p>
      <w:r>
        <w:t xml:space="preserve">(1) </w:t>
      </w:r>
      <w:r>
        <w:rPr>
          <w:rStyle w:val="Satznummer"/>
        </w:rPr>
        <w:t>1</w:t>
      </w:r>
      <w:r>
        <w:t xml:space="preserve">Eine Zuwendung, die aus dem Gesamtgut der Gütergemeinschaft erfolgt, gilt als von jedem der Ehegatten zur Hälfte gemacht. </w:t>
      </w:r>
      <w:r>
        <w:rPr>
          <w:rStyle w:val="Satznummer"/>
        </w:rPr>
        <w:t>2</w:t>
      </w:r>
      <w:r>
        <w:t>Die Zuwendung gilt jedoch, wenn sie an einen Abkömmling erfolgt, der nur von einem der Ehegatten abstammt, oder wenn einer der Ehegatten wegen der Zuwendung zu dem Gesamtgut Ersatz zu leisten hat, als von diesem Ehegatten gemacht.</w:t>
      </w:r>
    </w:p>
    <w:p>
      <w:r>
        <w:t>(2) Diese Vorschriften sind auf eine Zuwendung aus dem Gesamtgut der fortgesetzten Gütergemeinschaft entsprechend anzuwenden.</w:t>
      </w:r>
    </w:p>
    <w:p>
      <w:pPr>
        <w:pStyle w:val="Heading5"/>
      </w:pPr>
      <w:bookmarkStart w:id="2520" w:name="b2505"/>
      <w:r>
        <w:t>§ 2055 Durchführung der Ausgleichung</w:t>
      </w:r>
      <w:r>
        <w:t xml:space="preserve"> </w:t>
      </w:r>
      <w:r>
        <w:rPr>
          <w:rStyle w:val="Suchmarke"/>
        </w:rPr>
        <w:t>#2055#</w:t>
      </w:r>
      <w:bookmarkEnd w:id="2520"/>
    </w:p>
    <w:p>
      <w:r>
        <w:t xml:space="preserve">(1) </w:t>
      </w:r>
      <w:r>
        <w:rPr>
          <w:rStyle w:val="Satznummer"/>
        </w:rPr>
        <w:t>1</w:t>
      </w:r>
      <w:r>
        <w:t xml:space="preserve">Bei der Auseinandersetzung wird jedem Miterben der Wert der Zuwendung, die er zur Ausgleichung zu bringen hat, auf seinen Erbteil angerechnet. </w:t>
      </w:r>
      <w:r>
        <w:rPr>
          <w:rStyle w:val="Satznummer"/>
        </w:rPr>
        <w:t>2</w:t>
      </w:r>
      <w:r>
        <w:t>Der Wert der sämtlichen Zuwendungen, die zur Ausgleichung zu bringen sind, wird dem Nachlass hinzugerechnet, soweit dieser den Miterben zukommt, unter denen die Ausgleichung stattfindet.</w:t>
      </w:r>
    </w:p>
    <w:p>
      <w:r>
        <w:t>(2) Der Wert bestimmt sich nach der Zeit, zu der die Zuwendung erfolgt ist.</w:t>
      </w:r>
    </w:p>
    <w:p>
      <w:pPr>
        <w:pStyle w:val="Heading5"/>
      </w:pPr>
      <w:bookmarkStart w:id="2521" w:name="b2506"/>
      <w:r>
        <w:t>§ 2056 Mehrempfang</w:t>
      </w:r>
      <w:r>
        <w:t xml:space="preserve"> </w:t>
      </w:r>
      <w:r>
        <w:rPr>
          <w:rStyle w:val="Suchmarke"/>
        </w:rPr>
        <w:t>#2056#</w:t>
      </w:r>
      <w:bookmarkEnd w:id="2521"/>
    </w:p>
    <w:p>
      <w:r>
        <w:rPr>
          <w:rStyle w:val="Satznummer"/>
        </w:rPr>
        <w:t>1</w:t>
      </w:r>
      <w:r>
        <w:t xml:space="preserve">Hat ein Miterbe durch die Zuwendung mehr erhalten, als ihm bei der Auseinandersetzung zukommen würde, so ist er zur Herauszahlung des Mehrbetrags nicht verpflichtet. </w:t>
      </w:r>
      <w:r>
        <w:rPr>
          <w:rStyle w:val="Satznummer"/>
        </w:rPr>
        <w:t>2</w:t>
      </w:r>
      <w:r>
        <w:t>Der Nachlass wird in einem solchen Falle unter den übrigen Erben in der Weise geteilt, dass der Wert der Zuwendung und der Erbteil des Miterben außer Ansatz bleiben.</w:t>
      </w:r>
    </w:p>
    <w:p>
      <w:pPr>
        <w:pStyle w:val="Heading5"/>
      </w:pPr>
      <w:bookmarkStart w:id="2522" w:name="b2507"/>
      <w:r>
        <w:t>§ 2057 Auskunftspflicht</w:t>
      </w:r>
      <w:r>
        <w:t xml:space="preserve"> </w:t>
      </w:r>
      <w:r>
        <w:rPr>
          <w:rStyle w:val="Suchmarke"/>
        </w:rPr>
        <w:t>#2057#</w:t>
      </w:r>
      <w:bookmarkEnd w:id="2522"/>
    </w:p>
    <w:p>
      <w:r>
        <w:rPr>
          <w:rStyle w:val="Satznummer"/>
        </w:rPr>
        <w:t>1</w:t>
      </w:r>
      <w:r>
        <w:t xml:space="preserve">Jeder Miterbe ist verpflichtet, den übrigen Erben auf Verlangen Auskunft über die Zuwendungen zu erteilen, die er nach den §§ 2050 bis 2053 zur Ausgleichung zu bringen hat. </w:t>
      </w:r>
      <w:r>
        <w:rPr>
          <w:rStyle w:val="Satznummer"/>
        </w:rPr>
        <w:t>2</w:t>
      </w:r>
      <w:r>
        <w:t xml:space="preserve">Die Vorschriften der </w:t>
      </w:r>
      <w:hyperlink w:anchor="b302" w:history="1">
        <w:r>
          <w:rPr>
            <w:color w:val="0A3A8C"/>
            <w:u w:val="single"/>
          </w:rPr>
          <w:t xml:space="preserve">§§ 260</w:t>
        </w:r>
      </w:hyperlink>
      <w:r>
        <w:t xml:space="preserve">, </w:t>
      </w:r>
      <w:hyperlink w:anchor="b303" w:history="1">
        <w:r>
          <w:rPr>
            <w:color w:val="0A3A8C"/>
            <w:u w:val="single"/>
          </w:rPr>
          <w:t xml:space="preserve">261</w:t>
        </w:r>
      </w:hyperlink>
      <w:r>
        <w:t xml:space="preserve"> über die Verpflichtung zur Abgabe der eidesstattlichen Versicherung finden entsprechende Anwendung.</w:t>
      </w:r>
    </w:p>
    <w:p>
      <w:pPr>
        <w:pStyle w:val="Heading5"/>
      </w:pPr>
      <w:bookmarkStart w:id="2523" w:name="b2508"/>
      <w:r>
        <w:t>§ 2057a Ausgleichungspflicht bei besonderen Leistungen eines Abkömmlings</w:t>
      </w:r>
      <w:r>
        <w:t xml:space="preserve"> </w:t>
      </w:r>
      <w:r>
        <w:rPr>
          <w:rStyle w:val="Suchmarke"/>
        </w:rPr>
        <w:t>#2057a#</w:t>
      </w:r>
      <w:bookmarkEnd w:id="2523"/>
    </w:p>
    <w:p>
      <w:r>
        <w:t xml:space="preserve">(1) </w:t>
      </w:r>
      <w:r>
        <w:rPr>
          <w:rStyle w:val="Satznummer"/>
        </w:rPr>
        <w:t>1</w:t>
      </w:r>
      <w:r>
        <w:t xml:space="preserve">Ein Abkömmling, der durch Mitarbeit im Haushalt, Beruf oder Geschäft des Erblassers während längerer Zeit, durch erhebliche Geldleistungen oder in anderer Weise in besonderem Maße dazu beigetragen hat, dass das Vermögen des Erblassers erhalten oder vermehrt wurde, kann bei der Auseinandersetzung eine Ausgleichung unter den Abkömmlingen verlangen, die mit ihm als gesetzliche Erben zur Erbfolge gelangen; </w:t>
      </w:r>
      <w:hyperlink w:anchor="b2502" w:history="1">
        <w:r>
          <w:rPr>
            <w:color w:val="0A3A8C"/>
            <w:u w:val="single"/>
          </w:rPr>
          <w:t xml:space="preserve">§ 2052</w:t>
        </w:r>
      </w:hyperlink>
      <w:r>
        <w:t xml:space="preserve"> gilt entsprechend. </w:t>
      </w:r>
      <w:r>
        <w:rPr>
          <w:rStyle w:val="Satznummer"/>
        </w:rPr>
        <w:t>2</w:t>
      </w:r>
      <w:r>
        <w:t>Dies gilt auch für einen Abkömmling, der den Erblasser während längerer Zeit gepflegt hat.</w:t>
      </w:r>
    </w:p>
    <w:p>
      <w:r>
        <w:t xml:space="preserve">(2) </w:t>
      </w:r>
      <w:r>
        <w:rPr>
          <w:rStyle w:val="Satznummer"/>
        </w:rPr>
        <w:t>1</w:t>
      </w:r>
      <w:r>
        <w:t xml:space="preserve">Eine Ausgleichung kann nicht verlangt werden, wenn für die Leistungen ein angemessenes Entgelt gewährt oder vereinbart worden ist oder soweit dem Abkömmling wegen seiner Leistungen ein Anspruch aus anderem Rechtsgrund zusteht. </w:t>
      </w:r>
      <w:r>
        <w:rPr>
          <w:rStyle w:val="Satznummer"/>
        </w:rPr>
        <w:t>2</w:t>
      </w:r>
      <w:r>
        <w:t xml:space="preserve">Der Ausgleichungspflicht steht es nicht entgegen, wenn die Leistungen nach den </w:t>
      </w:r>
      <w:hyperlink w:anchor="b2090" w:history="1">
        <w:r>
          <w:rPr>
            <w:color w:val="0A3A8C"/>
            <w:u w:val="single"/>
          </w:rPr>
          <w:t xml:space="preserve">§§ 1619</w:t>
        </w:r>
      </w:hyperlink>
      <w:r>
        <w:t xml:space="preserve">, </w:t>
      </w:r>
      <w:hyperlink w:anchor="b2091" w:history="1">
        <w:r>
          <w:rPr>
            <w:color w:val="0A3A8C"/>
            <w:u w:val="single"/>
          </w:rPr>
          <w:t xml:space="preserve">1620</w:t>
        </w:r>
      </w:hyperlink>
      <w:r>
        <w:t xml:space="preserve"> erbracht worden sind.</w:t>
      </w:r>
    </w:p>
    <w:p>
      <w:r>
        <w:t>(3) Die Ausgleichung ist so zu bemessen, wie es mit Rücksicht auf die Dauer und den Umfang der Leistungen und auf den Wert des Nachlasses der Billigkeit entspricht.</w:t>
      </w:r>
    </w:p>
    <w:p>
      <w:r>
        <w:t xml:space="preserve">(4) </w:t>
      </w:r>
      <w:r>
        <w:rPr>
          <w:rStyle w:val="Satznummer"/>
        </w:rPr>
        <w:t>1</w:t>
      </w:r>
      <w:r>
        <w:t xml:space="preserve">Bei der Auseinandersetzung wird der Ausgleichungsbetrag dem Erbteil des ausgleichungsberechtigten Miterben hinzugerechnet. </w:t>
      </w:r>
      <w:r>
        <w:rPr>
          <w:rStyle w:val="Satznummer"/>
        </w:rPr>
        <w:t>2</w:t>
      </w:r>
      <w:r>
        <w:t>Sämtliche Ausgleichungsbeträge werden vom Werte des Nachlasses abgezogen, soweit dieser den Miterben zukommt, unter denen die Ausgleichung stattfindet.</w:t>
      </w:r>
    </w:p>
    <w:p>
      <w:pPr>
        <w:pStyle w:val="Heading4"/>
      </w:pPr>
      <w:bookmarkStart w:id="2524" w:name="b2509"/>
      <w:r>
        <w:t>Untertitel 2 Rechtsverhältnis zwischen den Erben und den Nachlassgläubigern</w:t>
      </w:r>
      <w:bookmarkEnd w:id="2524"/>
    </w:p>
    <w:p>
      <w:pPr>
        <w:pStyle w:val="Heading5"/>
      </w:pPr>
      <w:bookmarkStart w:id="2525" w:name="b2510"/>
      <w:r>
        <w:t>§ 2058 Gesamtschuldnerische Haftung</w:t>
      </w:r>
      <w:r>
        <w:t xml:space="preserve"> </w:t>
      </w:r>
      <w:r>
        <w:rPr>
          <w:rStyle w:val="Suchmarke"/>
        </w:rPr>
        <w:t>#2058#</w:t>
      </w:r>
      <w:bookmarkEnd w:id="2525"/>
    </w:p>
    <w:p>
      <w:r>
        <w:t>Die Erben haften für die gemeinschaftlichen Nachlassverbindlichkeiten als Gesamtschuldner.</w:t>
      </w:r>
    </w:p>
    <w:p>
      <w:pPr>
        <w:pStyle w:val="Heading5"/>
      </w:pPr>
      <w:bookmarkStart w:id="2526" w:name="b2511"/>
      <w:r>
        <w:t>§ 2059 Haftung bis zur Teilung</w:t>
      </w:r>
      <w:r>
        <w:t xml:space="preserve"> </w:t>
      </w:r>
      <w:r>
        <w:rPr>
          <w:rStyle w:val="Suchmarke"/>
        </w:rPr>
        <w:t>#2059#</w:t>
      </w:r>
      <w:bookmarkEnd w:id="2526"/>
    </w:p>
    <w:p>
      <w:r>
        <w:t xml:space="preserve">(1) </w:t>
      </w:r>
      <w:r>
        <w:rPr>
          <w:rStyle w:val="Satznummer"/>
        </w:rPr>
        <w:t>1</w:t>
      </w:r>
      <w:r>
        <w:t xml:space="preserve">Bis zur Teilung des Nachlasses kann jeder Miterbe die Berichtigung der Nachlassverbindlichkeiten aus dem Vermögen, das er außer seinem Anteil an dem Nachlass hat, verweigern. </w:t>
      </w:r>
      <w:r>
        <w:rPr>
          <w:rStyle w:val="Satznummer"/>
        </w:rPr>
        <w:t>2</w:t>
      </w:r>
      <w:r>
        <w:t>Haftet er für eine Nachlassverbindlichkeit unbeschränkt, so steht ihm dieses Recht in Ansehung des seinem Erbteil entsprechenden Teils der Verbindlichkeit nicht zu.</w:t>
      </w:r>
    </w:p>
    <w:p>
      <w:r>
        <w:t>(2) Das Recht der Nachlassgläubiger, die Befriedigung aus dem ungeteilten Nachlass von sämtlichen Miterben zu verlangen, bleibt unberührt.</w:t>
      </w:r>
    </w:p>
    <w:p>
      <w:pPr>
        <w:pStyle w:val="Heading5"/>
      </w:pPr>
      <w:bookmarkStart w:id="2527" w:name="b2512"/>
      <w:r>
        <w:t>§ 2060 Haftung nach der Teilung</w:t>
      </w:r>
      <w:r>
        <w:t xml:space="preserve"> </w:t>
      </w:r>
      <w:r>
        <w:rPr>
          <w:rStyle w:val="Suchmarke"/>
        </w:rPr>
        <w:t>#2060#</w:t>
      </w:r>
      <w:bookmarkEnd w:id="2527"/>
    </w:p>
    <w:p>
      <w:r>
        <w:t>Nach der Teilung des Nachlasses haftet jeder Miterbe nur für den seinem Erbteil entsprechenden Teil einer Nachlassverbindlichkeit:</w:t>
      </w:r>
    </w:p>
    <w:p>
      <w:pPr>
        <w:tabs>
          <w:tab w:pos="567" w:val="left"/>
        </w:tabs>
        <w:ind w:left="567" w:hanging="567"/>
      </w:pPr>
      <w:r>
        <w:t>1.</w:t>
      </w:r>
      <w:r>
        <w:tab/>
      </w:r>
      <w:r>
        <w:t xml:space="preserve">wenn der Gläubiger im Aufgebotsverfahren ausgeschlossen ist; das Aufgebot erstreckt sich insoweit auch auf die in </w:t>
      </w:r>
      <w:hyperlink w:anchor="b2416" w:history="1">
        <w:r>
          <w:rPr>
            <w:color w:val="0A3A8C"/>
            <w:u w:val="single"/>
          </w:rPr>
          <w:t xml:space="preserve">§ 1972</w:t>
        </w:r>
      </w:hyperlink>
      <w:r>
        <w:t xml:space="preserve"> bezeichneten Gläubiger sowie auf die Gläubiger, denen der Miterbe unbeschränkt haftet;</w:t>
      </w:r>
    </w:p>
    <w:p>
      <w:pPr>
        <w:tabs>
          <w:tab w:pos="567" w:val="left"/>
        </w:tabs>
        <w:ind w:left="567" w:hanging="567"/>
      </w:pPr>
      <w:r>
        <w:t>2.</w:t>
      </w:r>
      <w:r>
        <w:tab/>
      </w:r>
      <w:r>
        <w:t xml:space="preserve">wenn der Gläubiger seine Forderung später als fünf Jahre nach dem in </w:t>
      </w:r>
      <w:hyperlink w:anchor="b2418" w:history="1">
        <w:r>
          <w:rPr>
            <w:color w:val="0A3A8C"/>
            <w:u w:val="single"/>
          </w:rPr>
          <w:t xml:space="preserve">§ 1974</w:t>
        </w:r>
      </w:hyperlink>
      <w:r>
        <w:t xml:space="preserve"> Abs. 1 bestimmten Zeitpunkt geltend macht, es sei denn, dass die Forderung vor dem Ablauf der fünf Jahre dem Miterben bekannt geworden oder im Aufgebotsverfahren angemeldet worden ist; die Vorschrift findet keine Anwendung, soweit der Gläubiger nach § 1971 von dem Aufgebot nicht betroffen wird;</w:t>
      </w:r>
    </w:p>
    <w:p>
      <w:pPr>
        <w:tabs>
          <w:tab w:pos="567" w:val="left"/>
        </w:tabs>
        <w:ind w:left="567" w:hanging="567"/>
      </w:pPr>
      <w:r>
        <w:t>3.</w:t>
      </w:r>
      <w:r>
        <w:tab/>
      </w:r>
      <w:r>
        <w:t>wenn das Nachlassinsolvenzverfahren eröffnet und durch Verteilung der Masse oder durch einen Insolvenzplan beendigt worden ist.</w:t>
      </w:r>
    </w:p>
    <w:p>
      <w:pPr>
        <w:pStyle w:val="Heading5"/>
      </w:pPr>
      <w:bookmarkStart w:id="2528" w:name="b2513"/>
      <w:r>
        <w:t>§ 2061 Aufgebot der Nachlassgläubiger</w:t>
      </w:r>
      <w:r>
        <w:t xml:space="preserve"> </w:t>
      </w:r>
      <w:r>
        <w:rPr>
          <w:rStyle w:val="Suchmarke"/>
        </w:rPr>
        <w:t>#2061#</w:t>
      </w:r>
      <w:bookmarkEnd w:id="2528"/>
    </w:p>
    <w:p>
      <w:r>
        <w:t xml:space="preserve">(1) </w:t>
      </w:r>
      <w:r>
        <w:rPr>
          <w:rStyle w:val="Satznummer"/>
        </w:rPr>
        <w:t>1</w:t>
      </w:r>
      <w:r>
        <w:t xml:space="preserve">Jeder Miterbe kann die Nachlassgläubiger öffentlich auffordern, ihre Forderungen binnen sechs Monaten bei ihm oder bei dem Nachlassgericht anzumelden. </w:t>
      </w:r>
      <w:r>
        <w:rPr>
          <w:rStyle w:val="Satznummer"/>
        </w:rPr>
        <w:t>2</w:t>
      </w:r>
      <w:r>
        <w:t>Ist die Aufforderung erfolgt, so haftet nach der Teilung jeder Miterbe nur für den seinem Erbteil entsprechenden Teil einer Forderung, soweit nicht vor dem Ablauf der Frist die Anmeldung erfolgt oder die Forderung ihm zur Zeit der Teilung bekannt ist.</w:t>
      </w:r>
    </w:p>
    <w:p>
      <w:r>
        <w:t xml:space="preserve">(2) </w:t>
      </w:r>
      <w:r>
        <w:rPr>
          <w:rStyle w:val="Satznummer"/>
        </w:rPr>
        <w:t>1</w:t>
      </w:r>
      <w:r>
        <w:t xml:space="preserve">Die Aufforderung ist durch den Bundesanzeiger und durch das für die Bekanntmachungen des Nachlassgerichts bestimmte Blatt zu veröffentlichen. </w:t>
      </w:r>
      <w:r>
        <w:rPr>
          <w:rStyle w:val="Satznummer"/>
        </w:rPr>
        <w:t>2</w:t>
      </w:r>
      <w:r>
        <w:t xml:space="preserve">Die Frist beginnt mit der letzten Einrückung. </w:t>
      </w:r>
      <w:r>
        <w:rPr>
          <w:rStyle w:val="Satznummer"/>
        </w:rPr>
        <w:t>3</w:t>
      </w:r>
      <w:r>
        <w:t>Die Kosten fallen dem Erben zur Last, der die Aufforderung erlässt.</w:t>
      </w:r>
    </w:p>
    <w:p>
      <w:pPr>
        <w:pStyle w:val="Heading5"/>
      </w:pPr>
      <w:bookmarkStart w:id="2529" w:name="b2514"/>
      <w:r>
        <w:t>§ 2062 Antrag auf Nachlassverwaltung</w:t>
      </w:r>
      <w:r>
        <w:t xml:space="preserve"> </w:t>
      </w:r>
      <w:r>
        <w:rPr>
          <w:rStyle w:val="Suchmarke"/>
        </w:rPr>
        <w:t>#2062#</w:t>
      </w:r>
      <w:bookmarkEnd w:id="2529"/>
    </w:p>
    <w:p>
      <w:r>
        <w:t>Die Anordnung einer Nachlassverwaltung kann von den Erben nur gemeinschaftlich beantragt werden; sie ist ausgeschlossen, wenn der Nachlass geteilt ist.</w:t>
      </w:r>
    </w:p>
    <w:p>
      <w:pPr>
        <w:pStyle w:val="Heading5"/>
      </w:pPr>
      <w:bookmarkStart w:id="2530" w:name="b2515"/>
      <w:r>
        <w:t>§ 2063 Errichtung eines Inventars, Haftungsbeschränkung</w:t>
      </w:r>
      <w:r>
        <w:t xml:space="preserve"> </w:t>
      </w:r>
      <w:r>
        <w:rPr>
          <w:rStyle w:val="Suchmarke"/>
        </w:rPr>
        <w:t>#2063#</w:t>
      </w:r>
      <w:bookmarkEnd w:id="2530"/>
    </w:p>
    <w:p>
      <w:r>
        <w:t>(1) Die Errichtung des Inventars durch einen Miterben kommt auch den übrigen Erben zustatten, soweit nicht ihre Haftung für die Nachlassverbindlichkeiten unbeschränkt ist.</w:t>
      </w:r>
    </w:p>
    <w:p>
      <w:r>
        <w:t>(2) Ein Miterbe kann sich den übrigen Erben gegenüber auf die Beschränkung seiner Haftung auch dann berufen, wenn er den anderen Nachlassgläubigern gegenüber unbeschränkt haftet.</w:t>
      </w:r>
    </w:p>
    <w:p>
      <w:pPr>
        <w:pStyle w:val="Heading2"/>
      </w:pPr>
      <w:bookmarkStart w:id="2531" w:name="b2516"/>
      <w:r>
        <w:t>Abschnitt 3 Testament</w:t>
      </w:r>
      <w:bookmarkEnd w:id="2531"/>
    </w:p>
    <w:p>
      <w:pPr>
        <w:pStyle w:val="Heading3"/>
      </w:pPr>
      <w:bookmarkStart w:id="2532" w:name="b2517"/>
      <w:r>
        <w:t>Titel 1 Allgemeine Vorschriften</w:t>
      </w:r>
      <w:bookmarkEnd w:id="2532"/>
    </w:p>
    <w:p>
      <w:pPr>
        <w:pStyle w:val="Heading4"/>
      </w:pPr>
      <w:bookmarkStart w:id="2533" w:name="b2518"/>
      <w:r>
        <w:t>§ 2064 Persönliche Errichtung</w:t>
      </w:r>
      <w:r>
        <w:t xml:space="preserve"> </w:t>
      </w:r>
      <w:r>
        <w:rPr>
          <w:rStyle w:val="Suchmarke"/>
        </w:rPr>
        <w:t>#2064#</w:t>
      </w:r>
      <w:bookmarkEnd w:id="2533"/>
    </w:p>
    <w:p>
      <w:r>
        <w:t>Der Erblasser kann ein Testament nur persönlich errichten.</w:t>
      </w:r>
    </w:p>
    <w:p>
      <w:pPr>
        <w:pStyle w:val="Heading4"/>
      </w:pPr>
      <w:bookmarkStart w:id="2534" w:name="b2519"/>
      <w:r>
        <w:t>§ 2065 Bestimmung durch Dritte</w:t>
      </w:r>
      <w:r>
        <w:t xml:space="preserve"> </w:t>
      </w:r>
      <w:r>
        <w:rPr>
          <w:rStyle w:val="Suchmarke"/>
        </w:rPr>
        <w:t>#2065#</w:t>
      </w:r>
      <w:bookmarkEnd w:id="2534"/>
    </w:p>
    <w:p>
      <w:r>
        <w:t>(1) Der Erblasser kann eine letztwillige Verfügung nicht in der Weise treffen, dass ein anderer zu bestimmen hat, ob sie gelten oder nicht gelten soll.</w:t>
      </w:r>
    </w:p>
    <w:p>
      <w:r>
        <w:t>(2) Der Erblasser kann die Bestimmung der Person, die eine Zuwendung erhalten soll, sowie die Bestimmung des Gegenstands der Zuwendung nicht einem anderen überlassen.</w:t>
      </w:r>
    </w:p>
    <w:p>
      <w:pPr>
        <w:pStyle w:val="Heading4"/>
      </w:pPr>
      <w:bookmarkStart w:id="2535" w:name="b2520"/>
      <w:r>
        <w:t>§ 2066 Gesetzliche Erben des Erblassers</w:t>
      </w:r>
      <w:r>
        <w:t xml:space="preserve"> </w:t>
      </w:r>
      <w:r>
        <w:rPr>
          <w:rStyle w:val="Suchmarke"/>
        </w:rPr>
        <w:t>#2066#</w:t>
      </w:r>
      <w:bookmarkEnd w:id="2535"/>
    </w:p>
    <w:p>
      <w:r>
        <w:rPr>
          <w:rStyle w:val="Satznummer"/>
        </w:rPr>
        <w:t>1</w:t>
      </w:r>
      <w:r>
        <w:t xml:space="preserve">Hat der Erblasser seine gesetzlichen Erben ohne nähere Bestimmung bedacht, so sind diejenigen, welche zur Zeit des Erbfalls seine gesetzlichen Erben sein würden, nach dem Verhältnis ihrer gesetzlichen Erbteile bedacht. </w:t>
      </w:r>
      <w:r>
        <w:rPr>
          <w:rStyle w:val="Satznummer"/>
        </w:rPr>
        <w:t>2</w:t>
      </w:r>
      <w:r>
        <w:t>Ist die Zuwendung unter einer aufschiebenden Bedingung oder unter Bestimmung eines Anfangstermins gemacht und tritt die Bedingung oder der Termin erst nach dem Erbfall ein, so sind im Zweifel diejenigen als bedacht anzusehen, welche die gesetzlichen Erben sein würden, wenn der Erblasser zur Zeit des Eintritts der Bedingung oder des Termins gestorben wäre.</w:t>
      </w:r>
    </w:p>
    <w:p>
      <w:pPr>
        <w:pStyle w:val="Heading4"/>
      </w:pPr>
      <w:bookmarkStart w:id="2536" w:name="b2521"/>
      <w:r>
        <w:t>§ 2067 Verwandte des Erblassers</w:t>
      </w:r>
      <w:r>
        <w:t xml:space="preserve"> </w:t>
      </w:r>
      <w:r>
        <w:rPr>
          <w:rStyle w:val="Suchmarke"/>
        </w:rPr>
        <w:t>#2067#</w:t>
      </w:r>
      <w:bookmarkEnd w:id="2536"/>
    </w:p>
    <w:p>
      <w:r>
        <w:rPr>
          <w:rStyle w:val="Satznummer"/>
        </w:rPr>
        <w:t>1</w:t>
      </w:r>
      <w:r>
        <w:t xml:space="preserve">Hat der Erblasser seine Verwandten oder seine nächsten Verwandten ohne nähere Bestimmung bedacht, so sind im Zweifel diejenigen Verwandten, welche zur Zeit des Erbfalls seine gesetzlichen Erben sein würden, als nach dem Verhältnis ihrer gesetzlichen Erbteile bedacht anzusehen. </w:t>
      </w:r>
      <w:r>
        <w:rPr>
          <w:rStyle w:val="Satznummer"/>
        </w:rPr>
        <w:t>2</w:t>
      </w:r>
      <w:r>
        <w:t xml:space="preserve">Die Vorschrift des </w:t>
      </w:r>
      <w:hyperlink w:anchor="b2520" w:history="1">
        <w:r>
          <w:rPr>
            <w:color w:val="0A3A8C"/>
            <w:u w:val="single"/>
          </w:rPr>
          <w:t xml:space="preserve">§ 2066</w:t>
        </w:r>
      </w:hyperlink>
      <w:r>
        <w:t xml:space="preserve"> Satz 2 findet Anwendung.</w:t>
      </w:r>
    </w:p>
    <w:p>
      <w:pPr>
        <w:pStyle w:val="Heading4"/>
      </w:pPr>
      <w:bookmarkStart w:id="2537" w:name="b2522"/>
      <w:r>
        <w:t>§ 2068 Kinder des Erblassers</w:t>
      </w:r>
      <w:r>
        <w:t xml:space="preserve"> </w:t>
      </w:r>
      <w:r>
        <w:rPr>
          <w:rStyle w:val="Suchmarke"/>
        </w:rPr>
        <w:t>#2068#</w:t>
      </w:r>
      <w:bookmarkEnd w:id="2537"/>
    </w:p>
    <w:p>
      <w:r>
        <w:t>Hat der Erblasser seine Kinder ohne nähere Bestimmung bedacht und ist ein Kind vor der Errichtung des Testaments mit Hinterlassung von Abkömmlingen gestorben, so ist im Zweifel anzunehmen, dass die Abkömmlinge insoweit bedacht sind, als sie bei der gesetzlichen Erbfolge an die Stelle des Kindes treten würden.</w:t>
      </w:r>
    </w:p>
    <w:p>
      <w:pPr>
        <w:pStyle w:val="Heading4"/>
      </w:pPr>
      <w:bookmarkStart w:id="2538" w:name="b2523"/>
      <w:r>
        <w:t>§ 2069 Abkömmlinge des Erblassers</w:t>
      </w:r>
      <w:r>
        <w:t xml:space="preserve"> </w:t>
      </w:r>
      <w:r>
        <w:rPr>
          <w:rStyle w:val="Suchmarke"/>
        </w:rPr>
        <w:t>#2069#</w:t>
      </w:r>
      <w:bookmarkEnd w:id="2538"/>
    </w:p>
    <w:p>
      <w:r>
        <w:t>Hat der Erblasser einen seiner Abkömmlinge bedacht und fällt dieser nach der Errichtung des Testaments weg, so ist im Zweifel anzunehmen, dass dessen Abkömmlinge insoweit bedacht sind, als sie bei der gesetzlichen Erbfolge an dessen Stelle treten würden.</w:t>
      </w:r>
    </w:p>
    <w:p>
      <w:pPr>
        <w:pStyle w:val="Heading4"/>
      </w:pPr>
      <w:bookmarkStart w:id="2539" w:name="b2524"/>
      <w:r>
        <w:t>§ 2070 Abkömmlinge eines Dritten</w:t>
      </w:r>
      <w:r>
        <w:t xml:space="preserve"> </w:t>
      </w:r>
      <w:r>
        <w:rPr>
          <w:rStyle w:val="Suchmarke"/>
        </w:rPr>
        <w:t>#2070#</w:t>
      </w:r>
      <w:bookmarkEnd w:id="2539"/>
    </w:p>
    <w:p>
      <w:r>
        <w:t>Hat der Erblasser die Abkömmlinge eines Dritten ohne nähere Bestimmung bedacht, so ist im Zweifel anzunehmen, dass diejenigen Abkömmlinge nicht bedacht sind, welche zur Zeit des Erbfalls oder, wenn die Zuwendung unter einer aufschiebenden Bedingung oder unter Bestimmung eines Anfangstermins gemacht ist und die Bedingung oder der Termin erst nach dem Erbfall eintritt, zur Zeit des Eintritts der Bedingung oder des Termins noch nicht gezeugt sind.</w:t>
      </w:r>
    </w:p>
    <w:p>
      <w:pPr>
        <w:pStyle w:val="Heading4"/>
      </w:pPr>
      <w:bookmarkStart w:id="2540" w:name="b2525"/>
      <w:r>
        <w:t>§ 2071 Personengruppe</w:t>
      </w:r>
      <w:r>
        <w:t xml:space="preserve"> </w:t>
      </w:r>
      <w:r>
        <w:rPr>
          <w:rStyle w:val="Suchmarke"/>
        </w:rPr>
        <w:t>#2071#</w:t>
      </w:r>
      <w:bookmarkEnd w:id="2540"/>
    </w:p>
    <w:p>
      <w:r>
        <w:t>Hat der Erblasser ohne nähere Bestimmung eine Klasse von Personen oder Personen bedacht, die zu ihm in einem Dienst- oder Geschäftsverhältnis stehen, so ist im Zweifel anzunehmen, dass diejenigen bedacht sind, welche zur Zeit des Erbfalls der bezeichneten Klasse angehören oder in dem bezeichneten Verhältnis stehen.</w:t>
      </w:r>
    </w:p>
    <w:p>
      <w:pPr>
        <w:pStyle w:val="Heading4"/>
      </w:pPr>
      <w:bookmarkStart w:id="2541" w:name="b2526"/>
      <w:r>
        <w:t>§ 2072 Die Armen</w:t>
      </w:r>
      <w:r>
        <w:t xml:space="preserve"> </w:t>
      </w:r>
      <w:r>
        <w:rPr>
          <w:rStyle w:val="Suchmarke"/>
        </w:rPr>
        <w:t>#2072#</w:t>
      </w:r>
      <w:bookmarkEnd w:id="2541"/>
    </w:p>
    <w:p>
      <w:r>
        <w:t>Hat der Erblasser die Armen ohne nähere Bestimmung bedacht, so ist im Zweifel anzunehmen, dass die öffentliche Armenkasse der Gemeinde, in deren Bezirk er seinen letzten Wohnsitz gehabt hat, unter der Auflage bedacht ist, das Zugewendete unter Arme zu verteilen.</w:t>
      </w:r>
    </w:p>
    <w:p>
      <w:pPr>
        <w:pStyle w:val="Heading4"/>
      </w:pPr>
      <w:bookmarkStart w:id="2542" w:name="b2527"/>
      <w:r>
        <w:t>§ 2073 Mehrdeutige Bezeichnung</w:t>
      </w:r>
      <w:r>
        <w:t xml:space="preserve"> </w:t>
      </w:r>
      <w:r>
        <w:rPr>
          <w:rStyle w:val="Suchmarke"/>
        </w:rPr>
        <w:t>#2073#</w:t>
      </w:r>
      <w:bookmarkEnd w:id="2542"/>
    </w:p>
    <w:p>
      <w:r>
        <w:t>Hat der Erblasser den Bedachten in einer Weise bezeichnet, die auf mehrere Personen passt, und lässt sich nicht ermitteln, wer von ihnen bedacht werden sollte, so gelten sie als zu gleichen Teilen bedacht.</w:t>
      </w:r>
    </w:p>
    <w:p>
      <w:pPr>
        <w:pStyle w:val="Heading4"/>
      </w:pPr>
      <w:bookmarkStart w:id="2543" w:name="b2528"/>
      <w:r>
        <w:t>§ 2074 Aufschiebende Bedingung</w:t>
      </w:r>
      <w:r>
        <w:t xml:space="preserve"> </w:t>
      </w:r>
      <w:r>
        <w:rPr>
          <w:rStyle w:val="Suchmarke"/>
        </w:rPr>
        <w:t>#2074#</w:t>
      </w:r>
      <w:bookmarkEnd w:id="2543"/>
    </w:p>
    <w:p>
      <w:r>
        <w:t>Hat der Erblasser eine letztwillige Zuwendung unter einer aufschiebenden Bedingung gemacht, so ist im Zweifel anzunehmen, dass die Zuwendung nur gelten soll, wenn der Bedachte den Eintritt der Bedingung erlebt.</w:t>
      </w:r>
    </w:p>
    <w:p>
      <w:pPr>
        <w:pStyle w:val="Heading4"/>
      </w:pPr>
      <w:bookmarkStart w:id="2544" w:name="b2529"/>
      <w:r>
        <w:t>§ 2075 Auflösende Bedingung</w:t>
      </w:r>
      <w:r>
        <w:t xml:space="preserve"> </w:t>
      </w:r>
      <w:r>
        <w:rPr>
          <w:rStyle w:val="Suchmarke"/>
        </w:rPr>
        <w:t>#2075#</w:t>
      </w:r>
      <w:bookmarkEnd w:id="2544"/>
    </w:p>
    <w:p>
      <w:r>
        <w:t>Hat der Erblasser eine letztwillige Zuwendung unter der Bedingung gemacht, dass der Bedachte während eines Zeitraums von unbestimmter Dauer etwas unterlässt oder fortgesetzt tut, so ist, wenn das Unterlassen oder das Tun lediglich in der Willkür des Bedachten liegt, im Zweifel anzunehmen, dass die Zuwendung von der auflösenden Bedingung abhängig sein soll, dass der Bedachte die Handlung vornimmt oder das Tun unterlässt.</w:t>
      </w:r>
    </w:p>
    <w:p>
      <w:pPr>
        <w:pStyle w:val="Heading4"/>
      </w:pPr>
      <w:bookmarkStart w:id="2545" w:name="b2530"/>
      <w:r>
        <w:t>§ 2076 Bedingung zum Vorteil eines Dritten</w:t>
      </w:r>
      <w:r>
        <w:t xml:space="preserve"> </w:t>
      </w:r>
      <w:r>
        <w:rPr>
          <w:rStyle w:val="Suchmarke"/>
        </w:rPr>
        <w:t>#2076#</w:t>
      </w:r>
      <w:bookmarkEnd w:id="2545"/>
    </w:p>
    <w:p>
      <w:r>
        <w:t>Bezweckt die Bedingung, unter der eine letztwillige Zuwendung gemacht ist, den Vorteil eines Dritten, so gilt sie im Zweifel als eingetreten, wenn der Dritte die zum Eintritt der Bedingung erforderliche Mitwirkung verweigert.</w:t>
      </w:r>
    </w:p>
    <w:p>
      <w:pPr>
        <w:pStyle w:val="Heading4"/>
      </w:pPr>
      <w:bookmarkStart w:id="2546" w:name="b2531"/>
      <w:r>
        <w:t>§ 2077 Unwirksamkeit letztwilliger Verfügungen bei Auflösung der Ehe oder Verlobung</w:t>
      </w:r>
      <w:r>
        <w:t xml:space="preserve"> </w:t>
      </w:r>
      <w:r>
        <w:rPr>
          <w:rStyle w:val="Suchmarke"/>
        </w:rPr>
        <w:t>#2077#</w:t>
      </w:r>
      <w:bookmarkEnd w:id="2546"/>
    </w:p>
    <w:p>
      <w:r>
        <w:t xml:space="preserve">(1) </w:t>
      </w:r>
      <w:r>
        <w:rPr>
          <w:rStyle w:val="Satznummer"/>
        </w:rPr>
        <w:t>1</w:t>
      </w:r>
      <w:r>
        <w:t xml:space="preserve">Eine letztwillige Verfügung, durch die der Erblasser seinen Ehegatten bedacht hat, ist unwirksam, wenn die Ehe vor dem Tode des Erblassers aufgelöst worden ist. </w:t>
      </w:r>
      <w:r>
        <w:rPr>
          <w:rStyle w:val="Satznummer"/>
        </w:rPr>
        <w:t>2</w:t>
      </w:r>
      <w:r>
        <w:t xml:space="preserve">Der Auflösung der Ehe steht es gleich, wenn zur Zeit des Todes des Erblassers die Voraussetzungen für die Scheidung der Ehe gegeben waren und der Erblasser die Scheidung beantragt oder ihr zugestimmt hatte. </w:t>
      </w:r>
      <w:r>
        <w:rPr>
          <w:rStyle w:val="Satznummer"/>
        </w:rPr>
        <w:t>3</w:t>
      </w:r>
      <w:r>
        <w:t>Das Gleiche gilt, wenn der Erblasser zur Zeit seines Todes berechtigt war, die Aufhebung der Ehe zu beantragen, und den Antrag gestellt hatte.</w:t>
      </w:r>
    </w:p>
    <w:p>
      <w:r>
        <w:t>(2) Eine letztwillige Verfügung, durch die der Erblasser seinen Verlobten bedacht hat, ist unwirksam, wenn das Verlöbnis vor dem Tode des Erblassers aufgelöst worden ist.</w:t>
      </w:r>
    </w:p>
    <w:p>
      <w:r>
        <w:t>(3) Die Verfügung ist nicht unwirksam, wenn anzunehmen ist, dass der Erblasser sie auch für einen solchen Fall getroffen haben würde.</w:t>
      </w:r>
    </w:p>
    <w:p>
      <w:pPr>
        <w:pStyle w:val="Heading4"/>
      </w:pPr>
      <w:bookmarkStart w:id="2547" w:name="b2532"/>
      <w:r>
        <w:t>§ 2078 Anfechtung wegen Irrtums oder Drohung</w:t>
      </w:r>
      <w:r>
        <w:t xml:space="preserve"> </w:t>
      </w:r>
      <w:r>
        <w:rPr>
          <w:rStyle w:val="Suchmarke"/>
        </w:rPr>
        <w:t>#2078#</w:t>
      </w:r>
      <w:bookmarkEnd w:id="2547"/>
    </w:p>
    <w:p>
      <w:r>
        <w:t>(1) Eine letztwillige Verfügung kann angefochten werden, soweit der Erblasser über den Inhalt seiner Erklärung im Irrtum war oder eine Erklärung dieses Inhalts überhaupt nicht abgeben wollte und anzunehmen ist, dass er die Erklärung bei Kenntnis der Sachlage nicht abgegeben haben würde.</w:t>
      </w:r>
    </w:p>
    <w:p>
      <w:r>
        <w:t>(2) Das Gleiche gilt, soweit der Erblasser zu der Verfügung durch die irrige Annahme oder Erwartung des Eintritts oder Nichteintritts eines Umstands oder widerrechtlich durch Drohung bestimmt worden ist.</w:t>
      </w:r>
    </w:p>
    <w:p>
      <w:r>
        <w:t xml:space="preserve">(3) Die Vorschrift des </w:t>
      </w:r>
      <w:hyperlink w:anchor="b150" w:history="1">
        <w:r>
          <w:rPr>
            <w:color w:val="0A3A8C"/>
            <w:u w:val="single"/>
          </w:rPr>
          <w:t xml:space="preserve">§ 122</w:t>
        </w:r>
      </w:hyperlink>
      <w:r>
        <w:t xml:space="preserve"> findet keine Anwendung.</w:t>
      </w:r>
    </w:p>
    <w:p>
      <w:pPr>
        <w:pStyle w:val="Heading4"/>
      </w:pPr>
      <w:bookmarkStart w:id="2548" w:name="b2533"/>
      <w:r>
        <w:t>§ 2079 Anfechtung wegen Übergehung eines Pflichtteilsberechtigten</w:t>
      </w:r>
      <w:r>
        <w:t xml:space="preserve"> </w:t>
      </w:r>
      <w:r>
        <w:rPr>
          <w:rStyle w:val="Suchmarke"/>
        </w:rPr>
        <w:t>#2079#</w:t>
      </w:r>
      <w:bookmarkEnd w:id="2548"/>
    </w:p>
    <w:p>
      <w:r>
        <w:rPr>
          <w:rStyle w:val="Satznummer"/>
        </w:rPr>
        <w:t>1</w:t>
      </w:r>
      <w:r>
        <w:t xml:space="preserve">Eine letztwillige Verfügung kann angefochten werden, wenn der Erblasser einen zur Zeit des Erbfalls vorhandenen Pflichtteilsberechtigten übergangen hat, dessen Vorhandensein ihm bei der Errichtung der Verfügung nicht bekannt war oder der erst nach der Errichtung geboren oder pflichtteilsberechtigt geworden ist. </w:t>
      </w:r>
      <w:r>
        <w:rPr>
          <w:rStyle w:val="Satznummer"/>
        </w:rPr>
        <w:t>2</w:t>
      </w:r>
      <w:r>
        <w:t>Die Anfechtung ist ausgeschlossen, soweit anzunehmen ist, dass der Erblasser auch bei Kenntnis der Sachlage die Verfügung getroffen haben würde.</w:t>
      </w:r>
    </w:p>
    <w:p>
      <w:pPr>
        <w:pStyle w:val="Heading4"/>
      </w:pPr>
      <w:bookmarkStart w:id="2549" w:name="b2534"/>
      <w:r>
        <w:t>§ 2080 Anfechtungsberechtigte</w:t>
      </w:r>
      <w:r>
        <w:t xml:space="preserve"> </w:t>
      </w:r>
      <w:r>
        <w:rPr>
          <w:rStyle w:val="Suchmarke"/>
        </w:rPr>
        <w:t>#2080#</w:t>
      </w:r>
      <w:bookmarkEnd w:id="2549"/>
    </w:p>
    <w:p>
      <w:r>
        <w:t>(1) Zur Anfechtung ist derjenige berechtigt, welchem die Aufhebung der letztwilligen Verfügung unmittelbar zustatten kommen würde.</w:t>
      </w:r>
    </w:p>
    <w:p>
      <w:r>
        <w:t>(2) Bezieht sich in den Fällen des § 2078 der Irrtum nur auf eine bestimmte Person und ist diese anfechtungsberechtigt oder würde sie anfechtungsberechtigt sein, wenn sie zur Zeit des Erbfalls gelebt hätte, so ist ein anderer zur Anfechtung nicht berechtigt.</w:t>
      </w:r>
    </w:p>
    <w:p>
      <w:r>
        <w:t xml:space="preserve">(3) Im Falle des </w:t>
      </w:r>
      <w:hyperlink w:anchor="b2533" w:history="1">
        <w:r>
          <w:rPr>
            <w:color w:val="0A3A8C"/>
            <w:u w:val="single"/>
          </w:rPr>
          <w:t xml:space="preserve">§ 2079</w:t>
        </w:r>
      </w:hyperlink>
      <w:r>
        <w:t xml:space="preserve"> steht das Anfechtungsrecht nur dem Pflichtteilsberechtigten zu.</w:t>
      </w:r>
    </w:p>
    <w:p>
      <w:pPr>
        <w:pStyle w:val="Heading4"/>
      </w:pPr>
      <w:bookmarkStart w:id="2550" w:name="b2535"/>
      <w:r>
        <w:t>§ 2081 Anfechtungserklärung</w:t>
      </w:r>
      <w:r>
        <w:t xml:space="preserve"> </w:t>
      </w:r>
      <w:r>
        <w:rPr>
          <w:rStyle w:val="Suchmarke"/>
        </w:rPr>
        <w:t>#2081#</w:t>
      </w:r>
      <w:bookmarkEnd w:id="2550"/>
    </w:p>
    <w:p>
      <w:r>
        <w:t>(1) Die Anfechtung einer letztwilligen Verfügung, durch die ein Erbe eingesetzt, ein gesetzlicher Erbe von der Erbfolge ausgeschlossen, ein Testamentsvollstrecker ernannt oder eine Verfügung solcher Art aufgehoben wird, erfolgt durch Erklärung gegenüber dem Nachlassgericht.</w:t>
      </w:r>
    </w:p>
    <w:p>
      <w:r>
        <w:t xml:space="preserve">(2) </w:t>
      </w:r>
      <w:r>
        <w:rPr>
          <w:rStyle w:val="Satznummer"/>
        </w:rPr>
        <w:t>1</w:t>
      </w:r>
      <w:r>
        <w:t xml:space="preserve">Das Nachlassgericht soll die Anfechtungserklärung demjenigen mitteilen, welchem die angefochtene Verfügung unmittelbar zustatten kommt. </w:t>
      </w:r>
      <w:r>
        <w:rPr>
          <w:rStyle w:val="Satznummer"/>
        </w:rPr>
        <w:t>2</w:t>
      </w:r>
      <w:r>
        <w:t>Es hat die Einsicht der Erklärung jedem zu gestatten, der ein rechtliches Interesse glaubhaft macht.</w:t>
      </w:r>
    </w:p>
    <w:p>
      <w:r>
        <w:t>(3) Die Vorschrift des Absatzes 1 gilt auch für die Anfechtung einer letztwilligen Verfügung, durch die ein Recht für einen anderen nicht begründet wird, insbesondere für die Anfechtung einer Auflage.</w:t>
      </w:r>
    </w:p>
    <w:p>
      <w:pPr>
        <w:pStyle w:val="Heading4"/>
      </w:pPr>
      <w:bookmarkStart w:id="2551" w:name="b2536"/>
      <w:r>
        <w:t>§ 2082 Anfechtungsfrist</w:t>
      </w:r>
      <w:r>
        <w:t xml:space="preserve"> </w:t>
      </w:r>
      <w:r>
        <w:rPr>
          <w:rStyle w:val="Suchmarke"/>
        </w:rPr>
        <w:t>#2082#</w:t>
      </w:r>
      <w:bookmarkEnd w:id="2551"/>
    </w:p>
    <w:p>
      <w:r>
        <w:t>(1) Die Anfechtung kann nur binnen Jahresfrist erfolgen.</w:t>
      </w:r>
    </w:p>
    <w:p>
      <w:r>
        <w:t xml:space="preserve">(2) </w:t>
      </w:r>
      <w:r>
        <w:rPr>
          <w:rStyle w:val="Satznummer"/>
        </w:rPr>
        <w:t>1</w:t>
      </w:r>
      <w:r>
        <w:t xml:space="preserve">Die Frist beginnt mit dem Zeitpunkt, in welchem der Anfechtungsberechtigte von dem Anfechtungsgrund Kenntnis erlangt. </w:t>
      </w:r>
      <w:r>
        <w:rPr>
          <w:rStyle w:val="Satznummer"/>
        </w:rPr>
        <w:t>2</w:t>
      </w:r>
      <w:r>
        <w:t xml:space="preserve">Auf den Lauf der Frist finden die für die Verjährung geltenden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w:t>
      </w:r>
      <w:hyperlink w:anchor="b251" w:history="1">
        <w:r>
          <w:rPr>
            <w:color w:val="0A3A8C"/>
            <w:u w:val="single"/>
          </w:rPr>
          <w:t xml:space="preserve">211</w:t>
        </w:r>
      </w:hyperlink>
      <w:r>
        <w:t xml:space="preserve"> entsprechende Anwendung.</w:t>
      </w:r>
    </w:p>
    <w:p>
      <w:r>
        <w:t>(3) Die Anfechtung ist ausgeschlossen, wenn seit dem Erbfall 30 Jahre verstrichen sind.</w:t>
      </w:r>
    </w:p>
    <w:p>
      <w:pPr>
        <w:pStyle w:val="Heading4"/>
      </w:pPr>
      <w:bookmarkStart w:id="2552" w:name="b2537"/>
      <w:r>
        <w:t>§ 2083 Anfechtbarkeitseinrede</w:t>
      </w:r>
      <w:r>
        <w:t xml:space="preserve"> </w:t>
      </w:r>
      <w:r>
        <w:rPr>
          <w:rStyle w:val="Suchmarke"/>
        </w:rPr>
        <w:t>#2083#</w:t>
      </w:r>
      <w:bookmarkEnd w:id="2552"/>
    </w:p>
    <w:p>
      <w:r>
        <w:t xml:space="preserve">Ist eine letztwillige Verfügung, durch die eine Verpflichtung zu einer Leistung begründet wird, anfechtbar, so kann der Beschwerte die Leistung verweigern, auch wenn die Anfechtung nach </w:t>
      </w:r>
      <w:hyperlink w:anchor="b2536" w:history="1">
        <w:r>
          <w:rPr>
            <w:color w:val="0A3A8C"/>
            <w:u w:val="single"/>
          </w:rPr>
          <w:t xml:space="preserve">§ 2082</w:t>
        </w:r>
      </w:hyperlink>
      <w:r>
        <w:t xml:space="preserve"> ausgeschlossen ist.</w:t>
      </w:r>
    </w:p>
    <w:p>
      <w:pPr>
        <w:pStyle w:val="Heading4"/>
      </w:pPr>
      <w:bookmarkStart w:id="2553" w:name="b2538"/>
      <w:r>
        <w:t>§ 2084 Auslegung zugunsten der Wirksamkeit</w:t>
      </w:r>
      <w:r>
        <w:t xml:space="preserve"> </w:t>
      </w:r>
      <w:r>
        <w:rPr>
          <w:rStyle w:val="Suchmarke"/>
        </w:rPr>
        <w:t>#2084#</w:t>
      </w:r>
      <w:bookmarkEnd w:id="2553"/>
    </w:p>
    <w:p>
      <w:r>
        <w:t>Lässt der Inhalt einer letztwilligen Verfügung verschiedene Auslegungen zu, so ist im Zweifel diejenige Auslegung vorzuziehen, bei welcher die Verfügung Erfolg haben kann.</w:t>
      </w:r>
    </w:p>
    <w:p>
      <w:pPr>
        <w:pStyle w:val="Heading4"/>
      </w:pPr>
      <w:bookmarkStart w:id="2554" w:name="b2539"/>
      <w:r>
        <w:t>§ 2085 Teilweise Unwirksamkeit</w:t>
      </w:r>
      <w:r>
        <w:t xml:space="preserve"> </w:t>
      </w:r>
      <w:r>
        <w:rPr>
          <w:rStyle w:val="Suchmarke"/>
        </w:rPr>
        <w:t>#2085#</w:t>
      </w:r>
      <w:bookmarkEnd w:id="2554"/>
    </w:p>
    <w:p>
      <w:r>
        <w:t>Die Unwirksamkeit einer von mehreren in einem Testament enthaltenen Verfügungen hat die Unwirksamkeit der übrigen Verfügungen nur zur Folge, wenn anzunehmen ist, dass der Erblasser diese ohne die unwirksame Verfügung nicht getroffen haben würde.</w:t>
      </w:r>
    </w:p>
    <w:p>
      <w:pPr>
        <w:pStyle w:val="Heading4"/>
      </w:pPr>
      <w:bookmarkStart w:id="2555" w:name="b2540"/>
      <w:r>
        <w:t>§ 2086 Ergänzungsvorbehalt</w:t>
      </w:r>
      <w:r>
        <w:t xml:space="preserve"> </w:t>
      </w:r>
      <w:r>
        <w:rPr>
          <w:rStyle w:val="Suchmarke"/>
        </w:rPr>
        <w:t>#2086#</w:t>
      </w:r>
      <w:bookmarkEnd w:id="2555"/>
    </w:p>
    <w:p>
      <w:r>
        <w:t>Ist einer letztwilligen Verfügung der Vorbehalt einer Ergänzung beigefügt, die Ergänzung aber unterblieben, so ist die Verfügung wirksam, sofern nicht anzunehmen ist, dass die Wirksamkeit von der Ergänzung abhängig sein sollte.</w:t>
      </w:r>
    </w:p>
    <w:p>
      <w:pPr>
        <w:pStyle w:val="Heading3"/>
      </w:pPr>
      <w:bookmarkStart w:id="2556" w:name="b2541"/>
      <w:r>
        <w:t>Titel 2 Erbeinsetzung</w:t>
      </w:r>
      <w:bookmarkEnd w:id="2556"/>
    </w:p>
    <w:p>
      <w:pPr>
        <w:pStyle w:val="Heading4"/>
      </w:pPr>
      <w:bookmarkStart w:id="2557" w:name="b2542"/>
      <w:r>
        <w:t>§ 2087 Zuwendung des Vermögens, eines Bruchteils oder einzelner Gegenstände</w:t>
      </w:r>
      <w:r>
        <w:t xml:space="preserve"> </w:t>
      </w:r>
      <w:r>
        <w:rPr>
          <w:rStyle w:val="Suchmarke"/>
        </w:rPr>
        <w:t>#2087#</w:t>
      </w:r>
      <w:bookmarkEnd w:id="2557"/>
    </w:p>
    <w:p>
      <w:r>
        <w:t>(1) Hat der Erblasser sein Vermögen oder einen Bruchteil seines Vermögens dem Bedachten zugewendet, so ist die Verfügung als Erbeinsetzung anzusehen, auch wenn der Bedachte nicht als Erbe bezeichnet ist.</w:t>
      </w:r>
    </w:p>
    <w:p>
      <w:r>
        <w:t>(2) Sind dem Bedachten nur einzelne Gegenstände zugewendet, so ist im Zweifel nicht anzunehmen, dass er Erbe sein soll, auch wenn er als Erbe bezeichnet ist.</w:t>
      </w:r>
    </w:p>
    <w:p>
      <w:pPr>
        <w:pStyle w:val="Heading4"/>
      </w:pPr>
      <w:bookmarkStart w:id="2558" w:name="b2543"/>
      <w:r>
        <w:t>§ 2088 Einsetzung auf Bruchteile</w:t>
      </w:r>
      <w:r>
        <w:t xml:space="preserve"> </w:t>
      </w:r>
      <w:r>
        <w:rPr>
          <w:rStyle w:val="Suchmarke"/>
        </w:rPr>
        <w:t>#2088#</w:t>
      </w:r>
      <w:bookmarkEnd w:id="2558"/>
    </w:p>
    <w:p>
      <w:r>
        <w:t>(1) Hat der Erblasser nur einen Erben eingesetzt und die Einsetzung auf einen Bruchteil der Erbschaft beschränkt, so tritt in Ansehung des übrigen Teils die gesetzliche Erbfolge ein.</w:t>
      </w:r>
    </w:p>
    <w:p>
      <w:r>
        <w:t>(2) Das Gleiche gilt, wenn der Erblasser mehrere Erben unter Beschränkung eines jeden auf einen Bruchteil eingesetzt hat und die Bruchteile das Ganze nicht erschöpfen.</w:t>
      </w:r>
    </w:p>
    <w:p>
      <w:pPr>
        <w:pStyle w:val="Heading4"/>
      </w:pPr>
      <w:bookmarkStart w:id="2559" w:name="b2544"/>
      <w:r>
        <w:t>§ 2089 Erhöhung der Bruchteile</w:t>
      </w:r>
      <w:r>
        <w:t xml:space="preserve"> </w:t>
      </w:r>
      <w:r>
        <w:rPr>
          <w:rStyle w:val="Suchmarke"/>
        </w:rPr>
        <w:t>#2089#</w:t>
      </w:r>
      <w:bookmarkEnd w:id="2559"/>
    </w:p>
    <w:p>
      <w:r>
        <w:t>Sollen die eingesetzten Erben nach dem Willen des Erblassers die alleinigen Erben sein, so tritt, wenn jeder von ihnen auf einen Bruchteil der Erbschaft eingesetzt ist und die Bruchteile das Ganze nicht erschöpfen, eine verhältnismäßige Erhöhung der Bruchteile ein.</w:t>
      </w:r>
    </w:p>
    <w:p>
      <w:pPr>
        <w:pStyle w:val="Heading4"/>
      </w:pPr>
      <w:bookmarkStart w:id="2560" w:name="b2545"/>
      <w:r>
        <w:t>§ 2090 Minderung der Bruchteile</w:t>
      </w:r>
      <w:r>
        <w:t xml:space="preserve"> </w:t>
      </w:r>
      <w:r>
        <w:rPr>
          <w:rStyle w:val="Suchmarke"/>
        </w:rPr>
        <w:t>#2090#</w:t>
      </w:r>
      <w:bookmarkEnd w:id="2560"/>
    </w:p>
    <w:p>
      <w:r>
        <w:t>Ist jeder der eingesetzten Erben auf einen Bruchteil der Erbschaft eingesetzt und übersteigen die Bruchteile das Ganze, so tritt eine verhältnismäßige Minderung der Bruchteile ein.</w:t>
      </w:r>
    </w:p>
    <w:p>
      <w:pPr>
        <w:pStyle w:val="Heading4"/>
      </w:pPr>
      <w:bookmarkStart w:id="2561" w:name="b2546"/>
      <w:r>
        <w:t>§ 2091 Unbestimmte Bruchteile</w:t>
      </w:r>
      <w:r>
        <w:t xml:space="preserve"> </w:t>
      </w:r>
      <w:r>
        <w:rPr>
          <w:rStyle w:val="Suchmarke"/>
        </w:rPr>
        <w:t>#2091#</w:t>
      </w:r>
      <w:bookmarkEnd w:id="2561"/>
    </w:p>
    <w:p>
      <w:r>
        <w:t xml:space="preserve">Sind mehrere Erben eingesetzt, ohne dass die Erbteile bestimmt sind, so sind sie zu gleichen Teilen eingesetzt, soweit sich nicht aus den </w:t>
      </w:r>
      <w:hyperlink w:anchor="b2520" w:history="1">
        <w:r>
          <w:rPr>
            <w:color w:val="0A3A8C"/>
            <w:u w:val="single"/>
          </w:rPr>
          <w:t xml:space="preserve">§§ 2066</w:t>
        </w:r>
      </w:hyperlink>
      <w:r>
        <w:t xml:space="preserve"> bis </w:t>
      </w:r>
      <w:hyperlink w:anchor="b2523" w:history="1">
        <w:r>
          <w:rPr>
            <w:color w:val="0A3A8C"/>
            <w:u w:val="single"/>
          </w:rPr>
          <w:t xml:space="preserve">2069</w:t>
        </w:r>
      </w:hyperlink>
      <w:r>
        <w:t xml:space="preserve"> ein anderes ergibt.</w:t>
      </w:r>
    </w:p>
    <w:p>
      <w:pPr>
        <w:pStyle w:val="Heading4"/>
      </w:pPr>
      <w:bookmarkStart w:id="2562" w:name="b2547"/>
      <w:r>
        <w:t>§ 2092 Teilweise Einsetzung auf Bruchteile</w:t>
      </w:r>
      <w:r>
        <w:t xml:space="preserve"> </w:t>
      </w:r>
      <w:r>
        <w:rPr>
          <w:rStyle w:val="Suchmarke"/>
        </w:rPr>
        <w:t>#2092#</w:t>
      </w:r>
      <w:bookmarkEnd w:id="2562"/>
    </w:p>
    <w:p>
      <w:r>
        <w:t>(1) Sind von mehreren Erben die einen auf Bruchteile, die anderen ohne Bruchteile eingesetzt, so erhalten die letzteren den freigebliebenen Teil der Erbschaft.</w:t>
      </w:r>
    </w:p>
    <w:p>
      <w:r>
        <w:t>(2) Erschöpfen die bestimmten Bruchteile die Erbschaft, so tritt eine verhältnismäßige Minderung der Bruchteile in der Weise ein, dass jeder der ohne Bruchteile eingesetzten Erben so viel erhält wie der mit dem geringsten Bruchteil bedachte Erbe.</w:t>
      </w:r>
    </w:p>
    <w:p>
      <w:pPr>
        <w:pStyle w:val="Heading4"/>
      </w:pPr>
      <w:bookmarkStart w:id="2563" w:name="b2548"/>
      <w:r>
        <w:t>§ 2093 Gemeinschaftlicher Erbteil</w:t>
      </w:r>
      <w:r>
        <w:t xml:space="preserve"> </w:t>
      </w:r>
      <w:r>
        <w:rPr>
          <w:rStyle w:val="Suchmarke"/>
        </w:rPr>
        <w:t>#2093#</w:t>
      </w:r>
      <w:bookmarkEnd w:id="2563"/>
    </w:p>
    <w:p>
      <w:r>
        <w:t xml:space="preserve">Sind einige von mehreren Erben auf einen und denselben Bruchteil der Erbschaft eingesetzt (gemeinschaftlicher Erbteil), so finden in Ansehung des gemeinschaftlichen Erbteils die Vorschriften der </w:t>
      </w:r>
      <w:hyperlink w:anchor="b2544" w:history="1">
        <w:r>
          <w:rPr>
            <w:color w:val="0A3A8C"/>
            <w:u w:val="single"/>
          </w:rPr>
          <w:t xml:space="preserve">§§ 2089</w:t>
        </w:r>
      </w:hyperlink>
      <w:r>
        <w:t xml:space="preserve"> bis </w:t>
      </w:r>
      <w:hyperlink w:anchor="b2547" w:history="1">
        <w:r>
          <w:rPr>
            <w:color w:val="0A3A8C"/>
            <w:u w:val="single"/>
          </w:rPr>
          <w:t xml:space="preserve">2092</w:t>
        </w:r>
      </w:hyperlink>
      <w:r>
        <w:t xml:space="preserve"> entsprechende Anwendung.</w:t>
      </w:r>
    </w:p>
    <w:p>
      <w:pPr>
        <w:pStyle w:val="Heading4"/>
      </w:pPr>
      <w:bookmarkStart w:id="2564" w:name="b2549"/>
      <w:r>
        <w:t>§ 2094 Anwachsung</w:t>
      </w:r>
      <w:r>
        <w:t xml:space="preserve"> </w:t>
      </w:r>
      <w:r>
        <w:rPr>
          <w:rStyle w:val="Suchmarke"/>
        </w:rPr>
        <w:t>#2094#</w:t>
      </w:r>
      <w:bookmarkEnd w:id="2564"/>
    </w:p>
    <w:p>
      <w:r>
        <w:t xml:space="preserve">(1) </w:t>
      </w:r>
      <w:r>
        <w:rPr>
          <w:rStyle w:val="Satznummer"/>
        </w:rPr>
        <w:t>1</w:t>
      </w:r>
      <w:r>
        <w:t xml:space="preserve">Sind mehrere Erben in der Weise eingesetzt, dass sie die gesetzliche Erbfolge ausschließen, und fällt einer der Erben vor oder nach dem Eintritt des Erbfalls weg, so wächst dessen Erbteil den übrigen Erben nach dem Verhältnis ihrer Erbteile an. </w:t>
      </w:r>
      <w:r>
        <w:rPr>
          <w:rStyle w:val="Satznummer"/>
        </w:rPr>
        <w:t>2</w:t>
      </w:r>
      <w:r>
        <w:t>Sind einige der Erben auf einen gemeinschaftlichen Erbteil eingesetzt, so tritt die Anwachsung zunächst unter ihnen ein.</w:t>
      </w:r>
    </w:p>
    <w:p>
      <w:r>
        <w:t>(2) Ist durch die Erbeinsetzung nur über einen Teil der Erbschaft verfügt und findet in Ansehung des übrigen Teils die gesetzliche Erbfolge statt, so tritt die Anwachsung unter den eingesetzten Erben nur ein, soweit sie auf einen gemeinschaftlichen Erbteil eingesetzt sind.</w:t>
      </w:r>
    </w:p>
    <w:p>
      <w:r>
        <w:t>(3) Der Erblasser kann die Anwachsung ausschließen.</w:t>
      </w:r>
    </w:p>
    <w:p>
      <w:pPr>
        <w:pStyle w:val="Heading4"/>
      </w:pPr>
      <w:bookmarkStart w:id="2565" w:name="b2550"/>
      <w:r>
        <w:t>§ 2095 Angewachsener Erbteil</w:t>
      </w:r>
      <w:r>
        <w:t xml:space="preserve"> </w:t>
      </w:r>
      <w:r>
        <w:rPr>
          <w:rStyle w:val="Suchmarke"/>
        </w:rPr>
        <w:t>#2095#</w:t>
      </w:r>
      <w:bookmarkEnd w:id="2565"/>
    </w:p>
    <w:p>
      <w:r>
        <w:t>Der durch Anwachsung einem Erben anfallende Erbteil gilt in Ansehung der Vermächtnisse und Auflagen, mit denen dieser Erbe oder der wegfallende Erbe beschwert ist, sowie in Ansehung der Ausgleichungspflicht als besonderer Erbteil.</w:t>
      </w:r>
    </w:p>
    <w:p>
      <w:pPr>
        <w:pStyle w:val="Heading4"/>
      </w:pPr>
      <w:bookmarkStart w:id="2566" w:name="b2551"/>
      <w:r>
        <w:t>§ 2096 Ersatzerbe</w:t>
      </w:r>
      <w:r>
        <w:t xml:space="preserve"> </w:t>
      </w:r>
      <w:r>
        <w:rPr>
          <w:rStyle w:val="Suchmarke"/>
        </w:rPr>
        <w:t>#2096#</w:t>
      </w:r>
      <w:bookmarkEnd w:id="2566"/>
    </w:p>
    <w:p>
      <w:r>
        <w:t>Der Erblasser kann für den Fall, dass ein Erbe vor oder nach dem Eintritt des Erbfalls wegfällt, einen anderen als Erben einsetzen (Ersatzerbe).</w:t>
      </w:r>
    </w:p>
    <w:p>
      <w:pPr>
        <w:pStyle w:val="Heading4"/>
      </w:pPr>
      <w:bookmarkStart w:id="2567" w:name="b2552"/>
      <w:r>
        <w:t>§ 2097 Auslegungsregel bei Ersatzerben</w:t>
      </w:r>
      <w:r>
        <w:t xml:space="preserve"> </w:t>
      </w:r>
      <w:r>
        <w:rPr>
          <w:rStyle w:val="Suchmarke"/>
        </w:rPr>
        <w:t>#2097#</w:t>
      </w:r>
      <w:bookmarkEnd w:id="2567"/>
    </w:p>
    <w:p>
      <w:r>
        <w:t>Ist jemand für den Fall, dass der zunächst berufene Erbe nicht Erbe sein kann, oder für den Fall, dass er nicht Erbe sein will, als Ersatzerbe eingesetzt, so ist im Zweifel anzunehmen, dass er für beide Fälle eingesetzt ist.</w:t>
      </w:r>
    </w:p>
    <w:p>
      <w:pPr>
        <w:pStyle w:val="Heading4"/>
      </w:pPr>
      <w:bookmarkStart w:id="2568" w:name="b2553"/>
      <w:r>
        <w:t>§ 2098 Wechselseitige Einsetzung als Ersatzerben</w:t>
      </w:r>
      <w:r>
        <w:t xml:space="preserve"> </w:t>
      </w:r>
      <w:r>
        <w:rPr>
          <w:rStyle w:val="Suchmarke"/>
        </w:rPr>
        <w:t>#2098#</w:t>
      </w:r>
      <w:bookmarkEnd w:id="2568"/>
    </w:p>
    <w:p>
      <w:r>
        <w:t>(1) Sind die Erben gegenseitig oder sind für einen von ihnen die übrigen als Ersatzerben eingesetzt, so ist im Zweifel anzunehmen, dass sie nach dem Verhältnis ihrer Erbteile als Ersatzerben eingesetzt sind.</w:t>
      </w:r>
    </w:p>
    <w:p>
      <w:r>
        <w:t>(2) Sind die Erben gegenseitig als Ersatzerben eingesetzt, so gehen Erben, die auf einen gemeinschaftlichen Erbteil eingesetzt sind, im Zweifel als Ersatzerben für diesen Erbteil den anderen vor.</w:t>
      </w:r>
    </w:p>
    <w:p>
      <w:pPr>
        <w:pStyle w:val="Heading4"/>
      </w:pPr>
      <w:bookmarkStart w:id="2569" w:name="b2554"/>
      <w:r>
        <w:t>§ 2099 Ersatzerbe und Anwachsung</w:t>
      </w:r>
      <w:r>
        <w:t xml:space="preserve"> </w:t>
      </w:r>
      <w:r>
        <w:rPr>
          <w:rStyle w:val="Suchmarke"/>
        </w:rPr>
        <w:t>#2099#</w:t>
      </w:r>
      <w:bookmarkEnd w:id="2569"/>
    </w:p>
    <w:p>
      <w:r>
        <w:t>Das Recht des Ersatzerben geht dem Anwachsungsrecht vor.</w:t>
      </w:r>
    </w:p>
    <w:p>
      <w:pPr>
        <w:pStyle w:val="Heading3"/>
      </w:pPr>
      <w:bookmarkStart w:id="2570" w:name="b2555"/>
      <w:r>
        <w:t>Titel 3 Einsetzung eines Nacherben</w:t>
      </w:r>
      <w:bookmarkEnd w:id="2570"/>
    </w:p>
    <w:p>
      <w:pPr>
        <w:pStyle w:val="Heading4"/>
      </w:pPr>
      <w:bookmarkStart w:id="2571" w:name="b2556"/>
      <w:r>
        <w:t>§ 2100 Nacherbe</w:t>
      </w:r>
      <w:r>
        <w:t xml:space="preserve"> </w:t>
      </w:r>
      <w:r>
        <w:rPr>
          <w:rStyle w:val="Suchmarke"/>
        </w:rPr>
        <w:t>#2100#</w:t>
      </w:r>
      <w:bookmarkEnd w:id="2571"/>
    </w:p>
    <w:p>
      <w:r>
        <w:t>Der Erblasser kann einen Erben in der Weise einsetzen, dass dieser erst Erbe wird, nachdem zunächst ein anderer Erbe geworden ist (Nacherbe).</w:t>
      </w:r>
    </w:p>
    <w:p>
      <w:pPr>
        <w:pStyle w:val="Heading4"/>
      </w:pPr>
      <w:bookmarkStart w:id="2572" w:name="b2557"/>
      <w:r>
        <w:t>§ 2101 Noch nicht gezeugter Nacherbe</w:t>
      </w:r>
      <w:r>
        <w:t xml:space="preserve"> </w:t>
      </w:r>
      <w:r>
        <w:rPr>
          <w:rStyle w:val="Suchmarke"/>
        </w:rPr>
        <w:t>#2101#</w:t>
      </w:r>
      <w:bookmarkEnd w:id="2572"/>
    </w:p>
    <w:p>
      <w:r>
        <w:t xml:space="preserve">(1) </w:t>
      </w:r>
      <w:r>
        <w:rPr>
          <w:rStyle w:val="Satznummer"/>
        </w:rPr>
        <w:t>1</w:t>
      </w:r>
      <w:r>
        <w:t xml:space="preserve">Ist eine zur Zeit des Erbfalls noch nicht gezeugte Person als Erbe eingesetzt, so ist im Zweifel anzunehmen, dass sie als Nacherbe eingesetzt ist. </w:t>
      </w:r>
      <w:r>
        <w:rPr>
          <w:rStyle w:val="Satznummer"/>
        </w:rPr>
        <w:t>2</w:t>
      </w:r>
      <w:r>
        <w:t>Entspricht es nicht dem Willen des Erblassers, dass der Eingesetzte Nacherbe werden soll, so ist die Einsetzung unwirksam.</w:t>
      </w:r>
    </w:p>
    <w:p>
      <w:r>
        <w:t xml:space="preserve">(2) Das Gleiche gilt von der Einsetzung einer juristischen Person, die erst nach dem Erbfall zur Entstehung gelangt; die Vorschrift des </w:t>
      </w:r>
      <w:hyperlink w:anchor="b82" w:history="1">
        <w:r>
          <w:rPr>
            <w:color w:val="0A3A8C"/>
            <w:u w:val="single"/>
          </w:rPr>
          <w:t xml:space="preserve">§ 80</w:t>
        </w:r>
      </w:hyperlink>
      <w:r>
        <w:t xml:space="preserve"> Absatz 2 Satz 2 bleibt unberührt.</w:t>
      </w:r>
    </w:p>
    <w:p>
      <w:pPr>
        <w:pStyle w:val="Heading4"/>
      </w:pPr>
      <w:bookmarkStart w:id="2573" w:name="b2558"/>
      <w:r>
        <w:t>§ 2102 Nacherbe und Ersatzerbe</w:t>
      </w:r>
      <w:r>
        <w:t xml:space="preserve"> </w:t>
      </w:r>
      <w:r>
        <w:rPr>
          <w:rStyle w:val="Suchmarke"/>
        </w:rPr>
        <w:t>#2102#</w:t>
      </w:r>
      <w:bookmarkEnd w:id="2573"/>
    </w:p>
    <w:p>
      <w:r>
        <w:t>(1) Die Einsetzung als Nacherbe enthält im Zweifel auch die Einsetzung als Ersatzerbe.</w:t>
      </w:r>
    </w:p>
    <w:p>
      <w:r>
        <w:t>(2) Ist zweifelhaft, ob jemand als Ersatzerbe oder als Nacherbe eingesetzt ist, so gilt er als Ersatzerbe.</w:t>
      </w:r>
    </w:p>
    <w:p>
      <w:pPr>
        <w:pStyle w:val="Heading4"/>
      </w:pPr>
      <w:bookmarkStart w:id="2574" w:name="b2559"/>
      <w:r>
        <w:t>§ 2103 Anordnung der Herausgabe der Erbschaft</w:t>
      </w:r>
      <w:r>
        <w:t xml:space="preserve"> </w:t>
      </w:r>
      <w:r>
        <w:rPr>
          <w:rStyle w:val="Suchmarke"/>
        </w:rPr>
        <w:t>#2103#</w:t>
      </w:r>
      <w:bookmarkEnd w:id="2574"/>
    </w:p>
    <w:p>
      <w:r>
        <w:t>Hat der Erblasser angeordnet, dass der Erbe mit dem Eintritt eines bestimmten Zeitpunkts oder Ereignisses die Erbschaft einem anderen herausgeben soll, so ist anzunehmen, dass der andere als Nacherbe eingesetzt ist.</w:t>
      </w:r>
    </w:p>
    <w:p>
      <w:pPr>
        <w:pStyle w:val="Heading4"/>
      </w:pPr>
      <w:bookmarkStart w:id="2575" w:name="b2560"/>
      <w:r>
        <w:t>§ 2104 Gesetzliche Erben als Nacherben</w:t>
      </w:r>
      <w:r>
        <w:t xml:space="preserve"> </w:t>
      </w:r>
      <w:r>
        <w:rPr>
          <w:rStyle w:val="Suchmarke"/>
        </w:rPr>
        <w:t>#2104#</w:t>
      </w:r>
      <w:bookmarkEnd w:id="2575"/>
    </w:p>
    <w:p>
      <w:r>
        <w:rPr>
          <w:rStyle w:val="Satznummer"/>
        </w:rPr>
        <w:t>1</w:t>
      </w:r>
      <w:r>
        <w:t xml:space="preserve">Hat der Erblasser angeordnet, dass der Erbe nur bis zu dem Eintritt eines bestimmten Zeitpunkts oder Ereignisses Erbe sein soll, ohne zu bestimmen, wer alsdann die Erbschaft erhalten soll, so ist anzunehmen, dass als Nacherben diejenigen eingesetzt sind, welche die gesetzlichen Erben des Erblassers sein würden, wenn er zur Zeit des Eintritts des Zeitpunkts oder des Ereignisses gestorben wäre. </w:t>
      </w:r>
      <w:r>
        <w:rPr>
          <w:rStyle w:val="Satznummer"/>
        </w:rPr>
        <w:t>2</w:t>
      </w:r>
      <w:r>
        <w:t>Der Fiskus gehört nicht zu den gesetzlichen Erben im Sinne dieser Vorschrift.</w:t>
      </w:r>
    </w:p>
    <w:p>
      <w:pPr>
        <w:pStyle w:val="Heading4"/>
      </w:pPr>
      <w:bookmarkStart w:id="2576" w:name="b2561"/>
      <w:r>
        <w:t>§ 2105 Gesetzliche Erben als Vorerben</w:t>
      </w:r>
      <w:r>
        <w:t xml:space="preserve"> </w:t>
      </w:r>
      <w:r>
        <w:rPr>
          <w:rStyle w:val="Suchmarke"/>
        </w:rPr>
        <w:t>#2105#</w:t>
      </w:r>
      <w:bookmarkEnd w:id="2576"/>
    </w:p>
    <w:p>
      <w:r>
        <w:t>(1) Hat der Erblasser angeordnet, dass der eingesetzte Erbe die Erbschaft erst mit dem Eintritt eines bestimmten Zeitpunkts oder Ereignisses erhalten soll, ohne zu bestimmen, wer bis dahin Erbe sein soll, so sind die gesetzlichen Erben des Erblassers die Vorerben.</w:t>
      </w:r>
    </w:p>
    <w:p>
      <w:r>
        <w:t xml:space="preserve">(2) Das Gleiche gilt, wenn die Persönlichkeit des Erben durch ein erst nach dem Erbfall eintretendes Ereignis bestimmt werden soll oder wenn die Einsetzung einer zur Zeit des Erbfalls noch nicht gezeugten Person oder einer zu dieser Zeit noch nicht entstandenen juristischen Person als Erbe nach </w:t>
      </w:r>
      <w:hyperlink w:anchor="b2557" w:history="1">
        <w:r>
          <w:rPr>
            <w:color w:val="0A3A8C"/>
            <w:u w:val="single"/>
          </w:rPr>
          <w:t xml:space="preserve">§ 2101</w:t>
        </w:r>
      </w:hyperlink>
      <w:r>
        <w:t xml:space="preserve"> als Nacherbeinsetzung anzusehen ist.</w:t>
      </w:r>
    </w:p>
    <w:p>
      <w:pPr>
        <w:pStyle w:val="Heading4"/>
      </w:pPr>
      <w:bookmarkStart w:id="2577" w:name="b2562"/>
      <w:r>
        <w:t>§ 2106 Eintritt der Nacherbfolge</w:t>
      </w:r>
      <w:r>
        <w:t xml:space="preserve"> </w:t>
      </w:r>
      <w:r>
        <w:rPr>
          <w:rStyle w:val="Suchmarke"/>
        </w:rPr>
        <w:t>#2106#</w:t>
      </w:r>
      <w:bookmarkEnd w:id="2577"/>
    </w:p>
    <w:p>
      <w:r>
        <w:t>(1) Hat der Erblasser einen Nacherben eingesetzt, ohne den Zeitpunkt oder das Ereignis zu bestimmen, mit dem die Nacherbfolge eintreten soll, so fällt die Erbschaft dem Nacherben mit dem Tode des Vorerben an.</w:t>
      </w:r>
    </w:p>
    <w:p>
      <w:r>
        <w:t xml:space="preserve">(2) </w:t>
      </w:r>
      <w:r>
        <w:rPr>
          <w:rStyle w:val="Satznummer"/>
        </w:rPr>
        <w:t>1</w:t>
      </w:r>
      <w:r>
        <w:t xml:space="preserve">Ist die Einsetzung einer noch nicht gezeugten Person als Erbe nach </w:t>
      </w:r>
      <w:hyperlink w:anchor="b2557" w:history="1">
        <w:r>
          <w:rPr>
            <w:color w:val="0A3A8C"/>
            <w:u w:val="single"/>
          </w:rPr>
          <w:t xml:space="preserve">§ 2101</w:t>
        </w:r>
      </w:hyperlink>
      <w:r>
        <w:t xml:space="preserve"> Abs. 1 als Nacherbeinsetzung anzusehen, so fällt die Erbschaft dem Nacherben mit dessen Geburt an. </w:t>
      </w:r>
      <w:r>
        <w:rPr>
          <w:rStyle w:val="Satznummer"/>
        </w:rPr>
        <w:t>2</w:t>
      </w:r>
      <w:r>
        <w:t xml:space="preserve">Im Falle des </w:t>
      </w:r>
      <w:hyperlink w:anchor="b2557" w:history="1">
        <w:r>
          <w:rPr>
            <w:color w:val="0A3A8C"/>
            <w:u w:val="single"/>
          </w:rPr>
          <w:t xml:space="preserve">§ 2101</w:t>
        </w:r>
      </w:hyperlink>
      <w:r>
        <w:t xml:space="preserve"> Abs. 2 tritt der Anfall mit der Entstehung der juristischen Person ein.</w:t>
      </w:r>
    </w:p>
    <w:p>
      <w:pPr>
        <w:pStyle w:val="Heading4"/>
      </w:pPr>
      <w:bookmarkStart w:id="2578" w:name="b2563"/>
      <w:r>
        <w:t>§ 2107 Kinderloser Vorerbe</w:t>
      </w:r>
      <w:r>
        <w:t xml:space="preserve"> </w:t>
      </w:r>
      <w:r>
        <w:rPr>
          <w:rStyle w:val="Suchmarke"/>
        </w:rPr>
        <w:t>#2107#</w:t>
      </w:r>
      <w:bookmarkEnd w:id="2578"/>
    </w:p>
    <w:p>
      <w:r>
        <w:t>Hat der Erblasser einem Abkömmling, der zur Zeit der Errichtung der letztwilligen Verfügung keinen Abkömmling hat oder von dem der Erblasser zu dieser Zeit nicht weiß, dass er einen Abkömmling hat, für die Zeit nach dessen Tode einen Nacherben bestimmt, so ist anzunehmen, dass der Nacherbe nur für den Fall eingesetzt ist, dass der Abkömmling ohne Nachkommenschaft stirbt.</w:t>
      </w:r>
    </w:p>
    <w:p>
      <w:pPr>
        <w:pStyle w:val="Heading4"/>
      </w:pPr>
      <w:bookmarkStart w:id="2579" w:name="b2564"/>
      <w:r>
        <w:t>§ 2108 Erbfähigkeit; Vererblichkeit des Nacherbrechts</w:t>
      </w:r>
      <w:r>
        <w:t xml:space="preserve"> </w:t>
      </w:r>
      <w:r>
        <w:rPr>
          <w:rStyle w:val="Suchmarke"/>
        </w:rPr>
        <w:t>#2108#</w:t>
      </w:r>
      <w:bookmarkEnd w:id="2579"/>
    </w:p>
    <w:p>
      <w:r>
        <w:t xml:space="preserve">(1) Die Vorschrift des </w:t>
      </w:r>
      <w:hyperlink w:anchor="b2362" w:history="1">
        <w:r>
          <w:rPr>
            <w:color w:val="0A3A8C"/>
            <w:u w:val="single"/>
          </w:rPr>
          <w:t xml:space="preserve">§ 1923</w:t>
        </w:r>
      </w:hyperlink>
      <w:r>
        <w:t xml:space="preserve"> findet auf die Nacherbfolge entsprechende Anwendung.</w:t>
      </w:r>
    </w:p>
    <w:p>
      <w:r>
        <w:t xml:space="preserve">(2) </w:t>
      </w:r>
      <w:r>
        <w:rPr>
          <w:rStyle w:val="Satznummer"/>
        </w:rPr>
        <w:t>1</w:t>
      </w:r>
      <w:r>
        <w:t xml:space="preserve">Stirbt der eingesetzte Nacherbe vor dem Eintritt des Falles der Nacherbfolge, aber nach dem Eintritt des Erbfalls, so geht sein Recht auf seine Erben über, sofern nicht ein anderer Wille des Erblassers anzunehmen ist. </w:t>
      </w:r>
      <w:r>
        <w:rPr>
          <w:rStyle w:val="Satznummer"/>
        </w:rPr>
        <w:t>2</w:t>
      </w:r>
      <w:r>
        <w:t xml:space="preserve">Ist der Nacherbe unter einer aufschiebenden Bedingung eingesetzt, so bewendet es bei der Vorschrift des </w:t>
      </w:r>
      <w:hyperlink w:anchor="b2528" w:history="1">
        <w:r>
          <w:rPr>
            <w:color w:val="0A3A8C"/>
            <w:u w:val="single"/>
          </w:rPr>
          <w:t xml:space="preserve">§ 2074</w:t>
        </w:r>
      </w:hyperlink>
      <w:r>
        <w:t>.</w:t>
      </w:r>
    </w:p>
    <w:p>
      <w:pPr>
        <w:pStyle w:val="Heading4"/>
      </w:pPr>
      <w:bookmarkStart w:id="2580" w:name="b2565"/>
      <w:r>
        <w:t>§ 2109 Unwirksamwerden der Nacherbschaft</w:t>
      </w:r>
      <w:r>
        <w:t xml:space="preserve"> </w:t>
      </w:r>
      <w:r>
        <w:rPr>
          <w:rStyle w:val="Suchmarke"/>
        </w:rPr>
        <w:t>#2109#</w:t>
      </w:r>
      <w:bookmarkEnd w:id="2580"/>
    </w:p>
    <w:p>
      <w:r>
        <w:t xml:space="preserve">(1) </w:t>
      </w:r>
      <w:r>
        <w:rPr>
          <w:rStyle w:val="Satznummer"/>
        </w:rPr>
        <w:t>1</w:t>
      </w:r>
      <w:r>
        <w:t xml:space="preserve">Die Einsetzung eines Nacherben wird mit dem Ablauf von 30 Jahren nach dem Erbfall unwirksam, wenn nicht vorher der Fall der Nacherbfolge eingetreten ist. </w:t>
      </w:r>
      <w:r>
        <w:rPr>
          <w:rStyle w:val="Satznummer"/>
        </w:rPr>
        <w:t>2</w:t>
      </w:r>
      <w:r>
        <w:t>Sie bleibt auch nach dieser Zeit wirksam,</w:t>
      </w:r>
    </w:p>
    <w:p>
      <w:pPr>
        <w:tabs>
          <w:tab w:pos="567" w:val="left"/>
        </w:tabs>
        <w:ind w:left="567" w:hanging="567"/>
      </w:pPr>
      <w:r>
        <w:t>1.</w:t>
      </w:r>
      <w:r>
        <w:tab/>
      </w:r>
      <w:r>
        <w:t>wenn die Nacherbfolge für den Fall angeordnet ist, dass in der Person des Vorerben oder des Nacherben ein bestimmtes Ereignis eintritt, und derjenige, in dessen Person das Ereignis eintreten soll, zur Zeit des Erbfalls lebt,</w:t>
      </w:r>
    </w:p>
    <w:p>
      <w:pPr>
        <w:tabs>
          <w:tab w:pos="567" w:val="left"/>
        </w:tabs>
        <w:ind w:left="567" w:hanging="567"/>
      </w:pPr>
      <w:r>
        <w:t>2.</w:t>
      </w:r>
      <w:r>
        <w:tab/>
      </w:r>
      <w:r>
        <w:t>wenn dem Vorerben oder einem Nacherben für den Fall, dass ihm ein Bruder oder eine Schwester geboren wird, der Bruder oder die Schwester als Nacherbe bestimmt ist.</w:t>
      </w:r>
    </w:p>
    <w:p>
      <w:r>
        <w:t>(2) Ist der Vorerbe oder der Nacherbe, in dessen Person das Ereignis eintreten soll, eine juristische Person, so bewendet es bei der dreißigjährigen Frist.</w:t>
      </w:r>
    </w:p>
    <w:p>
      <w:pPr>
        <w:pStyle w:val="Heading4"/>
      </w:pPr>
      <w:bookmarkStart w:id="2581" w:name="b2566"/>
      <w:r>
        <w:t>§ 2110 Umfang des Nacherbrechts</w:t>
      </w:r>
      <w:r>
        <w:t xml:space="preserve"> </w:t>
      </w:r>
      <w:r>
        <w:rPr>
          <w:rStyle w:val="Suchmarke"/>
        </w:rPr>
        <w:t>#2110#</w:t>
      </w:r>
      <w:bookmarkEnd w:id="2581"/>
    </w:p>
    <w:p>
      <w:r>
        <w:t>(1) Das Recht des Nacherben erstreckt sich im Zweifel auf einen Erbteil, der dem Vorerben infolge des Wegfalls eines Miterben anfällt.</w:t>
      </w:r>
    </w:p>
    <w:p>
      <w:r>
        <w:t>(2) Das Recht des Nacherben erstreckt sich im Zweifel nicht auf ein dem Vorerben zugewendetes Vorausvermächtnis.</w:t>
      </w:r>
    </w:p>
    <w:p>
      <w:pPr>
        <w:pStyle w:val="Heading4"/>
      </w:pPr>
      <w:bookmarkStart w:id="2582" w:name="b2567"/>
      <w:r>
        <w:t>§ 2111 Unmittelbare Ersetzung</w:t>
      </w:r>
      <w:r>
        <w:t xml:space="preserve"> </w:t>
      </w:r>
      <w:r>
        <w:rPr>
          <w:rStyle w:val="Suchmarke"/>
        </w:rPr>
        <w:t>#2111#</w:t>
      </w:r>
      <w:bookmarkEnd w:id="2582"/>
    </w:p>
    <w:p>
      <w:r>
        <w:t xml:space="preserve">(1) </w:t>
      </w:r>
      <w:r>
        <w:rPr>
          <w:rStyle w:val="Satznummer"/>
        </w:rPr>
        <w:t>1</w:t>
      </w:r>
      <w:r>
        <w:t xml:space="preserve">Zur Erbschaft gehört, was der Vorerbe auf Grund eines zur Erbschaft gehörenden Rechts oder als Ersatz für die Zerstörung, Beschädigung oder Entziehung eines Erbschaftsgegenstands oder durch Rechtsgeschäft mit Mitteln der Erbschaft erwirbt, sofern nicht der Erwerb ihm als Nutzung gebührt. </w:t>
      </w:r>
      <w:r>
        <w:rPr>
          <w:rStyle w:val="Satznummer"/>
        </w:rPr>
        <w:t>2</w:t>
      </w:r>
      <w:r>
        <w:t xml:space="preserve">Die Zugehörigkeit einer durch Rechtsgeschäft erworbenen Forderung zur Erbschaft hat der Schuldner erst dann gegen sich gelten zu lassen, wenn er von der Zugehörigkeit Kenntnis erlangt; die Vorschriften der </w:t>
      </w:r>
      <w:hyperlink w:anchor="b529" w:history="1">
        <w:r>
          <w:rPr>
            <w:color w:val="0A3A8C"/>
            <w:u w:val="single"/>
          </w:rPr>
          <w:t xml:space="preserve">§§ 406</w:t>
        </w:r>
      </w:hyperlink>
      <w:r>
        <w:t xml:space="preserve"> bis </w:t>
      </w:r>
      <w:hyperlink w:anchor="b531" w:history="1">
        <w:r>
          <w:rPr>
            <w:color w:val="0A3A8C"/>
            <w:u w:val="single"/>
          </w:rPr>
          <w:t xml:space="preserve">408</w:t>
        </w:r>
      </w:hyperlink>
      <w:r>
        <w:t xml:space="preserve"> finden entsprechende Anwendung.</w:t>
      </w:r>
    </w:p>
    <w:p>
      <w:r>
        <w:t>(2) Zur Erbschaft gehört auch, was der Vorerbe dem Inventar eines erbschaftlichen Grundstücks einverleibt.</w:t>
      </w:r>
    </w:p>
    <w:p>
      <w:pPr>
        <w:pStyle w:val="Heading4"/>
      </w:pPr>
      <w:bookmarkStart w:id="2583" w:name="b2568"/>
      <w:r>
        <w:t>§ 2112 Verfügungsrecht des Vorerben</w:t>
      </w:r>
      <w:r>
        <w:t xml:space="preserve"> </w:t>
      </w:r>
      <w:r>
        <w:rPr>
          <w:rStyle w:val="Suchmarke"/>
        </w:rPr>
        <w:t>#2112#</w:t>
      </w:r>
      <w:bookmarkEnd w:id="2583"/>
    </w:p>
    <w:p>
      <w:r>
        <w:t xml:space="preserve">Der Vorerbe kann über die zur Erbschaft gehörenden Gegenstände verfügen, soweit sich nicht aus den Vorschriften der </w:t>
      </w:r>
      <w:hyperlink w:anchor="b2569" w:history="1">
        <w:r>
          <w:rPr>
            <w:color w:val="0A3A8C"/>
            <w:u w:val="single"/>
          </w:rPr>
          <w:t xml:space="preserve">§§ 2113</w:t>
        </w:r>
      </w:hyperlink>
      <w:r>
        <w:t xml:space="preserve"> bis </w:t>
      </w:r>
      <w:hyperlink w:anchor="b2571" w:history="1">
        <w:r>
          <w:rPr>
            <w:color w:val="0A3A8C"/>
            <w:u w:val="single"/>
          </w:rPr>
          <w:t xml:space="preserve">2115</w:t>
        </w:r>
      </w:hyperlink>
      <w:r>
        <w:t xml:space="preserve"> ein anderes ergibt.</w:t>
      </w:r>
    </w:p>
    <w:p>
      <w:pPr>
        <w:pStyle w:val="Heading4"/>
      </w:pPr>
      <w:bookmarkStart w:id="2584" w:name="b2569"/>
      <w:r>
        <w:t>§ 2113 Verfügungen über Grundstücke, Schiffe und Schiffsbauwerke; Schenkungen</w:t>
      </w:r>
      <w:r>
        <w:t xml:space="preserve"> </w:t>
      </w:r>
      <w:r>
        <w:rPr>
          <w:rStyle w:val="Suchmarke"/>
        </w:rPr>
        <w:t>#2113#</w:t>
      </w:r>
      <w:bookmarkEnd w:id="2584"/>
    </w:p>
    <w:p>
      <w:r>
        <w:t>(1) Die Verfügung des Vorerben über ein zur Erbschaft gehörendes Grundstück oder Recht an einem Grundstück oder über ein zur Erbschaft gehörendes eingetragenes Schiff oder Schiffsbauwerk ist im Falle des Eintritts der Nacherbfolge insoweit unwirksam, als sie das Recht des Nacherben vereiteln oder beeinträchtigen würde.</w:t>
      </w:r>
    </w:p>
    <w:p>
      <w:r>
        <w:t xml:space="preserve">(2) </w:t>
      </w:r>
      <w:r>
        <w:rPr>
          <w:rStyle w:val="Satznummer"/>
        </w:rPr>
        <w:t>1</w:t>
      </w:r>
      <w:r>
        <w:t xml:space="preserve">Das Gleiche gilt von der Verfügung über einen Erbschaftsgegenstand, die unentgeltlich oder zum Zwecke der Erfüllung eines von dem Vorerben erteilten Schenkungsversprechens erfolgt. </w:t>
      </w:r>
      <w:r>
        <w:rPr>
          <w:rStyle w:val="Satznummer"/>
        </w:rPr>
        <w:t>2</w:t>
      </w:r>
      <w:r>
        <w:t>Ausgenommen sind Schenkungen, durch die einer sittlichen Pflicht oder einer auf den Anstand zu nehmenden Rücksicht entsprochen wird.</w:t>
      </w:r>
    </w:p>
    <w:p>
      <w:r>
        <w:t>(3) Die Vorschriften zugunsten derjenigen, welche Rechte von einem Nichtberechtigten herleiten, finden entsprechende Anwendung.</w:t>
      </w:r>
    </w:p>
    <w:p>
      <w:pPr>
        <w:pStyle w:val="Heading4"/>
      </w:pPr>
      <w:bookmarkStart w:id="2585" w:name="b2570"/>
      <w:r>
        <w:t>§ 2114 Verfügungen über Hypothekenforderungen, Grund- und Rentenschulden</w:t>
      </w:r>
      <w:r>
        <w:t xml:space="preserve"> </w:t>
      </w:r>
      <w:r>
        <w:rPr>
          <w:rStyle w:val="Suchmarke"/>
        </w:rPr>
        <w:t>#2114#</w:t>
      </w:r>
      <w:bookmarkEnd w:id="2585"/>
    </w:p>
    <w:p>
      <w:r>
        <w:rPr>
          <w:rStyle w:val="Satznummer"/>
        </w:rPr>
        <w:t>1</w:t>
      </w:r>
      <w:r>
        <w:t xml:space="preserve">Gehört zur Erbschaft eine Hypothekenforderung, eine Grundschuld, eine Rentenschuld oder eine Schiffshypothekenforderung, so steht die Kündigung und die Einziehung dem Vorerben zu. </w:t>
      </w:r>
      <w:r>
        <w:rPr>
          <w:rStyle w:val="Satznummer"/>
        </w:rPr>
        <w:t>2</w:t>
      </w:r>
      <w:r>
        <w:t xml:space="preserve">Der Vorerbe kann jedoch nur verlangen, dass das Kapital an ihn nach Beibringung der Einwilligung des Nacherben gezahlt oder dass es für ihn und den Nacherben hinterlegt wird. </w:t>
      </w:r>
      <w:r>
        <w:rPr>
          <w:rStyle w:val="Satznummer"/>
        </w:rPr>
        <w:t>3</w:t>
      </w:r>
      <w:r>
        <w:t>Auf andere Verfügungen über die Hypothekenforderung, die Grundschuld, die Rentenschuld oder die Schiffshypothekenforderung findet die Vorschrift des § 2113 Anwendung.</w:t>
      </w:r>
    </w:p>
    <w:p>
      <w:pPr>
        <w:pStyle w:val="Heading4"/>
      </w:pPr>
      <w:bookmarkStart w:id="2586" w:name="b2571"/>
      <w:r>
        <w:t>§ 2115 Zwangsvollstreckungsverfügungen gegen Vorerben</w:t>
      </w:r>
      <w:r>
        <w:t xml:space="preserve"> </w:t>
      </w:r>
      <w:r>
        <w:rPr>
          <w:rStyle w:val="Suchmarke"/>
        </w:rPr>
        <w:t>#2115#</w:t>
      </w:r>
      <w:bookmarkEnd w:id="2586"/>
    </w:p>
    <w:p>
      <w:r>
        <w:rPr>
          <w:rStyle w:val="Satznummer"/>
        </w:rPr>
        <w:t>1</w:t>
      </w:r>
      <w:r>
        <w:t xml:space="preserve">Eine Verfügung über einen Erbschaftsgegenstand, die im Wege der Zwangsvollstreckung oder der Arrestvollziehung oder durch den Insolvenzverwalter erfolgt, ist im Falle des Eintritts der Nacherbfolge insoweit unwirksam, als sie das Recht des Nacherben vereiteln oder beeinträchtigen würde. </w:t>
      </w:r>
      <w:r>
        <w:rPr>
          <w:rStyle w:val="Satznummer"/>
        </w:rPr>
        <w:t>2</w:t>
      </w:r>
      <w:r>
        <w:t>Die Verfügung ist unbeschränkt wirksam, wenn der Anspruch eines Nachlassgläubigers oder ein an einem Erbschaftsgegenstand bestehendes Recht geltend gemacht wird, das im Falle des Eintritts der Nacherbfolge dem Nacherben gegenüber wirksam ist.</w:t>
      </w:r>
    </w:p>
    <w:p>
      <w:pPr>
        <w:pStyle w:val="Heading4"/>
      </w:pPr>
      <w:bookmarkStart w:id="2587" w:name="b2572"/>
      <w:r>
        <w:t>§ 2116 Hinterlegung von Wertpapieren</w:t>
      </w:r>
      <w:r>
        <w:t xml:space="preserve"> </w:t>
      </w:r>
      <w:r>
        <w:rPr>
          <w:rStyle w:val="Suchmarke"/>
        </w:rPr>
        <w:t>#2116#</w:t>
      </w:r>
      <w:bookmarkEnd w:id="2587"/>
    </w:p>
    <w:p>
      <w:r>
        <w:t xml:space="preserve">(1) </w:t>
      </w:r>
      <w:r>
        <w:rPr>
          <w:rStyle w:val="Satznummer"/>
        </w:rPr>
        <w:t>1</w:t>
      </w:r>
      <w:r>
        <w:t xml:space="preserve">Der Vorerbe hat auf Verlangen des Nacherben die zur Erbschaft gehörenden Inhaberpapiere nebst den Erneuerungsscheinen bei einer Hinterlegungsstelle mit der Bestimmung zu hinterlegen, dass die Herausgabe nur mit Zustimmung des Nacherben verlangt werden kann. </w:t>
      </w:r>
      <w:r>
        <w:rPr>
          <w:rStyle w:val="Satznummer"/>
        </w:rPr>
        <w:t>2</w:t>
      </w:r>
      <w:r>
        <w:t xml:space="preserve">Die Hinterlegung von Inhaberpapieren, die nach </w:t>
      </w:r>
      <w:hyperlink w:anchor="b117" w:history="1">
        <w:r>
          <w:rPr>
            <w:color w:val="0A3A8C"/>
            <w:u w:val="single"/>
          </w:rPr>
          <w:t xml:space="preserve">§ 92</w:t>
        </w:r>
      </w:hyperlink>
      <w:r>
        <w:t xml:space="preserve"> zu den verbrauchbaren Sachen gehören, sowie von Zins-, Renten- oder Gewinnanteilscheinen kann nicht verlangt werden. </w:t>
      </w:r>
      <w:r>
        <w:rPr>
          <w:rStyle w:val="Satznummer"/>
        </w:rPr>
        <w:t>3</w:t>
      </w:r>
      <w:r>
        <w:t>Den Inhaberpapieren stehen Orderpapiere gleich, die mit Blankoindossament versehen sind.</w:t>
      </w:r>
    </w:p>
    <w:p>
      <w:r>
        <w:t>(2) Über die hinterlegten Papiere kann der Vorerbe nur mit Zustimmung des Nacherben verfügen.</w:t>
      </w:r>
    </w:p>
    <w:p>
      <w:pPr>
        <w:pStyle w:val="Heading4"/>
      </w:pPr>
      <w:bookmarkStart w:id="2588" w:name="b2573"/>
      <w:r>
        <w:t>§ 2117 Umschreibung; Umwandlung</w:t>
      </w:r>
      <w:r>
        <w:t xml:space="preserve"> </w:t>
      </w:r>
      <w:r>
        <w:rPr>
          <w:rStyle w:val="Suchmarke"/>
        </w:rPr>
        <w:t>#2117#</w:t>
      </w:r>
      <w:bookmarkEnd w:id="2588"/>
    </w:p>
    <w:p>
      <w:r>
        <w:rPr>
          <w:rStyle w:val="Satznummer"/>
        </w:rPr>
        <w:t>1</w:t>
      </w:r>
      <w:r>
        <w:t xml:space="preserve">Der Vorerbe kann die Inhaberpapiere, statt sie nach </w:t>
      </w:r>
      <w:hyperlink w:anchor="b2572" w:history="1">
        <w:r>
          <w:rPr>
            <w:color w:val="0A3A8C"/>
            <w:u w:val="single"/>
          </w:rPr>
          <w:t xml:space="preserve">§ 2116</w:t>
        </w:r>
      </w:hyperlink>
      <w:r>
        <w:t xml:space="preserve"> zu hinterlegen, auf seinen Namen mit der Bestimmung umschreiben lassen, dass er über sie nur mit Zustimmung des Nacherben verfügen kann. </w:t>
      </w:r>
      <w:r>
        <w:rPr>
          <w:rStyle w:val="Satznummer"/>
        </w:rPr>
        <w:t>2</w:t>
      </w:r>
      <w:r>
        <w:t>Sind die Papiere vom Bund oder von einem Land ausgestellt, so kann er sie mit der gleichen Bestimmung in Buchforderungen gegen den Bund oder das Land umwandeln lassen.</w:t>
      </w:r>
    </w:p>
    <w:p>
      <w:pPr>
        <w:pStyle w:val="Heading4"/>
      </w:pPr>
      <w:bookmarkStart w:id="2589" w:name="b2574"/>
      <w:r>
        <w:t>§ 2118 Sperrvermerk im Schuldbuch</w:t>
      </w:r>
      <w:r>
        <w:t xml:space="preserve"> </w:t>
      </w:r>
      <w:r>
        <w:rPr>
          <w:rStyle w:val="Suchmarke"/>
        </w:rPr>
        <w:t>#2118#</w:t>
      </w:r>
      <w:bookmarkEnd w:id="2589"/>
    </w:p>
    <w:p>
      <w:r>
        <w:t>Gehören zur Erbschaft Buchforderungen gegen den Bund oder ein Land, so ist der Vorerbe auf Verlangen des Nacherben verpflichtet, in das Schuldbuch den Vermerk eintragen zu lassen, dass er über die Forderungen nur mit Zustimmung des Nacherben verfügen kann.</w:t>
      </w:r>
    </w:p>
    <w:p>
      <w:pPr>
        <w:pStyle w:val="Heading4"/>
      </w:pPr>
      <w:bookmarkStart w:id="2590" w:name="b2575"/>
      <w:r>
        <w:t>§ 2119 Anlegung von Geld</w:t>
      </w:r>
      <w:r>
        <w:t xml:space="preserve"> </w:t>
      </w:r>
      <w:r>
        <w:rPr>
          <w:rStyle w:val="Suchmarke"/>
        </w:rPr>
        <w:t>#2119#</w:t>
      </w:r>
      <w:bookmarkEnd w:id="2590"/>
    </w:p>
    <w:p>
      <w:r>
        <w:t xml:space="preserve">Geld, das nach den Regeln einer ordnungsmäßigen Wirtschaft dauernd anzulegen ist, darf der Vorerbe nur der Rechtsverordnung nach </w:t>
      </w:r>
      <w:hyperlink w:anchor="b278" w:history="1">
        <w:r>
          <w:rPr>
            <w:color w:val="0A3A8C"/>
            <w:u w:val="single"/>
          </w:rPr>
          <w:t xml:space="preserve">§ 240a</w:t>
        </w:r>
      </w:hyperlink>
      <w:r>
        <w:t xml:space="preserve"> entsprechend anlegen.</w:t>
      </w:r>
    </w:p>
    <w:p>
      <w:pPr>
        <w:pStyle w:val="Heading4"/>
      </w:pPr>
      <w:bookmarkStart w:id="2591" w:name="b2576"/>
      <w:r>
        <w:t>§ 2120 Einwilligungspflicht des Nacherben</w:t>
      </w:r>
      <w:r>
        <w:t xml:space="preserve"> </w:t>
      </w:r>
      <w:r>
        <w:rPr>
          <w:rStyle w:val="Suchmarke"/>
        </w:rPr>
        <w:t>#2120#</w:t>
      </w:r>
      <w:bookmarkEnd w:id="2591"/>
    </w:p>
    <w:p>
      <w:r>
        <w:rPr>
          <w:rStyle w:val="Satznummer"/>
        </w:rPr>
        <w:t>1</w:t>
      </w:r>
      <w:r>
        <w:t xml:space="preserve">Ist zur ordnungsmäßigen Verwaltung, insbesondere zur Berichtigung von Nachlassverbindlichkeiten, eine Verfügung erforderlich, die der Vorerbe nicht mit Wirkung gegen den Nacherben vornehmen kann, so ist der Nacherbe dem Vorerben gegenüber verpflichtet, seine Einwilligung zu der Verfügung zu erteilen. </w:t>
      </w:r>
      <w:r>
        <w:rPr>
          <w:rStyle w:val="Satznummer"/>
        </w:rPr>
        <w:t>2</w:t>
      </w:r>
      <w:r>
        <w:t xml:space="preserve">Die Einwilligung ist auf Verlangen in öffentlich beglaubigter Form zu erklären. </w:t>
      </w:r>
      <w:r>
        <w:rPr>
          <w:rStyle w:val="Satznummer"/>
        </w:rPr>
        <w:t>3</w:t>
      </w:r>
      <w:r>
        <w:t>Die Kosten der Beglaubigung fallen dem Vorerben zur Last.</w:t>
      </w:r>
    </w:p>
    <w:p>
      <w:pPr>
        <w:pStyle w:val="Heading4"/>
      </w:pPr>
      <w:bookmarkStart w:id="2592" w:name="b2577"/>
      <w:r>
        <w:t>§ 2121 Verzeichnis der Erbschaftsgegenstände</w:t>
      </w:r>
      <w:r>
        <w:t xml:space="preserve"> </w:t>
      </w:r>
      <w:r>
        <w:rPr>
          <w:rStyle w:val="Suchmarke"/>
        </w:rPr>
        <w:t>#2121#</w:t>
      </w:r>
      <w:bookmarkEnd w:id="2592"/>
    </w:p>
    <w:p>
      <w:r>
        <w:t xml:space="preserve">(1) </w:t>
      </w:r>
      <w:r>
        <w:rPr>
          <w:rStyle w:val="Satznummer"/>
        </w:rPr>
        <w:t>1</w:t>
      </w:r>
      <w:r>
        <w:t xml:space="preserve">Der Vorerbe hat dem Nacherben auf Verlangen ein Verzeichnis der zur Erbschaft gehörenden Gegenstände mitzuteilen. </w:t>
      </w:r>
      <w:r>
        <w:rPr>
          <w:rStyle w:val="Satznummer"/>
        </w:rPr>
        <w:t>2</w:t>
      </w:r>
      <w:r>
        <w:t>Das Verzeichnis ist mit der Angabe des Tages der Aufnahme zu versehen und von dem Vorerben zu unterzeichnen; der Vorerbe hat auf Verlangen die Unterzeichnung öffentlich beglaubigen zu lassen.</w:t>
      </w:r>
    </w:p>
    <w:p>
      <w:r>
        <w:t>(2) Der Nacherbe kann verlangen, dass er bei der Aufnahme des Verzeichnisses zugezogen wird.</w:t>
      </w:r>
    </w:p>
    <w:p>
      <w:r>
        <w:t>(3) Der Vorerbe ist berechtigt und auf Verlangen des Nacherben verpflichtet, das Verzeichnis durch die zuständige Behörde oder durch einen zuständigen Beamten oder Notar aufnehmen zu lassen.</w:t>
      </w:r>
    </w:p>
    <w:p>
      <w:r>
        <w:t>(4) Die Kosten der Aufnahme und der Beglaubigung fallen der Erbschaft zur Last.</w:t>
      </w:r>
    </w:p>
    <w:p>
      <w:pPr>
        <w:pStyle w:val="Heading4"/>
      </w:pPr>
      <w:bookmarkStart w:id="2593" w:name="b2578"/>
      <w:r>
        <w:t>§ 2122 Feststellung des Zustands der Erbschaft</w:t>
      </w:r>
      <w:r>
        <w:t xml:space="preserve"> </w:t>
      </w:r>
      <w:r>
        <w:rPr>
          <w:rStyle w:val="Suchmarke"/>
        </w:rPr>
        <w:t>#2122#</w:t>
      </w:r>
      <w:bookmarkEnd w:id="2593"/>
    </w:p>
    <w:p>
      <w:r>
        <w:rPr>
          <w:rStyle w:val="Satznummer"/>
        </w:rPr>
        <w:t>1</w:t>
      </w:r>
      <w:r>
        <w:t xml:space="preserve">Der Vorerbe kann den Zustand der zur Erbschaft gehörenden Sachen auf seine Kosten durch Sachverständige feststellen lassen. </w:t>
      </w:r>
      <w:r>
        <w:rPr>
          <w:rStyle w:val="Satznummer"/>
        </w:rPr>
        <w:t>2</w:t>
      </w:r>
      <w:r>
        <w:t>Das gleiche Recht steht dem Nacherben zu.</w:t>
      </w:r>
    </w:p>
    <w:p>
      <w:pPr>
        <w:pStyle w:val="Heading4"/>
      </w:pPr>
      <w:bookmarkStart w:id="2594" w:name="b2579"/>
      <w:r>
        <w:t>§ 2123 Wirtschaftsplan</w:t>
      </w:r>
      <w:r>
        <w:t xml:space="preserve"> </w:t>
      </w:r>
      <w:r>
        <w:rPr>
          <w:rStyle w:val="Suchmarke"/>
        </w:rPr>
        <w:t>#2123#</w:t>
      </w:r>
      <w:bookmarkEnd w:id="2594"/>
    </w:p>
    <w:p>
      <w:r>
        <w:t xml:space="preserve">(1) </w:t>
      </w:r>
      <w:r>
        <w:rPr>
          <w:rStyle w:val="Satznummer"/>
        </w:rPr>
        <w:t>1</w:t>
      </w:r>
      <w:r>
        <w:t xml:space="preserve">Gehört ein Wald zur Erbschaft, so kann sowohl der Vorerbe als der Nacherbe verlangen, dass das Maß der Nutzung und die Art der wirtschaftlichen Behandlung durch einen Wirtschaftsplan festgestellt werden. </w:t>
      </w:r>
      <w:r>
        <w:rPr>
          <w:rStyle w:val="Satznummer"/>
        </w:rPr>
        <w:t>2</w:t>
      </w:r>
      <w:r>
        <w:t xml:space="preserve">Tritt eine erhebliche Änderung der Umstände ein, so kann jeder Teil eine entsprechende Änderung des Wirtschaftsplans verlangen. </w:t>
      </w:r>
      <w:r>
        <w:rPr>
          <w:rStyle w:val="Satznummer"/>
        </w:rPr>
        <w:t>3</w:t>
      </w:r>
      <w:r>
        <w:t>Die Kosten fallen der Erbschaft zur Last.</w:t>
      </w:r>
    </w:p>
    <w:p>
      <w:r>
        <w:t>(2) Das Gleiche gilt, wenn ein Bergwerk oder eine andere auf Gewinnung von Bodenbestandteilen gerichtete Anlage zur Erbschaft gehört.</w:t>
      </w:r>
    </w:p>
    <w:p>
      <w:pPr>
        <w:pStyle w:val="Heading4"/>
      </w:pPr>
      <w:bookmarkStart w:id="2595" w:name="b2580"/>
      <w:r>
        <w:t>§ 2124 Erhaltungskosten</w:t>
      </w:r>
      <w:r>
        <w:t xml:space="preserve"> </w:t>
      </w:r>
      <w:r>
        <w:rPr>
          <w:rStyle w:val="Suchmarke"/>
        </w:rPr>
        <w:t>#2124#</w:t>
      </w:r>
      <w:bookmarkEnd w:id="2595"/>
    </w:p>
    <w:p>
      <w:r>
        <w:t>(1) Der Vorerbe trägt dem Nacherben gegenüber die gewöhnlichen Erhaltungskosten.</w:t>
      </w:r>
    </w:p>
    <w:p>
      <w:r>
        <w:t xml:space="preserve">(2) </w:t>
      </w:r>
      <w:r>
        <w:rPr>
          <w:rStyle w:val="Satznummer"/>
        </w:rPr>
        <w:t>1</w:t>
      </w:r>
      <w:r>
        <w:t xml:space="preserve">Andere Aufwendungen, die der Vorerbe zum Zwecke der Erhaltung von Erbschaftsgegenständen den Umständen nach für erforderlich halten darf, kann er aus der Erbschaft bestreiten. </w:t>
      </w:r>
      <w:r>
        <w:rPr>
          <w:rStyle w:val="Satznummer"/>
        </w:rPr>
        <w:t>2</w:t>
      </w:r>
      <w:r>
        <w:t>Bestreitet er sie aus seinem Vermögen, so ist der Nacherbe im Falle des Eintritts der Nacherbfolge zum Ersatz verpflichtet.</w:t>
      </w:r>
    </w:p>
    <w:p>
      <w:pPr>
        <w:pStyle w:val="Heading4"/>
      </w:pPr>
      <w:bookmarkStart w:id="2596" w:name="b2581"/>
      <w:r>
        <w:t>§ 2125 Verwendungen; Wegnahmerecht</w:t>
      </w:r>
      <w:r>
        <w:t xml:space="preserve"> </w:t>
      </w:r>
      <w:r>
        <w:rPr>
          <w:rStyle w:val="Suchmarke"/>
        </w:rPr>
        <w:t>#2125#</w:t>
      </w:r>
      <w:bookmarkEnd w:id="2596"/>
    </w:p>
    <w:p>
      <w:r>
        <w:t xml:space="preserve">(1) Macht der Vorerbe Verwendungen auf die Erbschaft, die nicht unter die Vorschrift des </w:t>
      </w:r>
      <w:hyperlink w:anchor="b2580" w:history="1">
        <w:r>
          <w:rPr>
            <w:color w:val="0A3A8C"/>
            <w:u w:val="single"/>
          </w:rPr>
          <w:t xml:space="preserve">§ 2124</w:t>
        </w:r>
      </w:hyperlink>
      <w:r>
        <w:t xml:space="preserve"> fallen, so ist der Nacherbe im Falle des Eintritts der Nacherbfolge nach den Vorschriften über die Geschäftsführung ohne Auftrag zum Ersatz verpflichtet.</w:t>
      </w:r>
    </w:p>
    <w:p>
      <w:r>
        <w:t>(2) Der Vorerbe ist berechtigt, eine Einrichtung, mit der er eine zur Erbschaft gehörende Sache versehen hat, wegzunehmen.</w:t>
      </w:r>
    </w:p>
    <w:p>
      <w:pPr>
        <w:pStyle w:val="Heading4"/>
      </w:pPr>
      <w:bookmarkStart w:id="2597" w:name="b2582"/>
      <w:r>
        <w:t>§ 2126 Außerordentliche Lasten</w:t>
      </w:r>
      <w:r>
        <w:t xml:space="preserve"> </w:t>
      </w:r>
      <w:r>
        <w:rPr>
          <w:rStyle w:val="Suchmarke"/>
        </w:rPr>
        <w:t>#2126#</w:t>
      </w:r>
      <w:bookmarkEnd w:id="2597"/>
    </w:p>
    <w:p>
      <w:r>
        <w:rPr>
          <w:rStyle w:val="Satznummer"/>
        </w:rPr>
        <w:t>1</w:t>
      </w:r>
      <w:r>
        <w:t xml:space="preserve">Der Vorerbe hat im Verhältnis zu dem Nacherben nicht die außerordentlichen Lasten zu tragen, die als auf den Stammwert der Erbschaftsgegenstände gelegt anzusehen sind. </w:t>
      </w:r>
      <w:r>
        <w:rPr>
          <w:rStyle w:val="Satznummer"/>
        </w:rPr>
        <w:t>2</w:t>
      </w:r>
      <w:r>
        <w:t>Auf diese Lasten findet die Vorschrift des § 2124 Abs. 2 Anwendung.</w:t>
      </w:r>
    </w:p>
    <w:p>
      <w:pPr>
        <w:pStyle w:val="Heading4"/>
      </w:pPr>
      <w:bookmarkStart w:id="2598" w:name="b2583"/>
      <w:r>
        <w:t>§ 2127 Auskunftsrecht des Nacherben</w:t>
      </w:r>
      <w:r>
        <w:t xml:space="preserve"> </w:t>
      </w:r>
      <w:r>
        <w:rPr>
          <w:rStyle w:val="Suchmarke"/>
        </w:rPr>
        <w:t>#2127#</w:t>
      </w:r>
      <w:bookmarkEnd w:id="2598"/>
    </w:p>
    <w:p>
      <w:r>
        <w:t>Der Nacherbe ist berechtigt, von dem Vorerben Auskunft über den Bestand der Erbschaft zu verlangen, wenn Grund zu der Annahme besteht, dass der Vorerbe durch seine Verwaltung die Rechte des Nacherben erheblich verletzt.</w:t>
      </w:r>
    </w:p>
    <w:p>
      <w:pPr>
        <w:pStyle w:val="Heading4"/>
      </w:pPr>
      <w:bookmarkStart w:id="2599" w:name="b2584"/>
      <w:r>
        <w:t>§ 2128 Sicherheitsleistung</w:t>
      </w:r>
      <w:r>
        <w:t xml:space="preserve"> </w:t>
      </w:r>
      <w:r>
        <w:rPr>
          <w:rStyle w:val="Suchmarke"/>
        </w:rPr>
        <w:t>#2128#</w:t>
      </w:r>
      <w:bookmarkEnd w:id="2599"/>
    </w:p>
    <w:p>
      <w:r>
        <w:t>(1) Wird durch das Verhalten des Vorerben oder durch seine ungünstige Vermögenslage die Besorgnis einer erheblichen Verletzung der Rechte des Nacherben begründet, so kann der Nacherbe Sicherheitsleistung verlangen.</w:t>
      </w:r>
    </w:p>
    <w:p>
      <w:r>
        <w:t xml:space="preserve">(2) Die für die Verpflichtung des Nießbrauchers zur Sicherheitsleistung geltende Vorschrift des </w:t>
      </w:r>
      <w:hyperlink w:anchor="b1524" w:history="1">
        <w:r>
          <w:rPr>
            <w:color w:val="0A3A8C"/>
            <w:u w:val="single"/>
          </w:rPr>
          <w:t xml:space="preserve">§ 1052</w:t>
        </w:r>
      </w:hyperlink>
      <w:r>
        <w:t xml:space="preserve"> findet entsprechende Anwendung.</w:t>
      </w:r>
    </w:p>
    <w:p>
      <w:pPr>
        <w:pStyle w:val="Heading4"/>
      </w:pPr>
      <w:bookmarkStart w:id="2600" w:name="b2585"/>
      <w:r>
        <w:t>§ 2129 Wirkung einer Entziehung der Verwaltung</w:t>
      </w:r>
      <w:r>
        <w:t xml:space="preserve"> </w:t>
      </w:r>
      <w:r>
        <w:rPr>
          <w:rStyle w:val="Suchmarke"/>
        </w:rPr>
        <w:t>#2129#</w:t>
      </w:r>
      <w:bookmarkEnd w:id="2600"/>
    </w:p>
    <w:p>
      <w:r>
        <w:t xml:space="preserve">(1) Wird dem Vorerben die Verwaltung nach der Vorschrift des </w:t>
      </w:r>
      <w:hyperlink w:anchor="b1524" w:history="1">
        <w:r>
          <w:rPr>
            <w:color w:val="0A3A8C"/>
            <w:u w:val="single"/>
          </w:rPr>
          <w:t xml:space="preserve">§ 1052</w:t>
        </w:r>
      </w:hyperlink>
      <w:r>
        <w:t xml:space="preserve"> entzogen, so verliert er das Recht, über Erbschaftsgegenstände zu verfügen.</w:t>
      </w:r>
    </w:p>
    <w:p>
      <w:r>
        <w:t xml:space="preserve">(2) </w:t>
      </w:r>
      <w:r>
        <w:rPr>
          <w:rStyle w:val="Satznummer"/>
        </w:rPr>
        <w:t>1</w:t>
      </w:r>
      <w:r>
        <w:t xml:space="preserve">Die Vorschriften zugunsten derjenigen, welche Rechte von einem Nichtberechtigten herleiten, finden entsprechende Anwendung. </w:t>
      </w:r>
      <w:r>
        <w:rPr>
          <w:rStyle w:val="Satznummer"/>
        </w:rPr>
        <w:t>2</w:t>
      </w:r>
      <w:r>
        <w:t xml:space="preserve">Für die zur Erbschaft gehörenden Forderungen ist die Entziehung der Verwaltung dem Schuldner gegenüber erst wirksam, wenn er von der getroffenen Anordnung Kenntnis erlangt oder wenn ihm eine Mitteilung von der Anordnung zugestellt wird. </w:t>
      </w:r>
      <w:r>
        <w:rPr>
          <w:rStyle w:val="Satznummer"/>
        </w:rPr>
        <w:t>3</w:t>
      </w:r>
      <w:r>
        <w:t>Das Gleiche gilt von der Aufhebung der Entziehung.</w:t>
      </w:r>
    </w:p>
    <w:p>
      <w:pPr>
        <w:pStyle w:val="Heading4"/>
      </w:pPr>
      <w:bookmarkStart w:id="2601" w:name="b2586"/>
      <w:r>
        <w:t>§ 2130 Herausgabepflicht nach dem Eintritt der Nacherbfolge, Rechenschaftspflicht</w:t>
      </w:r>
      <w:r>
        <w:t xml:space="preserve"> </w:t>
      </w:r>
      <w:r>
        <w:rPr>
          <w:rStyle w:val="Suchmarke"/>
        </w:rPr>
        <w:t>#2130#</w:t>
      </w:r>
      <w:bookmarkEnd w:id="2601"/>
    </w:p>
    <w:p>
      <w:r>
        <w:t xml:space="preserve">(1) </w:t>
      </w:r>
      <w:r>
        <w:rPr>
          <w:rStyle w:val="Satznummer"/>
        </w:rPr>
        <w:t>1</w:t>
      </w:r>
      <w:r>
        <w:t xml:space="preserve">Der Vorerbe ist nach dem Eintritt der Nacherbfolge verpflichtet, dem Nacherben die Erbschaft in dem Zustand herauszugeben, der sich bei einer bis zur Herausgabe fortgesetzten ordnungsmäßigen Verwaltung ergibt. </w:t>
      </w:r>
      <w:r>
        <w:rPr>
          <w:rStyle w:val="Satznummer"/>
        </w:rPr>
        <w:t>2</w:t>
      </w:r>
      <w:r>
        <w:t xml:space="preserve">Auf die Herausgabe eines landwirtschaftlichen Grundstücks findet die Vorschrift des </w:t>
      </w:r>
      <w:hyperlink w:anchor="b871" w:history="1">
        <w:r>
          <w:rPr>
            <w:color w:val="0A3A8C"/>
            <w:u w:val="single"/>
          </w:rPr>
          <w:t xml:space="preserve">§ 596a</w:t>
        </w:r>
      </w:hyperlink>
      <w:r>
        <w:t xml:space="preserve">, auf die Herausgabe eines Landguts finden die Vorschriften der </w:t>
      </w:r>
      <w:hyperlink w:anchor="b871" w:history="1">
        <w:r>
          <w:rPr>
            <w:color w:val="0A3A8C"/>
            <w:u w:val="single"/>
          </w:rPr>
          <w:t xml:space="preserve">§§ 596a</w:t>
        </w:r>
      </w:hyperlink>
      <w:r>
        <w:t xml:space="preserve">, </w:t>
      </w:r>
      <w:hyperlink w:anchor="b872" w:history="1">
        <w:r>
          <w:rPr>
            <w:color w:val="0A3A8C"/>
            <w:u w:val="single"/>
          </w:rPr>
          <w:t xml:space="preserve">596b</w:t>
        </w:r>
      </w:hyperlink>
      <w:r>
        <w:t xml:space="preserve"> entsprechende Anwendung.</w:t>
      </w:r>
    </w:p>
    <w:p>
      <w:r>
        <w:t>(2) Der Vorerbe hat auf Verlangen Rechenschaft abzulegen.</w:t>
      </w:r>
    </w:p>
    <w:p>
      <w:pPr>
        <w:pStyle w:val="Heading4"/>
      </w:pPr>
      <w:bookmarkStart w:id="2602" w:name="b2587"/>
      <w:r>
        <w:t>§ 2131 Umfang der Sorgfaltspflicht</w:t>
      </w:r>
      <w:r>
        <w:t xml:space="preserve"> </w:t>
      </w:r>
      <w:r>
        <w:rPr>
          <w:rStyle w:val="Suchmarke"/>
        </w:rPr>
        <w:t>#2131#</w:t>
      </w:r>
      <w:bookmarkEnd w:id="2602"/>
    </w:p>
    <w:p>
      <w:r>
        <w:t>Der Vorerbe hat dem Nacherben gegenüber in Ansehung der Verwaltung nur für diejenige Sorgfalt einzustehen, welche er in eigenen Angelegenheiten anzuwenden pflegt.</w:t>
      </w:r>
    </w:p>
    <w:p>
      <w:pPr>
        <w:pStyle w:val="Heading4"/>
      </w:pPr>
      <w:bookmarkStart w:id="2603" w:name="b2588"/>
      <w:r>
        <w:t>§ 2132 Keine Haftung für gewöhnliche Abnutzung</w:t>
      </w:r>
      <w:r>
        <w:t xml:space="preserve"> </w:t>
      </w:r>
      <w:r>
        <w:rPr>
          <w:rStyle w:val="Suchmarke"/>
        </w:rPr>
        <w:t>#2132#</w:t>
      </w:r>
      <w:bookmarkEnd w:id="2603"/>
    </w:p>
    <w:p>
      <w:r>
        <w:t>Veränderungen oder Verschlechterungen von Erbschaftssachen, die durch ordnungsmäßige Benutzung herbeigeführt werden, hat der Vorerbe nicht zu vertreten.</w:t>
      </w:r>
    </w:p>
    <w:p>
      <w:pPr>
        <w:pStyle w:val="Heading4"/>
      </w:pPr>
      <w:bookmarkStart w:id="2604" w:name="b2589"/>
      <w:r>
        <w:t>§ 2133 Ordnungswidrige oder übermäßige Fruchtziehung</w:t>
      </w:r>
      <w:r>
        <w:t xml:space="preserve"> </w:t>
      </w:r>
      <w:r>
        <w:rPr>
          <w:rStyle w:val="Suchmarke"/>
        </w:rPr>
        <w:t>#2133#</w:t>
      </w:r>
      <w:bookmarkEnd w:id="2604"/>
    </w:p>
    <w:p>
      <w:r>
        <w:t>Zieht der Vorerbe Früchte den Regeln einer ordnungsmäßigen Wirtschaft zuwider oder zieht er Früchte deshalb im Übermaß, weil dies infolge eines besonderen Ereignisses notwendig geworden ist, so gebührt ihm der Wert der Früchte nur insoweit, als durch den ordnungswidrigen oder den übermäßigen Fruchtbezug die ihm gebührenden Nutzungen beeinträchtigt werden und nicht der Wert der Früchte nach den Regeln einer ordnungsmäßigen Wirtschaft zur Wiederherstellung der Sache zu verwenden ist.</w:t>
      </w:r>
    </w:p>
    <w:p>
      <w:pPr>
        <w:pStyle w:val="Heading4"/>
      </w:pPr>
      <w:bookmarkStart w:id="2605" w:name="b2590"/>
      <w:r>
        <w:t>§ 2134 Eigennützige Verwendung</w:t>
      </w:r>
      <w:r>
        <w:t xml:space="preserve"> </w:t>
      </w:r>
      <w:r>
        <w:rPr>
          <w:rStyle w:val="Suchmarke"/>
        </w:rPr>
        <w:t>#2134#</w:t>
      </w:r>
      <w:bookmarkEnd w:id="2605"/>
    </w:p>
    <w:p>
      <w:r>
        <w:rPr>
          <w:rStyle w:val="Satznummer"/>
        </w:rPr>
        <w:t>1</w:t>
      </w:r>
      <w:r>
        <w:t xml:space="preserve">Hat der Vorerbe einen Erbschaftsgegenstand für sich verwendet, so ist er nach dem Eintritt der Nacherbfolge dem Nacherben gegenüber zum Ersatz des Wertes verpflichtet. </w:t>
      </w:r>
      <w:r>
        <w:rPr>
          <w:rStyle w:val="Satznummer"/>
        </w:rPr>
        <w:t>2</w:t>
      </w:r>
      <w:r>
        <w:t>Eine weitergehende Haftung wegen Verschuldens bleibt unberührt.</w:t>
      </w:r>
    </w:p>
    <w:p>
      <w:pPr>
        <w:pStyle w:val="Heading4"/>
      </w:pPr>
      <w:bookmarkStart w:id="2606" w:name="b2591"/>
      <w:r>
        <w:t>§ 2135 Miet- und Pachtverhältnis bei der Nacherbfolge</w:t>
      </w:r>
      <w:r>
        <w:t xml:space="preserve"> </w:t>
      </w:r>
      <w:r>
        <w:rPr>
          <w:rStyle w:val="Suchmarke"/>
        </w:rPr>
        <w:t>#2135#</w:t>
      </w:r>
      <w:bookmarkEnd w:id="2606"/>
    </w:p>
    <w:p>
      <w:r>
        <w:t xml:space="preserve">Hat der Vorerbe ein zur Erbschaft gehörendes Grundstück oder eingetragenes Schiff vermietet oder verpachtet, so findet, wenn das Miet- oder Pachtverhältnis bei dem Eintritt der Nacherbfolge noch besteht, die Vorschrift des </w:t>
      </w:r>
      <w:hyperlink w:anchor="b1528" w:history="1">
        <w:r>
          <w:rPr>
            <w:color w:val="0A3A8C"/>
            <w:u w:val="single"/>
          </w:rPr>
          <w:t xml:space="preserve">§ 1056</w:t>
        </w:r>
      </w:hyperlink>
      <w:r>
        <w:t xml:space="preserve"> entsprechende Anwendung.</w:t>
      </w:r>
    </w:p>
    <w:p>
      <w:pPr>
        <w:pStyle w:val="Heading4"/>
      </w:pPr>
      <w:bookmarkStart w:id="2607" w:name="b2592"/>
      <w:r>
        <w:t>§ 2136 Befreiung des Vorerben</w:t>
      </w:r>
      <w:r>
        <w:t xml:space="preserve"> </w:t>
      </w:r>
      <w:r>
        <w:rPr>
          <w:rStyle w:val="Suchmarke"/>
        </w:rPr>
        <w:t>#2136#</w:t>
      </w:r>
      <w:bookmarkEnd w:id="2607"/>
    </w:p>
    <w:p>
      <w:r>
        <w:t xml:space="preserve">Der Erblasser kann den Vorerben von den Beschränkungen und Verpflichtungen des </w:t>
      </w:r>
      <w:hyperlink w:anchor="b2569" w:history="1">
        <w:r>
          <w:rPr>
            <w:color w:val="0A3A8C"/>
            <w:u w:val="single"/>
          </w:rPr>
          <w:t xml:space="preserve">§ 2113</w:t>
        </w:r>
      </w:hyperlink>
      <w:r>
        <w:t xml:space="preserve"> Abs. 1 und der </w:t>
      </w:r>
      <w:hyperlink w:anchor="b2570" w:history="1">
        <w:r>
          <w:rPr>
            <w:color w:val="0A3A8C"/>
            <w:u w:val="single"/>
          </w:rPr>
          <w:t xml:space="preserve">§§ 2114</w:t>
        </w:r>
      </w:hyperlink>
      <w:r>
        <w:t xml:space="preserve">, </w:t>
      </w:r>
      <w:hyperlink w:anchor="b2572" w:history="1">
        <w:r>
          <w:rPr>
            <w:color w:val="0A3A8C"/>
            <w:u w:val="single"/>
          </w:rPr>
          <w:t xml:space="preserve">2116</w:t>
        </w:r>
      </w:hyperlink>
      <w:r>
        <w:t xml:space="preserve"> bis </w:t>
      </w:r>
      <w:hyperlink w:anchor="b2575" w:history="1">
        <w:r>
          <w:rPr>
            <w:color w:val="0A3A8C"/>
            <w:u w:val="single"/>
          </w:rPr>
          <w:t xml:space="preserve">2119</w:t>
        </w:r>
      </w:hyperlink>
      <w:r>
        <w:t xml:space="preserve">, </w:t>
      </w:r>
      <w:hyperlink w:anchor="b2579" w:history="1">
        <w:r>
          <w:rPr>
            <w:color w:val="0A3A8C"/>
            <w:u w:val="single"/>
          </w:rPr>
          <w:t xml:space="preserve">2123</w:t>
        </w:r>
      </w:hyperlink>
      <w:r>
        <w:t xml:space="preserve">, </w:t>
      </w:r>
      <w:hyperlink w:anchor="b2583" w:history="1">
        <w:r>
          <w:rPr>
            <w:color w:val="0A3A8C"/>
            <w:u w:val="single"/>
          </w:rPr>
          <w:t xml:space="preserve">2127</w:t>
        </w:r>
      </w:hyperlink>
      <w:r>
        <w:t xml:space="preserve"> bis </w:t>
      </w:r>
      <w:hyperlink w:anchor="b2587" w:history="1">
        <w:r>
          <w:rPr>
            <w:color w:val="0A3A8C"/>
            <w:u w:val="single"/>
          </w:rPr>
          <w:t xml:space="preserve">2131</w:t>
        </w:r>
      </w:hyperlink>
      <w:r>
        <w:t xml:space="preserve">, </w:t>
      </w:r>
      <w:hyperlink w:anchor="b2589" w:history="1">
        <w:r>
          <w:rPr>
            <w:color w:val="0A3A8C"/>
            <w:u w:val="single"/>
          </w:rPr>
          <w:t xml:space="preserve">2133</w:t>
        </w:r>
      </w:hyperlink>
      <w:r>
        <w:t xml:space="preserve">, </w:t>
      </w:r>
      <w:hyperlink w:anchor="b2590" w:history="1">
        <w:r>
          <w:rPr>
            <w:color w:val="0A3A8C"/>
            <w:u w:val="single"/>
          </w:rPr>
          <w:t xml:space="preserve">2134</w:t>
        </w:r>
      </w:hyperlink>
      <w:r>
        <w:t xml:space="preserve"> befreien.</w:t>
      </w:r>
    </w:p>
    <w:p>
      <w:pPr>
        <w:pStyle w:val="Heading4"/>
      </w:pPr>
      <w:bookmarkStart w:id="2608" w:name="b2593"/>
      <w:r>
        <w:t>§ 2137 Auslegungsregel für die Befreiung</w:t>
      </w:r>
      <w:r>
        <w:t xml:space="preserve"> </w:t>
      </w:r>
      <w:r>
        <w:rPr>
          <w:rStyle w:val="Suchmarke"/>
        </w:rPr>
        <w:t>#2137#</w:t>
      </w:r>
      <w:bookmarkEnd w:id="2608"/>
    </w:p>
    <w:p>
      <w:r>
        <w:t xml:space="preserve">(1) Hat der Erblasser den Nacherben auf dasjenige eingesetzt, was von der Erbschaft bei dem Eintritt der Nacherbfolge übrig sein wird, so gilt die Befreiung von allen in </w:t>
      </w:r>
      <w:hyperlink w:anchor="b2592" w:history="1">
        <w:r>
          <w:rPr>
            <w:color w:val="0A3A8C"/>
            <w:u w:val="single"/>
          </w:rPr>
          <w:t xml:space="preserve">§ 2136</w:t>
        </w:r>
      </w:hyperlink>
      <w:r>
        <w:t xml:space="preserve"> bezeichneten Beschränkungen und Verpflichtungen als angeordnet.</w:t>
      </w:r>
    </w:p>
    <w:p>
      <w:r>
        <w:t>(2) Das Gleiche ist im Zweifel anzunehmen, wenn der Erblasser bestimmt hat, dass der Vorerbe zur freien Verfügung über die Erbschaft berechtigt sein soll.</w:t>
      </w:r>
    </w:p>
    <w:p>
      <w:pPr>
        <w:pStyle w:val="Heading4"/>
      </w:pPr>
      <w:bookmarkStart w:id="2609" w:name="b2594"/>
      <w:r>
        <w:t>§ 2138 Beschränkte Herausgabepflicht</w:t>
      </w:r>
      <w:r>
        <w:t xml:space="preserve"> </w:t>
      </w:r>
      <w:r>
        <w:rPr>
          <w:rStyle w:val="Suchmarke"/>
        </w:rPr>
        <w:t>#2138#</w:t>
      </w:r>
      <w:bookmarkEnd w:id="2609"/>
    </w:p>
    <w:p>
      <w:r>
        <w:t xml:space="preserve">(1) </w:t>
      </w:r>
      <w:r>
        <w:rPr>
          <w:rStyle w:val="Satznummer"/>
        </w:rPr>
        <w:t>1</w:t>
      </w:r>
      <w:r>
        <w:t xml:space="preserve">Die Herausgabepflicht des Vorerben beschränkt sich in den Fällen des </w:t>
      </w:r>
      <w:hyperlink w:anchor="b2593" w:history="1">
        <w:r>
          <w:rPr>
            <w:color w:val="0A3A8C"/>
            <w:u w:val="single"/>
          </w:rPr>
          <w:t xml:space="preserve">§ 2137</w:t>
        </w:r>
      </w:hyperlink>
      <w:r>
        <w:t xml:space="preserve"> auf die bei ihm noch vorhandenen Erbschaftsgegenstände. </w:t>
      </w:r>
      <w:r>
        <w:rPr>
          <w:rStyle w:val="Satznummer"/>
        </w:rPr>
        <w:t>2</w:t>
      </w:r>
      <w:r>
        <w:t>Für Verwendungen auf Gegenstände, die er infolge dieser Beschränkung nicht herauszugeben hat, kann er nicht Ersatz verlangen.</w:t>
      </w:r>
    </w:p>
    <w:p>
      <w:r>
        <w:t xml:space="preserve">(2) Hat der Vorerbe der Vorschrift des </w:t>
      </w:r>
      <w:hyperlink w:anchor="b2569" w:history="1">
        <w:r>
          <w:rPr>
            <w:color w:val="0A3A8C"/>
            <w:u w:val="single"/>
          </w:rPr>
          <w:t xml:space="preserve">§ 2113</w:t>
        </w:r>
      </w:hyperlink>
      <w:r>
        <w:t xml:space="preserve"> Abs. 2 zuwider über einen Erbschaftsgegenstand verfügt oder hat er die Erbschaft in der Absicht, den Nacherben zu benachteiligen, vermindert, so ist er dem Nacherben zum Schadensersatz verpflichtet.</w:t>
      </w:r>
    </w:p>
    <w:p>
      <w:pPr>
        <w:pStyle w:val="Heading4"/>
      </w:pPr>
      <w:bookmarkStart w:id="2610" w:name="b2595"/>
      <w:r>
        <w:t>§ 2139 Wirkung des Eintritts der Nacherbfolge</w:t>
      </w:r>
      <w:r>
        <w:t xml:space="preserve"> </w:t>
      </w:r>
      <w:r>
        <w:rPr>
          <w:rStyle w:val="Suchmarke"/>
        </w:rPr>
        <w:t>#2139#</w:t>
      </w:r>
      <w:bookmarkEnd w:id="2610"/>
    </w:p>
    <w:p>
      <w:r>
        <w:t>Mit dem Eintritt des Falles der Nacherbfolge hört der Vorerbe auf, Erbe zu sein, und fällt die Erbschaft dem Nacherben an.</w:t>
      </w:r>
    </w:p>
    <w:p>
      <w:pPr>
        <w:pStyle w:val="Heading4"/>
      </w:pPr>
      <w:bookmarkStart w:id="2611" w:name="b2596"/>
      <w:r>
        <w:t>§ 2140 Verfügungen des Vorerben nach Eintritt der Nacherbfolge</w:t>
      </w:r>
      <w:r>
        <w:t xml:space="preserve"> </w:t>
      </w:r>
      <w:r>
        <w:rPr>
          <w:rStyle w:val="Suchmarke"/>
        </w:rPr>
        <w:t>#2140#</w:t>
      </w:r>
      <w:bookmarkEnd w:id="2611"/>
    </w:p>
    <w:p>
      <w:r>
        <w:rPr>
          <w:rStyle w:val="Satznummer"/>
        </w:rPr>
        <w:t>1</w:t>
      </w:r>
      <w:r>
        <w:t xml:space="preserve">Der Vorerbe ist auch nach dem Eintritt des Falles der Nacherbfolge zur Verfügung über Nachlassgegenstände in dem gleichen Umfang wie vorher berechtigt, bis er von dem Eintritt Kenntnis erlangt oder ihn kennen muss. </w:t>
      </w:r>
      <w:r>
        <w:rPr>
          <w:rStyle w:val="Satznummer"/>
        </w:rPr>
        <w:t>2</w:t>
      </w:r>
      <w:r>
        <w:t>Ein Dritter kann sich auf diese Berechtigung nicht berufen, wenn er bei der Vornahme eines Rechtsgeschäfts den Eintritt kennt oder kennen muss.</w:t>
      </w:r>
    </w:p>
    <w:p>
      <w:pPr>
        <w:pStyle w:val="Heading4"/>
      </w:pPr>
      <w:bookmarkStart w:id="2612" w:name="b2597"/>
      <w:r>
        <w:t>§ 2141 Unterhalt der werdenden Mutter eines Nacherben</w:t>
      </w:r>
      <w:r>
        <w:t xml:space="preserve"> </w:t>
      </w:r>
      <w:r>
        <w:rPr>
          <w:rStyle w:val="Suchmarke"/>
        </w:rPr>
        <w:t>#2141#</w:t>
      </w:r>
      <w:bookmarkEnd w:id="2612"/>
    </w:p>
    <w:p>
      <w:r>
        <w:t xml:space="preserve">Ist bei dem Eintritt des Falles der Nacherbfolge die Geburt eines Nacherben zu erwarten, so findet auf den Unterhaltsanspruch der Mutter die Vorschrift des </w:t>
      </w:r>
      <w:hyperlink w:anchor="b2404" w:history="1">
        <w:r>
          <w:rPr>
            <w:color w:val="0A3A8C"/>
            <w:u w:val="single"/>
          </w:rPr>
          <w:t xml:space="preserve">§ 1963</w:t>
        </w:r>
      </w:hyperlink>
      <w:r>
        <w:t xml:space="preserve"> entsprechende Anwendung.</w:t>
      </w:r>
    </w:p>
    <w:p>
      <w:pPr>
        <w:pStyle w:val="Heading4"/>
      </w:pPr>
      <w:bookmarkStart w:id="2613" w:name="b2598"/>
      <w:r>
        <w:t>§ 2142 Ausschlagung der Nacherbschaft</w:t>
      </w:r>
      <w:r>
        <w:t xml:space="preserve"> </w:t>
      </w:r>
      <w:r>
        <w:rPr>
          <w:rStyle w:val="Suchmarke"/>
        </w:rPr>
        <w:t>#2142#</w:t>
      </w:r>
      <w:bookmarkEnd w:id="2613"/>
    </w:p>
    <w:p>
      <w:r>
        <w:t>(1) Der Nacherbe kann die Erbschaft ausschlagen, sobald der Erbfall eingetreten ist.</w:t>
      </w:r>
    </w:p>
    <w:p>
      <w:r>
        <w:t>(2) Schlägt der Nacherbe die Erbschaft aus, so verbleibt sie dem Vorerben, soweit nicht der Erblasser ein anderes bestimmt hat.</w:t>
      </w:r>
    </w:p>
    <w:p>
      <w:pPr>
        <w:pStyle w:val="Heading4"/>
      </w:pPr>
      <w:bookmarkStart w:id="2614" w:name="b2599"/>
      <w:r>
        <w:t>§ 2143 Wiederaufleben erloschener Rechtsverhältnisse</w:t>
      </w:r>
      <w:r>
        <w:t xml:space="preserve"> </w:t>
      </w:r>
      <w:r>
        <w:rPr>
          <w:rStyle w:val="Suchmarke"/>
        </w:rPr>
        <w:t>#2143#</w:t>
      </w:r>
      <w:bookmarkEnd w:id="2614"/>
    </w:p>
    <w:p>
      <w:r>
        <w:t>Tritt die Nacherbfolge ein, so gelten die infolge des Erbfalls durch Vereinigung von Recht und Verbindlichkeit oder von Recht und Belastung erloschenen Rechtsverhältnisse als nicht erloschen.</w:t>
      </w:r>
    </w:p>
    <w:p>
      <w:pPr>
        <w:pStyle w:val="Heading4"/>
      </w:pPr>
      <w:bookmarkStart w:id="2615" w:name="b2600"/>
      <w:r>
        <w:t>§ 2144 Haftung des Nacherben für Nachlassverbindlichkeiten</w:t>
      </w:r>
      <w:r>
        <w:t xml:space="preserve"> </w:t>
      </w:r>
      <w:r>
        <w:rPr>
          <w:rStyle w:val="Suchmarke"/>
        </w:rPr>
        <w:t>#2144#</w:t>
      </w:r>
      <w:bookmarkEnd w:id="2615"/>
    </w:p>
    <w:p>
      <w:r>
        <w:t>(1) Die Vorschriften über die Beschränkung der Haftung des Erben für die Nachlassverbindlichkeiten gelten auch für den Nacherben; an die Stelle des Nachlasses tritt dasjenige, was der Nacherbe aus der Erbschaft erlangt, mit Einschluss der ihm gegen den Vorerben als solchen zustehenden Ansprüche.</w:t>
      </w:r>
    </w:p>
    <w:p>
      <w:r>
        <w:t>(2) Das von dem Vorerben errichtete Inventar kommt auch dem Nacherben zustatten.</w:t>
      </w:r>
    </w:p>
    <w:p>
      <w:r>
        <w:t>(3) Der Nacherbe kann sich dem Vorerben gegenüber auf die Beschränkung seiner Haftung auch dann berufen, wenn er den übrigen Nachlassgläubigern gegenüber unbeschränkt haftet.</w:t>
      </w:r>
    </w:p>
    <w:p>
      <w:pPr>
        <w:pStyle w:val="Heading4"/>
      </w:pPr>
      <w:bookmarkStart w:id="2616" w:name="b2601"/>
      <w:r>
        <w:t>§ 2145 Haftung des Vorerben für Nachlassverbindlichkeiten</w:t>
      </w:r>
      <w:r>
        <w:t xml:space="preserve"> </w:t>
      </w:r>
      <w:r>
        <w:rPr>
          <w:rStyle w:val="Suchmarke"/>
        </w:rPr>
        <w:t>#2145#</w:t>
      </w:r>
      <w:bookmarkEnd w:id="2616"/>
    </w:p>
    <w:p>
      <w:r>
        <w:t xml:space="preserve">(1) </w:t>
      </w:r>
      <w:r>
        <w:rPr>
          <w:rStyle w:val="Satznummer"/>
        </w:rPr>
        <w:t>1</w:t>
      </w:r>
      <w:r>
        <w:t xml:space="preserve">Der Vorerbe haftet nach dem Eintritt der Nacherbfolge für die Nachlassverbindlichkeiten noch insoweit, als der Nacherbe nicht haftet. </w:t>
      </w:r>
      <w:r>
        <w:rPr>
          <w:rStyle w:val="Satznummer"/>
        </w:rPr>
        <w:t>2</w:t>
      </w:r>
      <w:r>
        <w:t>Die Haftung bleibt auch für diejenigen Nachlassverbindlichkeiten bestehen, welche im Verhältnis zwischen dem Vorerben und dem Nacherben dem Vorerben zur Last fallen.</w:t>
      </w:r>
    </w:p>
    <w:p>
      <w:r>
        <w:t xml:space="preserve">(2) </w:t>
      </w:r>
      <w:r>
        <w:rPr>
          <w:rStyle w:val="Satznummer"/>
        </w:rPr>
        <w:t>1</w:t>
      </w:r>
      <w:r>
        <w:t xml:space="preserve">Der Vorerbe kann nach dem Eintritt der Nacherbfolge die Berichtigung der Nachlassverbindlichkeiten, sofern nicht seine Haftung unbeschränkt ist, insoweit verweigern, als dasjenige nicht ausreicht, was ihm von der Erbschaft gebührt. </w:t>
      </w:r>
      <w:r>
        <w:rPr>
          <w:rStyle w:val="Satznummer"/>
        </w:rPr>
        <w:t>2</w:t>
      </w:r>
      <w:r>
        <w:t xml:space="preserve">Die Vorschriften der </w:t>
      </w:r>
      <w:hyperlink w:anchor="b2435" w:history="1">
        <w:r>
          <w:rPr>
            <w:color w:val="0A3A8C"/>
            <w:u w:val="single"/>
          </w:rPr>
          <w:t xml:space="preserve">§§ 1990</w:t>
        </w:r>
      </w:hyperlink>
      <w:r>
        <w:t xml:space="preserve">, </w:t>
      </w:r>
      <w:hyperlink w:anchor="b2436" w:history="1">
        <w:r>
          <w:rPr>
            <w:color w:val="0A3A8C"/>
            <w:u w:val="single"/>
          </w:rPr>
          <w:t xml:space="preserve">1991</w:t>
        </w:r>
      </w:hyperlink>
      <w:r>
        <w:t xml:space="preserve"> finden entsprechende Anwendung.</w:t>
      </w:r>
    </w:p>
    <w:p>
      <w:pPr>
        <w:pStyle w:val="Heading4"/>
      </w:pPr>
      <w:bookmarkStart w:id="2617" w:name="b2602"/>
      <w:r>
        <w:t>§ 2146 Anzeigepflicht des Vorerben gegenüber Nachlassgläubigern</w:t>
      </w:r>
      <w:r>
        <w:t xml:space="preserve"> </w:t>
      </w:r>
      <w:r>
        <w:rPr>
          <w:rStyle w:val="Suchmarke"/>
        </w:rPr>
        <w:t>#2146#</w:t>
      </w:r>
      <w:bookmarkEnd w:id="2617"/>
    </w:p>
    <w:p>
      <w:r>
        <w:t xml:space="preserve">(1) </w:t>
      </w:r>
      <w:r>
        <w:rPr>
          <w:rStyle w:val="Satznummer"/>
        </w:rPr>
        <w:t>1</w:t>
      </w:r>
      <w:r>
        <w:t xml:space="preserve">Der Vorerbe ist den Nachlassgläubigern gegenüber verpflichtet, den Eintritt der Nacherbfolge unverzüglich dem Nachlassgericht anzuzeigen. </w:t>
      </w:r>
      <w:r>
        <w:rPr>
          <w:rStyle w:val="Satznummer"/>
        </w:rPr>
        <w:t>2</w:t>
      </w:r>
      <w:r>
        <w:t>Die Anzeige des Vorerben wird durch die Anzeige des Nacherben ersetzt.</w:t>
      </w:r>
    </w:p>
    <w:p>
      <w:r>
        <w:t>(2) Das Nachlassgericht hat die Einsicht der Anzeige jedem zu gestatten, der ein rechtliches Interesse glaubhaft macht.</w:t>
      </w:r>
    </w:p>
    <w:p>
      <w:pPr>
        <w:pStyle w:val="Heading3"/>
      </w:pPr>
      <w:bookmarkStart w:id="2618" w:name="b2603"/>
      <w:r>
        <w:t>Titel 4 Vermächtnis</w:t>
      </w:r>
      <w:bookmarkEnd w:id="2618"/>
    </w:p>
    <w:p>
      <w:pPr>
        <w:pStyle w:val="Heading4"/>
      </w:pPr>
      <w:bookmarkStart w:id="2619" w:name="b2604"/>
      <w:r>
        <w:t>§ 2147 Beschwerter</w:t>
      </w:r>
      <w:r>
        <w:t xml:space="preserve"> </w:t>
      </w:r>
      <w:r>
        <w:rPr>
          <w:rStyle w:val="Suchmarke"/>
        </w:rPr>
        <w:t>#2147#</w:t>
      </w:r>
      <w:bookmarkEnd w:id="2619"/>
    </w:p>
    <w:p>
      <w:r>
        <w:rPr>
          <w:rStyle w:val="Satznummer"/>
        </w:rPr>
        <w:t>1</w:t>
      </w:r>
      <w:r>
        <w:t xml:space="preserve">Mit einem Vermächtnis kann der Erbe oder ein Vermächtnisnehmer beschwert werden. </w:t>
      </w:r>
      <w:r>
        <w:rPr>
          <w:rStyle w:val="Satznummer"/>
        </w:rPr>
        <w:t>2</w:t>
      </w:r>
      <w:r>
        <w:t>Soweit nicht der Erblasser ein anderes bestimmt hat, ist der Erbe beschwert.</w:t>
      </w:r>
    </w:p>
    <w:p>
      <w:pPr>
        <w:pStyle w:val="Heading4"/>
      </w:pPr>
      <w:bookmarkStart w:id="2620" w:name="b2605"/>
      <w:r>
        <w:t>§ 2148 Mehrere Beschwerte</w:t>
      </w:r>
      <w:r>
        <w:t xml:space="preserve"> </w:t>
      </w:r>
      <w:r>
        <w:rPr>
          <w:rStyle w:val="Suchmarke"/>
        </w:rPr>
        <w:t>#2148#</w:t>
      </w:r>
      <w:bookmarkEnd w:id="2620"/>
    </w:p>
    <w:p>
      <w:r>
        <w:t>Sind mehrere Erben oder mehrere Vermächtnisnehmer mit demselben Vermächtnis beschwert, so sind im Zweifel die Erben nach dem Verhältnis der Erbteile, die Vermächtnisnehmer nach dem Verhältnis des Wertes der Vermächtnisse beschwert.</w:t>
      </w:r>
    </w:p>
    <w:p>
      <w:pPr>
        <w:pStyle w:val="Heading4"/>
      </w:pPr>
      <w:bookmarkStart w:id="2621" w:name="b2606"/>
      <w:r>
        <w:t>§ 2149 Vermächtnis an die gesetzlichen Erben</w:t>
      </w:r>
      <w:r>
        <w:t xml:space="preserve"> </w:t>
      </w:r>
      <w:r>
        <w:rPr>
          <w:rStyle w:val="Suchmarke"/>
        </w:rPr>
        <w:t>#2149#</w:t>
      </w:r>
      <w:bookmarkEnd w:id="2621"/>
    </w:p>
    <w:p>
      <w:r>
        <w:rPr>
          <w:rStyle w:val="Satznummer"/>
        </w:rPr>
        <w:t>1</w:t>
      </w:r>
      <w:r>
        <w:t xml:space="preserve">Hat der Erblasser bestimmt, dass dem eingesetzten Erben ein Erbschaftsgegenstand nicht zufallen soll, so gilt der Gegenstand als den gesetzlichen Erben vermacht. </w:t>
      </w:r>
      <w:r>
        <w:rPr>
          <w:rStyle w:val="Satznummer"/>
        </w:rPr>
        <w:t>2</w:t>
      </w:r>
      <w:r>
        <w:t>Der Fiskus gehört nicht zu den gesetzlichen Erben im Sinne dieser Vorschrift.</w:t>
      </w:r>
    </w:p>
    <w:p>
      <w:pPr>
        <w:pStyle w:val="Heading4"/>
      </w:pPr>
      <w:bookmarkStart w:id="2622" w:name="b2607"/>
      <w:r>
        <w:t>§ 2150 Vorausvermächtnis</w:t>
      </w:r>
      <w:r>
        <w:t xml:space="preserve"> </w:t>
      </w:r>
      <w:r>
        <w:rPr>
          <w:rStyle w:val="Suchmarke"/>
        </w:rPr>
        <w:t>#2150#</w:t>
      </w:r>
      <w:bookmarkEnd w:id="2622"/>
    </w:p>
    <w:p>
      <w:r>
        <w:t>Das einem Erben zugewendete Vermächtnis (Vorausvermächtnis) gilt als Vermächtnis auch insoweit, als der Erbe selbst beschwert ist.</w:t>
      </w:r>
    </w:p>
    <w:p>
      <w:pPr>
        <w:pStyle w:val="Heading4"/>
      </w:pPr>
      <w:bookmarkStart w:id="2623" w:name="b2608"/>
      <w:r>
        <w:t>§ 2151 Bestimmungsrecht des Beschwerten oder eines Dritten bei mehreren Bedachten</w:t>
      </w:r>
      <w:r>
        <w:t xml:space="preserve"> </w:t>
      </w:r>
      <w:r>
        <w:rPr>
          <w:rStyle w:val="Suchmarke"/>
        </w:rPr>
        <w:t>#2151#</w:t>
      </w:r>
      <w:bookmarkEnd w:id="2623"/>
    </w:p>
    <w:p>
      <w:r>
        <w:t>(1) Der Erblasser kann mehrere mit einem Vermächtnis in der Weise bedenken, dass der Beschwerte oder ein Dritter zu bestimmen hat, wer von den mehreren das Vermächtnis erhalten soll.</w:t>
      </w:r>
    </w:p>
    <w:p>
      <w:r>
        <w:t>(2) Die Bestimmung des Beschwerten erfolgt durch Erklärung gegenüber demjenigen, welcher das Vermächtnis erhalten soll; die Bestimmung des Dritten erfolgt durch Erklärung gegenüber dem Beschwerten.</w:t>
      </w:r>
    </w:p>
    <w:p>
      <w:r>
        <w:t xml:space="preserve">(3) </w:t>
      </w:r>
      <w:r>
        <w:rPr>
          <w:rStyle w:val="Satznummer"/>
        </w:rPr>
        <w:t>1</w:t>
      </w:r>
      <w:r>
        <w:t xml:space="preserve">Kann der Beschwerte oder der Dritte die Bestimmung nicht treffen, so sind die Bedachten Gesamtgläubiger. </w:t>
      </w:r>
      <w:r>
        <w:rPr>
          <w:rStyle w:val="Satznummer"/>
        </w:rPr>
        <w:t>2</w:t>
      </w:r>
      <w:r>
        <w:t xml:space="preserve">Das Gleiche gilt, wenn das Nachlassgericht dem Beschwerten oder dem Dritten auf Antrag eines der Beteiligten eine Frist zur Abgabe der Erklärung bestimmt hat und die Frist verstrichen ist, sofern nicht vorher die Erklärung erfolgt. </w:t>
      </w:r>
      <w:r>
        <w:rPr>
          <w:rStyle w:val="Satznummer"/>
        </w:rPr>
        <w:t>3</w:t>
      </w:r>
      <w:r>
        <w:t>Der Bedachte, der das Vermächtnis erhält, ist im Zweifel nicht zur Teilung verpflichtet.</w:t>
      </w:r>
    </w:p>
    <w:p>
      <w:pPr>
        <w:pStyle w:val="Heading4"/>
      </w:pPr>
      <w:bookmarkStart w:id="2624" w:name="b2609"/>
      <w:r>
        <w:t>§ 2152 Wahlweise Bedachte</w:t>
      </w:r>
      <w:r>
        <w:t xml:space="preserve"> </w:t>
      </w:r>
      <w:r>
        <w:rPr>
          <w:rStyle w:val="Suchmarke"/>
        </w:rPr>
        <w:t>#2152#</w:t>
      </w:r>
      <w:bookmarkEnd w:id="2624"/>
    </w:p>
    <w:p>
      <w:r>
        <w:t>Hat der Erblasser mehrere mit einem Vermächtnis in der Weise bedacht, dass nur der eine oder der andere das Vermächtnis erhalten soll, so ist anzunehmen, dass der Beschwerte bestimmen soll, wer von ihnen das Vermächtnis erhält.</w:t>
      </w:r>
    </w:p>
    <w:p>
      <w:pPr>
        <w:pStyle w:val="Heading4"/>
      </w:pPr>
      <w:bookmarkStart w:id="2625" w:name="b2610"/>
      <w:r>
        <w:t>§ 2153 Bestimmung der Anteile</w:t>
      </w:r>
      <w:r>
        <w:t xml:space="preserve"> </w:t>
      </w:r>
      <w:r>
        <w:rPr>
          <w:rStyle w:val="Suchmarke"/>
        </w:rPr>
        <w:t>#2153#</w:t>
      </w:r>
      <w:bookmarkEnd w:id="2625"/>
    </w:p>
    <w:p>
      <w:r>
        <w:t xml:space="preserve">(1) </w:t>
      </w:r>
      <w:r>
        <w:rPr>
          <w:rStyle w:val="Satznummer"/>
        </w:rPr>
        <w:t>1</w:t>
      </w:r>
      <w:r>
        <w:t xml:space="preserve">Der Erblasser kann mehrere mit einem Vermächtnis in der Weise bedenken, dass der Beschwerte oder ein Dritter zu bestimmen hat, was jeder von dem vermachten Gegenstand erhalten soll. </w:t>
      </w:r>
      <w:r>
        <w:rPr>
          <w:rStyle w:val="Satznummer"/>
        </w:rPr>
        <w:t>2</w:t>
      </w:r>
      <w:r>
        <w:t xml:space="preserve">Die Bestimmung erfolgt nach </w:t>
      </w:r>
      <w:hyperlink w:anchor="b2608" w:history="1">
        <w:r>
          <w:rPr>
            <w:color w:val="0A3A8C"/>
            <w:u w:val="single"/>
          </w:rPr>
          <w:t xml:space="preserve">§ 2151</w:t>
        </w:r>
      </w:hyperlink>
      <w:r>
        <w:t xml:space="preserve"> Abs. 2.</w:t>
      </w:r>
    </w:p>
    <w:p>
      <w:r>
        <w:t xml:space="preserve">(2) </w:t>
      </w:r>
      <w:r>
        <w:rPr>
          <w:rStyle w:val="Satznummer"/>
        </w:rPr>
        <w:t>1</w:t>
      </w:r>
      <w:r>
        <w:t xml:space="preserve">Kann der Beschwerte oder der Dritte die Bestimmung nicht treffen, so sind die Bedachten zu gleichen Teilen berechtigt. </w:t>
      </w:r>
      <w:r>
        <w:rPr>
          <w:rStyle w:val="Satznummer"/>
        </w:rPr>
        <w:t>2</w:t>
      </w:r>
      <w:r>
        <w:t xml:space="preserve">Die Vorschrift des </w:t>
      </w:r>
      <w:hyperlink w:anchor="b2608" w:history="1">
        <w:r>
          <w:rPr>
            <w:color w:val="0A3A8C"/>
            <w:u w:val="single"/>
          </w:rPr>
          <w:t xml:space="preserve">§ 2151</w:t>
        </w:r>
      </w:hyperlink>
      <w:r>
        <w:t xml:space="preserve"> Abs. 3 Satz 2 findet entsprechende Anwendung.</w:t>
      </w:r>
    </w:p>
    <w:p>
      <w:pPr>
        <w:pStyle w:val="Heading4"/>
      </w:pPr>
      <w:bookmarkStart w:id="2626" w:name="b2611"/>
      <w:r>
        <w:t>§ 2154 Wahlvermächtnis</w:t>
      </w:r>
      <w:r>
        <w:t xml:space="preserve"> </w:t>
      </w:r>
      <w:r>
        <w:rPr>
          <w:rStyle w:val="Suchmarke"/>
        </w:rPr>
        <w:t>#2154#</w:t>
      </w:r>
      <w:bookmarkEnd w:id="2626"/>
    </w:p>
    <w:p>
      <w:r>
        <w:t xml:space="preserve">(1) </w:t>
      </w:r>
      <w:r>
        <w:rPr>
          <w:rStyle w:val="Satznummer"/>
        </w:rPr>
        <w:t>1</w:t>
      </w:r>
      <w:r>
        <w:t xml:space="preserve">Der Erblasser kann ein Vermächtnis in der Art anordnen, dass der Bedachte von mehreren Gegenständen nur den einen oder den anderen erhalten soll. </w:t>
      </w:r>
      <w:r>
        <w:rPr>
          <w:rStyle w:val="Satznummer"/>
        </w:rPr>
        <w:t>2</w:t>
      </w:r>
      <w:r>
        <w:t>Ist in einem solchen Falle die Wahl einem Dritten übertragen, so erfolgt sie durch Erklärung gegenüber dem Beschwerten.</w:t>
      </w:r>
    </w:p>
    <w:p>
      <w:r>
        <w:t xml:space="preserve">(2) </w:t>
      </w:r>
      <w:r>
        <w:rPr>
          <w:rStyle w:val="Satznummer"/>
        </w:rPr>
        <w:t>1</w:t>
      </w:r>
      <w:r>
        <w:t xml:space="preserve">Kann der Dritte die Wahl nicht treffen, so geht das Wahlrecht auf den Beschwerten über. </w:t>
      </w:r>
      <w:r>
        <w:rPr>
          <w:rStyle w:val="Satznummer"/>
        </w:rPr>
        <w:t>2</w:t>
      </w:r>
      <w:r>
        <w:t xml:space="preserve">Die Vorschrift des </w:t>
      </w:r>
      <w:hyperlink w:anchor="b2608" w:history="1">
        <w:r>
          <w:rPr>
            <w:color w:val="0A3A8C"/>
            <w:u w:val="single"/>
          </w:rPr>
          <w:t xml:space="preserve">§ 2151</w:t>
        </w:r>
      </w:hyperlink>
      <w:r>
        <w:t xml:space="preserve"> Abs. 3 Satz 2 findet entsprechende Anwendung.</w:t>
      </w:r>
    </w:p>
    <w:p>
      <w:pPr>
        <w:pStyle w:val="Heading4"/>
      </w:pPr>
      <w:bookmarkStart w:id="2627" w:name="b2612"/>
      <w:r>
        <w:t>§ 2155 Gattungsvermächtnis</w:t>
      </w:r>
      <w:r>
        <w:t xml:space="preserve"> </w:t>
      </w:r>
      <w:r>
        <w:rPr>
          <w:rStyle w:val="Suchmarke"/>
        </w:rPr>
        <w:t>#2155#</w:t>
      </w:r>
      <w:bookmarkEnd w:id="2627"/>
    </w:p>
    <w:p>
      <w:r>
        <w:t>(1) Hat der Erblasser die vermachte Sache nur der Gattung nach bestimmt, so ist eine den Verhältnissen des Bedachten entsprechende Sache zu leisten.</w:t>
      </w:r>
    </w:p>
    <w:p>
      <w:r>
        <w:t xml:space="preserve">(2) Ist die Bestimmung der Sache dem Bedachten oder einem Dritten übertragen, so finden die nach </w:t>
      </w:r>
      <w:hyperlink w:anchor="b2611" w:history="1">
        <w:r>
          <w:rPr>
            <w:color w:val="0A3A8C"/>
            <w:u w:val="single"/>
          </w:rPr>
          <w:t xml:space="preserve">§ 2154</w:t>
        </w:r>
      </w:hyperlink>
      <w:r>
        <w:t xml:space="preserve"> für die Wahl des Dritten geltenden Vorschriften Anwendung.</w:t>
      </w:r>
    </w:p>
    <w:p>
      <w:r>
        <w:t>(3) Entspricht die von dem Bedachten oder dem Dritten getroffene Bestimmung den Verhältnissen des Bedachten offenbar nicht, so hat der Beschwerte so zu leisten, wie wenn der Erblasser über die Bestimmung der Sache keine Anordnung getroffen hätte.</w:t>
      </w:r>
    </w:p>
    <w:p>
      <w:pPr>
        <w:pStyle w:val="Heading4"/>
      </w:pPr>
      <w:bookmarkStart w:id="2628" w:name="b2613"/>
      <w:r>
        <w:t>§ 2156 Zweckvermächtnis</w:t>
      </w:r>
      <w:r>
        <w:t xml:space="preserve"> </w:t>
      </w:r>
      <w:r>
        <w:rPr>
          <w:rStyle w:val="Suchmarke"/>
        </w:rPr>
        <w:t>#2156#</w:t>
      </w:r>
      <w:bookmarkEnd w:id="2628"/>
    </w:p>
    <w:p>
      <w:r>
        <w:rPr>
          <w:rStyle w:val="Satznummer"/>
        </w:rPr>
        <w:t>1</w:t>
      </w:r>
      <w:r>
        <w:t xml:space="preserve">Der Erblasser kann bei der Anordnung eines Vermächtnisses, dessen Zweck er bestimmt hat, die Bestimmung der Leistung dem billigen Ermessen des Beschwerten oder eines Dritten überlassen. </w:t>
      </w:r>
      <w:r>
        <w:rPr>
          <w:rStyle w:val="Satznummer"/>
        </w:rPr>
        <w:t>2</w:t>
      </w:r>
      <w:r>
        <w:t xml:space="preserve">Auf ein solches Vermächtnis finden die Vorschriften der </w:t>
      </w:r>
      <w:hyperlink w:anchor="b391" w:history="1">
        <w:r>
          <w:rPr>
            <w:color w:val="0A3A8C"/>
            <w:u w:val="single"/>
          </w:rPr>
          <w:t xml:space="preserve">§§ 315</w:t>
        </w:r>
      </w:hyperlink>
      <w:r>
        <w:t xml:space="preserve"> bis </w:t>
      </w:r>
      <w:hyperlink w:anchor="b395" w:history="1">
        <w:r>
          <w:rPr>
            <w:color w:val="0A3A8C"/>
            <w:u w:val="single"/>
          </w:rPr>
          <w:t xml:space="preserve">319</w:t>
        </w:r>
      </w:hyperlink>
      <w:r>
        <w:t xml:space="preserve"> entsprechende Anwendung.</w:t>
      </w:r>
    </w:p>
    <w:p>
      <w:pPr>
        <w:pStyle w:val="Heading4"/>
      </w:pPr>
      <w:bookmarkStart w:id="2629" w:name="b2614"/>
      <w:r>
        <w:t>§ 2157 Gemeinschaftliches Vermächtnis</w:t>
      </w:r>
      <w:r>
        <w:t xml:space="preserve"> </w:t>
      </w:r>
      <w:r>
        <w:rPr>
          <w:rStyle w:val="Suchmarke"/>
        </w:rPr>
        <w:t>#2157#</w:t>
      </w:r>
      <w:bookmarkEnd w:id="2629"/>
    </w:p>
    <w:p>
      <w:r>
        <w:t xml:space="preserve">Ist mehreren derselbe Gegenstand vermacht, so finden die Vorschriften der </w:t>
      </w:r>
      <w:hyperlink w:anchor="b2544" w:history="1">
        <w:r>
          <w:rPr>
            <w:color w:val="0A3A8C"/>
            <w:u w:val="single"/>
          </w:rPr>
          <w:t xml:space="preserve">§§ 2089</w:t>
        </w:r>
      </w:hyperlink>
      <w:r>
        <w:t xml:space="preserve"> bis </w:t>
      </w:r>
      <w:hyperlink w:anchor="b2548" w:history="1">
        <w:r>
          <w:rPr>
            <w:color w:val="0A3A8C"/>
            <w:u w:val="single"/>
          </w:rPr>
          <w:t xml:space="preserve">2093</w:t>
        </w:r>
      </w:hyperlink>
      <w:r>
        <w:t xml:space="preserve"> entsprechende Anwendung.</w:t>
      </w:r>
    </w:p>
    <w:p>
      <w:pPr>
        <w:pStyle w:val="Heading4"/>
      </w:pPr>
      <w:bookmarkStart w:id="2630" w:name="b2615"/>
      <w:r>
        <w:t>§ 2158 Anwachsung</w:t>
      </w:r>
      <w:r>
        <w:t xml:space="preserve"> </w:t>
      </w:r>
      <w:r>
        <w:rPr>
          <w:rStyle w:val="Suchmarke"/>
        </w:rPr>
        <w:t>#2158#</w:t>
      </w:r>
      <w:bookmarkEnd w:id="2630"/>
    </w:p>
    <w:p>
      <w:r>
        <w:t xml:space="preserve">(1) </w:t>
      </w:r>
      <w:r>
        <w:rPr>
          <w:rStyle w:val="Satznummer"/>
        </w:rPr>
        <w:t>1</w:t>
      </w:r>
      <w:r>
        <w:t xml:space="preserve">Ist mehreren derselbe Gegenstand vermacht, so wächst, wenn einer von ihnen vor oder nach dem Erbfall wegfällt, dessen Anteil den übrigen Bedachten nach dem Verhältnis ihrer Anteile an. </w:t>
      </w:r>
      <w:r>
        <w:rPr>
          <w:rStyle w:val="Satznummer"/>
        </w:rPr>
        <w:t>2</w:t>
      </w:r>
      <w:r>
        <w:t xml:space="preserve">Dies gilt auch dann, wenn der Erblasser die Anteile der Bedachten bestimmt hat. </w:t>
      </w:r>
      <w:r>
        <w:rPr>
          <w:rStyle w:val="Satznummer"/>
        </w:rPr>
        <w:t>3</w:t>
      </w:r>
      <w:r>
        <w:t>Sind einige der Bedachten zu demselben Anteil berufen, so tritt die Anwachsung zunächst unter ihnen ein.</w:t>
      </w:r>
    </w:p>
    <w:p>
      <w:r>
        <w:t>(2) Der Erblasser kann die Anwachsung ausschließen.</w:t>
      </w:r>
    </w:p>
    <w:p>
      <w:pPr>
        <w:pStyle w:val="Heading4"/>
      </w:pPr>
      <w:bookmarkStart w:id="2631" w:name="b2616"/>
      <w:r>
        <w:t>§ 2159 Selbständigkeit der Anwachsung</w:t>
      </w:r>
      <w:r>
        <w:t xml:space="preserve"> </w:t>
      </w:r>
      <w:r>
        <w:rPr>
          <w:rStyle w:val="Suchmarke"/>
        </w:rPr>
        <w:t>#2159#</w:t>
      </w:r>
      <w:bookmarkEnd w:id="2631"/>
    </w:p>
    <w:p>
      <w:r>
        <w:t>Der durch Anwachsung einem Vermächtnisnehmer anfallende Anteil gilt in Ansehung der Vermächtnisse und Auflagen, mit denen dieser oder der wegfallende Vermächtnisnehmer beschwert ist, als besonderes Vermächtnis.</w:t>
      </w:r>
    </w:p>
    <w:p>
      <w:pPr>
        <w:pStyle w:val="Heading4"/>
      </w:pPr>
      <w:bookmarkStart w:id="2632" w:name="b2617"/>
      <w:r>
        <w:t>§ 2160 Vorversterben des Bedachten</w:t>
      </w:r>
      <w:r>
        <w:t xml:space="preserve"> </w:t>
      </w:r>
      <w:r>
        <w:rPr>
          <w:rStyle w:val="Suchmarke"/>
        </w:rPr>
        <w:t>#2160#</w:t>
      </w:r>
      <w:bookmarkEnd w:id="2632"/>
    </w:p>
    <w:p>
      <w:r>
        <w:t>Ein Vermächtnis ist unwirksam, wenn der Bedachte zur Zeit des Erbfalls nicht mehr lebt.</w:t>
      </w:r>
    </w:p>
    <w:p>
      <w:pPr>
        <w:pStyle w:val="Heading4"/>
      </w:pPr>
      <w:bookmarkStart w:id="2633" w:name="b2618"/>
      <w:r>
        <w:t>§ 2161 Wegfall des Beschwerten</w:t>
      </w:r>
      <w:r>
        <w:t xml:space="preserve"> </w:t>
      </w:r>
      <w:r>
        <w:rPr>
          <w:rStyle w:val="Suchmarke"/>
        </w:rPr>
        <w:t>#2161#</w:t>
      </w:r>
      <w:bookmarkEnd w:id="2633"/>
    </w:p>
    <w:p>
      <w:r>
        <w:rPr>
          <w:rStyle w:val="Satznummer"/>
        </w:rPr>
        <w:t>1</w:t>
      </w:r>
      <w:r>
        <w:t xml:space="preserve">Ein Vermächtnis bleibt, sofern nicht ein anderer Wille des Erblassers anzunehmen ist, wirksam, wenn der Beschwerte nicht Erbe oder Vermächtnisnehmer wird. </w:t>
      </w:r>
      <w:r>
        <w:rPr>
          <w:rStyle w:val="Satznummer"/>
        </w:rPr>
        <w:t>2</w:t>
      </w:r>
      <w:r>
        <w:t>Beschwert ist in diesem Falle derjenige, welchem der Wegfall des zunächst Beschwerten unmittelbar zustatten kommt.</w:t>
      </w:r>
    </w:p>
    <w:p>
      <w:pPr>
        <w:pStyle w:val="Heading4"/>
      </w:pPr>
      <w:bookmarkStart w:id="2634" w:name="b2619"/>
      <w:r>
        <w:t>§ 2162 Dreißigjährige Frist für aufgeschobenes Vermächtnis</w:t>
      </w:r>
      <w:r>
        <w:t xml:space="preserve"> </w:t>
      </w:r>
      <w:r>
        <w:rPr>
          <w:rStyle w:val="Suchmarke"/>
        </w:rPr>
        <w:t>#2162#</w:t>
      </w:r>
      <w:bookmarkEnd w:id="2634"/>
    </w:p>
    <w:p>
      <w:r>
        <w:t>(1) Ein Vermächtnis, das unter einer aufschiebenden Bedingung oder unter Bestimmung eines Anfangstermins angeordnet ist, wird mit dem Ablauf von 30 Jahren nach dem Erbfall unwirksam, wenn nicht vorher die Bedingung oder der Termin eingetreten ist.</w:t>
      </w:r>
    </w:p>
    <w:p>
      <w:r>
        <w:t>(2) Ist der Bedachte zur Zeit des Erbfalls noch nicht gezeugt oder wird seine Persönlichkeit durch ein erst nach dem Erbfall eintretendes Ereignis bestimmt, so wird das Vermächtnis mit dem Ablauf von 30 Jahren nach dem Erbfall unwirksam, wenn nicht vorher der Bedachte gezeugt oder das Ereignis eingetreten ist, durch das seine Persönlichkeit bestimmt wird.</w:t>
      </w:r>
    </w:p>
    <w:p>
      <w:pPr>
        <w:pStyle w:val="Heading4"/>
      </w:pPr>
      <w:bookmarkStart w:id="2635" w:name="b2620"/>
      <w:r>
        <w:t>§ 2163 Ausnahmen von der dreißigjährigen Frist</w:t>
      </w:r>
      <w:r>
        <w:t xml:space="preserve"> </w:t>
      </w:r>
      <w:r>
        <w:rPr>
          <w:rStyle w:val="Suchmarke"/>
        </w:rPr>
        <w:t>#2163#</w:t>
      </w:r>
      <w:bookmarkEnd w:id="2635"/>
    </w:p>
    <w:p>
      <w:r>
        <w:t xml:space="preserve">(1) Das Vermächtnis bleibt in den Fällen des </w:t>
      </w:r>
      <w:hyperlink w:anchor="b2619" w:history="1">
        <w:r>
          <w:rPr>
            <w:color w:val="0A3A8C"/>
            <w:u w:val="single"/>
          </w:rPr>
          <w:t xml:space="preserve">§ 2162</w:t>
        </w:r>
      </w:hyperlink>
      <w:r>
        <w:t xml:space="preserve"> auch nach dem Ablauf von 30 Jahren wirksam:</w:t>
      </w:r>
    </w:p>
    <w:p>
      <w:pPr>
        <w:tabs>
          <w:tab w:pos="567" w:val="left"/>
        </w:tabs>
        <w:ind w:left="567" w:hanging="567"/>
      </w:pPr>
      <w:r>
        <w:t>1.</w:t>
      </w:r>
      <w:r>
        <w:tab/>
      </w:r>
      <w:r>
        <w:t>wenn es für den Fall angeordnet ist, dass in der Person des Beschwerten oder des Bedachten ein bestimmtes Ereignis eintritt, und derjenige, in dessen Person das Ereignis eintreten soll, zur Zeit des Erbfalls lebt,</w:t>
      </w:r>
    </w:p>
    <w:p>
      <w:pPr>
        <w:tabs>
          <w:tab w:pos="567" w:val="left"/>
        </w:tabs>
        <w:ind w:left="567" w:hanging="567"/>
      </w:pPr>
      <w:r>
        <w:t>2.</w:t>
      </w:r>
      <w:r>
        <w:tab/>
      </w:r>
      <w:r>
        <w:t>wenn ein Erbe, ein Nacherbe oder ein Vermächtnisnehmer für den Fall, dass ihm ein Bruder oder eine Schwester geboren wird, mit einem Vermächtnis zugunsten des Bruders oder der Schwester beschwert ist.</w:t>
      </w:r>
    </w:p>
    <w:p>
      <w:r>
        <w:t>(2) Ist der Beschwerte oder der Bedachte, in dessen Person das Ereignis eintreten soll, eine juristische Person, so bewendet es bei der dreißigjährigen Frist.</w:t>
      </w:r>
    </w:p>
    <w:p>
      <w:pPr>
        <w:pStyle w:val="Heading4"/>
      </w:pPr>
      <w:bookmarkStart w:id="2636" w:name="b2621"/>
      <w:r>
        <w:t>§ 2164 Erstreckung auf Zubehör und Ersatzansprüche</w:t>
      </w:r>
      <w:r>
        <w:t xml:space="preserve"> </w:t>
      </w:r>
      <w:r>
        <w:rPr>
          <w:rStyle w:val="Suchmarke"/>
        </w:rPr>
        <w:t>#2164#</w:t>
      </w:r>
      <w:bookmarkEnd w:id="2636"/>
    </w:p>
    <w:p>
      <w:r>
        <w:t>(1) Das Vermächtnis einer Sache erstreckt sich im Zweifel auf das zur Zeit des Erbfalls vorhandene Zubehör.</w:t>
      </w:r>
    </w:p>
    <w:p>
      <w:r>
        <w:t>(2) Hat der Erblasser wegen einer nach der Anordnung des Vermächtnisses erfolgten Beschädigung der Sache einen Anspruch auf Ersatz der Minderung des Wertes, so erstreckt sich im Zweifel das Vermächtnis auf diesen Anspruch.</w:t>
      </w:r>
    </w:p>
    <w:p>
      <w:pPr>
        <w:pStyle w:val="Heading4"/>
      </w:pPr>
      <w:bookmarkStart w:id="2637" w:name="b2622"/>
      <w:r>
        <w:t>§ 2165 Belastungen</w:t>
      </w:r>
      <w:r>
        <w:t xml:space="preserve"> </w:t>
      </w:r>
      <w:r>
        <w:rPr>
          <w:rStyle w:val="Suchmarke"/>
        </w:rPr>
        <w:t>#2165#</w:t>
      </w:r>
      <w:bookmarkEnd w:id="2637"/>
    </w:p>
    <w:p>
      <w:r>
        <w:t xml:space="preserve">(1) </w:t>
      </w:r>
      <w:r>
        <w:rPr>
          <w:rStyle w:val="Satznummer"/>
        </w:rPr>
        <w:t>1</w:t>
      </w:r>
      <w:r>
        <w:t xml:space="preserve">Ist ein zur Erbschaft gehörender Gegenstand vermacht, so kann der Vermächtnisnehmer im Zweifel nicht die Beseitigung der Rechte verlangen, mit denen der Gegenstand belastet ist. </w:t>
      </w:r>
      <w:r>
        <w:rPr>
          <w:rStyle w:val="Satznummer"/>
        </w:rPr>
        <w:t>2</w:t>
      </w:r>
      <w:r>
        <w:t>Steht dem Erblasser ein Anspruch auf die Beseitigung zu, so erstreckt sich im Zweifel das Vermächtnis auf diesen Anspruch.</w:t>
      </w:r>
    </w:p>
    <w:p>
      <w:r>
        <w:t>(2) Ruht auf einem vermachten Grundstück eine Hypothek, Grundschuld oder Rentenschuld, die dem Erblasser selbst zusteht, so ist aus den Umständen zu entnehmen, ob die Hypothek, Grundschuld oder Rentenschuld als mitvermacht zu gelten hat.</w:t>
      </w:r>
    </w:p>
    <w:p>
      <w:pPr>
        <w:pStyle w:val="Heading4"/>
      </w:pPr>
      <w:bookmarkStart w:id="2638" w:name="b2623"/>
      <w:r>
        <w:t>§ 2166 Belastung mit einer Hypothek</w:t>
      </w:r>
      <w:r>
        <w:t xml:space="preserve"> </w:t>
      </w:r>
      <w:r>
        <w:rPr>
          <w:rStyle w:val="Suchmarke"/>
        </w:rPr>
        <w:t>#2166#</w:t>
      </w:r>
      <w:bookmarkEnd w:id="2638"/>
    </w:p>
    <w:p>
      <w:r>
        <w:t xml:space="preserve">(1) </w:t>
      </w:r>
      <w:r>
        <w:rPr>
          <w:rStyle w:val="Satznummer"/>
        </w:rPr>
        <w:t>1</w:t>
      </w:r>
      <w:r>
        <w:t xml:space="preserve">Ist ein vermachtes Grundstück, das zur Erbschaft gehört, mit einer Hypothek für eine Schuld des Erblassers oder für eine Schuld belastet, zu deren Berichtigung der Erblasser dem Schuldner gegenüber verpflichtet ist, so ist der Vermächtnisnehmer im Zweifel dem Erben gegenüber zur rechtzeitigen Befriedigung des Gläubigers insoweit verpflichtet, als die Schuld durch den Wert des Grundstücks gedeckt wird. </w:t>
      </w:r>
      <w:r>
        <w:rPr>
          <w:rStyle w:val="Satznummer"/>
        </w:rPr>
        <w:t>2</w:t>
      </w:r>
      <w:r>
        <w:t>Der Wert bestimmt sich nach der Zeit, zu welcher das Eigentum auf den Vermächtnisnehmer übergeht; er wird unter Abzug der Belastungen berechnet, die der Hypothek im Range vorgehen.</w:t>
      </w:r>
    </w:p>
    <w:p>
      <w:r>
        <w:t>(2) Ist dem Erblasser gegenüber ein Dritter zur Berichtigung der Schuld verpflichtet, so besteht die Verpflichtung des Vermächtnisnehmers im Zweifel nur insoweit, als der Erbe die Berichtigung nicht von dem Dritten erlangen kann.</w:t>
      </w:r>
    </w:p>
    <w:p>
      <w:r>
        <w:t xml:space="preserve">(3) Auf eine Hypothek der in </w:t>
      </w:r>
      <w:hyperlink w:anchor="b1676" w:history="1">
        <w:r>
          <w:rPr>
            <w:color w:val="0A3A8C"/>
            <w:u w:val="single"/>
          </w:rPr>
          <w:t xml:space="preserve">§ 1190</w:t>
        </w:r>
      </w:hyperlink>
      <w:r>
        <w:t xml:space="preserve"> bezeichneten Art finden diese Vorschriften keine Anwendung.</w:t>
      </w:r>
    </w:p>
    <w:p>
      <w:pPr>
        <w:pStyle w:val="Heading4"/>
      </w:pPr>
      <w:bookmarkStart w:id="2639" w:name="b2624"/>
      <w:r>
        <w:t>§ 2167 Belastung mit einer Gesamthypothek</w:t>
      </w:r>
      <w:r>
        <w:t xml:space="preserve"> </w:t>
      </w:r>
      <w:r>
        <w:rPr>
          <w:rStyle w:val="Suchmarke"/>
        </w:rPr>
        <w:t>#2167#</w:t>
      </w:r>
      <w:bookmarkEnd w:id="2639"/>
    </w:p>
    <w:p>
      <w:r>
        <w:rPr>
          <w:rStyle w:val="Satznummer"/>
        </w:rPr>
        <w:t>1</w:t>
      </w:r>
      <w:r>
        <w:t xml:space="preserve">Sind neben dem vermachten Grundstück andere zur Erbschaft gehörende Grundstücke mit der Hypothek belastet, so beschränkt sich die in </w:t>
      </w:r>
      <w:hyperlink w:anchor="b2623" w:history="1">
        <w:r>
          <w:rPr>
            <w:color w:val="0A3A8C"/>
            <w:u w:val="single"/>
          </w:rPr>
          <w:t xml:space="preserve">§ 2166</w:t>
        </w:r>
      </w:hyperlink>
      <w:r>
        <w:t xml:space="preserve"> bestimmte Verpflichtung des Vermächtnisnehmers im Zweifel auf den Teil der Schuld, der dem Verhältnis des Wertes des vermachten Grundstücks zu dem Werte der sämtlichen Grundstücke entspricht. </w:t>
      </w:r>
      <w:r>
        <w:rPr>
          <w:rStyle w:val="Satznummer"/>
        </w:rPr>
        <w:t>2</w:t>
      </w:r>
      <w:r>
        <w:t xml:space="preserve">Der Wert wird nach </w:t>
      </w:r>
      <w:hyperlink w:anchor="b2623" w:history="1">
        <w:r>
          <w:rPr>
            <w:color w:val="0A3A8C"/>
            <w:u w:val="single"/>
          </w:rPr>
          <w:t xml:space="preserve">§ 2166</w:t>
        </w:r>
      </w:hyperlink>
      <w:r>
        <w:t xml:space="preserve"> Abs. 1 Satz 2 berechnet.</w:t>
      </w:r>
    </w:p>
    <w:p>
      <w:pPr>
        <w:pStyle w:val="Heading4"/>
      </w:pPr>
      <w:bookmarkStart w:id="2640" w:name="b2625"/>
      <w:r>
        <w:t>§ 2168 Belastung mit einer Gesamtgrundschuld</w:t>
      </w:r>
      <w:r>
        <w:t xml:space="preserve"> </w:t>
      </w:r>
      <w:r>
        <w:rPr>
          <w:rStyle w:val="Suchmarke"/>
        </w:rPr>
        <w:t>#2168#</w:t>
      </w:r>
      <w:bookmarkEnd w:id="2640"/>
    </w:p>
    <w:p>
      <w:r>
        <w:t xml:space="preserve">(1) </w:t>
      </w:r>
      <w:r>
        <w:rPr>
          <w:rStyle w:val="Satznummer"/>
        </w:rPr>
        <w:t>1</w:t>
      </w:r>
      <w:r>
        <w:t xml:space="preserve">Besteht an mehreren zur Erbschaft gehörenden Grundstücken eine Gesamtgrundschuld oder eine Gesamtrentenschuld und ist eines dieser Grundstücke vermacht, so ist der Vermächtnisnehmer im Zweifel dem Erben gegenüber zur Befriedigung des Gläubigers in Höhe des Teils der Grundschuld oder der Rentenschuld verpflichtet, der dem Verhältnis des Wertes des vermachten Grundstücks zu dem Wert der sämtlichen Grundstücke entspricht. </w:t>
      </w:r>
      <w:r>
        <w:rPr>
          <w:rStyle w:val="Satznummer"/>
        </w:rPr>
        <w:t>2</w:t>
      </w:r>
      <w:r>
        <w:t xml:space="preserve">Der Wert wird nach </w:t>
      </w:r>
      <w:hyperlink w:anchor="b2623" w:history="1">
        <w:r>
          <w:rPr>
            <w:color w:val="0A3A8C"/>
            <w:u w:val="single"/>
          </w:rPr>
          <w:t xml:space="preserve">§ 2166</w:t>
        </w:r>
      </w:hyperlink>
      <w:r>
        <w:t xml:space="preserve"> Abs. 1 Satz 2 berechnet.</w:t>
      </w:r>
    </w:p>
    <w:p>
      <w:r>
        <w:t xml:space="preserve">(2) Ist neben dem vermachten Grundstück ein nicht zur Erbschaft gehörendes Grundstück mit einer Gesamtgrundschuld oder einer Gesamtrentenschuld belastet, so finden, wenn der Erblasser zur Zeit des Erbfalls gegenüber dem Eigentümer des anderen Grundstücks oder einem Rechtsvorgänger des Eigentümers zur Befriedigung des Gläubigers verpflichtet ist, die Vorschriften des </w:t>
      </w:r>
      <w:hyperlink w:anchor="b2623" w:history="1">
        <w:r>
          <w:rPr>
            <w:color w:val="0A3A8C"/>
            <w:u w:val="single"/>
          </w:rPr>
          <w:t xml:space="preserve">§ 2166</w:t>
        </w:r>
      </w:hyperlink>
      <w:r>
        <w:t xml:space="preserve"> Abs. 1 und des </w:t>
      </w:r>
      <w:hyperlink w:anchor="b2624" w:history="1">
        <w:r>
          <w:rPr>
            <w:color w:val="0A3A8C"/>
            <w:u w:val="single"/>
          </w:rPr>
          <w:t xml:space="preserve">§ 2167</w:t>
        </w:r>
      </w:hyperlink>
      <w:r>
        <w:t xml:space="preserve"> entsprechende Anwendung.</w:t>
      </w:r>
    </w:p>
    <w:p>
      <w:pPr>
        <w:pStyle w:val="Heading4"/>
      </w:pPr>
      <w:bookmarkStart w:id="2641" w:name="b2626"/>
      <w:r>
        <w:t>§ 2168a Anwendung auf Schiffe, Schiffsbauwerke und Schiffshypotheken</w:t>
      </w:r>
      <w:r>
        <w:t xml:space="preserve"> </w:t>
      </w:r>
      <w:r>
        <w:rPr>
          <w:rStyle w:val="Suchmarke"/>
        </w:rPr>
        <w:t>#2168a#</w:t>
      </w:r>
      <w:bookmarkEnd w:id="2641"/>
    </w:p>
    <w:p>
      <w:hyperlink w:anchor="b2622" w:history="1">
        <w:r>
          <w:rPr>
            <w:color w:val="0A3A8C"/>
            <w:u w:val="single"/>
          </w:rPr>
          <w:t xml:space="preserve">§ 2165</w:t>
        </w:r>
      </w:hyperlink>
      <w:r>
        <w:t xml:space="preserve"> Abs. 2, </w:t>
      </w:r>
      <w:hyperlink w:anchor="b2623" w:history="1">
        <w:r>
          <w:rPr>
            <w:color w:val="0A3A8C"/>
            <w:u w:val="single"/>
          </w:rPr>
          <w:t xml:space="preserve">§§ 2166</w:t>
        </w:r>
      </w:hyperlink>
      <w:r>
        <w:t xml:space="preserve">, </w:t>
      </w:r>
      <w:hyperlink w:anchor="b2624" w:history="1">
        <w:r>
          <w:rPr>
            <w:color w:val="0A3A8C"/>
            <w:u w:val="single"/>
          </w:rPr>
          <w:t xml:space="preserve">2167</w:t>
        </w:r>
      </w:hyperlink>
      <w:r>
        <w:t xml:space="preserve"> gelten sinngemäß für eingetragene Schiffe und Schiffsbauwerke und für Schiffshypotheken.</w:t>
      </w:r>
    </w:p>
    <w:p>
      <w:pPr>
        <w:pStyle w:val="Heading4"/>
      </w:pPr>
      <w:bookmarkStart w:id="2642" w:name="b2627"/>
      <w:r>
        <w:t>§ 2169 Vermächtnis fremder Gegenstände</w:t>
      </w:r>
      <w:r>
        <w:t xml:space="preserve"> </w:t>
      </w:r>
      <w:r>
        <w:rPr>
          <w:rStyle w:val="Suchmarke"/>
        </w:rPr>
        <w:t>#2169#</w:t>
      </w:r>
      <w:bookmarkEnd w:id="2642"/>
    </w:p>
    <w:p>
      <w:r>
        <w:t>(1) Das Vermächtnis eines bestimmten Gegenstands ist unwirksam, soweit der Gegenstand zur Zeit des Erbfalls nicht zur Erbschaft gehört, es sei denn, dass der Gegenstand dem Bedachten auch für den Fall zugewendet sein soll, dass er nicht zur Erbschaft gehört.</w:t>
      </w:r>
    </w:p>
    <w:p>
      <w:r>
        <w:t>(2) Hat der Erblasser nur den Besitz der vermachten Sache, so gilt im Zweifel der Besitz als vermacht, es sei denn, dass er dem Bedachten keinen rechtlichen Vorteil gewährt.</w:t>
      </w:r>
    </w:p>
    <w:p>
      <w:r>
        <w:t>(3) Steht dem Erblasser ein Anspruch auf Leistung des vermachten Gegenstands oder, falls der Gegenstand nach der Anordnung des Vermächtnisses untergegangen oder dem Erblasser entzogen worden ist, ein Anspruch auf Ersatz des Wertes zu, so gilt im Zweifel der Anspruch als vermacht.</w:t>
      </w:r>
    </w:p>
    <w:p>
      <w:r>
        <w:t>(4) Zur Erbschaft gehört im Sinne des Absatzes 1 ein Gegenstand nicht, wenn der Erblasser zu dessen Veräußerung verpflichtet ist.</w:t>
      </w:r>
    </w:p>
    <w:p>
      <w:pPr>
        <w:pStyle w:val="Heading4"/>
      </w:pPr>
      <w:bookmarkStart w:id="2643" w:name="b2628"/>
      <w:r>
        <w:t>§ 2170 Verschaffungsvermächtnis</w:t>
      </w:r>
      <w:r>
        <w:t xml:space="preserve"> </w:t>
      </w:r>
      <w:r>
        <w:rPr>
          <w:rStyle w:val="Suchmarke"/>
        </w:rPr>
        <w:t>#2170#</w:t>
      </w:r>
      <w:bookmarkEnd w:id="2643"/>
    </w:p>
    <w:p>
      <w:r>
        <w:t xml:space="preserve">(1) Ist das Vermächtnis eines Gegenstands, der zur Zeit des Erbfalls nicht zur Erbschaft gehört, nach </w:t>
      </w:r>
      <w:hyperlink w:anchor="b2627" w:history="1">
        <w:r>
          <w:rPr>
            <w:color w:val="0A3A8C"/>
            <w:u w:val="single"/>
          </w:rPr>
          <w:t xml:space="preserve">§ 2169</w:t>
        </w:r>
      </w:hyperlink>
      <w:r>
        <w:t xml:space="preserve"> Abs. 1 wirksam, so hat der Beschwerte den Gegenstand dem Bedachten zu verschaffen.</w:t>
      </w:r>
    </w:p>
    <w:p>
      <w:r>
        <w:t xml:space="preserve">(2) </w:t>
      </w:r>
      <w:r>
        <w:rPr>
          <w:rStyle w:val="Satznummer"/>
        </w:rPr>
        <w:t>1</w:t>
      </w:r>
      <w:r>
        <w:t xml:space="preserve">Ist der Beschwerte zur Verschaffung außerstande, so hat er den Wert zu entrichten. </w:t>
      </w:r>
      <w:r>
        <w:rPr>
          <w:rStyle w:val="Satznummer"/>
        </w:rPr>
        <w:t>2</w:t>
      </w:r>
      <w:r>
        <w:t>Ist die Verschaffung nur mit unverhältnismäßigen Aufwendungen möglich, so kann sich der Beschwerte durch Entrichtung des Wertes befreien.</w:t>
      </w:r>
    </w:p>
    <w:p>
      <w:pPr>
        <w:pStyle w:val="Heading4"/>
      </w:pPr>
      <w:bookmarkStart w:id="2644" w:name="b2629"/>
      <w:r>
        <w:t>§ 2171 Unmöglichkeit, gesetzliches Verbot</w:t>
      </w:r>
      <w:r>
        <w:t xml:space="preserve"> </w:t>
      </w:r>
      <w:r>
        <w:rPr>
          <w:rStyle w:val="Suchmarke"/>
        </w:rPr>
        <w:t>#2171#</w:t>
      </w:r>
      <w:bookmarkEnd w:id="2644"/>
    </w:p>
    <w:p>
      <w:r>
        <w:t>(1) Ein Vermächtnis, das auf eine zur Zeit des Erbfalls für jedermann unmögliche Leistung gerichtet ist oder gegen ein zu dieser Zeit bestehendes gesetzliches Verbot verstößt, ist unwirksam.</w:t>
      </w:r>
    </w:p>
    <w:p>
      <w:r>
        <w:t>(2) Die Unmöglichkeit der Leistung steht der Gültigkeit des Vermächtnisses nicht entgegen, wenn die Unmöglichkeit behoben werden kann und das Vermächtnis für den Fall zugewendet ist, dass die Leistung möglich wird.</w:t>
      </w:r>
    </w:p>
    <w:p>
      <w:r>
        <w:t>(3) Wird ein Vermächtnis, das auf eine unmögliche Leistung gerichtet ist, unter einer anderen aufschiebenden Bedingung oder unter Bestimmung eines Anfangstermins zugewendet, so ist das Vermächtnis gültig, wenn die Unmöglichkeit vor dem Eintritt der Bedingung oder des Termins behoben wird.</w:t>
      </w:r>
    </w:p>
    <w:p>
      <w:pPr>
        <w:pStyle w:val="Heading4"/>
      </w:pPr>
      <w:bookmarkStart w:id="2645" w:name="b2630"/>
      <w:r>
        <w:t>§ 2172 Verbindung, Vermischung, Vermengung der vermachten Sache</w:t>
      </w:r>
      <w:r>
        <w:t xml:space="preserve"> </w:t>
      </w:r>
      <w:r>
        <w:rPr>
          <w:rStyle w:val="Suchmarke"/>
        </w:rPr>
        <w:t>#2172#</w:t>
      </w:r>
      <w:bookmarkEnd w:id="2645"/>
    </w:p>
    <w:p>
      <w:r>
        <w:t xml:space="preserve">(1) Die Leistung einer vermachten Sache gilt auch dann als unmöglich, wenn die Sache mit einer anderen Sache in solcher Weise verbunden, vermischt oder vermengt worden ist, dass nach den </w:t>
      </w:r>
      <w:hyperlink w:anchor="b1414" w:history="1">
        <w:r>
          <w:rPr>
            <w:color w:val="0A3A8C"/>
            <w:u w:val="single"/>
          </w:rPr>
          <w:t xml:space="preserve">§§ 946</w:t>
        </w:r>
      </w:hyperlink>
      <w:r>
        <w:t xml:space="preserve"> bis </w:t>
      </w:r>
      <w:hyperlink w:anchor="b1416" w:history="1">
        <w:r>
          <w:rPr>
            <w:color w:val="0A3A8C"/>
            <w:u w:val="single"/>
          </w:rPr>
          <w:t xml:space="preserve">948</w:t>
        </w:r>
      </w:hyperlink>
      <w:r>
        <w:t xml:space="preserve"> das Eigentum an der anderen Sache sich auf sie erstreckt oder Miteigentum eingetreten ist, oder wenn sie in solcher Weise verarbeitet oder umgebildet worden ist, dass nach </w:t>
      </w:r>
      <w:hyperlink w:anchor="b1418" w:history="1">
        <w:r>
          <w:rPr>
            <w:color w:val="0A3A8C"/>
            <w:u w:val="single"/>
          </w:rPr>
          <w:t xml:space="preserve">§ 950</w:t>
        </w:r>
      </w:hyperlink>
      <w:r>
        <w:t xml:space="preserve"> derjenige, welcher die neue Sache hergestellt hat, Eigentümer geworden ist.</w:t>
      </w:r>
    </w:p>
    <w:p>
      <w:r>
        <w:t xml:space="preserve">(2) </w:t>
      </w:r>
      <w:r>
        <w:rPr>
          <w:rStyle w:val="Satznummer"/>
        </w:rPr>
        <w:t>1</w:t>
      </w:r>
      <w:r>
        <w:t xml:space="preserve">Ist die Verbindung, Vermischung oder Vermengung durch einen anderen als den Erblasser erfolgt und hat der Erblasser dadurch Miteigentum erworben, so gilt im Zweifel das Miteigentum als vermacht; steht dem Erblasser ein Recht zur Wegnahme der verbundenen Sache zu, so gilt im Zweifel dieses Recht als vermacht. </w:t>
      </w:r>
      <w:r>
        <w:rPr>
          <w:rStyle w:val="Satznummer"/>
        </w:rPr>
        <w:t>2</w:t>
      </w:r>
      <w:r>
        <w:t xml:space="preserve">Im Falle der Verarbeitung oder Umbildung durch einen anderen als den Erblasser bewendet es bei der Vorschrift des </w:t>
      </w:r>
      <w:hyperlink w:anchor="b2627" w:history="1">
        <w:r>
          <w:rPr>
            <w:color w:val="0A3A8C"/>
            <w:u w:val="single"/>
          </w:rPr>
          <w:t xml:space="preserve">§ 2169</w:t>
        </w:r>
      </w:hyperlink>
      <w:r>
        <w:t xml:space="preserve"> Abs. 3.</w:t>
      </w:r>
    </w:p>
    <w:p>
      <w:pPr>
        <w:pStyle w:val="Heading4"/>
      </w:pPr>
      <w:bookmarkStart w:id="2646" w:name="b2631"/>
      <w:r>
        <w:t>§ 2173 Forderungsvermächtnis</w:t>
      </w:r>
      <w:r>
        <w:t xml:space="preserve"> </w:t>
      </w:r>
      <w:r>
        <w:rPr>
          <w:rStyle w:val="Suchmarke"/>
        </w:rPr>
        <w:t>#2173#</w:t>
      </w:r>
      <w:bookmarkEnd w:id="2646"/>
    </w:p>
    <w:p>
      <w:r>
        <w:rPr>
          <w:rStyle w:val="Satznummer"/>
        </w:rPr>
        <w:t>1</w:t>
      </w:r>
      <w:r>
        <w:t xml:space="preserve">Hat der Erblasser eine ihm zustehende Forderung vermacht, so ist, wenn vor dem Erbfall die Leistung erfolgt und der geleistete Gegenstand noch in der Erbschaft vorhanden ist, im Zweifel anzunehmen, dass dem Bedachten dieser Gegenstand zugewendet sein soll. </w:t>
      </w:r>
      <w:r>
        <w:rPr>
          <w:rStyle w:val="Satznummer"/>
        </w:rPr>
        <w:t>2</w:t>
      </w:r>
      <w:r>
        <w:t>War die Forderung auf die Zahlung einer Geldsumme gerichtet, so gilt im Zweifel die entsprechende Geldsumme als vermacht, auch wenn sich eine solche in der Erbschaft nicht vorfindet.</w:t>
      </w:r>
    </w:p>
    <w:p>
      <w:pPr>
        <w:pStyle w:val="Heading4"/>
      </w:pPr>
      <w:bookmarkStart w:id="2647" w:name="b2632"/>
      <w:r>
        <w:t>§ 2174 Vermächtnisanspruch</w:t>
      </w:r>
      <w:r>
        <w:t xml:space="preserve"> </w:t>
      </w:r>
      <w:r>
        <w:rPr>
          <w:rStyle w:val="Suchmarke"/>
        </w:rPr>
        <w:t>#2174#</w:t>
      </w:r>
      <w:bookmarkEnd w:id="2647"/>
    </w:p>
    <w:p>
      <w:r>
        <w:t>Durch das Vermächtnis wird für den Bedachten das Recht begründet, von dem Beschwerten die Leistung des vermachten Gegenstands zu fordern.</w:t>
      </w:r>
    </w:p>
    <w:p>
      <w:pPr>
        <w:pStyle w:val="Heading4"/>
      </w:pPr>
      <w:bookmarkStart w:id="2648" w:name="b2633"/>
      <w:r>
        <w:t>§ 2175 Wiederaufleben erloschener Rechtsverhältnisse</w:t>
      </w:r>
      <w:r>
        <w:t xml:space="preserve"> </w:t>
      </w:r>
      <w:r>
        <w:rPr>
          <w:rStyle w:val="Suchmarke"/>
        </w:rPr>
        <w:t>#2175#</w:t>
      </w:r>
      <w:bookmarkEnd w:id="2648"/>
    </w:p>
    <w:p>
      <w:r>
        <w:t>Hat der Erblasser eine ihm gegen den Erben zustehende Forderung oder hat er ein Recht vermacht, mit dem eine Sache oder ein Recht des Erben belastet ist, so gelten die infolge des Erbfalls durch Vereinigung von Recht und Verbindlichkeit oder von Recht und Belastung erloschenen Rechtsverhältnisse in Ansehung des Vermächtnisses als nicht erloschen.</w:t>
      </w:r>
    </w:p>
    <w:p>
      <w:pPr>
        <w:pStyle w:val="Heading4"/>
      </w:pPr>
      <w:bookmarkStart w:id="2649" w:name="b2634"/>
      <w:r>
        <w:t>§ 2176 Anfall des Vermächtnisses</w:t>
      </w:r>
      <w:r>
        <w:t xml:space="preserve"> </w:t>
      </w:r>
      <w:r>
        <w:rPr>
          <w:rStyle w:val="Suchmarke"/>
        </w:rPr>
        <w:t>#2176#</w:t>
      </w:r>
      <w:bookmarkEnd w:id="2649"/>
    </w:p>
    <w:p>
      <w:r>
        <w:t>Die Forderung des Vermächtnisnehmers kommt, unbeschadet des Rechts, das Vermächtnis auszuschlagen, zur Entstehung (Anfall des Vermächtnisses) mit dem Erbfall.</w:t>
      </w:r>
    </w:p>
    <w:p>
      <w:pPr>
        <w:pStyle w:val="Heading4"/>
      </w:pPr>
      <w:bookmarkStart w:id="2650" w:name="b2635"/>
      <w:r>
        <w:t>§ 2177 Anfall bei einer Bedingung oder Befristung</w:t>
      </w:r>
      <w:r>
        <w:t xml:space="preserve"> </w:t>
      </w:r>
      <w:r>
        <w:rPr>
          <w:rStyle w:val="Suchmarke"/>
        </w:rPr>
        <w:t>#2177#</w:t>
      </w:r>
      <w:bookmarkEnd w:id="2650"/>
    </w:p>
    <w:p>
      <w:r>
        <w:t>Ist das Vermächtnis unter einer aufschiebenden Bedingung oder unter Bestimmung eines Anfangstermins angeordnet und tritt die Bedingung oder der Termin erst nach dem Erbfall ein, so erfolgt der Anfall des Vermächtnisses mit dem Eintritt der Bedingung oder des Termins.</w:t>
      </w:r>
    </w:p>
    <w:p>
      <w:pPr>
        <w:pStyle w:val="Heading4"/>
      </w:pPr>
      <w:bookmarkStart w:id="2651" w:name="b2636"/>
      <w:r>
        <w:t>§ 2178 Anfall bei einem noch nicht erzeugten oder bestimmten Bedachten</w:t>
      </w:r>
      <w:r>
        <w:t xml:space="preserve"> </w:t>
      </w:r>
      <w:r>
        <w:rPr>
          <w:rStyle w:val="Suchmarke"/>
        </w:rPr>
        <w:t>#2178#</w:t>
      </w:r>
      <w:bookmarkEnd w:id="2651"/>
    </w:p>
    <w:p>
      <w:r>
        <w:t>Ist der Bedachte zur Zeit des Erbfalls noch nicht gezeugt oder wird seine Persönlichkeit durch ein erst nach dem Erbfall eintretendes Ereignis bestimmt, so erfolgt der Anfall des Vermächtnisses im ersteren Falle mit der Geburt, im letzteren Falle mit dem Eintritt des Ereignisses.</w:t>
      </w:r>
    </w:p>
    <w:p>
      <w:pPr>
        <w:pStyle w:val="Heading4"/>
      </w:pPr>
      <w:bookmarkStart w:id="2652" w:name="b2637"/>
      <w:r>
        <w:t>§ 2179 Schwebezeit</w:t>
      </w:r>
      <w:r>
        <w:t xml:space="preserve"> </w:t>
      </w:r>
      <w:r>
        <w:rPr>
          <w:rStyle w:val="Suchmarke"/>
        </w:rPr>
        <w:t>#2179#</w:t>
      </w:r>
      <w:bookmarkEnd w:id="2652"/>
    </w:p>
    <w:p>
      <w:r>
        <w:t xml:space="preserve">Für die Zeit zwischen dem Erbfall und dem Anfall des Vermächtnisses finden in den Fällen der </w:t>
      </w:r>
      <w:hyperlink w:anchor="b2635" w:history="1">
        <w:r>
          <w:rPr>
            <w:color w:val="0A3A8C"/>
            <w:u w:val="single"/>
          </w:rPr>
          <w:t xml:space="preserve">§§ 2177</w:t>
        </w:r>
      </w:hyperlink>
      <w:r>
        <w:t xml:space="preserve">, </w:t>
      </w:r>
      <w:hyperlink w:anchor="b2636" w:history="1">
        <w:r>
          <w:rPr>
            <w:color w:val="0A3A8C"/>
            <w:u w:val="single"/>
          </w:rPr>
          <w:t xml:space="preserve">2178</w:t>
        </w:r>
      </w:hyperlink>
      <w:r>
        <w:t xml:space="preserve"> die Vorschriften Anwendung, die für den Fall gelten, dass eine Leistung unter einer aufschiebenden Bedingung geschuldet wird.</w:t>
      </w:r>
    </w:p>
    <w:p>
      <w:pPr>
        <w:pStyle w:val="Heading4"/>
      </w:pPr>
      <w:bookmarkStart w:id="2653" w:name="b2638"/>
      <w:r>
        <w:t>§ 2180 Annahme und Ausschlagung</w:t>
      </w:r>
      <w:r>
        <w:t xml:space="preserve"> </w:t>
      </w:r>
      <w:r>
        <w:rPr>
          <w:rStyle w:val="Suchmarke"/>
        </w:rPr>
        <w:t>#2180#</w:t>
      </w:r>
      <w:bookmarkEnd w:id="2653"/>
    </w:p>
    <w:p>
      <w:r>
        <w:t>(1) Der Vermächtnisnehmer kann das Vermächtnis nicht mehr ausschlagen, wenn er es angenommen hat.</w:t>
      </w:r>
    </w:p>
    <w:p>
      <w:r>
        <w:t xml:space="preserve">(2) </w:t>
      </w:r>
      <w:r>
        <w:rPr>
          <w:rStyle w:val="Satznummer"/>
        </w:rPr>
        <w:t>1</w:t>
      </w:r>
      <w:r>
        <w:t xml:space="preserve">Die Annahme sowie die Ausschlagung des Vermächtnisses erfolgt durch Erklärung gegenüber dem Beschwerten. </w:t>
      </w:r>
      <w:r>
        <w:rPr>
          <w:rStyle w:val="Satznummer"/>
        </w:rPr>
        <w:t>2</w:t>
      </w:r>
      <w:r>
        <w:t>Die Erklärung kann erst nach dem Eintritt des Erbfalls abgegeben werden; sie ist unwirksam, wenn sie unter einer Bedingung oder einer Zeitbestimmung abgegeben wird.</w:t>
      </w:r>
    </w:p>
    <w:p>
      <w:r>
        <w:t xml:space="preserve">(3) Die für die Annahme und die Ausschlagung einer Erbschaft geltenden Vorschriften des </w:t>
      </w:r>
      <w:hyperlink w:anchor="b2391" w:history="1">
        <w:r>
          <w:rPr>
            <w:color w:val="0A3A8C"/>
            <w:u w:val="single"/>
          </w:rPr>
          <w:t xml:space="preserve">§ 1950</w:t>
        </w:r>
      </w:hyperlink>
      <w:r>
        <w:t xml:space="preserve">, des </w:t>
      </w:r>
      <w:hyperlink w:anchor="b2393" w:history="1">
        <w:r>
          <w:rPr>
            <w:color w:val="0A3A8C"/>
            <w:u w:val="single"/>
          </w:rPr>
          <w:t xml:space="preserve">§ 1952</w:t>
        </w:r>
      </w:hyperlink>
      <w:r>
        <w:t xml:space="preserve"> Abs. 1, 3 und des </w:t>
      </w:r>
      <w:hyperlink w:anchor="b2394" w:history="1">
        <w:r>
          <w:rPr>
            <w:color w:val="0A3A8C"/>
            <w:u w:val="single"/>
          </w:rPr>
          <w:t xml:space="preserve">§ 1953</w:t>
        </w:r>
      </w:hyperlink>
      <w:r>
        <w:t xml:space="preserve"> Abs. 1, 2 finden entsprechende Anwendung.</w:t>
      </w:r>
    </w:p>
    <w:p>
      <w:pPr>
        <w:pStyle w:val="Heading4"/>
      </w:pPr>
      <w:bookmarkStart w:id="2654" w:name="b2639"/>
      <w:r>
        <w:t>§ 2181 Fälligkeit bei Beliebigkeit</w:t>
      </w:r>
      <w:r>
        <w:t xml:space="preserve"> </w:t>
      </w:r>
      <w:r>
        <w:rPr>
          <w:rStyle w:val="Suchmarke"/>
        </w:rPr>
        <w:t>#2181#</w:t>
      </w:r>
      <w:bookmarkEnd w:id="2654"/>
    </w:p>
    <w:p>
      <w:r>
        <w:t>Ist die Zeit der Erfüllung eines Vermächtnisses dem freien Belieben des Beschwerten überlassen, so wird die Leistung im Zweifel mit dem Tode des Beschwerten fällig.</w:t>
      </w:r>
    </w:p>
    <w:p>
      <w:pPr>
        <w:pStyle w:val="Heading4"/>
      </w:pPr>
      <w:bookmarkStart w:id="2655" w:name="b2640"/>
      <w:r>
        <w:t>§ 2182 Haftung für Rechtsmängel</w:t>
      </w:r>
      <w:r>
        <w:t xml:space="preserve"> </w:t>
      </w:r>
      <w:r>
        <w:rPr>
          <w:rStyle w:val="Suchmarke"/>
        </w:rPr>
        <w:t>#2182#</w:t>
      </w:r>
      <w:bookmarkEnd w:id="2655"/>
    </w:p>
    <w:p>
      <w:r>
        <w:t xml:space="preserve">(1) </w:t>
      </w:r>
      <w:r>
        <w:rPr>
          <w:rStyle w:val="Satznummer"/>
        </w:rPr>
        <w:t>1</w:t>
      </w:r>
      <w:r>
        <w:t xml:space="preserve">Ist ein nur der Gattung nach bestimmter Gegenstand vermacht, so hat der Beschwerte die gleichen Verpflichtungen wie ein Verkäufer nach den Vorschriften des </w:t>
      </w:r>
      <w:hyperlink w:anchor="b561" w:history="1">
        <w:r>
          <w:rPr>
            <w:color w:val="0A3A8C"/>
            <w:u w:val="single"/>
          </w:rPr>
          <w:t xml:space="preserve">§ 433</w:t>
        </w:r>
      </w:hyperlink>
      <w:r>
        <w:t xml:space="preserve"> Abs. 1 Satz 1, der </w:t>
      </w:r>
      <w:hyperlink w:anchor="b564" w:history="1">
        <w:r>
          <w:rPr>
            <w:color w:val="0A3A8C"/>
            <w:u w:val="single"/>
          </w:rPr>
          <w:t xml:space="preserve">§§ 436</w:t>
        </w:r>
      </w:hyperlink>
      <w:r>
        <w:t xml:space="preserve">, </w:t>
      </w:r>
      <w:hyperlink w:anchor="b583" w:history="1">
        <w:r>
          <w:rPr>
            <w:color w:val="0A3A8C"/>
            <w:u w:val="single"/>
          </w:rPr>
          <w:t xml:space="preserve">452</w:t>
        </w:r>
      </w:hyperlink>
      <w:r>
        <w:t xml:space="preserve"> und </w:t>
      </w:r>
      <w:hyperlink w:anchor="b584" w:history="1">
        <w:r>
          <w:rPr>
            <w:color w:val="0A3A8C"/>
            <w:u w:val="single"/>
          </w:rPr>
          <w:t xml:space="preserve">453</w:t>
        </w:r>
      </w:hyperlink>
      <w:r>
        <w:t xml:space="preserve">. </w:t>
      </w:r>
      <w:r>
        <w:rPr>
          <w:rStyle w:val="Satznummer"/>
        </w:rPr>
        <w:t>2</w:t>
      </w:r>
      <w:r>
        <w:t xml:space="preserve">Er hat den Gegenstand dem Vermächtnisnehmer frei von Rechtsmängeln im Sinne des </w:t>
      </w:r>
      <w:hyperlink w:anchor="b563" w:history="1">
        <w:r>
          <w:rPr>
            <w:color w:val="0A3A8C"/>
            <w:u w:val="single"/>
          </w:rPr>
          <w:t xml:space="preserve">§ 435</w:t>
        </w:r>
      </w:hyperlink>
      <w:r>
        <w:t xml:space="preserve"> zu verschaffen. </w:t>
      </w:r>
      <w:r>
        <w:rPr>
          <w:rStyle w:val="Satznummer"/>
        </w:rPr>
        <w:t>3</w:t>
      </w:r>
      <w:hyperlink w:anchor="b572" w:history="1">
        <w:r>
          <w:rPr>
            <w:color w:val="0A3A8C"/>
            <w:u w:val="single"/>
          </w:rPr>
          <w:t xml:space="preserve">§ 444</w:t>
        </w:r>
      </w:hyperlink>
      <w:r>
        <w:t xml:space="preserve"> findet entsprechende Anwendung.</w:t>
      </w:r>
    </w:p>
    <w:p>
      <w:r>
        <w:t xml:space="preserve">(2) Dasselbe gilt im Zweifel, wenn ein bestimmter nicht zur Erbschaft gehörender Gegenstand vermacht ist, unbeschadet der sich aus dem </w:t>
      </w:r>
      <w:hyperlink w:anchor="b2628" w:history="1">
        <w:r>
          <w:rPr>
            <w:color w:val="0A3A8C"/>
            <w:u w:val="single"/>
          </w:rPr>
          <w:t xml:space="preserve">§ 2170</w:t>
        </w:r>
      </w:hyperlink>
      <w:r>
        <w:t xml:space="preserve"> ergebenden Beschränkung der Haftung.</w:t>
      </w:r>
    </w:p>
    <w:p>
      <w:r>
        <w:t>(3) Ist ein Grundstück Gegenstand des Vermächtnisses, so haftet der Beschwerte im Zweifel nicht für die Freiheit des Grundstücks von Grunddienstbarkeiten, beschränkten persönlichen Dienstbarkeiten und Reallasten.</w:t>
      </w:r>
    </w:p>
    <w:p>
      <w:pPr>
        <w:pStyle w:val="Heading4"/>
      </w:pPr>
      <w:bookmarkStart w:id="2656" w:name="b2641"/>
      <w:r>
        <w:t>§ 2183 Haftung für Sachmängel</w:t>
      </w:r>
      <w:r>
        <w:t xml:space="preserve"> </w:t>
      </w:r>
      <w:r>
        <w:rPr>
          <w:rStyle w:val="Suchmarke"/>
        </w:rPr>
        <w:t>#2183#</w:t>
      </w:r>
      <w:bookmarkEnd w:id="2656"/>
    </w:p>
    <w:p>
      <w:r>
        <w:rPr>
          <w:rStyle w:val="Satznummer"/>
        </w:rPr>
        <w:t>1</w:t>
      </w:r>
      <w:r>
        <w:t xml:space="preserve">Ist eine nur der Gattung nach bestimmte Sache vermacht, so kann der Vermächtnisnehmer, wenn die geleistete Sache mangelhaft ist, verlangen, dass ihm anstelle der mangelhaften Sache eine mangelfreie geliefert wird. </w:t>
      </w:r>
      <w:r>
        <w:rPr>
          <w:rStyle w:val="Satznummer"/>
        </w:rPr>
        <w:t>2</w:t>
      </w:r>
      <w:r>
        <w:t xml:space="preserve">Hat der Beschwerte einen Sachmangel arglistig verschwiegen, so kann der Vermächtnisnehmer anstelle der Lieferung einer mangelfreien Sache Schadensersatz statt der Leistung verlangen, ohne dass er eine Frist zur Nacherfüllung setzen muss. </w:t>
      </w:r>
      <w:r>
        <w:rPr>
          <w:rStyle w:val="Satznummer"/>
        </w:rPr>
        <w:t>3</w:t>
      </w:r>
      <w:r>
        <w:t>Auf diese Ansprüche finden die für die Sachmängelhaftung beim Kauf einer Sache geltenden Vorschriften entsprechende Anwendung.</w:t>
      </w:r>
    </w:p>
    <w:p>
      <w:pPr>
        <w:pStyle w:val="Heading4"/>
      </w:pPr>
      <w:bookmarkStart w:id="2657" w:name="b2642"/>
      <w:r>
        <w:t>§ 2184 Früchte; Nutzungen</w:t>
      </w:r>
      <w:r>
        <w:t xml:space="preserve"> </w:t>
      </w:r>
      <w:r>
        <w:rPr>
          <w:rStyle w:val="Suchmarke"/>
        </w:rPr>
        <w:t>#2184#</w:t>
      </w:r>
      <w:bookmarkEnd w:id="2657"/>
    </w:p>
    <w:p>
      <w:r>
        <w:rPr>
          <w:rStyle w:val="Satznummer"/>
        </w:rPr>
        <w:t>1</w:t>
      </w:r>
      <w:r>
        <w:t xml:space="preserve">Ist ein bestimmter zur Erbschaft gehörender Gegenstand vermacht, so hat der Beschwerte dem Vermächtnisnehmer auch die seit dem Anfall des Vermächtnisses gezogenen Früchte sowie das sonst auf Grund des vermachten Rechts Erlangte herauszugeben. </w:t>
      </w:r>
      <w:r>
        <w:rPr>
          <w:rStyle w:val="Satznummer"/>
        </w:rPr>
        <w:t>2</w:t>
      </w:r>
      <w:r>
        <w:t>Für Nutzungen, die nicht zu den Früchten gehören, hat der Beschwerte nicht Ersatz zu leisten.</w:t>
      </w:r>
    </w:p>
    <w:p>
      <w:pPr>
        <w:pStyle w:val="Heading4"/>
      </w:pPr>
      <w:bookmarkStart w:id="2658" w:name="b2643"/>
      <w:r>
        <w:t>§ 2185 Ersatz von Verwendungen und Aufwendungen</w:t>
      </w:r>
      <w:r>
        <w:t xml:space="preserve"> </w:t>
      </w:r>
      <w:r>
        <w:rPr>
          <w:rStyle w:val="Suchmarke"/>
        </w:rPr>
        <w:t>#2185#</w:t>
      </w:r>
      <w:bookmarkEnd w:id="2658"/>
    </w:p>
    <w:p>
      <w:r>
        <w:t>Ist eine bestimmte zur Erbschaft gehörende Sache vermacht, so kann der Beschwerte für die nach dem Erbfall auf die Sache gemachten Verwendungen sowie für Aufwendungen, die er nach dem Erbfall zur Bestreitung von Lasten der Sache gemacht hat, Ersatz nach den Vorschriften verlangen, die für das Verhältnis zwischen dem Besitzer und dem Eigentümer gelten.</w:t>
      </w:r>
    </w:p>
    <w:p>
      <w:pPr>
        <w:pStyle w:val="Heading4"/>
      </w:pPr>
      <w:bookmarkStart w:id="2659" w:name="b2644"/>
      <w:r>
        <w:t>§ 2186 Fälligkeit eines Untervermächtnisses oder einer Auflage</w:t>
      </w:r>
      <w:r>
        <w:t xml:space="preserve"> </w:t>
      </w:r>
      <w:r>
        <w:rPr>
          <w:rStyle w:val="Suchmarke"/>
        </w:rPr>
        <w:t>#2186#</w:t>
      </w:r>
      <w:bookmarkEnd w:id="2659"/>
    </w:p>
    <w:p>
      <w:r>
        <w:t>Ist ein Vermächtnisnehmer mit einem Vermächtnis oder einer Auflage beschwert, so ist er zur Erfüllung erst dann verpflichtet, wenn er die Erfüllung des ihm zugewendeten Vermächtnisses zu verlangen berechtigt ist.</w:t>
      </w:r>
    </w:p>
    <w:p>
      <w:pPr>
        <w:pStyle w:val="Heading4"/>
      </w:pPr>
      <w:bookmarkStart w:id="2660" w:name="b2645"/>
      <w:r>
        <w:t>§ 2187 Haftung des Hauptvermächtnisnehmers</w:t>
      </w:r>
      <w:r>
        <w:t xml:space="preserve"> </w:t>
      </w:r>
      <w:r>
        <w:rPr>
          <w:rStyle w:val="Suchmarke"/>
        </w:rPr>
        <w:t>#2187#</w:t>
      </w:r>
      <w:bookmarkEnd w:id="2660"/>
    </w:p>
    <w:p>
      <w:r>
        <w:t>(1) Ein Vermächtnisnehmer, der mit einem Vermächtnis oder einer Auflage beschwert ist, kann die Erfüllung auch nach der Annahme des ihm zugewendeten Vermächtnisses insoweit verweigern, als dasjenige, was er aus dem Vermächtnis erhält, zur Erfüllung nicht ausreicht.</w:t>
      </w:r>
    </w:p>
    <w:p>
      <w:r>
        <w:t xml:space="preserve">(2) Tritt nach </w:t>
      </w:r>
      <w:hyperlink w:anchor="b2618" w:history="1">
        <w:r>
          <w:rPr>
            <w:color w:val="0A3A8C"/>
            <w:u w:val="single"/>
          </w:rPr>
          <w:t xml:space="preserve">§ 2161</w:t>
        </w:r>
      </w:hyperlink>
      <w:r>
        <w:t xml:space="preserve"> ein anderer an die Stelle des beschwerten Vermächtnisnehmers, so haftet er nicht weiter, als der Vermächtnisnehmer haften würde.</w:t>
      </w:r>
    </w:p>
    <w:p>
      <w:r>
        <w:t xml:space="preserve">(3) Die für die Haftung des Erben geltenden Vorschriften des </w:t>
      </w:r>
      <w:hyperlink w:anchor="b2437" w:history="1">
        <w:r>
          <w:rPr>
            <w:color w:val="0A3A8C"/>
            <w:u w:val="single"/>
          </w:rPr>
          <w:t xml:space="preserve">§ 1992</w:t>
        </w:r>
      </w:hyperlink>
      <w:r>
        <w:t xml:space="preserve"> finden entsprechende Anwendung.</w:t>
      </w:r>
    </w:p>
    <w:p>
      <w:pPr>
        <w:pStyle w:val="Heading4"/>
      </w:pPr>
      <w:bookmarkStart w:id="2661" w:name="b2646"/>
      <w:r>
        <w:t>§ 2188 Kürzung der Beschwerungen</w:t>
      </w:r>
      <w:r>
        <w:t xml:space="preserve"> </w:t>
      </w:r>
      <w:r>
        <w:rPr>
          <w:rStyle w:val="Suchmarke"/>
        </w:rPr>
        <w:t>#2188#</w:t>
      </w:r>
      <w:bookmarkEnd w:id="2661"/>
    </w:p>
    <w:p>
      <w:r>
        <w:t xml:space="preserve">Wird die einem Vermächtnisnehmer gebührende Leistung auf Grund der Beschränkung der Haftung des Erben, wegen eines Pflichtteilsanspruchs oder in Gemäßheit des </w:t>
      </w:r>
      <w:hyperlink w:anchor="b2645" w:history="1">
        <w:r>
          <w:rPr>
            <w:color w:val="0A3A8C"/>
            <w:u w:val="single"/>
          </w:rPr>
          <w:t xml:space="preserve">§ 2187</w:t>
        </w:r>
      </w:hyperlink>
      <w:r>
        <w:t xml:space="preserve"> gekürzt, so kann der Vermächtnisnehmer, sofern nicht ein anderer Wille des Erblassers anzunehmen ist, die ihm auferlegten Beschwerungen verhältnismäßig kürzen.</w:t>
      </w:r>
    </w:p>
    <w:p>
      <w:pPr>
        <w:pStyle w:val="Heading4"/>
      </w:pPr>
      <w:bookmarkStart w:id="2662" w:name="b2647"/>
      <w:r>
        <w:t>§ 2189 Anordnung eines Vorrangs</w:t>
      </w:r>
      <w:r>
        <w:t xml:space="preserve"> </w:t>
      </w:r>
      <w:r>
        <w:rPr>
          <w:rStyle w:val="Suchmarke"/>
        </w:rPr>
        <w:t>#2189#</w:t>
      </w:r>
      <w:bookmarkEnd w:id="2662"/>
    </w:p>
    <w:p>
      <w:r>
        <w:t xml:space="preserve">Der Erblasser kann für den Fall, dass die dem Erben oder einem Vermächtnisnehmer auferlegten Vermächtnisse und Auflagen auf Grund der Beschränkung der Haftung des Erben, wegen eines Pflichtteilsanspruchs oder in Gemäßheit der </w:t>
      </w:r>
      <w:hyperlink w:anchor="b2645" w:history="1">
        <w:r>
          <w:rPr>
            <w:color w:val="0A3A8C"/>
            <w:u w:val="single"/>
          </w:rPr>
          <w:t xml:space="preserve">§§ 2187</w:t>
        </w:r>
      </w:hyperlink>
      <w:r>
        <w:t xml:space="preserve">, </w:t>
      </w:r>
      <w:hyperlink w:anchor="b2646" w:history="1">
        <w:r>
          <w:rPr>
            <w:color w:val="0A3A8C"/>
            <w:u w:val="single"/>
          </w:rPr>
          <w:t xml:space="preserve">2188</w:t>
        </w:r>
      </w:hyperlink>
      <w:r>
        <w:t xml:space="preserve"> gekürzt werden, durch Verfügung von Todes wegen anordnen, dass ein Vermächtnis oder eine Auflage den Vorrang vor den übrigen Beschwerungen haben soll.</w:t>
      </w:r>
    </w:p>
    <w:p>
      <w:pPr>
        <w:pStyle w:val="Heading4"/>
      </w:pPr>
      <w:bookmarkStart w:id="2663" w:name="b2648"/>
      <w:r>
        <w:t>§ 2190 Ersatzvermächtnisnehmer</w:t>
      </w:r>
      <w:r>
        <w:t xml:space="preserve"> </w:t>
      </w:r>
      <w:r>
        <w:rPr>
          <w:rStyle w:val="Suchmarke"/>
        </w:rPr>
        <w:t>#2190#</w:t>
      </w:r>
      <w:bookmarkEnd w:id="2663"/>
    </w:p>
    <w:p>
      <w:r>
        <w:t xml:space="preserve">Hat der Erblasser für den Fall, dass der zunächst Bedachte das Vermächtnis nicht erwirbt, den Gegenstand des Vermächtnisses einem anderen zugewendet, so finden die für die Einsetzung eines Ersatzerben geltenden Vorschriften der </w:t>
      </w:r>
      <w:hyperlink w:anchor="b2552" w:history="1">
        <w:r>
          <w:rPr>
            <w:color w:val="0A3A8C"/>
            <w:u w:val="single"/>
          </w:rPr>
          <w:t xml:space="preserve">§§ 2097</w:t>
        </w:r>
      </w:hyperlink>
      <w:r>
        <w:t xml:space="preserve"> bis </w:t>
      </w:r>
      <w:hyperlink w:anchor="b2554" w:history="1">
        <w:r>
          <w:rPr>
            <w:color w:val="0A3A8C"/>
            <w:u w:val="single"/>
          </w:rPr>
          <w:t xml:space="preserve">2099</w:t>
        </w:r>
      </w:hyperlink>
      <w:r>
        <w:t xml:space="preserve"> entsprechende Anwendung.</w:t>
      </w:r>
    </w:p>
    <w:p>
      <w:pPr>
        <w:pStyle w:val="Heading4"/>
      </w:pPr>
      <w:bookmarkStart w:id="2664" w:name="b2649"/>
      <w:r>
        <w:t>§ 2191 Nachvermächtnisnehmer</w:t>
      </w:r>
      <w:r>
        <w:t xml:space="preserve"> </w:t>
      </w:r>
      <w:r>
        <w:rPr>
          <w:rStyle w:val="Suchmarke"/>
        </w:rPr>
        <w:t>#2191#</w:t>
      </w:r>
      <w:bookmarkEnd w:id="2664"/>
    </w:p>
    <w:p>
      <w:r>
        <w:t>(1) Hat der Erblasser den vermachten Gegenstand von einem nach dem Anfall des Vermächtnisses eintretenden bestimmten Zeitpunkt oder Ereignis an einem Dritten zugewendet, so gilt der erste Vermächtnisnehmer als beschwert.</w:t>
      </w:r>
    </w:p>
    <w:p>
      <w:r>
        <w:t xml:space="preserve">(2) Auf das Vermächtnis finden die für die Einsetzung eines Nacherben geltenden Vorschriften des </w:t>
      </w:r>
      <w:hyperlink w:anchor="b2558" w:history="1">
        <w:r>
          <w:rPr>
            <w:color w:val="0A3A8C"/>
            <w:u w:val="single"/>
          </w:rPr>
          <w:t xml:space="preserve">§ 2102</w:t>
        </w:r>
      </w:hyperlink>
      <w:r>
        <w:t xml:space="preserve">, des </w:t>
      </w:r>
      <w:hyperlink w:anchor="b2562" w:history="1">
        <w:r>
          <w:rPr>
            <w:color w:val="0A3A8C"/>
            <w:u w:val="single"/>
          </w:rPr>
          <w:t xml:space="preserve">§ 2106</w:t>
        </w:r>
      </w:hyperlink>
      <w:r>
        <w:t xml:space="preserve"> Abs. 1, des </w:t>
      </w:r>
      <w:hyperlink w:anchor="b2563" w:history="1">
        <w:r>
          <w:rPr>
            <w:color w:val="0A3A8C"/>
            <w:u w:val="single"/>
          </w:rPr>
          <w:t xml:space="preserve">§ 2107</w:t>
        </w:r>
      </w:hyperlink>
      <w:r>
        <w:t xml:space="preserve"> und des </w:t>
      </w:r>
      <w:hyperlink w:anchor="b2566" w:history="1">
        <w:r>
          <w:rPr>
            <w:color w:val="0A3A8C"/>
            <w:u w:val="single"/>
          </w:rPr>
          <w:t xml:space="preserve">§ 2110</w:t>
        </w:r>
      </w:hyperlink>
      <w:r>
        <w:t xml:space="preserve"> Abs. 1 entsprechende Anwendung.</w:t>
      </w:r>
    </w:p>
    <w:p>
      <w:pPr>
        <w:pStyle w:val="Heading3"/>
      </w:pPr>
      <w:bookmarkStart w:id="2665" w:name="b2650"/>
      <w:r>
        <w:t>Titel 5 Auflage</w:t>
      </w:r>
      <w:bookmarkEnd w:id="2665"/>
    </w:p>
    <w:p>
      <w:pPr>
        <w:pStyle w:val="Heading4"/>
      </w:pPr>
      <w:bookmarkStart w:id="2666" w:name="b2651"/>
      <w:r>
        <w:t>§ 2192 Anzuwendende Vorschriften</w:t>
      </w:r>
      <w:r>
        <w:t xml:space="preserve"> </w:t>
      </w:r>
      <w:r>
        <w:rPr>
          <w:rStyle w:val="Suchmarke"/>
        </w:rPr>
        <w:t>#2192#</w:t>
      </w:r>
      <w:bookmarkEnd w:id="2666"/>
    </w:p>
    <w:p>
      <w:r>
        <w:t xml:space="preserve">Auf eine Auflage finden die für letztwillige Zuwendungen geltenden Vorschriften der </w:t>
      </w:r>
      <w:hyperlink w:anchor="b2519" w:history="1">
        <w:r>
          <w:rPr>
            <w:color w:val="0A3A8C"/>
            <w:u w:val="single"/>
          </w:rPr>
          <w:t xml:space="preserve">§§ 2065</w:t>
        </w:r>
      </w:hyperlink>
      <w:r>
        <w:t xml:space="preserve">, </w:t>
      </w:r>
      <w:hyperlink w:anchor="b2604" w:history="1">
        <w:r>
          <w:rPr>
            <w:color w:val="0A3A8C"/>
            <w:u w:val="single"/>
          </w:rPr>
          <w:t xml:space="preserve">2147</w:t>
        </w:r>
      </w:hyperlink>
      <w:r>
        <w:t xml:space="preserve">, </w:t>
      </w:r>
      <w:hyperlink w:anchor="b2605" w:history="1">
        <w:r>
          <w:rPr>
            <w:color w:val="0A3A8C"/>
            <w:u w:val="single"/>
          </w:rPr>
          <w:t xml:space="preserve">2148</w:t>
        </w:r>
      </w:hyperlink>
      <w:r>
        <w:t xml:space="preserve">, </w:t>
      </w:r>
      <w:hyperlink w:anchor="b2611" w:history="1">
        <w:r>
          <w:rPr>
            <w:color w:val="0A3A8C"/>
            <w:u w:val="single"/>
          </w:rPr>
          <w:t xml:space="preserve">2154</w:t>
        </w:r>
      </w:hyperlink>
      <w:r>
        <w:t xml:space="preserve"> bis </w:t>
      </w:r>
      <w:hyperlink w:anchor="b2613" w:history="1">
        <w:r>
          <w:rPr>
            <w:color w:val="0A3A8C"/>
            <w:u w:val="single"/>
          </w:rPr>
          <w:t xml:space="preserve">2156</w:t>
        </w:r>
      </w:hyperlink>
      <w:r>
        <w:t xml:space="preserve">, </w:t>
      </w:r>
      <w:hyperlink w:anchor="b2618" w:history="1">
        <w:r>
          <w:rPr>
            <w:color w:val="0A3A8C"/>
            <w:u w:val="single"/>
          </w:rPr>
          <w:t xml:space="preserve">2161</w:t>
        </w:r>
      </w:hyperlink>
      <w:r>
        <w:t xml:space="preserve">, </w:t>
      </w:r>
      <w:hyperlink w:anchor="b2629" w:history="1">
        <w:r>
          <w:rPr>
            <w:color w:val="0A3A8C"/>
            <w:u w:val="single"/>
          </w:rPr>
          <w:t xml:space="preserve">2171</w:t>
        </w:r>
      </w:hyperlink>
      <w:r>
        <w:t xml:space="preserve">, </w:t>
      </w:r>
      <w:hyperlink w:anchor="b2639" w:history="1">
        <w:r>
          <w:rPr>
            <w:color w:val="0A3A8C"/>
            <w:u w:val="single"/>
          </w:rPr>
          <w:t xml:space="preserve">2181</w:t>
        </w:r>
      </w:hyperlink>
      <w:r>
        <w:t xml:space="preserve"> entsprechende Anwendung.</w:t>
      </w:r>
    </w:p>
    <w:p>
      <w:pPr>
        <w:pStyle w:val="Heading4"/>
      </w:pPr>
      <w:bookmarkStart w:id="2667" w:name="b2652"/>
      <w:r>
        <w:t>§ 2193 Bestimmung des Begünstigten, Vollziehungsfrist</w:t>
      </w:r>
      <w:r>
        <w:t xml:space="preserve"> </w:t>
      </w:r>
      <w:r>
        <w:rPr>
          <w:rStyle w:val="Suchmarke"/>
        </w:rPr>
        <w:t>#2193#</w:t>
      </w:r>
      <w:bookmarkEnd w:id="2667"/>
    </w:p>
    <w:p>
      <w:r>
        <w:t>(1) Der Erblasser kann bei der Anordnung einer Auflage, deren Zweck er bestimmt hat, die Bestimmung der Person, an welche die Leistung erfolgen soll, dem Beschwerten oder einem Dritten überlassen.</w:t>
      </w:r>
    </w:p>
    <w:p>
      <w:r>
        <w:t>(2) Steht die Bestimmung dem Beschwerten zu, so kann ihm, wenn er zur Vollziehung der Auflage rechtskräftig verurteilt ist, von dem Kläger eine angemessene Frist zur Vollziehung bestimmt werden; nach dem Ablauf der Frist ist der Kläger berechtigt, die Bestimmung zu treffen, wenn nicht die Vollziehung rechtzeitig erfolgt.</w:t>
      </w:r>
    </w:p>
    <w:p>
      <w:r>
        <w:t xml:space="preserve">(3) </w:t>
      </w:r>
      <w:r>
        <w:rPr>
          <w:rStyle w:val="Satznummer"/>
        </w:rPr>
        <w:t>1</w:t>
      </w:r>
      <w:r>
        <w:t xml:space="preserve">Steht die Bestimmung einem Dritten zu, so erfolgt sie durch Erklärung gegenüber dem Beschwerten. </w:t>
      </w:r>
      <w:r>
        <w:rPr>
          <w:rStyle w:val="Satznummer"/>
        </w:rPr>
        <w:t>2</w:t>
      </w:r>
      <w:r>
        <w:t xml:space="preserve">Kann der Dritte die Bestimmung nicht treffen, so geht das Bestimmungsrecht auf den Beschwerten über. </w:t>
      </w:r>
      <w:r>
        <w:rPr>
          <w:rStyle w:val="Satznummer"/>
        </w:rPr>
        <w:t>3</w:t>
      </w:r>
      <w:r>
        <w:t xml:space="preserve">Die Vorschrift des </w:t>
      </w:r>
      <w:hyperlink w:anchor="b2608" w:history="1">
        <w:r>
          <w:rPr>
            <w:color w:val="0A3A8C"/>
            <w:u w:val="single"/>
          </w:rPr>
          <w:t xml:space="preserve">§ 2151</w:t>
        </w:r>
      </w:hyperlink>
      <w:r>
        <w:t xml:space="preserve"> Abs. 3 Satz 2 findet entsprechende Anwendung; zu den Beteiligten im Sinne dieser Vorschrift gehören der Beschwerte und diejenigen, welche die Vollziehung der Auflage zu verlangen berechtigt sind.</w:t>
      </w:r>
    </w:p>
    <w:p>
      <w:pPr>
        <w:pStyle w:val="Heading4"/>
      </w:pPr>
      <w:bookmarkStart w:id="2668" w:name="b2653"/>
      <w:r>
        <w:t>§ 2194 Anspruch auf Vollziehung</w:t>
      </w:r>
      <w:r>
        <w:t xml:space="preserve"> </w:t>
      </w:r>
      <w:r>
        <w:rPr>
          <w:rStyle w:val="Suchmarke"/>
        </w:rPr>
        <w:t>#2194#</w:t>
      </w:r>
      <w:bookmarkEnd w:id="2668"/>
    </w:p>
    <w:p>
      <w:r>
        <w:rPr>
          <w:rStyle w:val="Satznummer"/>
        </w:rPr>
        <w:t>1</w:t>
      </w:r>
      <w:r>
        <w:t xml:space="preserve">Die Vollziehung einer Auflage können der Erbe, der Miterbe und derjenige verlangen, welchem der Wegfall des mit der Auflage zunächst Beschwerten unmittelbar zustatten kommen würde. </w:t>
      </w:r>
      <w:r>
        <w:rPr>
          <w:rStyle w:val="Satznummer"/>
        </w:rPr>
        <w:t>2</w:t>
      </w:r>
      <w:r>
        <w:t>Liegt die Vollziehung im öffentlichen Interesse, so kann auch die zuständige Behörde die Vollziehung verlangen.</w:t>
      </w:r>
    </w:p>
    <w:p>
      <w:pPr>
        <w:pStyle w:val="Heading4"/>
      </w:pPr>
      <w:bookmarkStart w:id="2669" w:name="b2654"/>
      <w:r>
        <w:t>§ 2195 Verhältnis von Auflage und Zuwendung</w:t>
      </w:r>
      <w:r>
        <w:t xml:space="preserve"> </w:t>
      </w:r>
      <w:r>
        <w:rPr>
          <w:rStyle w:val="Suchmarke"/>
        </w:rPr>
        <w:t>#2195#</w:t>
      </w:r>
      <w:bookmarkEnd w:id="2669"/>
    </w:p>
    <w:p>
      <w:r>
        <w:t>Die Unwirksamkeit einer Auflage hat die Unwirksamkeit der unter der Auflage gemachten Zuwendung nur zur Folge, wenn anzunehmen ist, dass der Erblasser die Zuwendung nicht ohne die Auflage gemacht haben würde.</w:t>
      </w:r>
    </w:p>
    <w:p>
      <w:pPr>
        <w:pStyle w:val="Heading4"/>
      </w:pPr>
      <w:bookmarkStart w:id="2670" w:name="b2655"/>
      <w:r>
        <w:t>§ 2196 Unmöglichkeit der Vollziehung</w:t>
      </w:r>
      <w:r>
        <w:t xml:space="preserve"> </w:t>
      </w:r>
      <w:r>
        <w:rPr>
          <w:rStyle w:val="Suchmarke"/>
        </w:rPr>
        <w:t>#2196#</w:t>
      </w:r>
      <w:bookmarkEnd w:id="2670"/>
    </w:p>
    <w:p>
      <w:r>
        <w:t>(1) Wird die Vollziehung einer Auflage infolge eines von dem Beschwerten zu vertretenden Umstands unmöglich, so kann derjenige, welchem der Wegfall des zunächst Beschwerten unmittelbar zustatten kommen würde, die Herausgabe der Zuwendung nach den Vorschriften über die Herausgabe einer ungerechtfertigten Bereicherung insoweit fordern, als die Zuwendung zur Vollziehung der Auflage hätte verwendet werden müssen.</w:t>
      </w:r>
    </w:p>
    <w:p>
      <w:r>
        <w:t>(2) Das Gleiche gilt, wenn der Beschwerte zur Vollziehung einer Auflage, die nicht durch einen Dritten vollzogen werden kann, rechtskräftig verurteilt ist und die zulässigen Zwangsmittel erfolglos gegen ihn angewendet worden sind.</w:t>
      </w:r>
    </w:p>
    <w:p>
      <w:pPr>
        <w:pStyle w:val="Heading3"/>
      </w:pPr>
      <w:bookmarkStart w:id="2671" w:name="b2656"/>
      <w:r>
        <w:t>Titel 6 Testamentsvollstrecker</w:t>
      </w:r>
      <w:bookmarkEnd w:id="2671"/>
    </w:p>
    <w:p>
      <w:pPr>
        <w:pStyle w:val="Heading4"/>
      </w:pPr>
      <w:bookmarkStart w:id="2672" w:name="b2657"/>
      <w:r>
        <w:t>§ 2197 Ernennung des Testamentsvollstreckers</w:t>
      </w:r>
      <w:r>
        <w:t xml:space="preserve"> </w:t>
      </w:r>
      <w:r>
        <w:rPr>
          <w:rStyle w:val="Suchmarke"/>
        </w:rPr>
        <w:t>#2197#</w:t>
      </w:r>
      <w:bookmarkEnd w:id="2672"/>
    </w:p>
    <w:p>
      <w:r>
        <w:t>(1) Der Erblasser kann durch Testament einen oder mehrere Testamentsvollstrecker ernennen.</w:t>
      </w:r>
    </w:p>
    <w:p>
      <w:r>
        <w:t>(2) Der Erblasser kann für den Fall, dass der ernannte Testamentsvollstrecker vor oder nach der Annahme des Amts wegfällt, einen anderen Testamentsvollstrecker ernennen.</w:t>
      </w:r>
    </w:p>
    <w:p>
      <w:pPr>
        <w:pStyle w:val="Heading4"/>
      </w:pPr>
      <w:bookmarkStart w:id="2673" w:name="b2658"/>
      <w:r>
        <w:t>§ 2198 Bestimmung des Testamentsvollstreckers durch einen Dritten</w:t>
      </w:r>
      <w:r>
        <w:t xml:space="preserve"> </w:t>
      </w:r>
      <w:r>
        <w:rPr>
          <w:rStyle w:val="Suchmarke"/>
        </w:rPr>
        <w:t>#2198#</w:t>
      </w:r>
      <w:bookmarkEnd w:id="2673"/>
    </w:p>
    <w:p>
      <w:r>
        <w:t xml:space="preserve">(1) </w:t>
      </w:r>
      <w:r>
        <w:rPr>
          <w:rStyle w:val="Satznummer"/>
        </w:rPr>
        <w:t>1</w:t>
      </w:r>
      <w:r>
        <w:t xml:space="preserve">Der Erblasser kann die Bestimmung der Person des Testamentsvollstreckers einem Dritten überlassen. </w:t>
      </w:r>
      <w:r>
        <w:rPr>
          <w:rStyle w:val="Satznummer"/>
        </w:rPr>
        <w:t>2</w:t>
      </w:r>
      <w:r>
        <w:t>Die Bestimmung erfolgt durch Erklärung gegenüber dem Nachlassgericht; die Erklärung ist in öffentlich beglaubigter Form abzugeben.</w:t>
      </w:r>
    </w:p>
    <w:p>
      <w:r>
        <w:t>(2) Das Bestimmungsrecht des Dritten erlischt mit dem Ablauf einer ihm auf Antrag eines der Beteiligten von dem Nachlassgericht bestimmten Frist.</w:t>
      </w:r>
    </w:p>
    <w:p>
      <w:pPr>
        <w:pStyle w:val="Heading4"/>
      </w:pPr>
      <w:bookmarkStart w:id="2674" w:name="b2659"/>
      <w:r>
        <w:t>§ 2199 Ernennung eines Mitvollstreckers oder Nachfolgers</w:t>
      </w:r>
      <w:r>
        <w:t xml:space="preserve"> </w:t>
      </w:r>
      <w:r>
        <w:rPr>
          <w:rStyle w:val="Suchmarke"/>
        </w:rPr>
        <w:t>#2199#</w:t>
      </w:r>
      <w:bookmarkEnd w:id="2674"/>
    </w:p>
    <w:p>
      <w:r>
        <w:t>(1) Der Erblasser kann den Testamentsvollstrecker ermächtigen, einen oder mehrere Mitvollstrecker zu ernennen.</w:t>
      </w:r>
    </w:p>
    <w:p>
      <w:r>
        <w:t>(2) Der Erblasser kann den Testamentsvollstrecker ermächtigen, einen Nachfolger zu ernennen.</w:t>
      </w:r>
    </w:p>
    <w:p>
      <w:r>
        <w:t xml:space="preserve">(3) Die Ernennung erfolgt nach </w:t>
      </w:r>
      <w:hyperlink w:anchor="b2658" w:history="1">
        <w:r>
          <w:rPr>
            <w:color w:val="0A3A8C"/>
            <w:u w:val="single"/>
          </w:rPr>
          <w:t xml:space="preserve">§ 2198</w:t>
        </w:r>
      </w:hyperlink>
      <w:r>
        <w:t xml:space="preserve"> Abs. 1 Satz 2.</w:t>
      </w:r>
    </w:p>
    <w:p>
      <w:pPr>
        <w:pStyle w:val="Heading4"/>
      </w:pPr>
      <w:bookmarkStart w:id="2675" w:name="b2660"/>
      <w:r>
        <w:t>§ 2200 Ernennung durch das Nachlassgericht</w:t>
      </w:r>
      <w:r>
        <w:t xml:space="preserve"> </w:t>
      </w:r>
      <w:r>
        <w:rPr>
          <w:rStyle w:val="Suchmarke"/>
        </w:rPr>
        <w:t>#2200#</w:t>
      </w:r>
      <w:bookmarkEnd w:id="2675"/>
    </w:p>
    <w:p>
      <w:r>
        <w:t>(1) Hat der Erblasser in dem Testament das Nachlassgericht ersucht, einen Testamentsvollstrecker zu ernennen, so kann das Nachlassgericht die Ernennung vornehmen.</w:t>
      </w:r>
    </w:p>
    <w:p>
      <w:r>
        <w:t>(2) Das Nachlassgericht soll vor der Ernennung die Beteiligten hören, wenn es ohne erhebliche Verzögerung und ohne unverhältnismäßige Kosten geschehen kann.</w:t>
      </w:r>
    </w:p>
    <w:p>
      <w:pPr>
        <w:pStyle w:val="Heading4"/>
      </w:pPr>
      <w:bookmarkStart w:id="2676" w:name="b2661"/>
      <w:r>
        <w:t>§ 2201 Unwirksamkeit der Ernennung</w:t>
      </w:r>
      <w:r>
        <w:t xml:space="preserve"> </w:t>
      </w:r>
      <w:r>
        <w:rPr>
          <w:rStyle w:val="Suchmarke"/>
        </w:rPr>
        <w:t>#2201#</w:t>
      </w:r>
      <w:bookmarkEnd w:id="2676"/>
    </w:p>
    <w:p>
      <w:r>
        <w:t>Die Ernennung des Testamentsvollstreckers ist unwirksam, wenn er zu der Zeit, zu welcher er das Amt anzutreten hat, geschäftsunfähig oder in der Geschäftsfähigkeit beschränkt ist oder nach § 1814 zur Besorgung seiner Vermögensangelegenheiten einen Betreuer erhalten hat.</w:t>
      </w:r>
    </w:p>
    <w:p>
      <w:pPr>
        <w:pStyle w:val="Heading4"/>
      </w:pPr>
      <w:bookmarkStart w:id="2677" w:name="b2662"/>
      <w:r>
        <w:t>§ 2202 Annahme und Ablehnung des Amts</w:t>
      </w:r>
      <w:r>
        <w:t xml:space="preserve"> </w:t>
      </w:r>
      <w:r>
        <w:rPr>
          <w:rStyle w:val="Suchmarke"/>
        </w:rPr>
        <w:t>#2202#</w:t>
      </w:r>
      <w:bookmarkEnd w:id="2677"/>
    </w:p>
    <w:p>
      <w:r>
        <w:t>(1) Das Amt des Testamentsvollstreckers beginnt mit dem Zeitpunkt, in welchem der Ernannte das Amt annimmt.</w:t>
      </w:r>
    </w:p>
    <w:p>
      <w:r>
        <w:t xml:space="preserve">(2) </w:t>
      </w:r>
      <w:r>
        <w:rPr>
          <w:rStyle w:val="Satznummer"/>
        </w:rPr>
        <w:t>1</w:t>
      </w:r>
      <w:r>
        <w:t xml:space="preserve">Die Annahme sowie die Ablehnung des Amts erfolgt durch Erklärung gegenüber dem Nachlassgericht. </w:t>
      </w:r>
      <w:r>
        <w:rPr>
          <w:rStyle w:val="Satznummer"/>
        </w:rPr>
        <w:t>2</w:t>
      </w:r>
      <w:r>
        <w:t>Die Erklärung kann erst nach dem Eintritt des Erbfalls abgegeben werden; sie ist unwirksam, wenn sie unter einer Bedingung oder einer Zeitbestimmung abgegeben wird.</w:t>
      </w:r>
    </w:p>
    <w:p>
      <w:r>
        <w:t xml:space="preserve">(3) </w:t>
      </w:r>
      <w:r>
        <w:rPr>
          <w:rStyle w:val="Satznummer"/>
        </w:rPr>
        <w:t>1</w:t>
      </w:r>
      <w:r>
        <w:t xml:space="preserve">Das Nachlassgericht kann dem Ernannten auf Antrag eines der Beteiligten eine Frist zur Erklärung über die Annahme bestimmen. </w:t>
      </w:r>
      <w:r>
        <w:rPr>
          <w:rStyle w:val="Satznummer"/>
        </w:rPr>
        <w:t>2</w:t>
      </w:r>
      <w:r>
        <w:t>Mit dem Ablauf der Frist gilt das Amt als abgelehnt, wenn nicht die Annahme vorher erklärt wird.</w:t>
      </w:r>
    </w:p>
    <w:p>
      <w:pPr>
        <w:pStyle w:val="Heading4"/>
      </w:pPr>
      <w:bookmarkStart w:id="2678" w:name="b2663"/>
      <w:r>
        <w:t>§ 2203 Aufgabe des Testamentsvollstreckers</w:t>
      </w:r>
      <w:r>
        <w:t xml:space="preserve"> </w:t>
      </w:r>
      <w:r>
        <w:rPr>
          <w:rStyle w:val="Suchmarke"/>
        </w:rPr>
        <w:t>#2203#</w:t>
      </w:r>
      <w:bookmarkEnd w:id="2678"/>
    </w:p>
    <w:p>
      <w:r>
        <w:t>Der Testamentsvollstrecker hat die letztwilligen Verfügungen des Erblassers zur Ausführung zu bringen.</w:t>
      </w:r>
    </w:p>
    <w:p>
      <w:pPr>
        <w:pStyle w:val="Heading4"/>
      </w:pPr>
      <w:bookmarkStart w:id="2679" w:name="b2664"/>
      <w:r>
        <w:t>§ 2204 Auseinandersetzung unter Miterben</w:t>
      </w:r>
      <w:r>
        <w:t xml:space="preserve"> </w:t>
      </w:r>
      <w:r>
        <w:rPr>
          <w:rStyle w:val="Suchmarke"/>
        </w:rPr>
        <w:t>#2204#</w:t>
      </w:r>
      <w:bookmarkEnd w:id="2679"/>
    </w:p>
    <w:p>
      <w:r>
        <w:t xml:space="preserve">(1) Der Testamentsvollstrecker hat, wenn mehrere Erben vorhanden sind, die Auseinandersetzung unter ihnen nach Maßgabe der </w:t>
      </w:r>
      <w:hyperlink w:anchor="b2492" w:history="1">
        <w:r>
          <w:rPr>
            <w:color w:val="0A3A8C"/>
            <w:u w:val="single"/>
          </w:rPr>
          <w:t xml:space="preserve">§§ 2042</w:t>
        </w:r>
      </w:hyperlink>
      <w:r>
        <w:t xml:space="preserve"> bis </w:t>
      </w:r>
      <w:hyperlink w:anchor="b2508" w:history="1">
        <w:r>
          <w:rPr>
            <w:color w:val="0A3A8C"/>
            <w:u w:val="single"/>
          </w:rPr>
          <w:t xml:space="preserve">2057a</w:t>
        </w:r>
      </w:hyperlink>
      <w:r>
        <w:t xml:space="preserve"> zu bewirken.</w:t>
      </w:r>
    </w:p>
    <w:p>
      <w:r>
        <w:t>(2) Der Testamentsvollstrecker hat die Erben über den Auseinandersetzungsplan vor der Ausführung zu hören.</w:t>
      </w:r>
    </w:p>
    <w:p>
      <w:pPr>
        <w:pStyle w:val="Heading4"/>
      </w:pPr>
      <w:bookmarkStart w:id="2680" w:name="b2665"/>
      <w:r>
        <w:t>§ 2205 Verwaltung des Nachlasses, Verfügungsbefugnis</w:t>
      </w:r>
      <w:r>
        <w:t xml:space="preserve"> </w:t>
      </w:r>
      <w:r>
        <w:rPr>
          <w:rStyle w:val="Suchmarke"/>
        </w:rPr>
        <w:t>#2205#</w:t>
      </w:r>
      <w:bookmarkEnd w:id="2680"/>
    </w:p>
    <w:p>
      <w:r>
        <w:rPr>
          <w:rStyle w:val="Satznummer"/>
        </w:rPr>
        <w:t>1</w:t>
      </w:r>
      <w:r>
        <w:t xml:space="preserve">Der Testamentsvollstrecker hat den Nachlass zu verwalten. </w:t>
      </w:r>
      <w:r>
        <w:rPr>
          <w:rStyle w:val="Satznummer"/>
        </w:rPr>
        <w:t>2</w:t>
      </w:r>
      <w:r>
        <w:t xml:space="preserve">Er ist insbesondere berechtigt, den Nachlass in Besitz zu nehmen und über die Nachlassgegenstände zu verfügen. </w:t>
      </w:r>
      <w:r>
        <w:rPr>
          <w:rStyle w:val="Satznummer"/>
        </w:rPr>
        <w:t>3</w:t>
      </w:r>
      <w:r>
        <w:t>Zu unentgeltlichen Verfügungen ist er nur berechtigt, soweit sie einer sittlichen Pflicht oder einer auf den Anstand zu nehmenden Rücksicht entsprechen.</w:t>
      </w:r>
    </w:p>
    <w:p>
      <w:pPr>
        <w:pStyle w:val="Heading4"/>
      </w:pPr>
      <w:bookmarkStart w:id="2681" w:name="b2666"/>
      <w:r>
        <w:t>§ 2206 Eingehung von Verbindlichkeiten</w:t>
      </w:r>
      <w:r>
        <w:t xml:space="preserve"> </w:t>
      </w:r>
      <w:r>
        <w:rPr>
          <w:rStyle w:val="Suchmarke"/>
        </w:rPr>
        <w:t>#2206#</w:t>
      </w:r>
      <w:bookmarkEnd w:id="2681"/>
    </w:p>
    <w:p>
      <w:r>
        <w:t xml:space="preserve">(1) </w:t>
      </w:r>
      <w:r>
        <w:rPr>
          <w:rStyle w:val="Satznummer"/>
        </w:rPr>
        <w:t>1</w:t>
      </w:r>
      <w:r>
        <w:t xml:space="preserve">Der Testamentsvollstrecker ist berechtigt, Verbindlichkeiten für den Nachlass einzugehen, soweit die Eingehung zur ordnungsmäßigen Verwaltung erforderlich ist. </w:t>
      </w:r>
      <w:r>
        <w:rPr>
          <w:rStyle w:val="Satznummer"/>
        </w:rPr>
        <w:t>2</w:t>
      </w:r>
      <w:r>
        <w:t>Die Verbindlichkeit zu einer Verfügung über einen Nachlassgegenstand kann der Testamentsvollstrecker für den Nachlass auch dann eingehen, wenn er zu der Verfügung berechtigt ist.</w:t>
      </w:r>
    </w:p>
    <w:p>
      <w:r>
        <w:t>(2) Der Erbe ist verpflichtet, zur Eingehung solcher Verbindlichkeiten seine Einwilligung zu erteilen, unbeschadet des Rechts, die Beschränkung seiner Haftung für die Nachlassverbindlichkeiten geltend zu machen.</w:t>
      </w:r>
    </w:p>
    <w:p>
      <w:pPr>
        <w:pStyle w:val="Heading4"/>
      </w:pPr>
      <w:bookmarkStart w:id="2682" w:name="b2667"/>
      <w:r>
        <w:t>§ 2207 Erweiterte Verpflichtungsbefugnis</w:t>
      </w:r>
      <w:r>
        <w:t xml:space="preserve"> </w:t>
      </w:r>
      <w:r>
        <w:rPr>
          <w:rStyle w:val="Suchmarke"/>
        </w:rPr>
        <w:t>#2207#</w:t>
      </w:r>
      <w:bookmarkEnd w:id="2682"/>
    </w:p>
    <w:p>
      <w:r>
        <w:rPr>
          <w:rStyle w:val="Satznummer"/>
        </w:rPr>
        <w:t>1</w:t>
      </w:r>
      <w:r>
        <w:t xml:space="preserve">Der Erblasser kann anordnen, dass der Testamentsvollstrecker in der Eingehung von Verbindlichkeiten für den Nachlass nicht beschränkt sein soll. </w:t>
      </w:r>
      <w:r>
        <w:rPr>
          <w:rStyle w:val="Satznummer"/>
        </w:rPr>
        <w:t>2</w:t>
      </w:r>
      <w:r>
        <w:t xml:space="preserve">Der Testamentsvollstrecker ist auch in einem solchen Falle zu einem Schenkungsversprechen nur nach Maßgabe des </w:t>
      </w:r>
      <w:hyperlink w:anchor="b2665" w:history="1">
        <w:r>
          <w:rPr>
            <w:color w:val="0A3A8C"/>
            <w:u w:val="single"/>
          </w:rPr>
          <w:t xml:space="preserve">§ 2205</w:t>
        </w:r>
      </w:hyperlink>
      <w:r>
        <w:t xml:space="preserve"> Satz 3 berechtigt.</w:t>
      </w:r>
    </w:p>
    <w:p>
      <w:pPr>
        <w:pStyle w:val="Heading4"/>
      </w:pPr>
      <w:bookmarkStart w:id="2683" w:name="b2668"/>
      <w:r>
        <w:t>§ 2208 Beschränkung der Rechte des Testamentsvollstreckers, Ausführung durch den Erben</w:t>
      </w:r>
      <w:r>
        <w:t xml:space="preserve"> </w:t>
      </w:r>
      <w:r>
        <w:rPr>
          <w:rStyle w:val="Suchmarke"/>
        </w:rPr>
        <w:t>#2208#</w:t>
      </w:r>
      <w:bookmarkEnd w:id="2683"/>
    </w:p>
    <w:p>
      <w:r>
        <w:t xml:space="preserve">(1) </w:t>
      </w:r>
      <w:r>
        <w:rPr>
          <w:rStyle w:val="Satznummer"/>
        </w:rPr>
        <w:t>1</w:t>
      </w:r>
      <w:r>
        <w:t xml:space="preserve">Der Testamentsvollstrecker hat die in den </w:t>
      </w:r>
      <w:hyperlink w:anchor="b2663" w:history="1">
        <w:r>
          <w:rPr>
            <w:color w:val="0A3A8C"/>
            <w:u w:val="single"/>
          </w:rPr>
          <w:t xml:space="preserve">§§ 2203</w:t>
        </w:r>
      </w:hyperlink>
      <w:r>
        <w:t xml:space="preserve"> bis </w:t>
      </w:r>
      <w:hyperlink w:anchor="b2666" w:history="1">
        <w:r>
          <w:rPr>
            <w:color w:val="0A3A8C"/>
            <w:u w:val="single"/>
          </w:rPr>
          <w:t xml:space="preserve">2206</w:t>
        </w:r>
      </w:hyperlink>
      <w:r>
        <w:t xml:space="preserve"> bestimmten Rechte nicht, soweit anzunehmen ist, dass sie ihm nach dem Willen des Erblassers nicht zustehen sollen. </w:t>
      </w:r>
      <w:r>
        <w:rPr>
          <w:rStyle w:val="Satznummer"/>
        </w:rPr>
        <w:t>2</w:t>
      </w:r>
      <w:r>
        <w:t xml:space="preserve">Unterliegen der Verwaltung des Testamentsvollstreckers nur einzelne Nachlassgegenstände, so stehen ihm die in </w:t>
      </w:r>
      <w:hyperlink w:anchor="b2665" w:history="1">
        <w:r>
          <w:rPr>
            <w:color w:val="0A3A8C"/>
            <w:u w:val="single"/>
          </w:rPr>
          <w:t xml:space="preserve">§ 2205</w:t>
        </w:r>
      </w:hyperlink>
      <w:r>
        <w:t xml:space="preserve"> Satz 2 bestimmten Befugnisse nur in Ansehung dieser Gegenstände zu.</w:t>
      </w:r>
    </w:p>
    <w:p>
      <w:r>
        <w:t>(2) Hat der Testamentsvollstrecker Verfügungen des Erblassers nicht selbst zur Ausführung zu bringen, so kann er die Ausführung von dem Erben verlangen, sofern nicht ein anderer Wille des Erblassers anzunehmen ist.</w:t>
      </w:r>
    </w:p>
    <w:p>
      <w:pPr>
        <w:pStyle w:val="Heading4"/>
      </w:pPr>
      <w:bookmarkStart w:id="2684" w:name="b2669"/>
      <w:r>
        <w:t>§ 2209 Dauervollstreckung</w:t>
      </w:r>
      <w:r>
        <w:t xml:space="preserve"> </w:t>
      </w:r>
      <w:r>
        <w:rPr>
          <w:rStyle w:val="Suchmarke"/>
        </w:rPr>
        <w:t>#2209#</w:t>
      </w:r>
      <w:bookmarkEnd w:id="2684"/>
    </w:p>
    <w:p>
      <w:r>
        <w:rPr>
          <w:rStyle w:val="Satznummer"/>
        </w:rPr>
        <w:t>1</w:t>
      </w:r>
      <w:r>
        <w:t xml:space="preserve">Der Erblasser kann einem Testamentsvollstrecker die Verwaltung des Nachlasses übertragen, ohne ihm andere Aufgaben als die Verwaltung zuzuweisen; er kann auch anordnen, dass der Testamentsvollstrecker die Verwaltung nach der Erledigung der ihm sonst zugewiesenen Aufgaben fortzuführen hat. </w:t>
      </w:r>
      <w:r>
        <w:rPr>
          <w:rStyle w:val="Satznummer"/>
        </w:rPr>
        <w:t>2</w:t>
      </w:r>
      <w:r>
        <w:t xml:space="preserve">Im Zweifel ist anzunehmen, dass einem solchen Testamentsvollstrecker die in </w:t>
      </w:r>
      <w:hyperlink w:anchor="b2667" w:history="1">
        <w:r>
          <w:rPr>
            <w:color w:val="0A3A8C"/>
            <w:u w:val="single"/>
          </w:rPr>
          <w:t xml:space="preserve">§ 2207</w:t>
        </w:r>
      </w:hyperlink>
      <w:r>
        <w:t xml:space="preserve"> bezeichnete Ermächtigung erteilt ist.</w:t>
      </w:r>
    </w:p>
    <w:p>
      <w:pPr>
        <w:pStyle w:val="Heading4"/>
      </w:pPr>
      <w:bookmarkStart w:id="2685" w:name="b2670"/>
      <w:r>
        <w:t>§ 2210 Dreißigjährige Frist für die Dauervollstreckung</w:t>
      </w:r>
      <w:r>
        <w:t xml:space="preserve"> </w:t>
      </w:r>
      <w:r>
        <w:rPr>
          <w:rStyle w:val="Suchmarke"/>
        </w:rPr>
        <w:t>#2210#</w:t>
      </w:r>
      <w:bookmarkEnd w:id="2685"/>
    </w:p>
    <w:p>
      <w:r>
        <w:rPr>
          <w:rStyle w:val="Satznummer"/>
        </w:rPr>
        <w:t>1</w:t>
      </w:r>
      <w:r>
        <w:t xml:space="preserve">Eine nach </w:t>
      </w:r>
      <w:hyperlink w:anchor="b2669" w:history="1">
        <w:r>
          <w:rPr>
            <w:color w:val="0A3A8C"/>
            <w:u w:val="single"/>
          </w:rPr>
          <w:t xml:space="preserve">§ 2209</w:t>
        </w:r>
      </w:hyperlink>
      <w:r>
        <w:t xml:space="preserve"> getroffene Anordnung wird unwirksam, wenn seit dem Erbfall 30 Jahre verstrichen sind. </w:t>
      </w:r>
      <w:r>
        <w:rPr>
          <w:rStyle w:val="Satznummer"/>
        </w:rPr>
        <w:t>2</w:t>
      </w:r>
      <w:r>
        <w:t xml:space="preserve">Der Erblasser kann jedoch anordnen, dass die Verwaltung bis zum Tode des Erben oder des Testamentsvollstreckers oder bis zum Eintritt eines anderen Ereignisses in der Person des einen oder des anderen fortdauern soll. </w:t>
      </w:r>
      <w:r>
        <w:rPr>
          <w:rStyle w:val="Satznummer"/>
        </w:rPr>
        <w:t>3</w:t>
      </w:r>
      <w:r>
        <w:t xml:space="preserve">Die Vorschrift des </w:t>
      </w:r>
      <w:hyperlink w:anchor="b2620" w:history="1">
        <w:r>
          <w:rPr>
            <w:color w:val="0A3A8C"/>
            <w:u w:val="single"/>
          </w:rPr>
          <w:t xml:space="preserve">§ 2163</w:t>
        </w:r>
      </w:hyperlink>
      <w:r>
        <w:t xml:space="preserve"> Abs. 2 findet entsprechende Anwendung.</w:t>
      </w:r>
    </w:p>
    <w:p>
      <w:pPr>
        <w:pStyle w:val="Heading4"/>
      </w:pPr>
      <w:bookmarkStart w:id="2686" w:name="b2671"/>
      <w:r>
        <w:t>§ 2211 Verfügungsbeschränkung des Erben</w:t>
      </w:r>
      <w:r>
        <w:t xml:space="preserve"> </w:t>
      </w:r>
      <w:r>
        <w:rPr>
          <w:rStyle w:val="Suchmarke"/>
        </w:rPr>
        <w:t>#2211#</w:t>
      </w:r>
      <w:bookmarkEnd w:id="2686"/>
    </w:p>
    <w:p>
      <w:r>
        <w:t>(1) Über einen der Verwaltung des Testamentsvollstreckers unterliegenden Nachlassgegenstand kann der Erbe nicht verfügen.</w:t>
      </w:r>
    </w:p>
    <w:p>
      <w:r>
        <w:t>(2) Die Vorschriften zugunsten derjenigen, welche Rechte von einem Nichtberechtigten herleiten, finden entsprechende Anwendung.</w:t>
      </w:r>
    </w:p>
    <w:p>
      <w:pPr>
        <w:pStyle w:val="Heading4"/>
      </w:pPr>
      <w:bookmarkStart w:id="2687" w:name="b2672"/>
      <w:r>
        <w:t>§ 2212 Gerichtliche Geltendmachung von der Testamentsvollstreckung unterliegenden Rechten</w:t>
      </w:r>
      <w:r>
        <w:t xml:space="preserve"> </w:t>
      </w:r>
      <w:r>
        <w:rPr>
          <w:rStyle w:val="Suchmarke"/>
        </w:rPr>
        <w:t>#2212#</w:t>
      </w:r>
      <w:bookmarkEnd w:id="2687"/>
    </w:p>
    <w:p>
      <w:r>
        <w:t>Ein der Verwaltung des Testamentsvollstreckers unterliegendes Recht kann nur von dem Testamentsvollstrecker gerichtlich geltend gemacht werden.</w:t>
      </w:r>
    </w:p>
    <w:p>
      <w:pPr>
        <w:pStyle w:val="Heading4"/>
      </w:pPr>
      <w:bookmarkStart w:id="2688" w:name="b2673"/>
      <w:r>
        <w:t>§ 2213 Gerichtliche Geltendmachung von Ansprüchen gegen den Nachlass</w:t>
      </w:r>
      <w:r>
        <w:t xml:space="preserve"> </w:t>
      </w:r>
      <w:r>
        <w:rPr>
          <w:rStyle w:val="Suchmarke"/>
        </w:rPr>
        <w:t>#2213#</w:t>
      </w:r>
      <w:bookmarkEnd w:id="2688"/>
    </w:p>
    <w:p>
      <w:r>
        <w:t xml:space="preserve">(1) </w:t>
      </w:r>
      <w:r>
        <w:rPr>
          <w:rStyle w:val="Satznummer"/>
        </w:rPr>
        <w:t>1</w:t>
      </w:r>
      <w:r>
        <w:t xml:space="preserve">Ein Anspruch, der sich gegen den Nachlass richtet, kann sowohl gegen den Erben als gegen den Testamentsvollstrecker gerichtlich geltend gemacht werden. </w:t>
      </w:r>
      <w:r>
        <w:rPr>
          <w:rStyle w:val="Satznummer"/>
        </w:rPr>
        <w:t>2</w:t>
      </w:r>
      <w:r>
        <w:t xml:space="preserve">Steht dem Testamentsvollstrecker nicht die Verwaltung des Nachlasses zu, so ist die Geltendmachung nur gegen den Erben zulässig. </w:t>
      </w:r>
      <w:r>
        <w:rPr>
          <w:rStyle w:val="Satznummer"/>
        </w:rPr>
        <w:t>3</w:t>
      </w:r>
      <w:r>
        <w:t>Ein Pflichtteilsanspruch kann, auch wenn dem Testamentsvollstrecker die Verwaltung des Nachlasses zusteht, nur gegen den Erben geltend gemacht werden.</w:t>
      </w:r>
    </w:p>
    <w:p>
      <w:r>
        <w:t xml:space="preserve">(2) Die Vorschrift des </w:t>
      </w:r>
      <w:hyperlink w:anchor="b2399" w:history="1">
        <w:r>
          <w:rPr>
            <w:color w:val="0A3A8C"/>
            <w:u w:val="single"/>
          </w:rPr>
          <w:t xml:space="preserve">§ 1958</w:t>
        </w:r>
      </w:hyperlink>
      <w:r>
        <w:t xml:space="preserve"> findet auf den Testamentsvollstrecker keine Anwendung.</w:t>
      </w:r>
    </w:p>
    <w:p>
      <w:r>
        <w:t>(3) Ein Nachlassgläubiger, der seinen Anspruch gegen den Erben geltend macht, kann den Anspruch auch gegen den Testamentsvollstrecker dahin geltend machen, dass dieser die Zwangsvollstreckung in die seiner Verwaltung unterliegenden Nachlassgegenstände dulde.</w:t>
      </w:r>
    </w:p>
    <w:p>
      <w:pPr>
        <w:pStyle w:val="Heading4"/>
      </w:pPr>
      <w:bookmarkStart w:id="2689" w:name="b2674"/>
      <w:r>
        <w:t>§ 2214 Gläubiger des Erben</w:t>
      </w:r>
      <w:r>
        <w:t xml:space="preserve"> </w:t>
      </w:r>
      <w:r>
        <w:rPr>
          <w:rStyle w:val="Suchmarke"/>
        </w:rPr>
        <w:t>#2214#</w:t>
      </w:r>
      <w:bookmarkEnd w:id="2689"/>
    </w:p>
    <w:p>
      <w:r>
        <w:t>Gläubiger des Erben, die nicht zu den Nachlassgläubigern gehören, können sich nicht an die der Verwaltung des Testamentsvollstreckers unterliegenden Nachlassgegenstände halten.</w:t>
      </w:r>
    </w:p>
    <w:p>
      <w:pPr>
        <w:pStyle w:val="Heading4"/>
      </w:pPr>
      <w:bookmarkStart w:id="2690" w:name="b2675"/>
      <w:r>
        <w:t>§ 2215 Nachlassverzeichnis</w:t>
      </w:r>
      <w:r>
        <w:t xml:space="preserve"> </w:t>
      </w:r>
      <w:r>
        <w:rPr>
          <w:rStyle w:val="Suchmarke"/>
        </w:rPr>
        <w:t>#2215#</w:t>
      </w:r>
      <w:bookmarkEnd w:id="2690"/>
    </w:p>
    <w:p>
      <w:r>
        <w:t>(1) Der Testamentsvollstrecker hat dem Erben unverzüglich nach der Annahme des Amts ein Verzeichnis der seiner Verwaltung unterliegenden Nachlassgegenstände und der bekannten Nachlassverbindlichkeiten mitzuteilen und ihm die zur Aufnahme des Inventars sonst erforderliche Beihilfe zu leisten.</w:t>
      </w:r>
    </w:p>
    <w:p>
      <w:r>
        <w:t>(2) Das Verzeichnis ist mit der Angabe des Tages der Aufnahme zu versehen und von dem Testamentsvollstrecker zu unterzeichnen; der Testamentsvollstrecker hat auf Verlangen die Unterzeichnung öffentlich beglaubigen zu lassen.</w:t>
      </w:r>
    </w:p>
    <w:p>
      <w:r>
        <w:t>(3) Der Erbe kann verlangen, dass er bei der Aufnahme des Verzeichnisses zugezogen wird.</w:t>
      </w:r>
    </w:p>
    <w:p>
      <w:r>
        <w:t>(4) Der Testamentsvollstrecker ist berechtigt und auf Verlangen des Erben verpflichtet, das Verzeichnis durch die zuständige Behörde oder durch einen zuständigen Beamten oder Notar aufnehmen zu lassen.</w:t>
      </w:r>
    </w:p>
    <w:p>
      <w:r>
        <w:t>(5) Die Kosten der Aufnahme und der Beglaubigung fallen dem Nachlass zur Last.</w:t>
      </w:r>
    </w:p>
    <w:p>
      <w:pPr>
        <w:pStyle w:val="Heading4"/>
      </w:pPr>
      <w:bookmarkStart w:id="2691" w:name="b2676"/>
      <w:r>
        <w:t>§ 2216 Ordnungsmäßige Verwaltung des Nachlasses, Befolgung von Anordnungen</w:t>
      </w:r>
      <w:r>
        <w:t xml:space="preserve"> </w:t>
      </w:r>
      <w:r>
        <w:rPr>
          <w:rStyle w:val="Suchmarke"/>
        </w:rPr>
        <w:t>#2216#</w:t>
      </w:r>
      <w:bookmarkEnd w:id="2691"/>
    </w:p>
    <w:p>
      <w:r>
        <w:t>(1) Der Testamentsvollstrecker ist zur ordnungsmäßigen Verwaltung des Nachlasses verpflichtet.</w:t>
      </w:r>
    </w:p>
    <w:p>
      <w:r>
        <w:t xml:space="preserve">(2) </w:t>
      </w:r>
      <w:r>
        <w:rPr>
          <w:rStyle w:val="Satznummer"/>
        </w:rPr>
        <w:t>1</w:t>
      </w:r>
      <w:r>
        <w:t xml:space="preserve">Anordnungen, die der Erblasser für die Verwaltung durch letztwillige Verfügung getroffen hat, sind von dem Testamentsvollstrecker zu befolgen. </w:t>
      </w:r>
      <w:r>
        <w:rPr>
          <w:rStyle w:val="Satznummer"/>
        </w:rPr>
        <w:t>2</w:t>
      </w:r>
      <w:r>
        <w:t xml:space="preserve">Sie können jedoch auf Antrag des Testamentsvollstreckers oder eines anderen Beteiligten von dem Nachlassgericht außer Kraft gesetzt werden, wenn ihre Befolgung den Nachlass erheblich gefährden würde. </w:t>
      </w:r>
      <w:r>
        <w:rPr>
          <w:rStyle w:val="Satznummer"/>
        </w:rPr>
        <w:t>3</w:t>
      </w:r>
      <w:r>
        <w:t>Das Gericht soll vor der Entscheidung, soweit tunlich, die Beteiligten hören.</w:t>
      </w:r>
    </w:p>
    <w:p>
      <w:pPr>
        <w:pStyle w:val="Heading4"/>
      </w:pPr>
      <w:bookmarkStart w:id="2692" w:name="b2677"/>
      <w:r>
        <w:t>§ 2217 Überlassung von Nachlassgegenständen</w:t>
      </w:r>
      <w:r>
        <w:t xml:space="preserve"> </w:t>
      </w:r>
      <w:r>
        <w:rPr>
          <w:rStyle w:val="Suchmarke"/>
        </w:rPr>
        <w:t>#2217#</w:t>
      </w:r>
      <w:bookmarkEnd w:id="2692"/>
    </w:p>
    <w:p>
      <w:r>
        <w:t xml:space="preserve">(1) </w:t>
      </w:r>
      <w:r>
        <w:rPr>
          <w:rStyle w:val="Satznummer"/>
        </w:rPr>
        <w:t>1</w:t>
      </w:r>
      <w:r>
        <w:t xml:space="preserve">Der Testamentsvollstrecker hat Nachlassgegenstände, deren er zur Erfüllung seiner Obliegenheiten offenbar nicht bedarf, dem Erben auf Verlangen zur freien Verfügung zu überlassen. </w:t>
      </w:r>
      <w:r>
        <w:rPr>
          <w:rStyle w:val="Satznummer"/>
        </w:rPr>
        <w:t>2</w:t>
      </w:r>
      <w:r>
        <w:t>Mit der Überlassung erlischt sein Recht zur Verwaltung der Gegenstände.</w:t>
      </w:r>
    </w:p>
    <w:p>
      <w:r>
        <w:t>(2) Wegen Nachlassverbindlichkeiten, die nicht auf einem Vermächtnis oder einer Auflage beruhen, sowie wegen bedingter und betagter Vermächtnisse oder Auflagen kann der Testamentsvollstrecker die Überlassung der Gegenstände nicht verweigern, wenn der Erbe für die Berichtigung der Verbindlichkeiten oder für die Vollziehung der Vermächtnisse oder Auflagen Sicherheit leistet.</w:t>
      </w:r>
    </w:p>
    <w:p>
      <w:pPr>
        <w:pStyle w:val="Heading4"/>
      </w:pPr>
      <w:bookmarkStart w:id="2693" w:name="b2678"/>
      <w:r>
        <w:t>§ 2218 Rechtsverhältnis zum Erben; Rechnungslegung</w:t>
      </w:r>
      <w:r>
        <w:t xml:space="preserve"> </w:t>
      </w:r>
      <w:r>
        <w:rPr>
          <w:rStyle w:val="Suchmarke"/>
        </w:rPr>
        <w:t>#2218#</w:t>
      </w:r>
      <w:bookmarkEnd w:id="2693"/>
    </w:p>
    <w:p>
      <w:r>
        <w:t xml:space="preserve">(1) Auf das Rechtsverhältnis zwischen dem Testamentsvollstrecker und dem Erben finden die für den Auftrag geltenden Vorschriften der </w:t>
      </w:r>
      <w:hyperlink w:anchor="b1037" w:history="1">
        <w:r>
          <w:rPr>
            <w:color w:val="0A3A8C"/>
            <w:u w:val="single"/>
          </w:rPr>
          <w:t xml:space="preserve">§§ 664</w:t>
        </w:r>
      </w:hyperlink>
      <w:r>
        <w:t xml:space="preserve">, </w:t>
      </w:r>
      <w:hyperlink w:anchor="b1039" w:history="1">
        <w:r>
          <w:rPr>
            <w:color w:val="0A3A8C"/>
            <w:u w:val="single"/>
          </w:rPr>
          <w:t xml:space="preserve">666</w:t>
        </w:r>
      </w:hyperlink>
      <w:r>
        <w:t xml:space="preserve"> bis </w:t>
      </w:r>
      <w:hyperlink w:anchor="b1041" w:history="1">
        <w:r>
          <w:rPr>
            <w:color w:val="0A3A8C"/>
            <w:u w:val="single"/>
          </w:rPr>
          <w:t xml:space="preserve">668</w:t>
        </w:r>
      </w:hyperlink>
      <w:r>
        <w:t xml:space="preserve">, </w:t>
      </w:r>
      <w:hyperlink w:anchor="b1043" w:history="1">
        <w:r>
          <w:rPr>
            <w:color w:val="0A3A8C"/>
            <w:u w:val="single"/>
          </w:rPr>
          <w:t xml:space="preserve">670</w:t>
        </w:r>
      </w:hyperlink>
      <w:r>
        <w:t xml:space="preserve">, des </w:t>
      </w:r>
      <w:hyperlink w:anchor="b1046" w:history="1">
        <w:r>
          <w:rPr>
            <w:color w:val="0A3A8C"/>
            <w:u w:val="single"/>
          </w:rPr>
          <w:t xml:space="preserve">§ 673</w:t>
        </w:r>
      </w:hyperlink>
      <w:r>
        <w:t xml:space="preserve"> Satz 2 und des </w:t>
      </w:r>
      <w:hyperlink w:anchor="b1047" w:history="1">
        <w:r>
          <w:rPr>
            <w:color w:val="0A3A8C"/>
            <w:u w:val="single"/>
          </w:rPr>
          <w:t xml:space="preserve">§ 674</w:t>
        </w:r>
      </w:hyperlink>
      <w:r>
        <w:t xml:space="preserve"> entsprechende Anwendung.</w:t>
      </w:r>
    </w:p>
    <w:p>
      <w:r>
        <w:t>(2) Bei einer länger dauernden Verwaltung kann der Erbe jährlich Rechnungslegung verlangen.</w:t>
      </w:r>
    </w:p>
    <w:p>
      <w:pPr>
        <w:pStyle w:val="Heading4"/>
      </w:pPr>
      <w:bookmarkStart w:id="2694" w:name="b2679"/>
      <w:r>
        <w:t>§ 2219 Haftung des Testamentsvollstreckers</w:t>
      </w:r>
      <w:r>
        <w:t xml:space="preserve"> </w:t>
      </w:r>
      <w:r>
        <w:rPr>
          <w:rStyle w:val="Suchmarke"/>
        </w:rPr>
        <w:t>#2219#</w:t>
      </w:r>
      <w:bookmarkEnd w:id="2694"/>
    </w:p>
    <w:p>
      <w:r>
        <w:t>(1) Verletzt der Testamentsvollstrecker die ihm obliegenden Verpflichtungen, so ist er, wenn ihm ein Verschulden zur Last fällt, für den daraus entstehenden Schaden dem Erben und, soweit ein Vermächtnis zu vollziehen ist, auch dem Vermächtnisnehmer verantwortlich.</w:t>
      </w:r>
    </w:p>
    <w:p>
      <w:r>
        <w:t>(2) Mehrere Testamentsvollstrecker, denen ein Verschulden zur Last fällt, haften als Gesamtschuldner.</w:t>
      </w:r>
    </w:p>
    <w:p>
      <w:pPr>
        <w:pStyle w:val="Heading4"/>
      </w:pPr>
      <w:bookmarkStart w:id="2695" w:name="b2680"/>
      <w:r>
        <w:t>§ 2220 Zwingendes Recht</w:t>
      </w:r>
      <w:r>
        <w:t xml:space="preserve"> </w:t>
      </w:r>
      <w:r>
        <w:rPr>
          <w:rStyle w:val="Suchmarke"/>
        </w:rPr>
        <w:t>#2220#</w:t>
      </w:r>
      <w:bookmarkEnd w:id="2695"/>
    </w:p>
    <w:p>
      <w:r>
        <w:t xml:space="preserve">Der Erblasser kann den Testamentsvollstrecker nicht von den ihm nach den </w:t>
      </w:r>
      <w:hyperlink w:anchor="b2675" w:history="1">
        <w:r>
          <w:rPr>
            <w:color w:val="0A3A8C"/>
            <w:u w:val="single"/>
          </w:rPr>
          <w:t xml:space="preserve">§§ 2215</w:t>
        </w:r>
      </w:hyperlink>
      <w:r>
        <w:t xml:space="preserve">, </w:t>
      </w:r>
      <w:hyperlink w:anchor="b2676" w:history="1">
        <w:r>
          <w:rPr>
            <w:color w:val="0A3A8C"/>
            <w:u w:val="single"/>
          </w:rPr>
          <w:t xml:space="preserve">2216</w:t>
        </w:r>
      </w:hyperlink>
      <w:r>
        <w:t xml:space="preserve">, </w:t>
      </w:r>
      <w:hyperlink w:anchor="b2678" w:history="1">
        <w:r>
          <w:rPr>
            <w:color w:val="0A3A8C"/>
            <w:u w:val="single"/>
          </w:rPr>
          <w:t xml:space="preserve">2218</w:t>
        </w:r>
      </w:hyperlink>
      <w:r>
        <w:t xml:space="preserve">, </w:t>
      </w:r>
      <w:hyperlink w:anchor="b2679" w:history="1">
        <w:r>
          <w:rPr>
            <w:color w:val="0A3A8C"/>
            <w:u w:val="single"/>
          </w:rPr>
          <w:t xml:space="preserve">2219</w:t>
        </w:r>
      </w:hyperlink>
      <w:r>
        <w:t xml:space="preserve"> obliegenden Verpflichtungen befreien.</w:t>
      </w:r>
    </w:p>
    <w:p>
      <w:pPr>
        <w:pStyle w:val="Heading4"/>
      </w:pPr>
      <w:bookmarkStart w:id="2696" w:name="b2681"/>
      <w:r>
        <w:t>§ 2221 Vergütung des Testamentsvollstreckers</w:t>
      </w:r>
      <w:r>
        <w:t xml:space="preserve"> </w:t>
      </w:r>
      <w:r>
        <w:rPr>
          <w:rStyle w:val="Suchmarke"/>
        </w:rPr>
        <w:t>#2221#</w:t>
      </w:r>
      <w:bookmarkEnd w:id="2696"/>
    </w:p>
    <w:p>
      <w:r>
        <w:t>Der Testamentsvollstrecker kann für die Führung seines Amts eine angemessene Vergütung verlangen, sofern nicht der Erblasser ein anderes bestimmt hat.</w:t>
      </w:r>
    </w:p>
    <w:p>
      <w:pPr>
        <w:pStyle w:val="Heading4"/>
      </w:pPr>
      <w:bookmarkStart w:id="2697" w:name="b2682"/>
      <w:r>
        <w:t>§ 2222 Nacherbenvollstrecker</w:t>
      </w:r>
      <w:r>
        <w:t xml:space="preserve"> </w:t>
      </w:r>
      <w:r>
        <w:rPr>
          <w:rStyle w:val="Suchmarke"/>
        </w:rPr>
        <w:t>#2222#</w:t>
      </w:r>
      <w:bookmarkEnd w:id="2697"/>
    </w:p>
    <w:p>
      <w:r>
        <w:t>Der Erblasser kann einen Testamentsvollstrecker auch zu dem Zwecke ernennen, dass dieser bis zu dem Eintritt einer angeordneten Nacherbfolge die Rechte des Nacherben ausübt und dessen Pflichten erfüllt.</w:t>
      </w:r>
    </w:p>
    <w:p>
      <w:pPr>
        <w:pStyle w:val="Heading4"/>
      </w:pPr>
      <w:bookmarkStart w:id="2698" w:name="b2683"/>
      <w:r>
        <w:t>§ 2223 Vermächtnisvollstrecker</w:t>
      </w:r>
      <w:r>
        <w:t xml:space="preserve"> </w:t>
      </w:r>
      <w:r>
        <w:rPr>
          <w:rStyle w:val="Suchmarke"/>
        </w:rPr>
        <w:t>#2223#</w:t>
      </w:r>
      <w:bookmarkEnd w:id="2698"/>
    </w:p>
    <w:p>
      <w:r>
        <w:t>Der Erblasser kann einen Testamentsvollstrecker auch zu dem Zwecke ernennen, dass dieser für die Ausführung der einem Vermächtnisnehmer auferlegten Beschwerungen sorgt.</w:t>
      </w:r>
    </w:p>
    <w:p>
      <w:pPr>
        <w:pStyle w:val="Heading4"/>
      </w:pPr>
      <w:bookmarkStart w:id="2699" w:name="b2684"/>
      <w:r>
        <w:t>§ 2224 Mehrere Testamentsvollstrecker</w:t>
      </w:r>
      <w:r>
        <w:t xml:space="preserve"> </w:t>
      </w:r>
      <w:r>
        <w:rPr>
          <w:rStyle w:val="Suchmarke"/>
        </w:rPr>
        <w:t>#2224#</w:t>
      </w:r>
      <w:bookmarkEnd w:id="2699"/>
    </w:p>
    <w:p>
      <w:r>
        <w:t xml:space="preserve">(1) </w:t>
      </w:r>
      <w:r>
        <w:rPr>
          <w:rStyle w:val="Satznummer"/>
        </w:rPr>
        <w:t>1</w:t>
      </w:r>
      <w:r>
        <w:t xml:space="preserve">Mehrere Testamentsvollstrecker führen das Amt gemeinschaftlich; bei einer Meinungsverschiedenheit entscheidet das Nachlassgericht. </w:t>
      </w:r>
      <w:r>
        <w:rPr>
          <w:rStyle w:val="Satznummer"/>
        </w:rPr>
        <w:t>2</w:t>
      </w:r>
      <w:r>
        <w:t xml:space="preserve">Fällt einer von ihnen weg, so führen die übrigen das Amt allein. </w:t>
      </w:r>
      <w:r>
        <w:rPr>
          <w:rStyle w:val="Satznummer"/>
        </w:rPr>
        <w:t>3</w:t>
      </w:r>
      <w:r>
        <w:t>Der Erblasser kann abweichende Anordnungen treffen.</w:t>
      </w:r>
    </w:p>
    <w:p>
      <w:r>
        <w:t>(2) Jeder Testamentsvollstrecker ist berechtigt, ohne Zustimmung der anderen Testamentsvollstrecker diejenigen Maßregeln zu treffen, welche zur Erhaltung eines der gemeinschaftlichen Verwaltung unterliegenden Nachlassgegenstands notwendig sind.</w:t>
      </w:r>
    </w:p>
    <w:p>
      <w:pPr>
        <w:pStyle w:val="Heading4"/>
      </w:pPr>
      <w:bookmarkStart w:id="2700" w:name="b2685"/>
      <w:r>
        <w:t>§ 2225 Erlöschen des Amts des Testamentsvollstreckers</w:t>
      </w:r>
      <w:r>
        <w:t xml:space="preserve"> </w:t>
      </w:r>
      <w:r>
        <w:rPr>
          <w:rStyle w:val="Suchmarke"/>
        </w:rPr>
        <w:t>#2225#</w:t>
      </w:r>
      <w:bookmarkEnd w:id="2700"/>
    </w:p>
    <w:p>
      <w:r>
        <w:t xml:space="preserve">Das Amt des Testamentsvollstreckers erlischt, wenn er stirbt oder wenn ein Fall eintritt, in welchem die Ernennung nach </w:t>
      </w:r>
      <w:hyperlink w:anchor="b2661" w:history="1">
        <w:r>
          <w:rPr>
            <w:color w:val="0A3A8C"/>
            <w:u w:val="single"/>
          </w:rPr>
          <w:t xml:space="preserve">§ 2201</w:t>
        </w:r>
      </w:hyperlink>
      <w:r>
        <w:t xml:space="preserve"> unwirksam sein würde.</w:t>
      </w:r>
    </w:p>
    <w:p>
      <w:pPr>
        <w:pStyle w:val="Heading4"/>
      </w:pPr>
      <w:bookmarkStart w:id="2701" w:name="b2686"/>
      <w:r>
        <w:t>§ 2226 Kündigung durch den Testamentsvollstrecker</w:t>
      </w:r>
      <w:r>
        <w:t xml:space="preserve"> </w:t>
      </w:r>
      <w:r>
        <w:rPr>
          <w:rStyle w:val="Suchmarke"/>
        </w:rPr>
        <w:t>#2226#</w:t>
      </w:r>
      <w:bookmarkEnd w:id="2701"/>
    </w:p>
    <w:p>
      <w:r>
        <w:rPr>
          <w:rStyle w:val="Satznummer"/>
        </w:rPr>
        <w:t>1</w:t>
      </w:r>
      <w:r>
        <w:t xml:space="preserve">Der Testamentsvollstrecker kann das Amt jederzeit kündigen. </w:t>
      </w:r>
      <w:r>
        <w:rPr>
          <w:rStyle w:val="Satznummer"/>
        </w:rPr>
        <w:t>2</w:t>
      </w:r>
      <w:r>
        <w:t xml:space="preserve">Die Kündigung erfolgt durch Erklärung gegenüber dem Nachlassgericht. </w:t>
      </w:r>
      <w:r>
        <w:rPr>
          <w:rStyle w:val="Satznummer"/>
        </w:rPr>
        <w:t>3</w:t>
      </w:r>
      <w:r>
        <w:t xml:space="preserve">Die Vorschrift des </w:t>
      </w:r>
      <w:hyperlink w:anchor="b1044" w:history="1">
        <w:r>
          <w:rPr>
            <w:color w:val="0A3A8C"/>
            <w:u w:val="single"/>
          </w:rPr>
          <w:t xml:space="preserve">§ 671</w:t>
        </w:r>
      </w:hyperlink>
      <w:r>
        <w:t xml:space="preserve"> Abs. 2, 3 findet entsprechende Anwendung.</w:t>
      </w:r>
    </w:p>
    <w:p>
      <w:pPr>
        <w:pStyle w:val="Heading4"/>
      </w:pPr>
      <w:bookmarkStart w:id="2702" w:name="b2687"/>
      <w:r>
        <w:t>§ 2227 Entlassung des Testamentsvollstreckers</w:t>
      </w:r>
      <w:r>
        <w:t xml:space="preserve"> </w:t>
      </w:r>
      <w:r>
        <w:rPr>
          <w:rStyle w:val="Suchmarke"/>
        </w:rPr>
        <w:t>#2227#</w:t>
      </w:r>
      <w:bookmarkEnd w:id="2702"/>
    </w:p>
    <w:p>
      <w:r>
        <w:t>Das Nachlassgericht kann den Testamentsvollstrecker auf Antrag eines der Beteiligten entlassen, wenn ein wichtiger Grund vorliegt; ein solcher Grund ist insbesondere grobe Pflichtverletzung oder Unfähigkeit zur ordnungsmäßigen Geschäftsführung.</w:t>
      </w:r>
    </w:p>
    <w:p>
      <w:pPr>
        <w:pStyle w:val="Heading4"/>
      </w:pPr>
      <w:bookmarkStart w:id="2703" w:name="b2688"/>
      <w:r>
        <w:t>§ 2228 Akteneinsicht</w:t>
      </w:r>
      <w:r>
        <w:t xml:space="preserve"> </w:t>
      </w:r>
      <w:r>
        <w:rPr>
          <w:rStyle w:val="Suchmarke"/>
        </w:rPr>
        <w:t>#2228#</w:t>
      </w:r>
      <w:bookmarkEnd w:id="2703"/>
    </w:p>
    <w:p>
      <w:r>
        <w:t xml:space="preserve">Das Nachlassgericht hat die Einsicht der nach </w:t>
      </w:r>
      <w:hyperlink w:anchor="b2658" w:history="1">
        <w:r>
          <w:rPr>
            <w:color w:val="0A3A8C"/>
            <w:u w:val="single"/>
          </w:rPr>
          <w:t xml:space="preserve">§ 2198</w:t>
        </w:r>
      </w:hyperlink>
      <w:r>
        <w:t xml:space="preserve"> Abs. 1 Satz 2, </w:t>
      </w:r>
      <w:hyperlink w:anchor="b2659" w:history="1">
        <w:r>
          <w:rPr>
            <w:color w:val="0A3A8C"/>
            <w:u w:val="single"/>
          </w:rPr>
          <w:t xml:space="preserve">§ 2199</w:t>
        </w:r>
      </w:hyperlink>
      <w:r>
        <w:t xml:space="preserve"> Abs. 3, </w:t>
      </w:r>
      <w:hyperlink w:anchor="b2662" w:history="1">
        <w:r>
          <w:rPr>
            <w:color w:val="0A3A8C"/>
            <w:u w:val="single"/>
          </w:rPr>
          <w:t xml:space="preserve">§ 2202</w:t>
        </w:r>
      </w:hyperlink>
      <w:r>
        <w:t xml:space="preserve"> Abs. 2, </w:t>
      </w:r>
      <w:hyperlink w:anchor="b2686" w:history="1">
        <w:r>
          <w:rPr>
            <w:color w:val="0A3A8C"/>
            <w:u w:val="single"/>
          </w:rPr>
          <w:t xml:space="preserve">§ 2226</w:t>
        </w:r>
      </w:hyperlink>
      <w:r>
        <w:t xml:space="preserve"> Satz 2 abgegebenen Erklärungen jedem zu gestatten, der ein rechtliches Interesse glaubhaft macht.</w:t>
      </w:r>
    </w:p>
    <w:p>
      <w:pPr>
        <w:pStyle w:val="Heading3"/>
      </w:pPr>
      <w:bookmarkStart w:id="2704" w:name="b2689"/>
      <w:r>
        <w:t>Titel 7 Errichtung und Aufhebung eines Testaments</w:t>
      </w:r>
      <w:bookmarkEnd w:id="2704"/>
    </w:p>
    <w:p>
      <w:pPr>
        <w:pStyle w:val="Heading4"/>
      </w:pPr>
      <w:bookmarkStart w:id="2705" w:name="b2690"/>
      <w:r>
        <w:t>§ 2229 Testierfähigkeit Minderjähriger, Testierunfähigkeit</w:t>
      </w:r>
      <w:r>
        <w:t xml:space="preserve"> </w:t>
      </w:r>
      <w:r>
        <w:rPr>
          <w:rStyle w:val="Suchmarke"/>
        </w:rPr>
        <w:t>#2229#</w:t>
      </w:r>
      <w:bookmarkEnd w:id="2705"/>
    </w:p>
    <w:p>
      <w:r>
        <w:t>(1) Ein Minderjähriger kann ein Testament erst errichten, wenn er das 16. Lebensjahr vollendet hat.</w:t>
      </w:r>
    </w:p>
    <w:p>
      <w:r>
        <w:t>(2) Der Minderjährige bedarf zur Errichtung eines Testaments nicht der Zustimmung seines gesetzlichen Vertreters.</w:t>
      </w:r>
    </w:p>
    <w:p>
      <w:r>
        <w:t>(3) (weggefallen)</w:t>
      </w:r>
    </w:p>
    <w:p>
      <w:r>
        <w:t>(4) Wer wegen krankhafter Störung der Geistestätigkeit, wegen Geistesschwäche oder wegen Bewusstseinsstörung nicht in der Lage ist, die Bedeutung einer von ihm abgegebenen Willenserklärung einzusehen und nach dieser Einsicht zu handeln, kann ein Testament nicht errichten.</w:t>
      </w:r>
    </w:p>
    <w:p>
      <w:pPr>
        <w:pStyle w:val="Heading4"/>
      </w:pPr>
      <w:bookmarkStart w:id="2706" w:name="b2691"/>
      <w:r>
        <w:t>§ 2230</w:t>
      </w:r>
      <w:r>
        <w:t xml:space="preserve"> </w:t>
      </w:r>
      <w:r>
        <w:rPr>
          <w:rStyle w:val="Suchmarke"/>
        </w:rPr>
        <w:t>#2230#</w:t>
      </w:r>
      <w:bookmarkEnd w:id="2706"/>
    </w:p>
    <w:p>
      <w:r>
        <w:t>(weggefallen)</w:t>
      </w:r>
    </w:p>
    <w:p>
      <w:pPr>
        <w:pStyle w:val="Heading4"/>
      </w:pPr>
      <w:bookmarkStart w:id="2707" w:name="b2692"/>
      <w:r>
        <w:t>§ 2231 Ordentliche Testamente</w:t>
      </w:r>
      <w:r>
        <w:t xml:space="preserve"> </w:t>
      </w:r>
      <w:r>
        <w:rPr>
          <w:rStyle w:val="Suchmarke"/>
        </w:rPr>
        <w:t>#2231#</w:t>
      </w:r>
      <w:bookmarkEnd w:id="2707"/>
    </w:p>
    <w:p>
      <w:r>
        <w:t>Ein Testament kann in ordentlicher Form errichtet werden</w:t>
      </w:r>
    </w:p>
    <w:p>
      <w:pPr>
        <w:tabs>
          <w:tab w:pos="567" w:val="left"/>
        </w:tabs>
        <w:ind w:left="567" w:hanging="567"/>
      </w:pPr>
      <w:r>
        <w:t>1.</w:t>
      </w:r>
      <w:r>
        <w:tab/>
      </w:r>
      <w:r>
        <w:t>zur Niederschrift eines Notars,</w:t>
      </w:r>
    </w:p>
    <w:p>
      <w:pPr>
        <w:tabs>
          <w:tab w:pos="567" w:val="left"/>
        </w:tabs>
        <w:ind w:left="567" w:hanging="567"/>
      </w:pPr>
      <w:r>
        <w:t>2.</w:t>
      </w:r>
      <w:r>
        <w:tab/>
      </w:r>
      <w:r>
        <w:t xml:space="preserve">durch eine vom Erblasser nach </w:t>
      </w:r>
      <w:hyperlink w:anchor="b2696" w:history="1">
        <w:r>
          <w:rPr>
            <w:color w:val="0A3A8C"/>
            <w:u w:val="single"/>
          </w:rPr>
          <w:t xml:space="preserve">§ 2247</w:t>
        </w:r>
      </w:hyperlink>
      <w:r>
        <w:t xml:space="preserve"> abgegebene Erklärung.</w:t>
      </w:r>
    </w:p>
    <w:p>
      <w:pPr>
        <w:pStyle w:val="Heading4"/>
      </w:pPr>
      <w:bookmarkStart w:id="2708" w:name="b2693"/>
      <w:r>
        <w:t>§ 2232 Öffentliches Testament</w:t>
      </w:r>
      <w:r>
        <w:t xml:space="preserve"> </w:t>
      </w:r>
      <w:r>
        <w:rPr>
          <w:rStyle w:val="Suchmarke"/>
        </w:rPr>
        <w:t>#2232#</w:t>
      </w:r>
      <w:bookmarkEnd w:id="2708"/>
    </w:p>
    <w:p>
      <w:r>
        <w:rPr>
          <w:rStyle w:val="Satznummer"/>
        </w:rPr>
        <w:t>1</w:t>
      </w:r>
      <w:r>
        <w:t xml:space="preserve">Zur Niederschrift eines Notars wird ein Testament errichtet, indem der Erblasser dem Notar seinen letzten Willen erklärt oder ihm eine Schrift mit der Erklärung übergibt, dass die Schrift seinen letzten Willen enthalte. </w:t>
      </w:r>
      <w:r>
        <w:rPr>
          <w:rStyle w:val="Satznummer"/>
        </w:rPr>
        <w:t>2</w:t>
      </w:r>
      <w:r>
        <w:t>Der Erblasser kann die Schrift offen oder verschlossen übergeben; sie braucht nicht von ihm geschrieben zu sein.</w:t>
      </w:r>
    </w:p>
    <w:p>
      <w:pPr>
        <w:pStyle w:val="Heading4"/>
      </w:pPr>
      <w:bookmarkStart w:id="2709" w:name="b2694"/>
      <w:r>
        <w:t>§ 2233 Sonderfälle</w:t>
      </w:r>
      <w:r>
        <w:t xml:space="preserve"> </w:t>
      </w:r>
      <w:r>
        <w:rPr>
          <w:rStyle w:val="Suchmarke"/>
        </w:rPr>
        <w:t>#2233#</w:t>
      </w:r>
      <w:bookmarkEnd w:id="2709"/>
    </w:p>
    <w:p>
      <w:r>
        <w:t>(1) Ist der Erblasser minderjährig, so kann er das Testament nur durch eine Erklärung gegenüber dem Notar oder durch Übergabe einer offenen Schrift errichten.</w:t>
      </w:r>
    </w:p>
    <w:p>
      <w:r>
        <w:t>(2) Ist der Erblasser nach seinen Angaben oder nach der Überzeugung des Notars nicht im Stande, Geschriebenes zu lesen, so kann er das Testament nur durch eine Erklärung gegenüber dem Notar errichten.</w:t>
      </w:r>
    </w:p>
    <w:p>
      <w:pPr>
        <w:pStyle w:val="Heading4"/>
      </w:pPr>
      <w:bookmarkStart w:id="2710" w:name="b2695"/>
      <w:r>
        <w:t>§§ 2234 bis 2246 (weggefallen)</w:t>
      </w:r>
      <w:bookmarkEnd w:id="2710"/>
    </w:p>
    <w:p>
      <w:pPr>
        <w:pStyle w:val="Heading4"/>
      </w:pPr>
      <w:bookmarkStart w:id="2711" w:name="b2696"/>
      <w:r>
        <w:t>§ 2247 Eigenhändiges Testament</w:t>
      </w:r>
      <w:r>
        <w:t xml:space="preserve"> </w:t>
      </w:r>
      <w:r>
        <w:rPr>
          <w:rStyle w:val="Suchmarke"/>
        </w:rPr>
        <w:t>#2247#</w:t>
      </w:r>
      <w:bookmarkEnd w:id="2711"/>
    </w:p>
    <w:p>
      <w:r>
        <w:t>(1) Der Erblasser kann ein Testament durch eine eigenhändig geschriebene und unterschriebene Erklärung errichten.</w:t>
      </w:r>
    </w:p>
    <w:p>
      <w:r>
        <w:t>(2) Der Erblasser soll in der Erklärung angeben, zu welcher Zeit (Tag, Monat und Jahr) und an welchem Orte er sie niedergeschrieben hat.</w:t>
      </w:r>
    </w:p>
    <w:p>
      <w:r>
        <w:t xml:space="preserve">(3) </w:t>
      </w:r>
      <w:r>
        <w:rPr>
          <w:rStyle w:val="Satznummer"/>
        </w:rPr>
        <w:t>1</w:t>
      </w:r>
      <w:r>
        <w:t xml:space="preserve">Die Unterschrift soll den Vornamen und den Familiennamen des Erblassers enthalten. </w:t>
      </w:r>
      <w:r>
        <w:rPr>
          <w:rStyle w:val="Satznummer"/>
        </w:rPr>
        <w:t>2</w:t>
      </w:r>
      <w:r>
        <w:t>Unterschreibt der Erblasser in anderer Weise und reicht diese Unterzeichnung zur Feststellung der Urheberschaft des Erblassers und der Ernstlichkeit seiner Erklärung aus, so steht eine solche Unterzeichnung der Gültigkeit des Testaments nicht entgegen.</w:t>
      </w:r>
    </w:p>
    <w:p>
      <w:r>
        <w:t>(4) Wer minderjährig ist oder Geschriebenes nicht zu lesen vermag, kann ein Testament nicht nach obigen Vorschriften errichten.</w:t>
      </w:r>
    </w:p>
    <w:p>
      <w:r>
        <w:t xml:space="preserve">(5) </w:t>
      </w:r>
      <w:r>
        <w:rPr>
          <w:rStyle w:val="Satznummer"/>
        </w:rPr>
        <w:t>1</w:t>
      </w:r>
      <w:r>
        <w:t xml:space="preserve">Enthält ein nach Absatz 1 errichtetes Testament keine Angabe über die Zeit der Errichtung und ergeben sich hieraus Zweifel über seine Gültigkeit, so ist das Testament nur dann als gültig anzusehen, wenn sich die notwendigen Feststellungen über die Zeit der Errichtung anderweit treffen lassen. </w:t>
      </w:r>
      <w:r>
        <w:rPr>
          <w:rStyle w:val="Satznummer"/>
        </w:rPr>
        <w:t>2</w:t>
      </w:r>
      <w:r>
        <w:t>Dasselbe gilt entsprechend für ein Testament, das keine Angabe über den Ort der Errichtung enthält.</w:t>
      </w:r>
    </w:p>
    <w:p>
      <w:pPr>
        <w:pStyle w:val="Heading4"/>
      </w:pPr>
      <w:bookmarkStart w:id="2712" w:name="b2697"/>
      <w:r>
        <w:t>§ 2248 Verwahrung des eigenhändigen Testaments</w:t>
      </w:r>
      <w:r>
        <w:t xml:space="preserve"> </w:t>
      </w:r>
      <w:r>
        <w:rPr>
          <w:rStyle w:val="Suchmarke"/>
        </w:rPr>
        <w:t>#2248#</w:t>
      </w:r>
      <w:bookmarkEnd w:id="2712"/>
    </w:p>
    <w:p>
      <w:r>
        <w:t xml:space="preserve">Ein nach </w:t>
      </w:r>
      <w:hyperlink w:anchor="b2696" w:history="1">
        <w:r>
          <w:rPr>
            <w:color w:val="0A3A8C"/>
            <w:u w:val="single"/>
          </w:rPr>
          <w:t xml:space="preserve">§ 2247</w:t>
        </w:r>
      </w:hyperlink>
      <w:r>
        <w:t xml:space="preserve"> errichtetes Testament ist auf Verlangen des Erblassers in besondere amtliche Verwahrung zu nehmen.</w:t>
      </w:r>
    </w:p>
    <w:p>
      <w:pPr>
        <w:pStyle w:val="Heading4"/>
      </w:pPr>
      <w:bookmarkStart w:id="2713" w:name="b2698"/>
      <w:r>
        <w:t>§ 2249 Nottestament vor dem Bürgermeister</w:t>
      </w:r>
      <w:r>
        <w:t xml:space="preserve"> </w:t>
      </w:r>
      <w:r>
        <w:rPr>
          <w:rStyle w:val="Suchmarke"/>
        </w:rPr>
        <w:t>#2249#</w:t>
      </w:r>
      <w:bookmarkEnd w:id="2713"/>
    </w:p>
    <w:p>
      <w:r>
        <w:t xml:space="preserve">(1) </w:t>
      </w:r>
      <w:r>
        <w:rPr>
          <w:rStyle w:val="Satznummer"/>
        </w:rPr>
        <w:t>1</w:t>
      </w:r>
      <w:r>
        <w:t xml:space="preserve">Ist zu besorgen, dass der Erblasser früher sterben werde, als die Errichtung eines Testaments vor einem Notar möglich ist, so kann er das Testament zur Niederschrift des Bürgermeisters der Gemeinde, in der er sich aufhält, errichten. </w:t>
      </w:r>
      <w:r>
        <w:rPr>
          <w:rStyle w:val="Satznummer"/>
        </w:rPr>
        <w:t>2</w:t>
      </w:r>
      <w:r>
        <w:t xml:space="preserve">Der Bürgermeister muss zu der Beurkundung zwei Zeugen zuziehen. </w:t>
      </w:r>
      <w:r>
        <w:rPr>
          <w:rStyle w:val="Satznummer"/>
        </w:rPr>
        <w:t>3</w:t>
      </w:r>
      <w:r>
        <w:t xml:space="preserve">Als Zeuge kann nicht zugezogen werden, wer in dem zu beurkundenden Testament bedacht oder zum Testamentsvollstrecker ernannt wird; die Vorschriften der §§ 7 und 27 des Beurkundungsgesetzes gelten entsprechend. </w:t>
      </w:r>
      <w:r>
        <w:rPr>
          <w:rStyle w:val="Satznummer"/>
        </w:rPr>
        <w:t>4</w:t>
      </w:r>
      <w:r>
        <w:t xml:space="preserve">Für die Errichtung gelten die Vorschriften der </w:t>
      </w:r>
      <w:hyperlink w:anchor="b2693" w:history="1">
        <w:r>
          <w:rPr>
            <w:color w:val="0A3A8C"/>
            <w:u w:val="single"/>
          </w:rPr>
          <w:t xml:space="preserve">§§ 2232</w:t>
        </w:r>
      </w:hyperlink>
      <w:r>
        <w:t xml:space="preserve">, </w:t>
      </w:r>
      <w:hyperlink w:anchor="b2694" w:history="1">
        <w:r>
          <w:rPr>
            <w:color w:val="0A3A8C"/>
            <w:u w:val="single"/>
          </w:rPr>
          <w:t xml:space="preserve">2233</w:t>
        </w:r>
      </w:hyperlink>
      <w:r>
        <w:t xml:space="preserve"> sowie die Vorschriften der </w:t>
      </w:r>
      <w:hyperlink w:anchor="b4" w:history="1">
        <w:r>
          <w:rPr>
            <w:color w:val="0A3A8C"/>
            <w:u w:val="single"/>
          </w:rPr>
          <w:t xml:space="preserve">§§ 2</w:t>
        </w:r>
      </w:hyperlink>
      <w:r>
        <w:t xml:space="preserve">, 4, 5 Abs. 1, der §§ 6 bis </w:t>
      </w:r>
      <w:hyperlink w:anchor="b7" w:history="1">
        <w:r>
          <w:rPr>
            <w:color w:val="0A3A8C"/>
            <w:u w:val="single"/>
          </w:rPr>
          <w:t xml:space="preserve">8</w:t>
        </w:r>
      </w:hyperlink>
      <w:r>
        <w:t xml:space="preserve"> Absatz 1, der §§ 9, 10, 11 Abs. 1 Satz 2, Abs. 2, § 13 Abs. 1, 3, §§ 16, 17, 23, 24, 26 Abs. 1 Nr. 3, 4, Abs. 2, §§ 27, 28, 30, 32, 34, 35 des Beurkundungsgesetzes; der Bürgermeister tritt an die Stelle des Notars. </w:t>
      </w:r>
      <w:r>
        <w:rPr>
          <w:rStyle w:val="Satznummer"/>
        </w:rPr>
        <w:t>5</w:t>
      </w:r>
      <w:r>
        <w:t xml:space="preserve">Die Niederschrift muss auch von den Zeugen unterschrieben werden. </w:t>
      </w:r>
      <w:r>
        <w:rPr>
          <w:rStyle w:val="Satznummer"/>
        </w:rPr>
        <w:t>6</w:t>
      </w:r>
      <w:r>
        <w:t>Vermag der Erblasser nach seinen Angaben oder nach der Überzeugung des Bürgermeisters seinen Namen nicht zu schreiben, so wird die Unterschrift des Erblassers durch die Feststellung dieser Angabe oder Überzeugung in der Niederschrift ersetzt.</w:t>
      </w:r>
    </w:p>
    <w:p>
      <w:r>
        <w:t xml:space="preserve">(2) </w:t>
      </w:r>
      <w:r>
        <w:rPr>
          <w:rStyle w:val="Satznummer"/>
        </w:rPr>
        <w:t>1</w:t>
      </w:r>
      <w:r>
        <w:t xml:space="preserve">Die Besorgnis, dass die Errichtung eines Testaments vor einem Notar nicht mehr möglich sein werde, soll in der Niederschrift festgestellt werden. </w:t>
      </w:r>
      <w:r>
        <w:rPr>
          <w:rStyle w:val="Satznummer"/>
        </w:rPr>
        <w:t>2</w:t>
      </w:r>
      <w:r>
        <w:t>Der Gültigkeit des Testaments steht nicht entgegen, dass die Besorgnis nicht begründet war.</w:t>
      </w:r>
    </w:p>
    <w:p>
      <w:r>
        <w:t xml:space="preserve">(3) </w:t>
      </w:r>
      <w:r>
        <w:rPr>
          <w:rStyle w:val="Satznummer"/>
        </w:rPr>
        <w:t>1</w:t>
      </w:r>
      <w:r>
        <w:t xml:space="preserve">Der Bürgermeister soll den Erblasser darauf hinweisen, dass das Testament seine Gültigkeit verliert, wenn der Erblasser den Ablauf der in </w:t>
      </w:r>
      <w:hyperlink w:anchor="b2701" w:history="1">
        <w:r>
          <w:rPr>
            <w:color w:val="0A3A8C"/>
            <w:u w:val="single"/>
          </w:rPr>
          <w:t xml:space="preserve">§ 2252</w:t>
        </w:r>
      </w:hyperlink>
      <w:r>
        <w:t xml:space="preserve"> Abs. 1, 2 vorgesehenen Frist überlebt. </w:t>
      </w:r>
      <w:r>
        <w:rPr>
          <w:rStyle w:val="Satznummer"/>
        </w:rPr>
        <w:t>2</w:t>
      </w:r>
      <w:r>
        <w:t>Er soll in der Niederschrift feststellen, dass dieser Hinweis gegeben ist.</w:t>
      </w:r>
    </w:p>
    <w:p>
      <w:r>
        <w:t>(4)(weggefallen)</w:t>
      </w:r>
    </w:p>
    <w:p>
      <w:r>
        <w:t xml:space="preserve">(5) </w:t>
      </w:r>
      <w:r>
        <w:rPr>
          <w:rStyle w:val="Satznummer"/>
        </w:rPr>
        <w:t>1</w:t>
      </w:r>
      <w:r>
        <w:t xml:space="preserve">Das Testament kann auch vor demjenigen errichtet werden, der nach den gesetzlichen Vorschriften zur Vertretung des Bürgermeisters befugt ist. </w:t>
      </w:r>
      <w:r>
        <w:rPr>
          <w:rStyle w:val="Satznummer"/>
        </w:rPr>
        <w:t>2</w:t>
      </w:r>
      <w:r>
        <w:t>Der Vertreter soll in der Niederschrift angeben, worauf sich seine Vertretungsbefugnis stützt.</w:t>
      </w:r>
    </w:p>
    <w:p>
      <w:r>
        <w:t>(6) Sind bei Abfassung der Niederschrift über die Errichtung des in den vorstehenden Absätzen vorgesehenen Testaments Formfehler unterlaufen, ist aber dennoch mit Sicherheit anzunehmen, dass das Testament eine zuverlässige Wiedergabe der Erklärung des Erblassers enthält, so steht der Formverstoß der Wirksamkeit der Beurkundung nicht entgegen.</w:t>
      </w:r>
    </w:p>
    <w:p>
      <w:pPr>
        <w:pStyle w:val="Heading4"/>
      </w:pPr>
      <w:bookmarkStart w:id="2714" w:name="b2699"/>
      <w:r>
        <w:t>§ 2250 Nottestament vor drei Zeugen</w:t>
      </w:r>
      <w:r>
        <w:t xml:space="preserve"> </w:t>
      </w:r>
      <w:r>
        <w:rPr>
          <w:rStyle w:val="Suchmarke"/>
        </w:rPr>
        <w:t>#2250#</w:t>
      </w:r>
      <w:bookmarkEnd w:id="2714"/>
    </w:p>
    <w:p>
      <w:r>
        <w:t xml:space="preserve">(1) Wer sich an einem Orte aufhält, der infolge außerordentlicher Umstände dergestalt abgesperrt ist, dass die Errichtung eines Testaments vor einem Notar nicht möglich oder erheblich erschwert ist, kann das Testament in der durch </w:t>
      </w:r>
      <w:hyperlink w:anchor="b2698" w:history="1">
        <w:r>
          <w:rPr>
            <w:color w:val="0A3A8C"/>
            <w:u w:val="single"/>
          </w:rPr>
          <w:t xml:space="preserve">§ 2249</w:t>
        </w:r>
      </w:hyperlink>
      <w:r>
        <w:t xml:space="preserve"> bestimmten Form oder durch mündliche Erklärung vor drei Zeugen errichten.</w:t>
      </w:r>
    </w:p>
    <w:p>
      <w:r>
        <w:t xml:space="preserve">(2) Wer sich in so naher Todesgefahr befindet, dass voraussichtlich auch die Errichtung eines Testaments nach </w:t>
      </w:r>
      <w:hyperlink w:anchor="b2698" w:history="1">
        <w:r>
          <w:rPr>
            <w:color w:val="0A3A8C"/>
            <w:u w:val="single"/>
          </w:rPr>
          <w:t xml:space="preserve">§ 2249</w:t>
        </w:r>
      </w:hyperlink>
      <w:r>
        <w:t xml:space="preserve"> nicht mehr möglich ist, kann das Testament durch mündliche Erklärung vor drei Zeugen errichten.</w:t>
      </w:r>
    </w:p>
    <w:p>
      <w:r>
        <w:t xml:space="preserve">(3) </w:t>
      </w:r>
      <w:r>
        <w:rPr>
          <w:rStyle w:val="Satznummer"/>
        </w:rPr>
        <w:t>1</w:t>
      </w:r>
      <w:r>
        <w:t xml:space="preserve">Wird das Testament durch mündliche Erklärung vor drei Zeugen errichtet, so muss hierüber eine Niederschrift aufgenommen werden. </w:t>
      </w:r>
      <w:r>
        <w:rPr>
          <w:rStyle w:val="Satznummer"/>
        </w:rPr>
        <w:t>2</w:t>
      </w:r>
      <w:r>
        <w:t xml:space="preserve">Auf die Zeugen sind die Vorschriften des § 6 Abs. 1 Nr. 1 bis 3, der </w:t>
      </w:r>
      <w:hyperlink w:anchor="b6" w:history="1">
        <w:r>
          <w:rPr>
            <w:color w:val="0A3A8C"/>
            <w:u w:val="single"/>
          </w:rPr>
          <w:t xml:space="preserve">§§ 7</w:t>
        </w:r>
      </w:hyperlink>
      <w:r>
        <w:t xml:space="preserve">, </w:t>
      </w:r>
      <w:hyperlink w:anchor="b23" w:history="1">
        <w:r>
          <w:rPr>
            <w:color w:val="0A3A8C"/>
            <w:u w:val="single"/>
          </w:rPr>
          <w:t xml:space="preserve">26</w:t>
        </w:r>
      </w:hyperlink>
      <w:r>
        <w:t xml:space="preserve"> Abs. 2 Nr. 2 bis 5 und des § 27 des Beurkundungsgesetzes; auf die Niederschrift sind die Vorschriften des </w:t>
      </w:r>
      <w:hyperlink w:anchor="b7" w:history="1">
        <w:r>
          <w:rPr>
            <w:color w:val="0A3A8C"/>
            <w:u w:val="single"/>
          </w:rPr>
          <w:t xml:space="preserve">§ 8</w:t>
        </w:r>
      </w:hyperlink>
      <w:r>
        <w:t xml:space="preserve"> Absatz 1, der §§ 9, 10, 11 Abs. 1 Satz 2, Abs. 2, § 13 Abs. 1, 3 Satz 1, §§ 23, 28 des Beurkundungsgesetzes sowie die Vorschriften des </w:t>
      </w:r>
      <w:hyperlink w:anchor="b2698" w:history="1">
        <w:r>
          <w:rPr>
            <w:color w:val="0A3A8C"/>
            <w:u w:val="single"/>
          </w:rPr>
          <w:t xml:space="preserve">§ 2249</w:t>
        </w:r>
      </w:hyperlink>
      <w:r>
        <w:t xml:space="preserve"> Abs. 1 Satz 5, 6, Abs. 2, 6 entsprechend anzuwenden. </w:t>
      </w:r>
      <w:r>
        <w:rPr>
          <w:rStyle w:val="Satznummer"/>
        </w:rPr>
        <w:t>3</w:t>
      </w:r>
      <w:r>
        <w:t xml:space="preserve">Die Niederschrift kann außer in der deutschen auch in einer anderen Sprache aufgenommen werden. </w:t>
      </w:r>
      <w:r>
        <w:rPr>
          <w:rStyle w:val="Satznummer"/>
        </w:rPr>
        <w:t>4</w:t>
      </w:r>
      <w:r>
        <w:t>Der Erblasser und die Zeugen müssen der Sprache der Niederschrift hinreichend kundig sein; dies soll in der Niederschrift festgestellt werden, wenn sie in einer anderen als der deutschen Sprache aufgenommen wird.</w:t>
      </w:r>
    </w:p>
    <w:p>
      <w:pPr>
        <w:pStyle w:val="Heading4"/>
      </w:pPr>
      <w:bookmarkStart w:id="2715" w:name="b2700"/>
      <w:r>
        <w:t>§ 2251 Nottestament auf See</w:t>
      </w:r>
      <w:r>
        <w:t xml:space="preserve"> </w:t>
      </w:r>
      <w:r>
        <w:rPr>
          <w:rStyle w:val="Suchmarke"/>
        </w:rPr>
        <w:t>#2251#</w:t>
      </w:r>
      <w:bookmarkEnd w:id="2715"/>
    </w:p>
    <w:p>
      <w:r>
        <w:t xml:space="preserve">Wer sich während einer Seereise an Bord eines deutschen Schiffes außerhalb eines inländischen Hafens befindet, kann ein Testament durch mündliche Erklärung vor drei Zeugen nach </w:t>
      </w:r>
      <w:hyperlink w:anchor="b2699" w:history="1">
        <w:r>
          <w:rPr>
            <w:color w:val="0A3A8C"/>
            <w:u w:val="single"/>
          </w:rPr>
          <w:t xml:space="preserve">§ 2250</w:t>
        </w:r>
      </w:hyperlink>
      <w:r>
        <w:t xml:space="preserve"> Abs. 3 errichten.</w:t>
      </w:r>
    </w:p>
    <w:p>
      <w:pPr>
        <w:pStyle w:val="Heading4"/>
      </w:pPr>
      <w:bookmarkStart w:id="2716" w:name="b2701"/>
      <w:r>
        <w:t>§ 2252 Gültigkeitsdauer der Nottestamente</w:t>
      </w:r>
      <w:r>
        <w:t xml:space="preserve"> </w:t>
      </w:r>
      <w:r>
        <w:rPr>
          <w:rStyle w:val="Suchmarke"/>
        </w:rPr>
        <w:t>#2252#</w:t>
      </w:r>
      <w:bookmarkEnd w:id="2716"/>
    </w:p>
    <w:p>
      <w:r>
        <w:t xml:space="preserve">(1) Ein nach </w:t>
      </w:r>
      <w:hyperlink w:anchor="b2698" w:history="1">
        <w:r>
          <w:rPr>
            <w:color w:val="0A3A8C"/>
            <w:u w:val="single"/>
          </w:rPr>
          <w:t xml:space="preserve">§ 2249</w:t>
        </w:r>
      </w:hyperlink>
      <w:r>
        <w:t xml:space="preserve">, </w:t>
      </w:r>
      <w:hyperlink w:anchor="b2699" w:history="1">
        <w:r>
          <w:rPr>
            <w:color w:val="0A3A8C"/>
            <w:u w:val="single"/>
          </w:rPr>
          <w:t xml:space="preserve">§ 2250</w:t>
        </w:r>
      </w:hyperlink>
      <w:r>
        <w:t xml:space="preserve"> oder </w:t>
      </w:r>
      <w:hyperlink w:anchor="b2700" w:history="1">
        <w:r>
          <w:rPr>
            <w:color w:val="0A3A8C"/>
            <w:u w:val="single"/>
          </w:rPr>
          <w:t xml:space="preserve">§ 2251</w:t>
        </w:r>
      </w:hyperlink>
      <w:r>
        <w:t xml:space="preserve"> errichtetes Testament gilt als nicht errichtet, wenn seit der Errichtung drei Monate verstrichen sind und der Erblasser noch lebt.</w:t>
      </w:r>
    </w:p>
    <w:p>
      <w:r>
        <w:t>(2) Beginn und Lauf der Frist sind gehemmt, solange der Erblasser außerstande ist, ein Testament vor einem Notar zu errichten.</w:t>
      </w:r>
    </w:p>
    <w:p>
      <w:r>
        <w:t>(3) Tritt im Falle des § 2251 der Erblasser vor dem Ablauf der Frist eine neue Seereise an, so wird die Frist mit der Wirkung unterbrochen, dass nach Beendigung der neuen Reise die volle Frist von neuem zu laufen beginnt.</w:t>
      </w:r>
    </w:p>
    <w:p>
      <w:r>
        <w:t>(4) Wird der Erblasser nach dem Ablauf der Frist für tot erklärt oder wird seine Todeszeit nach den Vorschriften des Verschollenheitsgesetzes festgestellt, so behält das Testament seine Kraft, wenn die Frist zu der Zeit, zu welcher der Erblasser nach den vorhandenen Nachrichten noch gelebt hat, noch nicht verstrichen war.</w:t>
      </w:r>
    </w:p>
    <w:p>
      <w:pPr>
        <w:pStyle w:val="Heading4"/>
      </w:pPr>
      <w:bookmarkStart w:id="2717" w:name="b2702"/>
      <w:r>
        <w:t>§ 2253 Widerruf eines Testaments</w:t>
      </w:r>
      <w:r>
        <w:t xml:space="preserve"> </w:t>
      </w:r>
      <w:r>
        <w:rPr>
          <w:rStyle w:val="Suchmarke"/>
        </w:rPr>
        <w:t>#2253#</w:t>
      </w:r>
      <w:bookmarkEnd w:id="2717"/>
    </w:p>
    <w:p>
      <w:r>
        <w:t>Der Erblasser kann ein Testament sowie eine einzelne in einem Testament enthaltene Verfügung jederzeit widerrufen.</w:t>
      </w:r>
    </w:p>
    <w:p>
      <w:pPr>
        <w:pStyle w:val="Heading4"/>
      </w:pPr>
      <w:bookmarkStart w:id="2718" w:name="b2703"/>
      <w:r>
        <w:t>§ 2254 Widerruf durch Testament</w:t>
      </w:r>
      <w:r>
        <w:t xml:space="preserve"> </w:t>
      </w:r>
      <w:r>
        <w:rPr>
          <w:rStyle w:val="Suchmarke"/>
        </w:rPr>
        <w:t>#2254#</w:t>
      </w:r>
      <w:bookmarkEnd w:id="2718"/>
    </w:p>
    <w:p>
      <w:r>
        <w:t>Der Widerruf erfolgt durch Testament.</w:t>
      </w:r>
    </w:p>
    <w:p>
      <w:pPr>
        <w:pStyle w:val="Heading4"/>
      </w:pPr>
      <w:bookmarkStart w:id="2719" w:name="b2704"/>
      <w:r>
        <w:t>§ 2255 Widerruf durch Vernichtung oder Veränderungen</w:t>
      </w:r>
      <w:r>
        <w:t xml:space="preserve"> </w:t>
      </w:r>
      <w:r>
        <w:rPr>
          <w:rStyle w:val="Suchmarke"/>
        </w:rPr>
        <w:t>#2255#</w:t>
      </w:r>
      <w:bookmarkEnd w:id="2719"/>
    </w:p>
    <w:p>
      <w:r>
        <w:rPr>
          <w:rStyle w:val="Satznummer"/>
        </w:rPr>
        <w:t>1</w:t>
      </w:r>
      <w:r>
        <w:t xml:space="preserve">Ein Testament kann auch dadurch widerrufen werden, dass der Erblasser in der Absicht, es aufzuheben, die Testamentsurkunde vernichtet oder an ihr Veränderungen vornimmt, durch die der Wille, eine schriftliche Willenserklärung aufzuheben, ausgedrückt zu werden pflegt. </w:t>
      </w:r>
      <w:r>
        <w:rPr>
          <w:rStyle w:val="Satznummer"/>
        </w:rPr>
        <w:t>2</w:t>
      </w:r>
      <w:r>
        <w:t>Hat der Erblasser die Testamentsurkunde vernichtet oder in der bezeichneten Weise verändert, so wird vermutet, dass er die Aufhebung des Testaments beabsichtigt habe.</w:t>
      </w:r>
    </w:p>
    <w:p>
      <w:pPr>
        <w:pStyle w:val="Heading4"/>
      </w:pPr>
      <w:bookmarkStart w:id="2720" w:name="b2705"/>
      <w:r>
        <w:t>§ 2256 Widerruf durch Rücknahme des Testaments aus der amtlichen Verwahrung</w:t>
      </w:r>
      <w:r>
        <w:t xml:space="preserve"> </w:t>
      </w:r>
      <w:r>
        <w:rPr>
          <w:rStyle w:val="Suchmarke"/>
        </w:rPr>
        <w:t>#2256#</w:t>
      </w:r>
      <w:bookmarkEnd w:id="2720"/>
    </w:p>
    <w:p>
      <w:r>
        <w:t xml:space="preserve">(1) </w:t>
      </w:r>
      <w:r>
        <w:rPr>
          <w:rStyle w:val="Satznummer"/>
        </w:rPr>
        <w:t>1</w:t>
      </w:r>
      <w:r>
        <w:t xml:space="preserve">Ein vor einem Notar oder nach </w:t>
      </w:r>
      <w:hyperlink w:anchor="b2698" w:history="1">
        <w:r>
          <w:rPr>
            <w:color w:val="0A3A8C"/>
            <w:u w:val="single"/>
          </w:rPr>
          <w:t xml:space="preserve">§ 2249</w:t>
        </w:r>
      </w:hyperlink>
      <w:r>
        <w:t xml:space="preserve"> errichtetes Testament gilt als widerrufen, wenn die in amtliche Verwahrung genommene Urkunde dem Erblasser zurückgegeben wird. </w:t>
      </w:r>
      <w:r>
        <w:rPr>
          <w:rStyle w:val="Satznummer"/>
        </w:rPr>
        <w:t>2</w:t>
      </w:r>
      <w:r>
        <w:t>Die zurückgebende Stelle soll den Erblasser über die in Satz 1 vorgesehene Folge der Rückgabe belehren, dies auf der Urkunde vermerken und aktenkundig machen, dass beides geschehen ist.</w:t>
      </w:r>
    </w:p>
    <w:p>
      <w:r>
        <w:t xml:space="preserve">(2) </w:t>
      </w:r>
      <w:r>
        <w:rPr>
          <w:rStyle w:val="Satznummer"/>
        </w:rPr>
        <w:t>1</w:t>
      </w:r>
      <w:r>
        <w:t xml:space="preserve">Der Erblasser kann die Rückgabe jederzeit verlangen. </w:t>
      </w:r>
      <w:r>
        <w:rPr>
          <w:rStyle w:val="Satznummer"/>
        </w:rPr>
        <w:t>2</w:t>
      </w:r>
      <w:r>
        <w:t>Das Testament darf nur an den Erblasser persönlich zurückgegeben werden.</w:t>
      </w:r>
    </w:p>
    <w:p>
      <w:r>
        <w:t xml:space="preserve">(3) Die Vorschriften des Absatzes 2 gelten auch für ein nach </w:t>
      </w:r>
      <w:hyperlink w:anchor="b2697" w:history="1">
        <w:r>
          <w:rPr>
            <w:color w:val="0A3A8C"/>
            <w:u w:val="single"/>
          </w:rPr>
          <w:t xml:space="preserve">§ 2248</w:t>
        </w:r>
      </w:hyperlink>
      <w:r>
        <w:t xml:space="preserve"> hinterlegtes Testament; die Rückgabe ist auf die Wirksamkeit des Testaments ohne Einfluss.</w:t>
      </w:r>
    </w:p>
    <w:p>
      <w:pPr>
        <w:pStyle w:val="Heading4"/>
      </w:pPr>
      <w:bookmarkStart w:id="2721" w:name="b2706"/>
      <w:r>
        <w:t>§ 2257 Widerruf des Widerrufs</w:t>
      </w:r>
      <w:r>
        <w:t xml:space="preserve"> </w:t>
      </w:r>
      <w:r>
        <w:rPr>
          <w:rStyle w:val="Suchmarke"/>
        </w:rPr>
        <w:t>#2257#</w:t>
      </w:r>
      <w:bookmarkEnd w:id="2721"/>
    </w:p>
    <w:p>
      <w:r>
        <w:t>Wird der durch Testament erfolgte Widerruf einer letztwilligen Verfügung widerrufen, so ist im Zweifel die Verfügung wirksam, wie wenn sie nicht widerrufen worden wäre.</w:t>
      </w:r>
    </w:p>
    <w:p>
      <w:pPr>
        <w:pStyle w:val="Heading4"/>
      </w:pPr>
      <w:bookmarkStart w:id="2722" w:name="b2707"/>
      <w:r>
        <w:t>§ 2258 Widerruf durch ein späteres Testament</w:t>
      </w:r>
      <w:r>
        <w:t xml:space="preserve"> </w:t>
      </w:r>
      <w:r>
        <w:rPr>
          <w:rStyle w:val="Suchmarke"/>
        </w:rPr>
        <w:t>#2258#</w:t>
      </w:r>
      <w:bookmarkEnd w:id="2722"/>
    </w:p>
    <w:p>
      <w:r>
        <w:t>(1) Durch die Errichtung eines Testaments wird ein früheres Testament insoweit aufgehoben, als das spätere Testament mit dem früheren in Widerspruch steht.</w:t>
      </w:r>
    </w:p>
    <w:p>
      <w:r>
        <w:t>(2) Wird das spätere Testament widerrufen, so ist im Zweifel das frühere Testament in gleicher Weise wirksam, wie wenn es nicht aufgehoben worden wäre.</w:t>
      </w:r>
    </w:p>
    <w:p>
      <w:pPr>
        <w:pStyle w:val="Heading4"/>
      </w:pPr>
      <w:bookmarkStart w:id="2723" w:name="b2708"/>
      <w:r>
        <w:t>§§ 2258a und 2258b (weggefallen)</w:t>
      </w:r>
      <w:bookmarkEnd w:id="2723"/>
    </w:p>
    <w:p>
      <w:pPr>
        <w:pStyle w:val="Heading4"/>
      </w:pPr>
      <w:bookmarkStart w:id="2724" w:name="b2709"/>
      <w:r>
        <w:t>§ 2259 Ablieferungspflicht</w:t>
      </w:r>
      <w:r>
        <w:t xml:space="preserve"> </w:t>
      </w:r>
      <w:r>
        <w:rPr>
          <w:rStyle w:val="Suchmarke"/>
        </w:rPr>
        <w:t>#2259#</w:t>
      </w:r>
      <w:bookmarkEnd w:id="2724"/>
    </w:p>
    <w:p>
      <w:r>
        <w:t>(1) Wer ein Testament, das nicht in besondere amtliche Verwahrung gebracht ist, im Besitz hat, ist verpflichtet, es unverzüglich, nachdem er von dem Tode des Erblassers Kenntnis erlangt hat, an das Nachlassgericht abzuliefern.</w:t>
      </w:r>
    </w:p>
    <w:p>
      <w:r>
        <w:t xml:space="preserve">(2) </w:t>
      </w:r>
      <w:r>
        <w:rPr>
          <w:rStyle w:val="Satznummer"/>
        </w:rPr>
        <w:t>1</w:t>
      </w:r>
      <w:r>
        <w:t xml:space="preserve">Befindet sich ein Testament bei einer anderen Behörde als einem Gericht in amtlicher Verwahrung, so ist es nach dem Tode des Erblassers an das Nachlassgericht abzuliefern. </w:t>
      </w:r>
      <w:r>
        <w:rPr>
          <w:rStyle w:val="Satznummer"/>
        </w:rPr>
        <w:t>2</w:t>
      </w:r>
      <w:r>
        <w:t>Das Nachlassgericht hat, wenn es von dem Testament Kenntnis erlangt, die Ablieferung zu veranlassen.</w:t>
      </w:r>
    </w:p>
    <w:p>
      <w:pPr>
        <w:pStyle w:val="Heading4"/>
      </w:pPr>
      <w:bookmarkStart w:id="2725" w:name="b2710"/>
      <w:r>
        <w:t>§ 2260 (weggefallen)</w:t>
      </w:r>
      <w:r>
        <w:t xml:space="preserve"> </w:t>
      </w:r>
      <w:r>
        <w:rPr>
          <w:rStyle w:val="Suchmarke"/>
        </w:rPr>
        <w:t>#2260#</w:t>
      </w:r>
      <w:bookmarkEnd w:id="2725"/>
    </w:p>
    <w:p>
      <w:r>
        <w:t>-</w:t>
      </w:r>
    </w:p>
    <w:p>
      <w:pPr>
        <w:pStyle w:val="Heading4"/>
      </w:pPr>
      <w:bookmarkStart w:id="2726" w:name="b2711"/>
      <w:r>
        <w:t>§ 2261 (weggefallen)</w:t>
      </w:r>
      <w:r>
        <w:t xml:space="preserve"> </w:t>
      </w:r>
      <w:r>
        <w:rPr>
          <w:rStyle w:val="Suchmarke"/>
        </w:rPr>
        <w:t>#2261#</w:t>
      </w:r>
      <w:bookmarkEnd w:id="2726"/>
    </w:p>
    <w:p>
      <w:r>
        <w:t>-</w:t>
      </w:r>
    </w:p>
    <w:p>
      <w:pPr>
        <w:pStyle w:val="Heading4"/>
      </w:pPr>
      <w:bookmarkStart w:id="2727" w:name="b2712"/>
      <w:r>
        <w:t>§ 2262 (weggefallen)</w:t>
      </w:r>
      <w:r>
        <w:t xml:space="preserve"> </w:t>
      </w:r>
      <w:r>
        <w:rPr>
          <w:rStyle w:val="Suchmarke"/>
        </w:rPr>
        <w:t>#2262#</w:t>
      </w:r>
      <w:bookmarkEnd w:id="2727"/>
    </w:p>
    <w:p>
      <w:r>
        <w:t>-</w:t>
      </w:r>
    </w:p>
    <w:p>
      <w:pPr>
        <w:pStyle w:val="Heading4"/>
      </w:pPr>
      <w:bookmarkStart w:id="2728" w:name="b2713"/>
      <w:r>
        <w:t>§ 2263 Nichtigkeit eines Eröffnungsverbots</w:t>
      </w:r>
      <w:r>
        <w:t xml:space="preserve"> </w:t>
      </w:r>
      <w:r>
        <w:rPr>
          <w:rStyle w:val="Suchmarke"/>
        </w:rPr>
        <w:t>#2263#</w:t>
      </w:r>
      <w:bookmarkEnd w:id="2728"/>
    </w:p>
    <w:p>
      <w:r>
        <w:t>Eine Anordnung des Erblassers, durch die er verbietet, das Testament alsbald nach seinem Tode zu eröffnen, ist nichtig.</w:t>
      </w:r>
    </w:p>
    <w:p>
      <w:pPr>
        <w:pStyle w:val="Heading4"/>
      </w:pPr>
      <w:bookmarkStart w:id="2729" w:name="b2714"/>
      <w:r>
        <w:t>§ 2264 (weggefallen)</w:t>
      </w:r>
      <w:r>
        <w:t xml:space="preserve"> </w:t>
      </w:r>
      <w:r>
        <w:rPr>
          <w:rStyle w:val="Suchmarke"/>
        </w:rPr>
        <w:t>#2264#</w:t>
      </w:r>
      <w:bookmarkEnd w:id="2729"/>
    </w:p>
    <w:p>
      <w:r>
        <w:t>-</w:t>
      </w:r>
    </w:p>
    <w:p>
      <w:pPr>
        <w:pStyle w:val="Heading3"/>
      </w:pPr>
      <w:bookmarkStart w:id="2730" w:name="b2715"/>
      <w:r>
        <w:t>Titel 8 Gemeinschaftliches Testament</w:t>
      </w:r>
      <w:bookmarkEnd w:id="2730"/>
    </w:p>
    <w:p>
      <w:pPr>
        <w:pStyle w:val="Heading4"/>
      </w:pPr>
      <w:bookmarkStart w:id="2731" w:name="b2716"/>
      <w:r>
        <w:t>§ 2265 Errichtung durch Ehegatten</w:t>
      </w:r>
      <w:r>
        <w:t xml:space="preserve"> </w:t>
      </w:r>
      <w:r>
        <w:rPr>
          <w:rStyle w:val="Suchmarke"/>
        </w:rPr>
        <w:t>#2265#</w:t>
      </w:r>
      <w:bookmarkEnd w:id="2731"/>
    </w:p>
    <w:p>
      <w:r>
        <w:t>Ein gemeinschaftliches Testament kann nur von Ehegatten errichtet werden.</w:t>
      </w:r>
    </w:p>
    <w:p>
      <w:pPr>
        <w:pStyle w:val="Heading4"/>
      </w:pPr>
      <w:bookmarkStart w:id="2732" w:name="b2717"/>
      <w:r>
        <w:t>§ 2266 Gemeinschaftliches Nottestament</w:t>
      </w:r>
      <w:r>
        <w:t xml:space="preserve"> </w:t>
      </w:r>
      <w:r>
        <w:rPr>
          <w:rStyle w:val="Suchmarke"/>
        </w:rPr>
        <w:t>#2266#</w:t>
      </w:r>
      <w:bookmarkEnd w:id="2732"/>
    </w:p>
    <w:p>
      <w:r>
        <w:t xml:space="preserve">Ein gemeinschaftliches Testament kann nach den </w:t>
      </w:r>
      <w:hyperlink w:anchor="b2698" w:history="1">
        <w:r>
          <w:rPr>
            <w:color w:val="0A3A8C"/>
            <w:u w:val="single"/>
          </w:rPr>
          <w:t xml:space="preserve">§§ 2249</w:t>
        </w:r>
      </w:hyperlink>
      <w:r>
        <w:t xml:space="preserve">, </w:t>
      </w:r>
      <w:hyperlink w:anchor="b2699" w:history="1">
        <w:r>
          <w:rPr>
            <w:color w:val="0A3A8C"/>
            <w:u w:val="single"/>
          </w:rPr>
          <w:t xml:space="preserve">2250</w:t>
        </w:r>
      </w:hyperlink>
      <w:r>
        <w:t xml:space="preserve"> auch dann errichtet werden, wenn die dort vorgesehenen Voraussetzungen nur bei einem der Ehegatten vorliegen.</w:t>
      </w:r>
    </w:p>
    <w:p>
      <w:pPr>
        <w:pStyle w:val="Heading4"/>
      </w:pPr>
      <w:bookmarkStart w:id="2733" w:name="b2718"/>
      <w:r>
        <w:t>§ 2267 Gemeinschaftliches eigenhändiges Testament</w:t>
      </w:r>
      <w:r>
        <w:t xml:space="preserve"> </w:t>
      </w:r>
      <w:r>
        <w:rPr>
          <w:rStyle w:val="Suchmarke"/>
        </w:rPr>
        <w:t>#2267#</w:t>
      </w:r>
      <w:bookmarkEnd w:id="2733"/>
    </w:p>
    <w:p>
      <w:r>
        <w:rPr>
          <w:rStyle w:val="Satznummer"/>
        </w:rPr>
        <w:t>1</w:t>
      </w:r>
      <w:r>
        <w:t xml:space="preserve">Zur Errichtung eines gemeinschaftlichen Testaments nach </w:t>
      </w:r>
      <w:hyperlink w:anchor="b2696" w:history="1">
        <w:r>
          <w:rPr>
            <w:color w:val="0A3A8C"/>
            <w:u w:val="single"/>
          </w:rPr>
          <w:t xml:space="preserve">§ 2247</w:t>
        </w:r>
      </w:hyperlink>
      <w:r>
        <w:t xml:space="preserve"> genügt es, wenn einer der Ehegatten das Testament in der dort vorgeschriebenen Form errichtet und der andere Ehegatte die gemeinschaftliche Erklärung eigenhändig mitunterzeichnet. </w:t>
      </w:r>
      <w:r>
        <w:rPr>
          <w:rStyle w:val="Satznummer"/>
        </w:rPr>
        <w:t>2</w:t>
      </w:r>
      <w:r>
        <w:t>Der mitunterzeichnende Ehegatte soll hierbei angeben, zu welcher Zeit (Tag, Monat und Jahr) und an welchem Orte er seine Unterschrift beigefügt hat.</w:t>
      </w:r>
    </w:p>
    <w:p>
      <w:pPr>
        <w:pStyle w:val="Heading4"/>
      </w:pPr>
      <w:bookmarkStart w:id="2734" w:name="b2719"/>
      <w:r>
        <w:t>§ 2268 Wirkung der Ehenichtigkeit oder -auflösung</w:t>
      </w:r>
      <w:r>
        <w:t xml:space="preserve"> </w:t>
      </w:r>
      <w:r>
        <w:rPr>
          <w:rStyle w:val="Suchmarke"/>
        </w:rPr>
        <w:t>#2268#</w:t>
      </w:r>
      <w:bookmarkEnd w:id="2734"/>
    </w:p>
    <w:p>
      <w:r>
        <w:t xml:space="preserve">(1) Ein gemeinschaftliches Testament ist in den Fällen des </w:t>
      </w:r>
      <w:hyperlink w:anchor="b2531" w:history="1">
        <w:r>
          <w:rPr>
            <w:color w:val="0A3A8C"/>
            <w:u w:val="single"/>
          </w:rPr>
          <w:t xml:space="preserve">§ 2077</w:t>
        </w:r>
      </w:hyperlink>
      <w:r>
        <w:t xml:space="preserve"> seinem ganzen Inhalt nach unwirksam.</w:t>
      </w:r>
    </w:p>
    <w:p>
      <w:r>
        <w:t xml:space="preserve">(2) Wird die Ehe vor dem Tode eines der Ehegatten aufgelöst oder liegen die Voraussetzungen des </w:t>
      </w:r>
      <w:hyperlink w:anchor="b2531" w:history="1">
        <w:r>
          <w:rPr>
            <w:color w:val="0A3A8C"/>
            <w:u w:val="single"/>
          </w:rPr>
          <w:t xml:space="preserve">§ 2077</w:t>
        </w:r>
      </w:hyperlink>
      <w:r>
        <w:t xml:space="preserve"> Abs. 1 Satz 2 oder 3 vor, so bleiben die Verfügungen insoweit wirksam, als anzunehmen ist, dass sie auch für diesen Fall getroffen sein würden.</w:t>
      </w:r>
    </w:p>
    <w:p>
      <w:pPr>
        <w:pStyle w:val="Heading4"/>
      </w:pPr>
      <w:bookmarkStart w:id="2735" w:name="b2720"/>
      <w:r>
        <w:t>§ 2269 Gegenseitige Einsetzung</w:t>
      </w:r>
      <w:r>
        <w:t xml:space="preserve"> </w:t>
      </w:r>
      <w:r>
        <w:rPr>
          <w:rStyle w:val="Suchmarke"/>
        </w:rPr>
        <w:t>#2269#</w:t>
      </w:r>
      <w:bookmarkEnd w:id="2735"/>
    </w:p>
    <w:p>
      <w:r>
        <w:t>(1) Haben die Ehegatten in einem gemeinschaftlichen Testament, durch das sie sich gegenseitig als Erben einsetzen, bestimmt, dass nach dem Tode des Überlebenden der beiderseitige Nachlass an einen Dritten fallen soll, so ist im Zweifel anzunehmen, dass der Dritte für den gesamten Nachlass als Erbe des zuletzt versterbenden Ehegatten eingesetzt ist.</w:t>
      </w:r>
    </w:p>
    <w:p>
      <w:r>
        <w:t>(2) Haben die Ehegatten in einem solchen Testament ein Vermächtnis angeordnet, das nach dem Tode des Überlebenden erfüllt werden soll, so ist im Zweifel anzunehmen, dass das Vermächtnis dem Bedachten erst mit dem Tode des Überlebenden anfallen soll.</w:t>
      </w:r>
    </w:p>
    <w:p>
      <w:pPr>
        <w:pStyle w:val="Heading4"/>
      </w:pPr>
      <w:bookmarkStart w:id="2736" w:name="b2721"/>
      <w:r>
        <w:t>§ 2270 Wechselbezügliche Verfügungen</w:t>
      </w:r>
      <w:r>
        <w:t xml:space="preserve"> </w:t>
      </w:r>
      <w:r>
        <w:rPr>
          <w:rStyle w:val="Suchmarke"/>
        </w:rPr>
        <w:t>#2270#</w:t>
      </w:r>
      <w:bookmarkEnd w:id="2736"/>
    </w:p>
    <w:p>
      <w:r>
        <w:t>(1) Haben die Ehegatten in einem gemeinschaftlichen Testament Verfügungen getroffen, von denen anzunehmen ist, dass die Verfügung des einen nicht ohne die Verfügung des anderen getroffen sein würde, so hat die Nichtigkeit oder der Widerruf der einen Verfügung die Unwirksamkeit der anderen zur Folge.</w:t>
      </w:r>
    </w:p>
    <w:p>
      <w:r>
        <w:t>(2) Ein solches Verhältnis der Verfügungen zueinander ist im Zweifel anzunehmen, wenn sich die Ehegatten gegenseitig bedenken oder wenn dem einen Ehegatten von dem anderen eine Zuwendung gemacht und für den Fall des Überlebens des Bedachten eine Verfügung zugunsten einer Person getroffen wird, die mit dem anderen Ehegatten verwandt ist oder ihm sonst nahe steht.</w:t>
      </w:r>
    </w:p>
    <w:p>
      <w:r>
        <w:t>(3) Auf andere Verfügungen als Erbeinsetzungen, Vermächtnisse, Auflagen und die Wahl des anzuwendenden Erbrechts findet Absatz 1 keine Anwendung.</w:t>
      </w:r>
    </w:p>
    <w:p>
      <w:pPr>
        <w:pStyle w:val="Heading4"/>
      </w:pPr>
      <w:bookmarkStart w:id="2737" w:name="b2722"/>
      <w:r>
        <w:t>§ 2271 Widerruf wechselbezüglicher Verfügungen</w:t>
      </w:r>
      <w:r>
        <w:t xml:space="preserve"> </w:t>
      </w:r>
      <w:r>
        <w:rPr>
          <w:rStyle w:val="Suchmarke"/>
        </w:rPr>
        <w:t>#2271#</w:t>
      </w:r>
      <w:bookmarkEnd w:id="2737"/>
    </w:p>
    <w:p>
      <w:r>
        <w:t xml:space="preserve">(1) </w:t>
      </w:r>
      <w:r>
        <w:rPr>
          <w:rStyle w:val="Satznummer"/>
        </w:rPr>
        <w:t>1</w:t>
      </w:r>
      <w:r>
        <w:t xml:space="preserve">Der Widerruf einer Verfügung, die mit einer Verfügung des anderen Ehegatten in dem in </w:t>
      </w:r>
      <w:hyperlink w:anchor="b2721" w:history="1">
        <w:r>
          <w:rPr>
            <w:color w:val="0A3A8C"/>
            <w:u w:val="single"/>
          </w:rPr>
          <w:t xml:space="preserve">§ 2270</w:t>
        </w:r>
      </w:hyperlink>
      <w:r>
        <w:t xml:space="preserve"> bezeichneten Verhältnis steht, erfolgt bei Lebzeiten der Ehegatten nach der für den Rücktritt von einem Erbvertrag geltenden Vorschrift des </w:t>
      </w:r>
      <w:hyperlink w:anchor="b2748" w:history="1">
        <w:r>
          <w:rPr>
            <w:color w:val="0A3A8C"/>
            <w:u w:val="single"/>
          </w:rPr>
          <w:t xml:space="preserve">§ 2296</w:t>
        </w:r>
      </w:hyperlink>
      <w:r>
        <w:t xml:space="preserve">. </w:t>
      </w:r>
      <w:r>
        <w:rPr>
          <w:rStyle w:val="Satznummer"/>
        </w:rPr>
        <w:t>2</w:t>
      </w:r>
      <w:r>
        <w:t>Durch eine neue Verfügung von Todes wegen kann ein Ehegatte bei Lebzeiten des anderen seine Verfügung nicht einseitig aufheben.</w:t>
      </w:r>
    </w:p>
    <w:p>
      <w:r>
        <w:t xml:space="preserve">(2) </w:t>
      </w:r>
      <w:r>
        <w:rPr>
          <w:rStyle w:val="Satznummer"/>
        </w:rPr>
        <w:t>1</w:t>
      </w:r>
      <w:r>
        <w:t xml:space="preserve">Das Recht zum Widerruf erlischt mit dem Tode des anderen Ehegatten; der Überlebende kann jedoch seine Verfügung aufheben, wenn er das ihm Zugewendete ausschlägt. </w:t>
      </w:r>
      <w:r>
        <w:rPr>
          <w:rStyle w:val="Satznummer"/>
        </w:rPr>
        <w:t>2</w:t>
      </w:r>
      <w:r>
        <w:t xml:space="preserve">Auch nach der Annahme der Zuwendung ist der Überlebende zur Aufhebung nach Maßgabe des </w:t>
      </w:r>
      <w:hyperlink w:anchor="b2746" w:history="1">
        <w:r>
          <w:rPr>
            <w:color w:val="0A3A8C"/>
            <w:u w:val="single"/>
          </w:rPr>
          <w:t xml:space="preserve">§ 2294</w:t>
        </w:r>
      </w:hyperlink>
      <w:r>
        <w:t xml:space="preserve"> und des </w:t>
      </w:r>
      <w:hyperlink w:anchor="b2790" w:history="1">
        <w:r>
          <w:rPr>
            <w:color w:val="0A3A8C"/>
            <w:u w:val="single"/>
          </w:rPr>
          <w:t xml:space="preserve">§ 2336</w:t>
        </w:r>
      </w:hyperlink>
      <w:r>
        <w:t xml:space="preserve"> berechtigt.</w:t>
      </w:r>
    </w:p>
    <w:p>
      <w:r>
        <w:t xml:space="preserve">(3) Ist ein pflichtteilsberechtigter Abkömmling der Ehegatten oder eines der Ehegatten bedacht, so findet die Vorschrift des </w:t>
      </w:r>
      <w:hyperlink w:anchor="b2741" w:history="1">
        <w:r>
          <w:rPr>
            <w:color w:val="0A3A8C"/>
            <w:u w:val="single"/>
          </w:rPr>
          <w:t xml:space="preserve">§ 2289</w:t>
        </w:r>
      </w:hyperlink>
      <w:r>
        <w:t xml:space="preserve"> Abs. 2 entsprechende Anwendung.</w:t>
      </w:r>
    </w:p>
    <w:p>
      <w:pPr>
        <w:pStyle w:val="Heading4"/>
      </w:pPr>
      <w:bookmarkStart w:id="2738" w:name="b2723"/>
      <w:r>
        <w:t>§ 2272 Rücknahme aus amtlicher Verwahrung</w:t>
      </w:r>
      <w:r>
        <w:t xml:space="preserve"> </w:t>
      </w:r>
      <w:r>
        <w:rPr>
          <w:rStyle w:val="Suchmarke"/>
        </w:rPr>
        <w:t>#2272#</w:t>
      </w:r>
      <w:bookmarkEnd w:id="2738"/>
    </w:p>
    <w:p>
      <w:r>
        <w:t xml:space="preserve">Ein gemeinschaftliches Testament kann nach </w:t>
      </w:r>
      <w:hyperlink w:anchor="b2705" w:history="1">
        <w:r>
          <w:rPr>
            <w:color w:val="0A3A8C"/>
            <w:u w:val="single"/>
          </w:rPr>
          <w:t xml:space="preserve">§ 2256</w:t>
        </w:r>
      </w:hyperlink>
      <w:r>
        <w:t xml:space="preserve"> nur von beiden Ehegatten zurückgenommen werden.</w:t>
      </w:r>
    </w:p>
    <w:p>
      <w:pPr>
        <w:pStyle w:val="Heading4"/>
      </w:pPr>
      <w:bookmarkStart w:id="2739" w:name="b2724"/>
      <w:r>
        <w:t>§ 2273 (weggefallen)</w:t>
      </w:r>
      <w:r>
        <w:t xml:space="preserve"> </w:t>
      </w:r>
      <w:r>
        <w:rPr>
          <w:rStyle w:val="Suchmarke"/>
        </w:rPr>
        <w:t>#2273#</w:t>
      </w:r>
      <w:bookmarkEnd w:id="2739"/>
    </w:p>
    <w:p>
      <w:r>
        <w:t>-</w:t>
      </w:r>
    </w:p>
    <w:p>
      <w:pPr>
        <w:pStyle w:val="Heading2"/>
      </w:pPr>
      <w:bookmarkStart w:id="2740" w:name="b2725"/>
      <w:r>
        <w:t>Abschnitt 4 Erbvertrag</w:t>
      </w:r>
      <w:bookmarkEnd w:id="2740"/>
    </w:p>
    <w:p>
      <w:pPr>
        <w:pStyle w:val="Heading3"/>
      </w:pPr>
      <w:bookmarkStart w:id="2741" w:name="b2726"/>
      <w:r>
        <w:t>§ 2274 Persönlicher Abschluss</w:t>
      </w:r>
      <w:r>
        <w:t xml:space="preserve"> </w:t>
      </w:r>
      <w:r>
        <w:rPr>
          <w:rStyle w:val="Suchmarke"/>
        </w:rPr>
        <w:t>#2274#</w:t>
      </w:r>
      <w:bookmarkEnd w:id="2741"/>
    </w:p>
    <w:p>
      <w:r>
        <w:t>Der Erblasser kann einen Erbvertrag nur persönlich schließen.</w:t>
      </w:r>
    </w:p>
    <w:p>
      <w:pPr>
        <w:pStyle w:val="Heading3"/>
      </w:pPr>
      <w:bookmarkStart w:id="2742" w:name="b2727"/>
      <w:r>
        <w:t>§ 2275 Voraussetzungen</w:t>
      </w:r>
      <w:r>
        <w:t xml:space="preserve"> </w:t>
      </w:r>
      <w:r>
        <w:rPr>
          <w:rStyle w:val="Suchmarke"/>
        </w:rPr>
        <w:t>#2275#</w:t>
      </w:r>
      <w:bookmarkEnd w:id="2742"/>
    </w:p>
    <w:p>
      <w:r>
        <w:t>Einen Erbvertrag kann als Erblasser nur schließen, wer unbeschränkt geschäftsfähig ist.</w:t>
      </w:r>
    </w:p>
    <w:p>
      <w:pPr>
        <w:pStyle w:val="Heading3"/>
      </w:pPr>
      <w:bookmarkStart w:id="2743" w:name="b2728"/>
      <w:r>
        <w:t>§ 2276 Form</w:t>
      </w:r>
      <w:r>
        <w:t xml:space="preserve"> </w:t>
      </w:r>
      <w:r>
        <w:rPr>
          <w:rStyle w:val="Suchmarke"/>
        </w:rPr>
        <w:t>#2276#</w:t>
      </w:r>
      <w:bookmarkEnd w:id="2743"/>
    </w:p>
    <w:p>
      <w:r>
        <w:t xml:space="preserve">(1) </w:t>
      </w:r>
      <w:r>
        <w:rPr>
          <w:rStyle w:val="Satznummer"/>
        </w:rPr>
        <w:t>1</w:t>
      </w:r>
      <w:r>
        <w:t xml:space="preserve">Ein Erbvertrag kann nur zur Niederschrift eines Notars bei gleichzeitiger Anwesenheit beider Teile geschlossen werden. </w:t>
      </w:r>
      <w:r>
        <w:rPr>
          <w:rStyle w:val="Satznummer"/>
        </w:rPr>
        <w:t>2</w:t>
      </w:r>
      <w:r>
        <w:t xml:space="preserve">Die Vorschriften des </w:t>
      </w:r>
      <w:hyperlink w:anchor="b2692" w:history="1">
        <w:r>
          <w:rPr>
            <w:color w:val="0A3A8C"/>
            <w:u w:val="single"/>
          </w:rPr>
          <w:t xml:space="preserve">§ 2231</w:t>
        </w:r>
      </w:hyperlink>
      <w:r>
        <w:t xml:space="preserve"> Nr. 1 und der </w:t>
      </w:r>
      <w:hyperlink w:anchor="b2693" w:history="1">
        <w:r>
          <w:rPr>
            <w:color w:val="0A3A8C"/>
            <w:u w:val="single"/>
          </w:rPr>
          <w:t xml:space="preserve">§§ 2232</w:t>
        </w:r>
      </w:hyperlink>
      <w:r>
        <w:t xml:space="preserve">, </w:t>
      </w:r>
      <w:hyperlink w:anchor="b2694" w:history="1">
        <w:r>
          <w:rPr>
            <w:color w:val="0A3A8C"/>
            <w:u w:val="single"/>
          </w:rPr>
          <w:t xml:space="preserve">2233</w:t>
        </w:r>
      </w:hyperlink>
      <w:r>
        <w:t xml:space="preserve"> sind anzuwenden; was nach diesen Vorschriften für den Erblasser gilt, gilt für jeden der Vertragschließenden.</w:t>
      </w:r>
    </w:p>
    <w:p>
      <w:r>
        <w:t>(2) Für einen Erbvertrag zwischen Ehegatten oder zwischen Verlobten, der mit einem Ehevertrag in derselben Urkunde verbunden wird, genügt die für den Ehevertrag vorgeschriebene Form.</w:t>
      </w:r>
    </w:p>
    <w:p>
      <w:pPr>
        <w:pStyle w:val="Heading3"/>
      </w:pPr>
      <w:bookmarkStart w:id="2744" w:name="b2729"/>
      <w:r>
        <w:t>§ 2277 (weggefallen)</w:t>
      </w:r>
      <w:r>
        <w:t xml:space="preserve"> </w:t>
      </w:r>
      <w:r>
        <w:rPr>
          <w:rStyle w:val="Suchmarke"/>
        </w:rPr>
        <w:t>#2277#</w:t>
      </w:r>
      <w:bookmarkEnd w:id="2744"/>
    </w:p>
    <w:p>
      <w:r>
        <w:t>-</w:t>
      </w:r>
    </w:p>
    <w:p>
      <w:pPr>
        <w:pStyle w:val="Heading3"/>
      </w:pPr>
      <w:bookmarkStart w:id="2745" w:name="b2730"/>
      <w:r>
        <w:t>§ 2278 Zulässige vertragsmäßige Verfügungen</w:t>
      </w:r>
      <w:r>
        <w:t xml:space="preserve"> </w:t>
      </w:r>
      <w:r>
        <w:rPr>
          <w:rStyle w:val="Suchmarke"/>
        </w:rPr>
        <w:t>#2278#</w:t>
      </w:r>
      <w:bookmarkEnd w:id="2745"/>
    </w:p>
    <w:p>
      <w:r>
        <w:t>(1) In einem Erbvertrag kann jeder der Vertragschließenden vertragsmäßige Verfügungen von Todes wegen treffen.</w:t>
      </w:r>
    </w:p>
    <w:p>
      <w:r>
        <w:t>(2) Andere Verfügungen als Erbeinsetzungen, Vermächtnisse, Auflagen und die Wahl des anzuwendenden Erbrechts können vertragsmäßig nicht getroffen werden.</w:t>
      </w:r>
    </w:p>
    <w:p>
      <w:pPr>
        <w:pStyle w:val="Heading3"/>
      </w:pPr>
      <w:bookmarkStart w:id="2746" w:name="b2731"/>
      <w:r>
        <w:t>§ 2279 Vertragsmäßige Zuwendungen und Auflagen; Anwendung von § 2077</w:t>
      </w:r>
      <w:r>
        <w:t xml:space="preserve"> </w:t>
      </w:r>
      <w:r>
        <w:rPr>
          <w:rStyle w:val="Suchmarke"/>
        </w:rPr>
        <w:t>#2279#</w:t>
      </w:r>
      <w:bookmarkEnd w:id="2746"/>
    </w:p>
    <w:p>
      <w:r>
        <w:t>(1) Auf vertragsmäßige Zuwendungen und Auflagen finden die für letztwillige Zuwendungen und Auflagen geltenden Vorschriften entsprechende Anwendung.</w:t>
      </w:r>
    </w:p>
    <w:p>
      <w:r>
        <w:t xml:space="preserve">(2) Die Vorschrift des </w:t>
      </w:r>
      <w:hyperlink w:anchor="b2531" w:history="1">
        <w:r>
          <w:rPr>
            <w:color w:val="0A3A8C"/>
            <w:u w:val="single"/>
          </w:rPr>
          <w:t xml:space="preserve">§ 2077</w:t>
        </w:r>
      </w:hyperlink>
      <w:r>
        <w:t xml:space="preserve"> gilt für einen Erbvertrag zwischen Ehegatten, Lebenspartnern oder Verlobten auch insoweit, als ein Dritter bedacht ist.</w:t>
      </w:r>
    </w:p>
    <w:p>
      <w:pPr>
        <w:pStyle w:val="Heading3"/>
      </w:pPr>
      <w:bookmarkStart w:id="2747" w:name="b2732"/>
      <w:r>
        <w:t>§ 2280 Anwendung von § 2269</w:t>
      </w:r>
      <w:r>
        <w:t xml:space="preserve"> </w:t>
      </w:r>
      <w:r>
        <w:rPr>
          <w:rStyle w:val="Suchmarke"/>
        </w:rPr>
        <w:t>#2280#</w:t>
      </w:r>
      <w:bookmarkEnd w:id="2747"/>
    </w:p>
    <w:p>
      <w:r>
        <w:t xml:space="preserve">Haben Ehegatten oder Lebenspartner in einem Erbvertrag, durch den sie sich gegenseitig als Erben einsetzen, bestimmt, dass nach dem Tode des Überlebenden der beiderseitige Nachlass an einen Dritten fallen soll, oder ein Vermächtnis angeordnet, das nach dem Tode des Überlebenden zu erfüllen ist, so findet die Vorschrift des </w:t>
      </w:r>
      <w:hyperlink w:anchor="b2720" w:history="1">
        <w:r>
          <w:rPr>
            <w:color w:val="0A3A8C"/>
            <w:u w:val="single"/>
          </w:rPr>
          <w:t xml:space="preserve">§ 2269</w:t>
        </w:r>
      </w:hyperlink>
      <w:r>
        <w:t xml:space="preserve"> entsprechende Anwendung.</w:t>
      </w:r>
    </w:p>
    <w:p>
      <w:pPr>
        <w:pStyle w:val="Heading3"/>
      </w:pPr>
      <w:bookmarkStart w:id="2748" w:name="b2733"/>
      <w:r>
        <w:t>§ 2281 Anfechtung durch den Erblasser</w:t>
      </w:r>
      <w:r>
        <w:t xml:space="preserve"> </w:t>
      </w:r>
      <w:r>
        <w:rPr>
          <w:rStyle w:val="Suchmarke"/>
        </w:rPr>
        <w:t>#2281#</w:t>
      </w:r>
      <w:bookmarkEnd w:id="2748"/>
    </w:p>
    <w:p>
      <w:r>
        <w:t xml:space="preserve">(1) Der Erbvertrag kann auf Grund der </w:t>
      </w:r>
      <w:hyperlink w:anchor="b2532" w:history="1">
        <w:r>
          <w:rPr>
            <w:color w:val="0A3A8C"/>
            <w:u w:val="single"/>
          </w:rPr>
          <w:t xml:space="preserve">§§ 2078</w:t>
        </w:r>
      </w:hyperlink>
      <w:r>
        <w:t xml:space="preserve">, </w:t>
      </w:r>
      <w:hyperlink w:anchor="b2533" w:history="1">
        <w:r>
          <w:rPr>
            <w:color w:val="0A3A8C"/>
            <w:u w:val="single"/>
          </w:rPr>
          <w:t xml:space="preserve">2079</w:t>
        </w:r>
      </w:hyperlink>
      <w:r>
        <w:t xml:space="preserve"> auch von dem Erblasser angefochten werden; zur Anfechtung auf Grund des </w:t>
      </w:r>
      <w:hyperlink w:anchor="b2533" w:history="1">
        <w:r>
          <w:rPr>
            <w:color w:val="0A3A8C"/>
            <w:u w:val="single"/>
          </w:rPr>
          <w:t xml:space="preserve">§ 2079</w:t>
        </w:r>
      </w:hyperlink>
      <w:r>
        <w:t xml:space="preserve"> ist erforderlich, dass der Pflichtteilsberechtigte zur Zeit der Anfechtung vorhanden ist.</w:t>
      </w:r>
    </w:p>
    <w:p>
      <w:r>
        <w:t xml:space="preserve">(2) </w:t>
      </w:r>
      <w:r>
        <w:rPr>
          <w:rStyle w:val="Satznummer"/>
        </w:rPr>
        <w:t>1</w:t>
      </w:r>
      <w:r>
        <w:t xml:space="preserve">Soll nach dem Tode des anderen Vertragschließenden eine zugunsten eines Dritten getroffene Verfügung von dem Erblasser angefochten werden, so ist die Anfechtung dem Nachlassgericht gegenüber zu erklären. </w:t>
      </w:r>
      <w:r>
        <w:rPr>
          <w:rStyle w:val="Satznummer"/>
        </w:rPr>
        <w:t>2</w:t>
      </w:r>
      <w:r>
        <w:t>Das Nachlassgericht soll die Erklärung dem Dritten mitteilen.</w:t>
      </w:r>
    </w:p>
    <w:p>
      <w:pPr>
        <w:pStyle w:val="Heading3"/>
      </w:pPr>
      <w:bookmarkStart w:id="2749" w:name="b2734"/>
      <w:r>
        <w:t>§ 2282 Vertretung, Form der Anfechtung</w:t>
      </w:r>
      <w:r>
        <w:t xml:space="preserve"> </w:t>
      </w:r>
      <w:r>
        <w:rPr>
          <w:rStyle w:val="Suchmarke"/>
        </w:rPr>
        <w:t>#2282#</w:t>
      </w:r>
      <w:bookmarkEnd w:id="2749"/>
    </w:p>
    <w:p>
      <w:r>
        <w:t>(1) Die Anfechtung kann nicht durch einen Vertreter des Erblassers erfolgen.</w:t>
      </w:r>
    </w:p>
    <w:p>
      <w:r>
        <w:t>(2) Für einen geschäftsunfähigen Erblasser kann sein Betreuer den Erbvertrag anfechten.</w:t>
      </w:r>
    </w:p>
    <w:p>
      <w:r>
        <w:t>(3) Die Anfechtungserklärung bedarf der notariellen Beurkundung.</w:t>
      </w:r>
    </w:p>
    <w:p>
      <w:pPr>
        <w:pStyle w:val="Heading3"/>
      </w:pPr>
      <w:bookmarkStart w:id="2750" w:name="b2735"/>
      <w:r>
        <w:t>§ 2283 Anfechtungsfrist</w:t>
      </w:r>
      <w:r>
        <w:t xml:space="preserve"> </w:t>
      </w:r>
      <w:r>
        <w:rPr>
          <w:rStyle w:val="Suchmarke"/>
        </w:rPr>
        <w:t>#2283#</w:t>
      </w:r>
      <w:bookmarkEnd w:id="2750"/>
    </w:p>
    <w:p>
      <w:r>
        <w:t>(1) Die Anfechtung durch den Erblasser kann nur binnen Jahresfrist erfolgen.</w:t>
      </w:r>
    </w:p>
    <w:p>
      <w:r>
        <w:t xml:space="preserve">(2) </w:t>
      </w:r>
      <w:r>
        <w:rPr>
          <w:rStyle w:val="Satznummer"/>
        </w:rPr>
        <w:t>1</w:t>
      </w:r>
      <w:r>
        <w:t xml:space="preserve">Die Frist beginnt im Falle der Anfechtbarkeit wegen Drohung mit dem Zeitpunkt, in welchem die Zwangslage aufhört, in den übrigen Fällen mit dem Zeitpunkt, in welchem der Erblasser von dem Anfechtungsgrund Kenntnis erlangt. </w:t>
      </w:r>
      <w:r>
        <w:rPr>
          <w:rStyle w:val="Satznummer"/>
        </w:rPr>
        <w:t>2</w:t>
      </w:r>
      <w:r>
        <w:t xml:space="preserve">Auf den Lauf der Frist finden die für die Verjährung geltenden Vorschriften der </w:t>
      </w:r>
      <w:hyperlink w:anchor="b246" w:history="1">
        <w:r>
          <w:rPr>
            <w:color w:val="0A3A8C"/>
            <w:u w:val="single"/>
          </w:rPr>
          <w:t xml:space="preserve">§§ 206</w:t>
        </w:r>
      </w:hyperlink>
      <w:r>
        <w:t xml:space="preserve">, </w:t>
      </w:r>
      <w:hyperlink w:anchor="b250" w:history="1">
        <w:r>
          <w:rPr>
            <w:color w:val="0A3A8C"/>
            <w:u w:val="single"/>
          </w:rPr>
          <w:t xml:space="preserve">210</w:t>
        </w:r>
      </w:hyperlink>
      <w:r>
        <w:t xml:space="preserve"> entsprechende Anwendung.</w:t>
      </w:r>
    </w:p>
    <w:p>
      <w:r>
        <w:t>(3) Hat im Falle des § 2282 Abs. 2 der gesetzliche Vertreter den Erbvertrag nicht rechtzeitig angefochten, so kann nach dem Wegfall der Geschäftsunfähigkeit der Erblasser selbst den Erbvertrag in gleicher Weise anfechten, wie wenn er ohne gesetzlichen Vertreter gewesen wäre.</w:t>
      </w:r>
    </w:p>
    <w:p>
      <w:pPr>
        <w:pStyle w:val="Heading3"/>
      </w:pPr>
      <w:bookmarkStart w:id="2751" w:name="b2736"/>
      <w:r>
        <w:t>§ 2284 Bestätigung</w:t>
      </w:r>
      <w:r>
        <w:t xml:space="preserve"> </w:t>
      </w:r>
      <w:r>
        <w:rPr>
          <w:rStyle w:val="Suchmarke"/>
        </w:rPr>
        <w:t>#2284#</w:t>
      </w:r>
      <w:bookmarkEnd w:id="2751"/>
    </w:p>
    <w:p>
      <w:r>
        <w:t>Die Bestätigung eines anfechtbaren Erbvertrags kann nur durch den Erblasser persönlich erfolgen.</w:t>
      </w:r>
    </w:p>
    <w:p>
      <w:pPr>
        <w:pStyle w:val="Heading3"/>
      </w:pPr>
      <w:bookmarkStart w:id="2752" w:name="b2737"/>
      <w:r>
        <w:t>§ 2285 Anfechtung durch Dritte</w:t>
      </w:r>
      <w:r>
        <w:t xml:space="preserve"> </w:t>
      </w:r>
      <w:r>
        <w:rPr>
          <w:rStyle w:val="Suchmarke"/>
        </w:rPr>
        <w:t>#2285#</w:t>
      </w:r>
      <w:bookmarkEnd w:id="2752"/>
    </w:p>
    <w:p>
      <w:r>
        <w:t xml:space="preserve">Die in </w:t>
      </w:r>
      <w:hyperlink w:anchor="b2534" w:history="1">
        <w:r>
          <w:rPr>
            <w:color w:val="0A3A8C"/>
            <w:u w:val="single"/>
          </w:rPr>
          <w:t xml:space="preserve">§ 2080</w:t>
        </w:r>
      </w:hyperlink>
      <w:r>
        <w:t xml:space="preserve"> bezeichneten Personen können den Erbvertrag auf Grund der </w:t>
      </w:r>
      <w:hyperlink w:anchor="b2532" w:history="1">
        <w:r>
          <w:rPr>
            <w:color w:val="0A3A8C"/>
            <w:u w:val="single"/>
          </w:rPr>
          <w:t xml:space="preserve">§§ 2078</w:t>
        </w:r>
      </w:hyperlink>
      <w:r>
        <w:t xml:space="preserve">, </w:t>
      </w:r>
      <w:hyperlink w:anchor="b2533" w:history="1">
        <w:r>
          <w:rPr>
            <w:color w:val="0A3A8C"/>
            <w:u w:val="single"/>
          </w:rPr>
          <w:t xml:space="preserve">2079</w:t>
        </w:r>
      </w:hyperlink>
      <w:r>
        <w:t xml:space="preserve"> nicht mehr anfechten, wenn das Anfechtungsrecht des Erblassers zur Zeit des Erbfalls erloschen ist.</w:t>
      </w:r>
    </w:p>
    <w:p>
      <w:pPr>
        <w:pStyle w:val="Heading3"/>
      </w:pPr>
      <w:bookmarkStart w:id="2753" w:name="b2738"/>
      <w:r>
        <w:t>§ 2286 Verfügungen unter Lebenden</w:t>
      </w:r>
      <w:r>
        <w:t xml:space="preserve"> </w:t>
      </w:r>
      <w:r>
        <w:rPr>
          <w:rStyle w:val="Suchmarke"/>
        </w:rPr>
        <w:t>#2286#</w:t>
      </w:r>
      <w:bookmarkEnd w:id="2753"/>
    </w:p>
    <w:p>
      <w:r>
        <w:t>Durch den Erbvertrag wird das Recht des Erblassers, über sein Vermögen durch Rechtsgeschäft unter Lebenden zu verfügen, nicht beschränkt.</w:t>
      </w:r>
    </w:p>
    <w:p>
      <w:pPr>
        <w:pStyle w:val="Heading3"/>
      </w:pPr>
      <w:bookmarkStart w:id="2754" w:name="b2739"/>
      <w:r>
        <w:t>§ 2287 Den Vertragserben beeinträchtigende Schenkungen</w:t>
      </w:r>
      <w:r>
        <w:t xml:space="preserve"> </w:t>
      </w:r>
      <w:r>
        <w:rPr>
          <w:rStyle w:val="Suchmarke"/>
        </w:rPr>
        <w:t>#2287#</w:t>
      </w:r>
      <w:bookmarkEnd w:id="2754"/>
    </w:p>
    <w:p>
      <w:r>
        <w:t>(1) Hat der Erblasser in der Absicht, den Vertragserben zu beeinträchtigen, eine Schenkung gemacht, so kann der Vertragserbe, nachdem ihm die Erbschaft angefallen ist, von dem Beschenkten die Herausgabe des Geschenks nach den Vorschriften über die Herausgabe einer ungerechtfertigten Bereicherung fordern.</w:t>
      </w:r>
    </w:p>
    <w:p>
      <w:r>
        <w:t>(2) Die Verjährungsfrist des Anspruchs beginnt mit dem Erbfall.</w:t>
      </w:r>
    </w:p>
    <w:p>
      <w:pPr>
        <w:pStyle w:val="Heading3"/>
      </w:pPr>
      <w:bookmarkStart w:id="2755" w:name="b2740"/>
      <w:r>
        <w:t>§ 2288 Beeinträchtigung des Vermächtnisnehmers</w:t>
      </w:r>
      <w:r>
        <w:t xml:space="preserve"> </w:t>
      </w:r>
      <w:r>
        <w:rPr>
          <w:rStyle w:val="Suchmarke"/>
        </w:rPr>
        <w:t>#2288#</w:t>
      </w:r>
      <w:bookmarkEnd w:id="2755"/>
    </w:p>
    <w:p>
      <w:r>
        <w:t>(1) Hat der Erblasser den Gegenstand eines vertragsmäßig angeordneten Vermächtnisses in der Absicht, den Bedachten zu beeinträchtigen, zerstört, beiseite geschafft oder beschädigt, so tritt, soweit der Erbe dadurch außerstande gesetzt ist, die Leistung zu bewirken, an die Stelle des Gegenstands der Wert.</w:t>
      </w:r>
    </w:p>
    <w:p>
      <w:r>
        <w:t xml:space="preserve">(2) </w:t>
      </w:r>
      <w:r>
        <w:rPr>
          <w:rStyle w:val="Satznummer"/>
        </w:rPr>
        <w:t>1</w:t>
      </w:r>
      <w:r>
        <w:t xml:space="preserve">Hat der Erblasser den Gegenstand in der Absicht, den Bedachten zu beeinträchtigen, veräußert oder belastet, so ist der Erbe verpflichtet, dem Bedachten den Gegenstand zu verschaffen oder die Belastung zu beseitigen; auf diese Verpflichtung findet die Vorschrift des </w:t>
      </w:r>
      <w:hyperlink w:anchor="b2628" w:history="1">
        <w:r>
          <w:rPr>
            <w:color w:val="0A3A8C"/>
            <w:u w:val="single"/>
          </w:rPr>
          <w:t xml:space="preserve">§ 2170</w:t>
        </w:r>
      </w:hyperlink>
      <w:r>
        <w:t xml:space="preserve"> Abs. 2 entsprechende Anwendung. </w:t>
      </w:r>
      <w:r>
        <w:rPr>
          <w:rStyle w:val="Satznummer"/>
        </w:rPr>
        <w:t>2</w:t>
      </w:r>
      <w:r>
        <w:t xml:space="preserve">Ist die Veräußerung oder die Belastung schenkweise erfolgt, so steht dem Bedachten, soweit er Ersatz nicht von dem Erben erlangen kann, der im </w:t>
      </w:r>
      <w:hyperlink w:anchor="b2739" w:history="1">
        <w:r>
          <w:rPr>
            <w:color w:val="0A3A8C"/>
            <w:u w:val="single"/>
          </w:rPr>
          <w:t xml:space="preserve">§ 2287</w:t>
        </w:r>
      </w:hyperlink>
      <w:r>
        <w:t xml:space="preserve"> bestimmte Anspruch gegen den Beschenkten zu.</w:t>
      </w:r>
    </w:p>
    <w:p>
      <w:pPr>
        <w:pStyle w:val="Heading3"/>
      </w:pPr>
      <w:bookmarkStart w:id="2756" w:name="b2741"/>
      <w:r>
        <w:t>§ 2289 Wirkung des Erbvertrags auf letztwillige Verfügungen; Anwendung von § 2338</w:t>
      </w:r>
      <w:r>
        <w:t xml:space="preserve"> </w:t>
      </w:r>
      <w:r>
        <w:rPr>
          <w:rStyle w:val="Suchmarke"/>
        </w:rPr>
        <w:t>#2289#</w:t>
      </w:r>
      <w:bookmarkEnd w:id="2756"/>
    </w:p>
    <w:p>
      <w:r>
        <w:t xml:space="preserve">(1) </w:t>
      </w:r>
      <w:r>
        <w:rPr>
          <w:rStyle w:val="Satznummer"/>
        </w:rPr>
        <w:t>1</w:t>
      </w:r>
      <w:r>
        <w:t xml:space="preserve">Durch den Erbvertrag wird eine frühere letztwillige Verfügung des Erblassers aufgehoben, soweit sie das Recht des vertragsmäßig Bedachten beeinträchtigen würde. </w:t>
      </w:r>
      <w:r>
        <w:rPr>
          <w:rStyle w:val="Satznummer"/>
        </w:rPr>
        <w:t>2</w:t>
      </w:r>
      <w:r>
        <w:t xml:space="preserve">In dem gleichen Umfang ist eine spätere Verfügung von Todes wegen unwirksam, unbeschadet der Vorschrift des </w:t>
      </w:r>
      <w:hyperlink w:anchor="b2749" w:history="1">
        <w:r>
          <w:rPr>
            <w:color w:val="0A3A8C"/>
            <w:u w:val="single"/>
          </w:rPr>
          <w:t xml:space="preserve">§ 2297</w:t>
        </w:r>
      </w:hyperlink>
      <w:r>
        <w:t>.</w:t>
      </w:r>
    </w:p>
    <w:p>
      <w:r>
        <w:t xml:space="preserve">(2) Ist der Bedachte ein pflichtteilsberechtigter Abkömmling des Erblassers, so kann der Erblasser durch eine spätere letztwillige Verfügung die nach </w:t>
      </w:r>
      <w:hyperlink w:anchor="b2792" w:history="1">
        <w:r>
          <w:rPr>
            <w:color w:val="0A3A8C"/>
            <w:u w:val="single"/>
          </w:rPr>
          <w:t xml:space="preserve">§ 2338</w:t>
        </w:r>
      </w:hyperlink>
      <w:r>
        <w:t xml:space="preserve"> zulässigen Anordnungen treffen.</w:t>
      </w:r>
    </w:p>
    <w:p>
      <w:pPr>
        <w:pStyle w:val="Heading3"/>
      </w:pPr>
      <w:bookmarkStart w:id="2757" w:name="b2742"/>
      <w:r>
        <w:t>§ 2290 Aufhebung durch Vertrag</w:t>
      </w:r>
      <w:r>
        <w:t xml:space="preserve"> </w:t>
      </w:r>
      <w:r>
        <w:rPr>
          <w:rStyle w:val="Suchmarke"/>
        </w:rPr>
        <w:t>#2290#</w:t>
      </w:r>
      <w:bookmarkEnd w:id="2757"/>
    </w:p>
    <w:p>
      <w:r>
        <w:t xml:space="preserve">(1) </w:t>
      </w:r>
      <w:r>
        <w:rPr>
          <w:rStyle w:val="Satznummer"/>
        </w:rPr>
        <w:t>1</w:t>
      </w:r>
      <w:r>
        <w:t xml:space="preserve">Ein Erbvertrag sowie eine einzelne vertragsmäßige Verfügung kann durch Vertrag von den Personen aufgehoben werden, die den Erbvertrag geschlossen haben. </w:t>
      </w:r>
      <w:r>
        <w:rPr>
          <w:rStyle w:val="Satznummer"/>
        </w:rPr>
        <w:t>2</w:t>
      </w:r>
      <w:r>
        <w:t>Nach dem Tode einer dieser Personen kann die Aufhebung nicht mehr erfolgen.</w:t>
      </w:r>
    </w:p>
    <w:p>
      <w:r>
        <w:t>(2) Der Erblasser kann den Vertrag nur persönlich schließen.</w:t>
      </w:r>
    </w:p>
    <w:p>
      <w:r>
        <w:t xml:space="preserve">(3) Der Vertrag bedarf der in </w:t>
      </w:r>
      <w:hyperlink w:anchor="b2728" w:history="1">
        <w:r>
          <w:rPr>
            <w:color w:val="0A3A8C"/>
            <w:u w:val="single"/>
          </w:rPr>
          <w:t xml:space="preserve">§ 2276</w:t>
        </w:r>
      </w:hyperlink>
      <w:r>
        <w:t xml:space="preserve"> für den Erbvertrag vorgeschriebenen Form.</w:t>
      </w:r>
    </w:p>
    <w:p>
      <w:pPr>
        <w:pStyle w:val="Heading3"/>
      </w:pPr>
      <w:bookmarkStart w:id="2758" w:name="b2743"/>
      <w:r>
        <w:t>§ 2291 Aufhebung durch Testament</w:t>
      </w:r>
      <w:r>
        <w:t xml:space="preserve"> </w:t>
      </w:r>
      <w:r>
        <w:rPr>
          <w:rStyle w:val="Suchmarke"/>
        </w:rPr>
        <w:t>#2291#</w:t>
      </w:r>
      <w:bookmarkEnd w:id="2758"/>
    </w:p>
    <w:p>
      <w:r>
        <w:t xml:space="preserve">(1) </w:t>
      </w:r>
      <w:r>
        <w:rPr>
          <w:rStyle w:val="Satznummer"/>
        </w:rPr>
        <w:t>1</w:t>
      </w:r>
      <w:r>
        <w:t xml:space="preserve">Eine vertragsmäßige Verfügung, durch die ein Vermächtnis oder eine Auflage angeordnet sowie eine Rechtswahl getroffen ist, kann von dem Erblasser durch Testament aufgehoben werden. </w:t>
      </w:r>
      <w:r>
        <w:rPr>
          <w:rStyle w:val="Satznummer"/>
        </w:rPr>
        <w:t>2</w:t>
      </w:r>
      <w:r>
        <w:t>Zur Wirksamkeit der Aufhebung ist die Zustimmung des anderen Vertragschließenden erforderlich.</w:t>
      </w:r>
    </w:p>
    <w:p>
      <w:r>
        <w:t>(2) Die Zustimmungserklärung bedarf der notariellen Beurkundung; die Zustimmung ist unwiderruflich.</w:t>
      </w:r>
    </w:p>
    <w:p>
      <w:pPr>
        <w:pStyle w:val="Heading3"/>
      </w:pPr>
      <w:bookmarkStart w:id="2759" w:name="b2744"/>
      <w:r>
        <w:t>§ 2292 Aufhebung durch gemeinschaftliches Testament</w:t>
      </w:r>
      <w:r>
        <w:t xml:space="preserve"> </w:t>
      </w:r>
      <w:r>
        <w:rPr>
          <w:rStyle w:val="Suchmarke"/>
        </w:rPr>
        <w:t>#2292#</w:t>
      </w:r>
      <w:bookmarkEnd w:id="2759"/>
    </w:p>
    <w:p>
      <w:r>
        <w:t>Ein zwischen Ehegatten oder Lebenspartnern geschlossener Erbvertrag kann auch durch ein gemeinschaftliches Testament der Ehegatten oder Lebenspartner aufgehoben werden.</w:t>
      </w:r>
    </w:p>
    <w:p>
      <w:pPr>
        <w:pStyle w:val="Heading3"/>
      </w:pPr>
      <w:bookmarkStart w:id="2760" w:name="b2745"/>
      <w:r>
        <w:t>§ 2293 Rücktritt bei Vorbehalt</w:t>
      </w:r>
      <w:r>
        <w:t xml:space="preserve"> </w:t>
      </w:r>
      <w:r>
        <w:rPr>
          <w:rStyle w:val="Suchmarke"/>
        </w:rPr>
        <w:t>#2293#</w:t>
      </w:r>
      <w:bookmarkEnd w:id="2760"/>
    </w:p>
    <w:p>
      <w:r>
        <w:t>Der Erblasser kann von dem Erbvertrag zurücktreten, wenn er sich den Rücktritt im Vertrag vorbehalten hat.</w:t>
      </w:r>
    </w:p>
    <w:p>
      <w:pPr>
        <w:pStyle w:val="Heading3"/>
      </w:pPr>
      <w:bookmarkStart w:id="2761" w:name="b2746"/>
      <w:r>
        <w:t>§ 2294 Rücktritt bei Verfehlungen des Bedachten</w:t>
      </w:r>
      <w:r>
        <w:t xml:space="preserve"> </w:t>
      </w:r>
      <w:r>
        <w:rPr>
          <w:rStyle w:val="Suchmarke"/>
        </w:rPr>
        <w:t>#2294#</w:t>
      </w:r>
      <w:bookmarkEnd w:id="2761"/>
    </w:p>
    <w:p>
      <w:r>
        <w:t>Der Erblasser kann von einer vertragsmäßigen Verfügung zurücktreten, wenn sich der Bedachte einer Verfehlung schuldig macht, die den Erblasser zur Entziehung des Pflichtteils berechtigt oder, falls der Bedachte nicht zu den Pflichtteilsberechtigten gehört, zu der Entziehung berechtigen würde, wenn der Bedachte ein Abkömmling des Erblassers wäre.</w:t>
      </w:r>
    </w:p>
    <w:p>
      <w:pPr>
        <w:pStyle w:val="Heading3"/>
      </w:pPr>
      <w:bookmarkStart w:id="2762" w:name="b2747"/>
      <w:r>
        <w:t>§ 2295 Rücktritt bei Aufhebung der Gegenverpflichtung</w:t>
      </w:r>
      <w:r>
        <w:t xml:space="preserve"> </w:t>
      </w:r>
      <w:r>
        <w:rPr>
          <w:rStyle w:val="Suchmarke"/>
        </w:rPr>
        <w:t>#2295#</w:t>
      </w:r>
      <w:bookmarkEnd w:id="2762"/>
    </w:p>
    <w:p>
      <w:r>
        <w:t>Der Erblasser kann von einer vertragsmäßigen Verfügung zurücktreten, wenn die Verfügung mit Rücksicht auf eine rechtsgeschäftliche Verpflichtung des Bedachten, dem Erblasser für dessen Lebenszeit wiederkehrende Leistungen zu entrichten, insbesondere Unterhalt zu gewähren, getroffen ist und die Verpflichtung vor dem Tode des Erblassers aufgehoben wird.</w:t>
      </w:r>
    </w:p>
    <w:p>
      <w:pPr>
        <w:pStyle w:val="Heading3"/>
      </w:pPr>
      <w:bookmarkStart w:id="2763" w:name="b2748"/>
      <w:r>
        <w:t>§ 2296 Vertretung, Form des Rücktritts</w:t>
      </w:r>
      <w:r>
        <w:t xml:space="preserve"> </w:t>
      </w:r>
      <w:r>
        <w:rPr>
          <w:rStyle w:val="Suchmarke"/>
        </w:rPr>
        <w:t>#2296#</w:t>
      </w:r>
      <w:bookmarkEnd w:id="2763"/>
    </w:p>
    <w:p>
      <w:r>
        <w:t>(1) Der Rücktritt kann nicht durch einen Vertreter erfolgen.</w:t>
      </w:r>
    </w:p>
    <w:p>
      <w:r>
        <w:t xml:space="preserve">(2) </w:t>
      </w:r>
      <w:r>
        <w:rPr>
          <w:rStyle w:val="Satznummer"/>
        </w:rPr>
        <w:t>1</w:t>
      </w:r>
      <w:r>
        <w:t xml:space="preserve">Der Rücktritt erfolgt durch Erklärung gegenüber dem anderen Vertragschließenden. </w:t>
      </w:r>
      <w:r>
        <w:rPr>
          <w:rStyle w:val="Satznummer"/>
        </w:rPr>
        <w:t>2</w:t>
      </w:r>
      <w:r>
        <w:t>Die Erklärung bedarf der notariellen Beurkundung.</w:t>
      </w:r>
    </w:p>
    <w:p>
      <w:pPr>
        <w:pStyle w:val="Heading3"/>
      </w:pPr>
      <w:bookmarkStart w:id="2764" w:name="b2749"/>
      <w:r>
        <w:t>§ 2297 Rücktritt durch Testament</w:t>
      </w:r>
      <w:r>
        <w:t xml:space="preserve"> </w:t>
      </w:r>
      <w:r>
        <w:rPr>
          <w:rStyle w:val="Suchmarke"/>
        </w:rPr>
        <w:t>#2297#</w:t>
      </w:r>
      <w:bookmarkEnd w:id="2764"/>
    </w:p>
    <w:p>
      <w:r>
        <w:rPr>
          <w:rStyle w:val="Satznummer"/>
        </w:rPr>
        <w:t>1</w:t>
      </w:r>
      <w:r>
        <w:t xml:space="preserve">Soweit der Erblasser zum Rücktritt berechtigt ist, kann er nach dem Tode des anderen Vertragschließenden die vertragsmäßige Verfügung durch Testament aufheben. </w:t>
      </w:r>
      <w:r>
        <w:rPr>
          <w:rStyle w:val="Satznummer"/>
        </w:rPr>
        <w:t>2</w:t>
      </w:r>
      <w:r>
        <w:t xml:space="preserve">In den Fällen des </w:t>
      </w:r>
      <w:hyperlink w:anchor="b2746" w:history="1">
        <w:r>
          <w:rPr>
            <w:color w:val="0A3A8C"/>
            <w:u w:val="single"/>
          </w:rPr>
          <w:t xml:space="preserve">§ 2294</w:t>
        </w:r>
      </w:hyperlink>
      <w:r>
        <w:t xml:space="preserve"> findet die Vorschrift des </w:t>
      </w:r>
      <w:hyperlink w:anchor="b2790" w:history="1">
        <w:r>
          <w:rPr>
            <w:color w:val="0A3A8C"/>
            <w:u w:val="single"/>
          </w:rPr>
          <w:t xml:space="preserve">§ 2336</w:t>
        </w:r>
      </w:hyperlink>
      <w:r>
        <w:t xml:space="preserve"> Abs. 2 und 3 entsprechende Anwendung.</w:t>
      </w:r>
    </w:p>
    <w:p>
      <w:pPr>
        <w:pStyle w:val="Heading3"/>
      </w:pPr>
      <w:bookmarkStart w:id="2765" w:name="b2750"/>
      <w:r>
        <w:t>§ 2298 Gegenseitiger Erbvertrag</w:t>
      </w:r>
      <w:r>
        <w:t xml:space="preserve"> </w:t>
      </w:r>
      <w:r>
        <w:rPr>
          <w:rStyle w:val="Suchmarke"/>
        </w:rPr>
        <w:t>#2298#</w:t>
      </w:r>
      <w:bookmarkEnd w:id="2765"/>
    </w:p>
    <w:p>
      <w:r>
        <w:t>(1) Sind in einem Erbvertrag von beiden Teilen vertragsmäßige Verfügungen getroffen, so hat die Nichtigkeit einer dieser Verfügungen die Unwirksamkeit des ganzen Vertrags zur Folge.</w:t>
      </w:r>
    </w:p>
    <w:p>
      <w:r>
        <w:t xml:space="preserve">(2) </w:t>
      </w:r>
      <w:r>
        <w:rPr>
          <w:rStyle w:val="Satznummer"/>
        </w:rPr>
        <w:t>1</w:t>
      </w:r>
      <w:r>
        <w:t xml:space="preserve">Ist in einem solchen Vertrag der Rücktritt vorbehalten, so wird durch den Rücktritt eines der Vertragschließenden der ganze Vertrag aufgehoben. </w:t>
      </w:r>
      <w:r>
        <w:rPr>
          <w:rStyle w:val="Satznummer"/>
        </w:rPr>
        <w:t>2</w:t>
      </w:r>
      <w:r>
        <w:t xml:space="preserve">Das Rücktrittsrecht erlischt mit dem Tode des anderen Vertragschließenden. </w:t>
      </w:r>
      <w:r>
        <w:rPr>
          <w:rStyle w:val="Satznummer"/>
        </w:rPr>
        <w:t>3</w:t>
      </w:r>
      <w:r>
        <w:t>Der Überlebende kann jedoch, wenn er das ihm durch den Vertrag Zugewendete ausschlägt, seine Verfügung durch Testament aufheben.</w:t>
      </w:r>
    </w:p>
    <w:p>
      <w:r>
        <w:t>(3) Die Vorschriften des Absatzes 1 und des Absatzes 2 Sätze 1 und 2 finden keine Anwendung, wenn ein anderer Wille der Vertragschließenden anzunehmen ist.</w:t>
      </w:r>
    </w:p>
    <w:p>
      <w:pPr>
        <w:pStyle w:val="Heading3"/>
      </w:pPr>
      <w:bookmarkStart w:id="2766" w:name="b2751"/>
      <w:r>
        <w:t>§ 2299 Einseitige Verfügungen</w:t>
      </w:r>
      <w:r>
        <w:t xml:space="preserve"> </w:t>
      </w:r>
      <w:r>
        <w:rPr>
          <w:rStyle w:val="Suchmarke"/>
        </w:rPr>
        <w:t>#2299#</w:t>
      </w:r>
      <w:bookmarkEnd w:id="2766"/>
    </w:p>
    <w:p>
      <w:r>
        <w:t>(1) Jeder der Vertragschließenden kann in dem Erbvertrag einseitig jede Verfügung treffen, die durch Testament getroffen werden kann.</w:t>
      </w:r>
    </w:p>
    <w:p>
      <w:r>
        <w:t xml:space="preserve">(2) </w:t>
      </w:r>
      <w:r>
        <w:rPr>
          <w:rStyle w:val="Satznummer"/>
        </w:rPr>
        <w:t>1</w:t>
      </w:r>
      <w:r>
        <w:t xml:space="preserve">Für eine Verfügung dieser Art gilt das Gleiche, wie wenn sie durch Testament getroffen worden wäre. </w:t>
      </w:r>
      <w:r>
        <w:rPr>
          <w:rStyle w:val="Satznummer"/>
        </w:rPr>
        <w:t>2</w:t>
      </w:r>
      <w:r>
        <w:t>Die Verfügung kann auch in einem Vertrag aufgehoben werden, durch den eine vertragsmäßige Verfügung aufgehoben wird.</w:t>
      </w:r>
    </w:p>
    <w:p>
      <w:r>
        <w:t>(3) Wird der Erbvertrag durch Ausübung des Rücktrittsrechts oder durch Vertrag aufgehoben, so tritt die Verfügung außer Kraft, sofern nicht ein anderer Wille des Erblassers anzunehmen ist.</w:t>
      </w:r>
    </w:p>
    <w:p>
      <w:pPr>
        <w:pStyle w:val="Heading3"/>
      </w:pPr>
      <w:bookmarkStart w:id="2767" w:name="b2752"/>
      <w:r>
        <w:t>§ 2300 Anwendung der §§ 2259 und 2263; Rücknahme aus der amtlichen oder notariellen Verwahrung</w:t>
      </w:r>
      <w:r>
        <w:t xml:space="preserve"> </w:t>
      </w:r>
      <w:r>
        <w:rPr>
          <w:rStyle w:val="Suchmarke"/>
        </w:rPr>
        <w:t>#2300#</w:t>
      </w:r>
      <w:bookmarkEnd w:id="2767"/>
    </w:p>
    <w:p>
      <w:r>
        <w:t xml:space="preserve">(1) Die </w:t>
      </w:r>
      <w:hyperlink w:anchor="b2709" w:history="1">
        <w:r>
          <w:rPr>
            <w:color w:val="0A3A8C"/>
            <w:u w:val="single"/>
          </w:rPr>
          <w:t xml:space="preserve">§§ 2259</w:t>
        </w:r>
      </w:hyperlink>
      <w:r>
        <w:t xml:space="preserve"> und </w:t>
      </w:r>
      <w:hyperlink w:anchor="b2713" w:history="1">
        <w:r>
          <w:rPr>
            <w:color w:val="0A3A8C"/>
            <w:u w:val="single"/>
          </w:rPr>
          <w:t xml:space="preserve">2263</w:t>
        </w:r>
      </w:hyperlink>
      <w:r>
        <w:t xml:space="preserve"> sind auf den Erbvertrag entsprechend anzuwenden.</w:t>
      </w:r>
    </w:p>
    <w:p>
      <w:r>
        <w:t xml:space="preserve">(2) </w:t>
      </w:r>
      <w:r>
        <w:rPr>
          <w:rStyle w:val="Satznummer"/>
        </w:rPr>
        <w:t>1</w:t>
      </w:r>
      <w:r>
        <w:t xml:space="preserve">Ein Erbvertrag, der nur Verfügungen von Todes wegen enthält, kann aus der amtlichen oder notariellen Verwahrung zurückgenommen und den Vertragsschließenden zurückgegeben werden. </w:t>
      </w:r>
      <w:r>
        <w:rPr>
          <w:rStyle w:val="Satznummer"/>
        </w:rPr>
        <w:t>2</w:t>
      </w:r>
      <w:r>
        <w:t xml:space="preserve">Die Rückgabe kann nur an alle Vertragsschließenden gemeinschaftlich erfolgen; </w:t>
      </w:r>
      <w:hyperlink w:anchor="b2742" w:history="1">
        <w:r>
          <w:rPr>
            <w:color w:val="0A3A8C"/>
            <w:u w:val="single"/>
          </w:rPr>
          <w:t xml:space="preserve">§ 2290</w:t>
        </w:r>
      </w:hyperlink>
      <w:r>
        <w:t xml:space="preserve"> Absatz 1 Satz 2 und Absatz 2 gilt entsprechend. </w:t>
      </w:r>
      <w:r>
        <w:rPr>
          <w:rStyle w:val="Satznummer"/>
        </w:rPr>
        <w:t>3</w:t>
      </w:r>
      <w:r>
        <w:t xml:space="preserve">Wird ein Erbvertrag nach den Sätzen 1 und 2 zurückgenommen, gilt </w:t>
      </w:r>
      <w:hyperlink w:anchor="b2705" w:history="1">
        <w:r>
          <w:rPr>
            <w:color w:val="0A3A8C"/>
            <w:u w:val="single"/>
          </w:rPr>
          <w:t xml:space="preserve">§ 2256</w:t>
        </w:r>
      </w:hyperlink>
      <w:r>
        <w:t xml:space="preserve"> Abs. 1 entsprechend.</w:t>
      </w:r>
    </w:p>
    <w:p>
      <w:pPr>
        <w:pStyle w:val="Heading3"/>
      </w:pPr>
      <w:bookmarkStart w:id="2768" w:name="b2753"/>
      <w:r>
        <w:t>§ 2301 Schenkungsversprechen von Todes wegen</w:t>
      </w:r>
      <w:r>
        <w:t xml:space="preserve"> </w:t>
      </w:r>
      <w:r>
        <w:rPr>
          <w:rStyle w:val="Suchmarke"/>
        </w:rPr>
        <w:t>#2301#</w:t>
      </w:r>
      <w:bookmarkEnd w:id="2768"/>
    </w:p>
    <w:p>
      <w:r>
        <w:t xml:space="preserve">(1) </w:t>
      </w:r>
      <w:r>
        <w:rPr>
          <w:rStyle w:val="Satznummer"/>
        </w:rPr>
        <w:t>1</w:t>
      </w:r>
      <w:r>
        <w:t xml:space="preserve">Auf ein Schenkungsversprechen, welches unter der Bedingung erteilt wird, dass der Beschenkte den Schenker überlebt, finden die Vorschriften über Verfügungen von Todes wegen Anwendung. </w:t>
      </w:r>
      <w:r>
        <w:rPr>
          <w:rStyle w:val="Satznummer"/>
        </w:rPr>
        <w:t>2</w:t>
      </w:r>
      <w:r>
        <w:t xml:space="preserve">Das Gleiche gilt für ein schenkweise unter dieser Bedingung erteiltes Schuldversprechen oder Schuldanerkenntnis der in den </w:t>
      </w:r>
      <w:hyperlink w:anchor="b1229" w:history="1">
        <w:r>
          <w:rPr>
            <w:color w:val="0A3A8C"/>
            <w:u w:val="single"/>
          </w:rPr>
          <w:t xml:space="preserve">§§ 780</w:t>
        </w:r>
      </w:hyperlink>
      <w:r>
        <w:t xml:space="preserve">, </w:t>
      </w:r>
      <w:hyperlink w:anchor="b1230" w:history="1">
        <w:r>
          <w:rPr>
            <w:color w:val="0A3A8C"/>
            <w:u w:val="single"/>
          </w:rPr>
          <w:t xml:space="preserve">781</w:t>
        </w:r>
      </w:hyperlink>
      <w:r>
        <w:t xml:space="preserve"> bezeichneten Art.</w:t>
      </w:r>
    </w:p>
    <w:p>
      <w:r>
        <w:t>(2) Vollzieht der Schenker die Schenkung durch Leistung des zugewendeten Gegenstands, so finden die Vorschriften über Schenkungen unter Lebenden Anwendung.</w:t>
      </w:r>
    </w:p>
    <w:p>
      <w:pPr>
        <w:pStyle w:val="Heading3"/>
      </w:pPr>
      <w:bookmarkStart w:id="2769" w:name="b2754"/>
      <w:r>
        <w:t>§ 2302 Unbeschränkbare Testierfreiheit</w:t>
      </w:r>
      <w:r>
        <w:t xml:space="preserve"> </w:t>
      </w:r>
      <w:r>
        <w:rPr>
          <w:rStyle w:val="Suchmarke"/>
        </w:rPr>
        <w:t>#2302#</w:t>
      </w:r>
      <w:bookmarkEnd w:id="2769"/>
    </w:p>
    <w:p>
      <w:r>
        <w:t>Ein Vertrag, durch den sich jemand verpflichtet, eine Verfügung von Todes wegen zu errichten oder nicht zu errichten, aufzuheben oder nicht aufzuheben, ist nichtig.</w:t>
      </w:r>
    </w:p>
    <w:p>
      <w:pPr>
        <w:pStyle w:val="Heading2"/>
      </w:pPr>
      <w:bookmarkStart w:id="2770" w:name="b2755"/>
      <w:r>
        <w:t>Abschnitt 5 Pflichtteil</w:t>
      </w:r>
      <w:bookmarkEnd w:id="2770"/>
    </w:p>
    <w:p>
      <w:pPr>
        <w:pStyle w:val="Heading3"/>
      </w:pPr>
      <w:bookmarkStart w:id="2771" w:name="b2756"/>
      <w:r>
        <w:t>§ 2303 Pflichtteilsberechtigte; Höhe des Pflichtteils</w:t>
      </w:r>
      <w:r>
        <w:t xml:space="preserve"> </w:t>
      </w:r>
      <w:r>
        <w:rPr>
          <w:rStyle w:val="Suchmarke"/>
        </w:rPr>
        <w:t>#2303#</w:t>
      </w:r>
      <w:bookmarkEnd w:id="2771"/>
    </w:p>
    <w:p>
      <w:r>
        <w:t xml:space="preserve">(1) </w:t>
      </w:r>
      <w:r>
        <w:rPr>
          <w:rStyle w:val="Satznummer"/>
        </w:rPr>
        <w:t>1</w:t>
      </w:r>
      <w:r>
        <w:t xml:space="preserve">Ist ein Abkömmling des Erblassers durch Verfügung von Todes wegen von der Erbfolge ausgeschlossen, so kann er von dem Erben den Pflichtteil verlangen. </w:t>
      </w:r>
      <w:r>
        <w:rPr>
          <w:rStyle w:val="Satznummer"/>
        </w:rPr>
        <w:t>2</w:t>
      </w:r>
      <w:r>
        <w:t>Der Pflichtteil besteht in der Hälfte des Wertes des gesetzlichen Erbteils.</w:t>
      </w:r>
    </w:p>
    <w:p>
      <w:r>
        <w:t xml:space="preserve">(2) </w:t>
      </w:r>
      <w:r>
        <w:rPr>
          <w:rStyle w:val="Satznummer"/>
        </w:rPr>
        <w:t>1</w:t>
      </w:r>
      <w:r>
        <w:t xml:space="preserve">Das gleiche Recht steht den Eltern und dem Ehegatten des Erblassers zu, wenn sie durch Verfügung von Todes wegen von der Erbfolge ausgeschlossen sind. </w:t>
      </w:r>
      <w:r>
        <w:rPr>
          <w:rStyle w:val="Satznummer"/>
        </w:rPr>
        <w:t>2</w:t>
      </w:r>
      <w:r>
        <w:t xml:space="preserve">Die Vorschrift des </w:t>
      </w:r>
      <w:hyperlink w:anchor="b1839" w:history="1">
        <w:r>
          <w:rPr>
            <w:color w:val="0A3A8C"/>
            <w:u w:val="single"/>
          </w:rPr>
          <w:t xml:space="preserve">§ 1371</w:t>
        </w:r>
      </w:hyperlink>
      <w:r>
        <w:t xml:space="preserve"> bleibt unberührt.</w:t>
      </w:r>
    </w:p>
    <w:p>
      <w:pPr>
        <w:pStyle w:val="Heading3"/>
      </w:pPr>
      <w:bookmarkStart w:id="2772" w:name="b2757"/>
      <w:r>
        <w:t>§ 2304 Auslegungsregel</w:t>
      </w:r>
      <w:r>
        <w:t xml:space="preserve"> </w:t>
      </w:r>
      <w:r>
        <w:rPr>
          <w:rStyle w:val="Suchmarke"/>
        </w:rPr>
        <w:t>#2304#</w:t>
      </w:r>
      <w:bookmarkEnd w:id="2772"/>
    </w:p>
    <w:p>
      <w:r>
        <w:t>Die Zuwendung des Pflichtteils ist im Zweifel nicht als Erbeinsetzung anzusehen.</w:t>
      </w:r>
    </w:p>
    <w:p>
      <w:pPr>
        <w:pStyle w:val="Heading3"/>
      </w:pPr>
      <w:bookmarkStart w:id="2773" w:name="b2758"/>
      <w:r>
        <w:t>§ 2305 Zusatzpflichtteil</w:t>
      </w:r>
      <w:r>
        <w:t xml:space="preserve"> </w:t>
      </w:r>
      <w:r>
        <w:rPr>
          <w:rStyle w:val="Suchmarke"/>
        </w:rPr>
        <w:t>#2305#</w:t>
      </w:r>
      <w:bookmarkEnd w:id="2773"/>
    </w:p>
    <w:p>
      <w:r>
        <w:rPr>
          <w:rStyle w:val="Satznummer"/>
        </w:rPr>
        <w:t>1</w:t>
      </w:r>
      <w:r>
        <w:t xml:space="preserve">Ist einem Pflichtteilsberechtigten ein Erbteil hinterlassen, der geringer ist als die Hälfte des gesetzlichen Erbteils, so kann der Pflichtteilsberechtigte von den Miterben als Pflichtteil den Wert des an der Hälfte fehlenden Teils verlangen. </w:t>
      </w:r>
      <w:r>
        <w:rPr>
          <w:rStyle w:val="Satznummer"/>
        </w:rPr>
        <w:t>2</w:t>
      </w:r>
      <w:r>
        <w:t xml:space="preserve">Bei der Berechnung des Wertes bleiben Beschränkungen und Beschwerungen der in </w:t>
      </w:r>
      <w:hyperlink w:anchor="b2759" w:history="1">
        <w:r>
          <w:rPr>
            <w:color w:val="0A3A8C"/>
            <w:u w:val="single"/>
          </w:rPr>
          <w:t xml:space="preserve">§ 2306</w:t>
        </w:r>
      </w:hyperlink>
      <w:r>
        <w:t xml:space="preserve"> bezeichneten Art außer Betracht.</w:t>
      </w:r>
    </w:p>
    <w:p>
      <w:pPr>
        <w:pStyle w:val="Heading3"/>
      </w:pPr>
      <w:bookmarkStart w:id="2774" w:name="b2759"/>
      <w:r>
        <w:t>§ 2306 Beschränkungen und Beschwerungen</w:t>
      </w:r>
      <w:r>
        <w:t xml:space="preserve"> </w:t>
      </w:r>
      <w:r>
        <w:rPr>
          <w:rStyle w:val="Suchmarke"/>
        </w:rPr>
        <w:t>#2306#</w:t>
      </w:r>
      <w:bookmarkEnd w:id="2774"/>
    </w:p>
    <w:p>
      <w:r>
        <w:t>(1) Ist ein als Erbe berufener Pflichtteilsberechtigter durch die Einsetzung eines Nacherben, die Ernennung eines Testamentsvollstreckers oder eine Teilungsanordnung beschränkt oder ist er mit einem Vermächtnis oder einer Auflage beschwert, so kann er den Pflichtteil verlangen, wenn er den Erbteil ausschlägt; die Ausschlagungsfrist beginnt erst, wenn der Pflichtteilsberechtigte von der Beschränkung oder der Beschwerung Kenntnis erlangt.</w:t>
      </w:r>
    </w:p>
    <w:p>
      <w:r>
        <w:t>(2) Einer Beschränkung der Erbeinsetzung steht es gleich, wenn der Pflichtteilsberechtigte als Nacherbe eingesetzt ist.</w:t>
      </w:r>
    </w:p>
    <w:p>
      <w:pPr>
        <w:pStyle w:val="Heading3"/>
      </w:pPr>
      <w:bookmarkStart w:id="2775" w:name="b2760"/>
      <w:r>
        <w:t>§ 2307 Zuwendung eines Vermächtnisses</w:t>
      </w:r>
      <w:r>
        <w:t xml:space="preserve"> </w:t>
      </w:r>
      <w:r>
        <w:rPr>
          <w:rStyle w:val="Suchmarke"/>
        </w:rPr>
        <w:t>#2307#</w:t>
      </w:r>
      <w:bookmarkEnd w:id="2775"/>
    </w:p>
    <w:p>
      <w:r>
        <w:t xml:space="preserve">(1) </w:t>
      </w:r>
      <w:r>
        <w:rPr>
          <w:rStyle w:val="Satznummer"/>
        </w:rPr>
        <w:t>1</w:t>
      </w:r>
      <w:r>
        <w:t xml:space="preserve">Ist ein Pflichtteilsberechtigter mit einem Vermächtnis bedacht, so kann er den Pflichtteil verlangen, wenn er das Vermächtnis ausschlägt. </w:t>
      </w:r>
      <w:r>
        <w:rPr>
          <w:rStyle w:val="Satznummer"/>
        </w:rPr>
        <w:t>2</w:t>
      </w:r>
      <w:r>
        <w:t xml:space="preserve">Schlägt er nicht aus, so steht ihm ein Recht auf den Pflichtteil nicht zu, soweit der Wert des Vermächtnisses reicht; bei der Berechnung des Wertes bleiben Beschränkungen und Beschwerungen der in </w:t>
      </w:r>
      <w:hyperlink w:anchor="b2759" w:history="1">
        <w:r>
          <w:rPr>
            <w:color w:val="0A3A8C"/>
            <w:u w:val="single"/>
          </w:rPr>
          <w:t xml:space="preserve">§ 2306</w:t>
        </w:r>
      </w:hyperlink>
      <w:r>
        <w:t xml:space="preserve"> bezeichneten Art außer Betracht.</w:t>
      </w:r>
    </w:p>
    <w:p>
      <w:r>
        <w:t xml:space="preserve">(2) </w:t>
      </w:r>
      <w:r>
        <w:rPr>
          <w:rStyle w:val="Satznummer"/>
        </w:rPr>
        <w:t>1</w:t>
      </w:r>
      <w:r>
        <w:t xml:space="preserve">Der mit dem Vermächtnis beschwerte Erbe kann den Pflichtteilsberechtigten unter Bestimmung einer angemessenen Frist zur Erklärung über die Annahme des Vermächtnisses auffordern. </w:t>
      </w:r>
      <w:r>
        <w:rPr>
          <w:rStyle w:val="Satznummer"/>
        </w:rPr>
        <w:t>2</w:t>
      </w:r>
      <w:r>
        <w:t>Mit dem Ablauf der Frist gilt das Vermächtnis als ausgeschlagen, wenn nicht vorher die Annahme erklärt wird.</w:t>
      </w:r>
    </w:p>
    <w:p>
      <w:pPr>
        <w:pStyle w:val="Heading3"/>
      </w:pPr>
      <w:bookmarkStart w:id="2776" w:name="b2761"/>
      <w:r>
        <w:t>§ 2308 Anfechtung der Ausschlagung</w:t>
      </w:r>
      <w:r>
        <w:t xml:space="preserve"> </w:t>
      </w:r>
      <w:r>
        <w:rPr>
          <w:rStyle w:val="Suchmarke"/>
        </w:rPr>
        <w:t>#2308#</w:t>
      </w:r>
      <w:bookmarkEnd w:id="2776"/>
    </w:p>
    <w:p>
      <w:r>
        <w:t xml:space="preserve">(1) Hat ein Pflichtteilsberechtigter, der als Erbe oder als Vermächtnisnehmer in der in </w:t>
      </w:r>
      <w:hyperlink w:anchor="b2759" w:history="1">
        <w:r>
          <w:rPr>
            <w:color w:val="0A3A8C"/>
            <w:u w:val="single"/>
          </w:rPr>
          <w:t xml:space="preserve">§ 2306</w:t>
        </w:r>
      </w:hyperlink>
      <w:r>
        <w:t xml:space="preserve"> bezeichneten Art beschränkt oder beschwert ist, die Erbschaft oder das Vermächtnis ausgeschlagen, so kann er die Ausschlagung anfechten, wenn die Beschränkung oder die Beschwerung zur Zeit der Ausschlagung weggefallen und der Wegfall ihm nicht bekannt war.</w:t>
      </w:r>
    </w:p>
    <w:p>
      <w:r>
        <w:t xml:space="preserve">(2) </w:t>
      </w:r>
      <w:r>
        <w:rPr>
          <w:rStyle w:val="Satznummer"/>
        </w:rPr>
        <w:t>1</w:t>
      </w:r>
      <w:r>
        <w:t xml:space="preserve">Auf die Anfechtung der Ausschlagung eines Vermächtnisses finden die für die Anfechtung der Ausschlagung einer Erbschaft geltenden Vorschriften entsprechende Anwendung. </w:t>
      </w:r>
      <w:r>
        <w:rPr>
          <w:rStyle w:val="Satznummer"/>
        </w:rPr>
        <w:t>2</w:t>
      </w:r>
      <w:r>
        <w:t>Die Anfechtung erfolgt durch Erklärung gegenüber dem Beschwerten.</w:t>
      </w:r>
    </w:p>
    <w:p>
      <w:pPr>
        <w:pStyle w:val="Heading3"/>
      </w:pPr>
      <w:bookmarkStart w:id="2777" w:name="b2762"/>
      <w:r>
        <w:t>§ 2309 Pflichtteilsrecht der Eltern und entfernteren Abkömmlinge</w:t>
      </w:r>
      <w:r>
        <w:t xml:space="preserve"> </w:t>
      </w:r>
      <w:r>
        <w:rPr>
          <w:rStyle w:val="Suchmarke"/>
        </w:rPr>
        <w:t>#2309#</w:t>
      </w:r>
      <w:bookmarkEnd w:id="2777"/>
    </w:p>
    <w:p>
      <w:r>
        <w:t>Entferntere Abkömmlinge und die Eltern des Erblassers sind insoweit nicht pflichtteilsberechtigt, als ein Abkömmling, der sie im Falle der gesetzlichen Erbfolge ausschließen würde, den Pflichtteil verlangen kann oder das ihm Hinterlassene annimmt.</w:t>
      </w:r>
    </w:p>
    <w:p>
      <w:pPr>
        <w:pStyle w:val="Heading3"/>
      </w:pPr>
      <w:bookmarkStart w:id="2778" w:name="b2763"/>
      <w:r>
        <w:t>§ 2310 Feststellung des Erbteils für die Berechnung des Pflichtteils</w:t>
      </w:r>
      <w:r>
        <w:t xml:space="preserve"> </w:t>
      </w:r>
      <w:r>
        <w:rPr>
          <w:rStyle w:val="Suchmarke"/>
        </w:rPr>
        <w:t>#2310#</w:t>
      </w:r>
      <w:bookmarkEnd w:id="2778"/>
    </w:p>
    <w:p>
      <w:r>
        <w:rPr>
          <w:rStyle w:val="Satznummer"/>
        </w:rPr>
        <w:t>1</w:t>
      </w:r>
      <w:r>
        <w:t xml:space="preserve">Bei der Feststellung des für die Berechnung des Pflichtteils maßgebenden Erbteils werden diejenigen mitgezählt, welche durch letztwillige Verfügung von der Erbfolge ausgeschlossen sind oder die Erbschaft ausgeschlagen haben oder für erbunwürdig erklärt sind. </w:t>
      </w:r>
      <w:r>
        <w:rPr>
          <w:rStyle w:val="Satznummer"/>
        </w:rPr>
        <w:t>2</w:t>
      </w:r>
      <w:r>
        <w:t>Wer durch Erbverzicht von der gesetzlichen Erbfolge ausgeschlossen ist, wird nicht mitgezählt.</w:t>
      </w:r>
    </w:p>
    <w:p>
      <w:pPr>
        <w:pStyle w:val="Heading3"/>
      </w:pPr>
      <w:bookmarkStart w:id="2779" w:name="b2764"/>
      <w:r>
        <w:t>§ 2311 Wert des Nachlasses</w:t>
      </w:r>
      <w:r>
        <w:t xml:space="preserve"> </w:t>
      </w:r>
      <w:r>
        <w:rPr>
          <w:rStyle w:val="Suchmarke"/>
        </w:rPr>
        <w:t>#2311#</w:t>
      </w:r>
      <w:bookmarkEnd w:id="2779"/>
    </w:p>
    <w:p>
      <w:r>
        <w:t xml:space="preserve">(1) </w:t>
      </w:r>
      <w:r>
        <w:rPr>
          <w:rStyle w:val="Satznummer"/>
        </w:rPr>
        <w:t>1</w:t>
      </w:r>
      <w:r>
        <w:t xml:space="preserve">Der Berechnung des Pflichtteils wird der Bestand und der Wert des Nachlasses zur Zeit des Erbfalls zugrunde gelegt. </w:t>
      </w:r>
      <w:r>
        <w:rPr>
          <w:rStyle w:val="Satznummer"/>
        </w:rPr>
        <w:t>2</w:t>
      </w:r>
      <w:r>
        <w:t>Bei der Berechnung des Pflichtteils eines Abkömmlings und der Eltern des Erblassers bleibt der dem überlebenden Ehegatten gebührende Voraus außer Ansatz.</w:t>
      </w:r>
    </w:p>
    <w:p>
      <w:r>
        <w:t xml:space="preserve">(2) </w:t>
      </w:r>
      <w:r>
        <w:rPr>
          <w:rStyle w:val="Satznummer"/>
        </w:rPr>
        <w:t>1</w:t>
      </w:r>
      <w:r>
        <w:t xml:space="preserve">Der Wert ist, soweit erforderlich, durch Schätzung zu ermitteln. </w:t>
      </w:r>
      <w:r>
        <w:rPr>
          <w:rStyle w:val="Satznummer"/>
        </w:rPr>
        <w:t>2</w:t>
      </w:r>
      <w:r>
        <w:t>Eine vom Erblasser getroffene Wertbestimmung ist nicht maßgebend.</w:t>
      </w:r>
    </w:p>
    <w:p>
      <w:pPr>
        <w:pStyle w:val="Heading3"/>
      </w:pPr>
      <w:bookmarkStart w:id="2780" w:name="b2765"/>
      <w:r>
        <w:t>§ 2312 Wert eines Landguts</w:t>
      </w:r>
      <w:r>
        <w:t xml:space="preserve"> </w:t>
      </w:r>
      <w:r>
        <w:rPr>
          <w:rStyle w:val="Suchmarke"/>
        </w:rPr>
        <w:t>#2312#</w:t>
      </w:r>
      <w:bookmarkEnd w:id="2780"/>
    </w:p>
    <w:p>
      <w:r>
        <w:t xml:space="preserve">(1) </w:t>
      </w:r>
      <w:r>
        <w:rPr>
          <w:rStyle w:val="Satznummer"/>
        </w:rPr>
        <w:t>1</w:t>
      </w:r>
      <w:r>
        <w:t xml:space="preserve">Hat der Erblasser angeordnet oder ist nach </w:t>
      </w:r>
      <w:hyperlink w:anchor="b2499" w:history="1">
        <w:r>
          <w:rPr>
            <w:color w:val="0A3A8C"/>
            <w:u w:val="single"/>
          </w:rPr>
          <w:t xml:space="preserve">§ 2049</w:t>
        </w:r>
      </w:hyperlink>
      <w:r>
        <w:t xml:space="preserve"> anzunehmen, dass einer von mehreren Erben das Recht haben soll, ein zum Nachlass gehörendes Landgut zu dem Ertragswert zu übernehmen, so ist, wenn von dem Recht Gebrauch gemacht wird, der Ertragswert auch für die Berechnung des Pflichtteils maßgebend. </w:t>
      </w:r>
      <w:r>
        <w:rPr>
          <w:rStyle w:val="Satznummer"/>
        </w:rPr>
        <w:t>2</w:t>
      </w:r>
      <w:r>
        <w:t>Hat der Erblasser einen anderen Übernahmepreis bestimmt, so ist dieser maßgebend, wenn er den Ertragswert erreicht und den Schätzungswert nicht übersteigt.</w:t>
      </w:r>
    </w:p>
    <w:p>
      <w:r>
        <w:t>(2) Hinterlässt der Erblasser nur einen Erben, so kann er anordnen, dass der Berechnung des Pflichtteils der Ertragswert oder ein nach Absatz 1 Satz 2 bestimmter Wert zugrunde gelegt werden soll.</w:t>
      </w:r>
    </w:p>
    <w:p>
      <w:r>
        <w:t xml:space="preserve">(3) Diese Vorschriften finden nur Anwendung, wenn der Erbe, der das Landgut erwirbt, zu den in </w:t>
      </w:r>
      <w:hyperlink w:anchor="b2756" w:history="1">
        <w:r>
          <w:rPr>
            <w:color w:val="0A3A8C"/>
            <w:u w:val="single"/>
          </w:rPr>
          <w:t xml:space="preserve">§ 2303</w:t>
        </w:r>
      </w:hyperlink>
      <w:r>
        <w:t xml:space="preserve"> bezeichneten pflichtteilsberechtigten Personen gehört.</w:t>
      </w:r>
    </w:p>
    <w:p>
      <w:pPr>
        <w:pStyle w:val="Heading3"/>
      </w:pPr>
      <w:bookmarkStart w:id="2781" w:name="b2766"/>
      <w:r>
        <w:t>§ 2313 Ansatz bedingter, ungewisser oder unsicherer Rechte; Feststellungspflicht des Erben</w:t>
      </w:r>
      <w:r>
        <w:t xml:space="preserve"> </w:t>
      </w:r>
      <w:r>
        <w:rPr>
          <w:rStyle w:val="Suchmarke"/>
        </w:rPr>
        <w:t>#2313#</w:t>
      </w:r>
      <w:bookmarkEnd w:id="2781"/>
    </w:p>
    <w:p>
      <w:r>
        <w:t xml:space="preserve">(1) </w:t>
      </w:r>
      <w:r>
        <w:rPr>
          <w:rStyle w:val="Satznummer"/>
        </w:rPr>
        <w:t>1</w:t>
      </w:r>
      <w:r>
        <w:t xml:space="preserve">Bei der Feststellung des Wertes des Nachlasses bleiben Rechte und Verbindlichkeiten, die von einer aufschiebenden Bedingung abhängig sind, außer Ansatz. </w:t>
      </w:r>
      <w:r>
        <w:rPr>
          <w:rStyle w:val="Satznummer"/>
        </w:rPr>
        <w:t>2</w:t>
      </w:r>
      <w:r>
        <w:t xml:space="preserve">Rechte und Verbindlichkeiten, die von einer auflösenden Bedingung abhängig sind, kommen als unbedingte in Ansatz. </w:t>
      </w:r>
      <w:r>
        <w:rPr>
          <w:rStyle w:val="Satznummer"/>
        </w:rPr>
        <w:t>3</w:t>
      </w:r>
      <w:r>
        <w:t>Tritt die Bedingung ein, so hat die der veränderten Rechtslage entsprechende Ausgleichung zu erfolgen.</w:t>
      </w:r>
    </w:p>
    <w:p>
      <w:r>
        <w:t xml:space="preserve">(2) </w:t>
      </w:r>
      <w:r>
        <w:rPr>
          <w:rStyle w:val="Satznummer"/>
        </w:rPr>
        <w:t>1</w:t>
      </w:r>
      <w:r>
        <w:t xml:space="preserve">Für ungewisse oder unsichere Rechte sowie für zweifelhafte Verbindlichkeiten gilt das Gleiche wie für Rechte und Verbindlichkeiten, die von einer aufschiebenden Bedingung abhängig sind. </w:t>
      </w:r>
      <w:r>
        <w:rPr>
          <w:rStyle w:val="Satznummer"/>
        </w:rPr>
        <w:t>2</w:t>
      </w:r>
      <w:r>
        <w:t>Der Erbe ist dem Pflichtteilsberechtigten gegenüber verpflichtet, für die Feststellung eines ungewissen und für die Verfolgung eines unsicheren Rechts zu sorgen, soweit es einer ordnungsmäßigen Verwaltung entspricht.</w:t>
      </w:r>
    </w:p>
    <w:p>
      <w:pPr>
        <w:pStyle w:val="Heading3"/>
      </w:pPr>
      <w:bookmarkStart w:id="2782" w:name="b2767"/>
      <w:r>
        <w:t>§ 2314 Auskunftspflicht des Erben</w:t>
      </w:r>
      <w:r>
        <w:t xml:space="preserve"> </w:t>
      </w:r>
      <w:r>
        <w:rPr>
          <w:rStyle w:val="Suchmarke"/>
        </w:rPr>
        <w:t>#2314#</w:t>
      </w:r>
      <w:bookmarkEnd w:id="2782"/>
    </w:p>
    <w:p>
      <w:r>
        <w:t xml:space="preserve">(1) </w:t>
      </w:r>
      <w:r>
        <w:rPr>
          <w:rStyle w:val="Satznummer"/>
        </w:rPr>
        <w:t>1</w:t>
      </w:r>
      <w:r>
        <w:t xml:space="preserve">Ist der Pflichtteilsberechtigte nicht Erbe, so hat ihm der Erbe auf Verlangen über den Bestand des Nachlasses Auskunft zu erteilen. </w:t>
      </w:r>
      <w:r>
        <w:rPr>
          <w:rStyle w:val="Satznummer"/>
        </w:rPr>
        <w:t>2</w:t>
      </w:r>
      <w:r>
        <w:t xml:space="preserve">Der Pflichtteilsberechtigte kann verlangen, dass er bei der Aufnahme des ihm nach </w:t>
      </w:r>
      <w:hyperlink w:anchor="b302" w:history="1">
        <w:r>
          <w:rPr>
            <w:color w:val="0A3A8C"/>
            <w:u w:val="single"/>
          </w:rPr>
          <w:t xml:space="preserve">§ 260</w:t>
        </w:r>
      </w:hyperlink>
      <w:r>
        <w:t xml:space="preserve"> vorzulegenden Verzeichnisses der Nachlassgegenstände zugezogen und dass der Wert der Nachlassgegenstände ermittelt wird. </w:t>
      </w:r>
      <w:r>
        <w:rPr>
          <w:rStyle w:val="Satznummer"/>
        </w:rPr>
        <w:t>3</w:t>
      </w:r>
      <w:r>
        <w:t>Er kann auch verlangen, dass das Verzeichnis durch die zuständige Behörde oder durch einen zuständigen Beamten oder Notar aufgenommen wird.</w:t>
      </w:r>
    </w:p>
    <w:p>
      <w:r>
        <w:t>(2) Die Kosten fallen dem Nachlass zur Last.</w:t>
      </w:r>
    </w:p>
    <w:p>
      <w:pPr>
        <w:pStyle w:val="Heading3"/>
      </w:pPr>
      <w:bookmarkStart w:id="2783" w:name="b2768"/>
      <w:r>
        <w:t>§ 2315 Anrechnung von Zuwendungen auf den Pflichtteil</w:t>
      </w:r>
      <w:r>
        <w:t xml:space="preserve"> </w:t>
      </w:r>
      <w:r>
        <w:rPr>
          <w:rStyle w:val="Suchmarke"/>
        </w:rPr>
        <w:t>#2315#</w:t>
      </w:r>
      <w:bookmarkEnd w:id="2783"/>
    </w:p>
    <w:p>
      <w:r>
        <w:t>(1) Der Pflichtteilsberechtigte hat sich auf den Pflichtteil anrechnen zu lassen, was ihm von dem Erblasser durch Rechtsgeschäft unter Lebenden mit der Bestimmung zugewendet worden ist, dass es auf den Pflichtteil angerechnet werden soll.</w:t>
      </w:r>
    </w:p>
    <w:p>
      <w:r>
        <w:t xml:space="preserve">(2) </w:t>
      </w:r>
      <w:r>
        <w:rPr>
          <w:rStyle w:val="Satznummer"/>
        </w:rPr>
        <w:t>1</w:t>
      </w:r>
      <w:r>
        <w:t xml:space="preserve">Der Wert der Zuwendung wird bei der Bestimmung des Pflichtteils dem Nachlass hinzugerechnet. </w:t>
      </w:r>
      <w:r>
        <w:rPr>
          <w:rStyle w:val="Satznummer"/>
        </w:rPr>
        <w:t>2</w:t>
      </w:r>
      <w:r>
        <w:t>Der Wert bestimmt sich nach der Zeit, zu welcher die Zuwendung erfolgt ist.</w:t>
      </w:r>
    </w:p>
    <w:p>
      <w:r>
        <w:t xml:space="preserve">(3) Ist der Pflichtteilsberechtigte ein Abkömmling des Erblassers, so findet die Vorschrift des </w:t>
      </w:r>
      <w:hyperlink w:anchor="b2501" w:history="1">
        <w:r>
          <w:rPr>
            <w:color w:val="0A3A8C"/>
            <w:u w:val="single"/>
          </w:rPr>
          <w:t xml:space="preserve">§ 2051</w:t>
        </w:r>
      </w:hyperlink>
      <w:r>
        <w:t xml:space="preserve"> Abs. 1 entsprechende Anwendung.</w:t>
      </w:r>
    </w:p>
    <w:p>
      <w:pPr>
        <w:pStyle w:val="Heading3"/>
      </w:pPr>
      <w:bookmarkStart w:id="2784" w:name="b2769"/>
      <w:r>
        <w:t>§ 2316 Ausgleichungspflicht</w:t>
      </w:r>
      <w:r>
        <w:t xml:space="preserve"> </w:t>
      </w:r>
      <w:r>
        <w:rPr>
          <w:rStyle w:val="Suchmarke"/>
        </w:rPr>
        <w:t>#2316#</w:t>
      </w:r>
      <w:bookmarkEnd w:id="2784"/>
    </w:p>
    <w:p>
      <w:r>
        <w:t xml:space="preserve">(1) </w:t>
      </w:r>
      <w:r>
        <w:rPr>
          <w:rStyle w:val="Satznummer"/>
        </w:rPr>
        <w:t>1</w:t>
      </w:r>
      <w:r>
        <w:t xml:space="preserve">Der Pflichtteil eines Abkömmlings bestimmt sich, wenn mehrere Abkömmlinge vorhanden sind und unter ihnen im Falle der gesetzlichen Erbfolge eine Zuwendung des Erblassers oder Leistungen der in </w:t>
      </w:r>
      <w:hyperlink w:anchor="b2508" w:history="1">
        <w:r>
          <w:rPr>
            <w:color w:val="0A3A8C"/>
            <w:u w:val="single"/>
          </w:rPr>
          <w:t xml:space="preserve">§ 2057a</w:t>
        </w:r>
      </w:hyperlink>
      <w:r>
        <w:t xml:space="preserve"> bezeichneten Art zur Ausgleichung zu bringen sein würden, nach demjenigen, was auf den gesetzlichen Erbteil unter Berücksichtigung der Ausgleichungspflichten bei der Teilung entfallen würde. </w:t>
      </w:r>
      <w:r>
        <w:rPr>
          <w:rStyle w:val="Satznummer"/>
        </w:rPr>
        <w:t>2</w:t>
      </w:r>
      <w:r>
        <w:t>Ein Abkömmling, der durch Erbverzicht von der gesetzlichen Erbfolge ausgeschlossen ist, bleibt bei der Berechnung außer Betracht.</w:t>
      </w:r>
    </w:p>
    <w:p>
      <w:r>
        <w:t>(2) Ist der Pflichtteilsberechtigte Erbe und beträgt der Pflichtteil nach Absatz 1 mehr als der Wert des hinterlassenen Erbteils, so kann der Pflichtteilsberechtigte von den Miterben den Mehrbetrag als Pflichtteil verlangen, auch wenn der hinterlassene Erbteil die Hälfte des gesetzlichen Erbteils erreicht oder übersteigt.</w:t>
      </w:r>
    </w:p>
    <w:p>
      <w:r>
        <w:t xml:space="preserve">(3) Eine Zuwendung der in </w:t>
      </w:r>
      <w:hyperlink w:anchor="b2500" w:history="1">
        <w:r>
          <w:rPr>
            <w:color w:val="0A3A8C"/>
            <w:u w:val="single"/>
          </w:rPr>
          <w:t xml:space="preserve">§ 2050</w:t>
        </w:r>
      </w:hyperlink>
      <w:r>
        <w:t xml:space="preserve"> Abs. 1 bezeichneten Art kann der Erblasser nicht zum Nachteil eines Pflichtteilsberechtigten von der Berücksichtigung ausschließen.</w:t>
      </w:r>
    </w:p>
    <w:p>
      <w:r>
        <w:t xml:space="preserve">(4) Ist eine nach Absatz 1 zu berücksichtigende Zuwendung zugleich nach </w:t>
      </w:r>
      <w:hyperlink w:anchor="b2768" w:history="1">
        <w:r>
          <w:rPr>
            <w:color w:val="0A3A8C"/>
            <w:u w:val="single"/>
          </w:rPr>
          <w:t xml:space="preserve">§ 2315</w:t>
        </w:r>
      </w:hyperlink>
      <w:r>
        <w:t xml:space="preserve"> auf den Pflichtteil anzurechnen, so kommt sie auf diesen nur mit der Hälfte des Wertes zur Anrechnung.</w:t>
      </w:r>
    </w:p>
    <w:p>
      <w:pPr>
        <w:pStyle w:val="Heading3"/>
      </w:pPr>
      <w:bookmarkStart w:id="2785" w:name="b2770"/>
      <w:r>
        <w:t>§ 2317 Entstehung und Übertragbarkeit des Pflichtteilsanspruchs</w:t>
      </w:r>
      <w:r>
        <w:t xml:space="preserve"> </w:t>
      </w:r>
      <w:r>
        <w:rPr>
          <w:rStyle w:val="Suchmarke"/>
        </w:rPr>
        <w:t>#2317#</w:t>
      </w:r>
      <w:bookmarkEnd w:id="2785"/>
    </w:p>
    <w:p>
      <w:r>
        <w:t>(1) Der Anspruch auf den Pflichtteil entsteht mit dem Erbfall.</w:t>
      </w:r>
    </w:p>
    <w:p>
      <w:r>
        <w:t>(2) Der Anspruch ist vererblich und übertragbar.</w:t>
      </w:r>
    </w:p>
    <w:p>
      <w:pPr>
        <w:pStyle w:val="Heading3"/>
      </w:pPr>
      <w:bookmarkStart w:id="2786" w:name="b2771"/>
      <w:r>
        <w:t>§ 2318 Pflichtteilslast bei Vermächtnissen und Auflagen</w:t>
      </w:r>
      <w:r>
        <w:t xml:space="preserve"> </w:t>
      </w:r>
      <w:r>
        <w:rPr>
          <w:rStyle w:val="Suchmarke"/>
        </w:rPr>
        <w:t>#2318#</w:t>
      </w:r>
      <w:bookmarkEnd w:id="2786"/>
    </w:p>
    <w:p>
      <w:r>
        <w:t xml:space="preserve">(1) </w:t>
      </w:r>
      <w:r>
        <w:rPr>
          <w:rStyle w:val="Satznummer"/>
        </w:rPr>
        <w:t>1</w:t>
      </w:r>
      <w:r>
        <w:t xml:space="preserve">Der Erbe kann die Erfüllung eines ihm auferlegten Vermächtnisses soweit verweigern, dass die Pflichtteilslast von ihm und dem Vermächtnisnehmer verhältnismäßig getragen wird. </w:t>
      </w:r>
      <w:r>
        <w:rPr>
          <w:rStyle w:val="Satznummer"/>
        </w:rPr>
        <w:t>2</w:t>
      </w:r>
      <w:r>
        <w:t>Das Gleiche gilt von einer Auflage.</w:t>
      </w:r>
    </w:p>
    <w:p>
      <w:r>
        <w:t>(2) Einem pflichtteilsberechtigten Vermächtnisnehmer gegenüber ist die Kürzung nur soweit zulässig, dass ihm der Pflichtteil verbleibt.</w:t>
      </w:r>
    </w:p>
    <w:p>
      <w:r>
        <w:t>(3) Ist der Erbe selbst pflichtteilsberechtigt, so kann er wegen der Pflichtteilslast das Vermächtnis und die Auflage soweit kürzen, dass ihm sein eigener Pflichtteil verbleibt.</w:t>
      </w:r>
    </w:p>
    <w:p>
      <w:pPr>
        <w:pStyle w:val="Heading3"/>
      </w:pPr>
      <w:bookmarkStart w:id="2787" w:name="b2772"/>
      <w:r>
        <w:t>§ 2319 Pflichtteilsberechtigter Miterbe</w:t>
      </w:r>
      <w:r>
        <w:t xml:space="preserve"> </w:t>
      </w:r>
      <w:r>
        <w:rPr>
          <w:rStyle w:val="Suchmarke"/>
        </w:rPr>
        <w:t>#2319#</w:t>
      </w:r>
      <w:bookmarkEnd w:id="2787"/>
    </w:p>
    <w:p>
      <w:r>
        <w:rPr>
          <w:rStyle w:val="Satznummer"/>
        </w:rPr>
        <w:t>1</w:t>
      </w:r>
      <w:r>
        <w:t xml:space="preserve">Ist einer von mehreren Erben selbst pflichtteilsberechtigt, so kann er nach der Teilung die Befriedigung eines anderen Pflichtteilsberechtigten soweit verweigern, dass ihm sein eigener Pflichtteil verbleibt. </w:t>
      </w:r>
      <w:r>
        <w:rPr>
          <w:rStyle w:val="Satznummer"/>
        </w:rPr>
        <w:t>2</w:t>
      </w:r>
      <w:r>
        <w:t>Für den Ausfall haften die übrigen Erben.</w:t>
      </w:r>
    </w:p>
    <w:p>
      <w:pPr>
        <w:pStyle w:val="Heading3"/>
      </w:pPr>
      <w:bookmarkStart w:id="2788" w:name="b2773"/>
      <w:r>
        <w:t>§ 2320 Pflichtteilslast des an die Stelle des Pflichtteilsberechtigten getretenen Erben</w:t>
      </w:r>
      <w:r>
        <w:t xml:space="preserve"> </w:t>
      </w:r>
      <w:r>
        <w:rPr>
          <w:rStyle w:val="Suchmarke"/>
        </w:rPr>
        <w:t>#2320#</w:t>
      </w:r>
      <w:bookmarkEnd w:id="2788"/>
    </w:p>
    <w:p>
      <w:r>
        <w:t>(1) Wer anstelle des Pflichtteilsberechtigten gesetzlicher Erbe wird, hat im Verhältnis zu Miterben die Pflichtteilslast und, wenn der Pflichtteilsberechtigte ein ihm zugewendetes Vermächtnis annimmt, das Vermächtnis in Höhe des erlangten Vorteils zu tragen.</w:t>
      </w:r>
    </w:p>
    <w:p>
      <w:r>
        <w:t>(2) Das Gleiche gilt im Zweifel von demjenigen, welchem der Erblasser den Erbteil des Pflichtteilsberechtigten durch Verfügung von Todes wegen zugewendet hat.</w:t>
      </w:r>
    </w:p>
    <w:p>
      <w:pPr>
        <w:pStyle w:val="Heading3"/>
      </w:pPr>
      <w:bookmarkStart w:id="2789" w:name="b2774"/>
      <w:r>
        <w:t>§ 2321 Pflichtteilslast bei Vermächtnisausschlagung</w:t>
      </w:r>
      <w:r>
        <w:t xml:space="preserve"> </w:t>
      </w:r>
      <w:r>
        <w:rPr>
          <w:rStyle w:val="Suchmarke"/>
        </w:rPr>
        <w:t>#2321#</w:t>
      </w:r>
      <w:bookmarkEnd w:id="2789"/>
    </w:p>
    <w:p>
      <w:r>
        <w:t>Schlägt der Pflichtteilsberechtigte ein ihm zugewendetes Vermächtnis aus, so hat im Verhältnis der Erben und der Vermächtnisnehmer zueinander derjenige, welchem die Ausschlagung zustatten kommt, die Pflichtteilslast in Höhe des erlangten Vorteils zu tragen.</w:t>
      </w:r>
    </w:p>
    <w:p>
      <w:pPr>
        <w:pStyle w:val="Heading3"/>
      </w:pPr>
      <w:bookmarkStart w:id="2790" w:name="b2775"/>
      <w:r>
        <w:t>§ 2322 Kürzung von Vermächtnissen und Auflagen</w:t>
      </w:r>
      <w:r>
        <w:t xml:space="preserve"> </w:t>
      </w:r>
      <w:r>
        <w:rPr>
          <w:rStyle w:val="Suchmarke"/>
        </w:rPr>
        <w:t>#2322#</w:t>
      </w:r>
      <w:bookmarkEnd w:id="2790"/>
    </w:p>
    <w:p>
      <w:r>
        <w:t>Ist eine von dem Pflichtteilsberechtigten ausgeschlagene Erbschaft oder ein von ihm ausgeschlagenes Vermächtnis mit einem Vermächtnis oder einer Auflage beschwert, so kann derjenige, welchem die Ausschlagung zustatten kommt, das Vermächtnis oder die Auflage soweit kürzen, dass ihm der zur Deckung der Pflichtteilslast erforderliche Betrag verbleibt.</w:t>
      </w:r>
    </w:p>
    <w:p>
      <w:pPr>
        <w:pStyle w:val="Heading3"/>
      </w:pPr>
      <w:bookmarkStart w:id="2791" w:name="b2776"/>
      <w:r>
        <w:t>§ 2323 Nicht pflichtteilsbelasteter Erbe</w:t>
      </w:r>
      <w:r>
        <w:t xml:space="preserve"> </w:t>
      </w:r>
      <w:r>
        <w:rPr>
          <w:rStyle w:val="Suchmarke"/>
        </w:rPr>
        <w:t>#2323#</w:t>
      </w:r>
      <w:bookmarkEnd w:id="2791"/>
    </w:p>
    <w:p>
      <w:r>
        <w:t xml:space="preserve">Der Erbe kann die Erfüllung eines Vermächtnisses oder einer Auflage auf Grund des </w:t>
      </w:r>
      <w:hyperlink w:anchor="b2771" w:history="1">
        <w:r>
          <w:rPr>
            <w:color w:val="0A3A8C"/>
            <w:u w:val="single"/>
          </w:rPr>
          <w:t xml:space="preserve">§ 2318</w:t>
        </w:r>
      </w:hyperlink>
      <w:r>
        <w:t xml:space="preserve"> Abs. 1 insoweit nicht verweigern, als er die Pflichtteilslast nach den </w:t>
      </w:r>
      <w:hyperlink w:anchor="b2773" w:history="1">
        <w:r>
          <w:rPr>
            <w:color w:val="0A3A8C"/>
            <w:u w:val="single"/>
          </w:rPr>
          <w:t xml:space="preserve">§§ 2320</w:t>
        </w:r>
      </w:hyperlink>
      <w:r>
        <w:t xml:space="preserve"> bis </w:t>
      </w:r>
      <w:hyperlink w:anchor="b2775" w:history="1">
        <w:r>
          <w:rPr>
            <w:color w:val="0A3A8C"/>
            <w:u w:val="single"/>
          </w:rPr>
          <w:t xml:space="preserve">2322</w:t>
        </w:r>
      </w:hyperlink>
      <w:r>
        <w:t xml:space="preserve"> nicht zu tragen hat.</w:t>
      </w:r>
    </w:p>
    <w:p>
      <w:pPr>
        <w:pStyle w:val="Heading3"/>
      </w:pPr>
      <w:bookmarkStart w:id="2792" w:name="b2777"/>
      <w:r>
        <w:t>§ 2324 Abweichende Anordnungen des Erblassers hinsichtlich der Pflichtteilslast</w:t>
      </w:r>
      <w:r>
        <w:t xml:space="preserve"> </w:t>
      </w:r>
      <w:r>
        <w:rPr>
          <w:rStyle w:val="Suchmarke"/>
        </w:rPr>
        <w:t>#2324#</w:t>
      </w:r>
      <w:bookmarkEnd w:id="2792"/>
    </w:p>
    <w:p>
      <w:r>
        <w:t xml:space="preserve">Der Erblasser kann durch Verfügung von Todes wegen die Pflichtteilslast im Verhältnis der Erben zueinander einzelnen Erben auferlegen und von den Vorschriften des </w:t>
      </w:r>
      <w:hyperlink w:anchor="b2771" w:history="1">
        <w:r>
          <w:rPr>
            <w:color w:val="0A3A8C"/>
            <w:u w:val="single"/>
          </w:rPr>
          <w:t xml:space="preserve">§ 2318</w:t>
        </w:r>
      </w:hyperlink>
      <w:r>
        <w:t xml:space="preserve"> Abs. 1 und der </w:t>
      </w:r>
      <w:hyperlink w:anchor="b2773" w:history="1">
        <w:r>
          <w:rPr>
            <w:color w:val="0A3A8C"/>
            <w:u w:val="single"/>
          </w:rPr>
          <w:t xml:space="preserve">§§ 2320</w:t>
        </w:r>
      </w:hyperlink>
      <w:r>
        <w:t xml:space="preserve"> bis </w:t>
      </w:r>
      <w:hyperlink w:anchor="b2776" w:history="1">
        <w:r>
          <w:rPr>
            <w:color w:val="0A3A8C"/>
            <w:u w:val="single"/>
          </w:rPr>
          <w:t xml:space="preserve">2323</w:t>
        </w:r>
      </w:hyperlink>
      <w:r>
        <w:t xml:space="preserve"> abweichende Anordnungen treffen.</w:t>
      </w:r>
    </w:p>
    <w:p>
      <w:pPr>
        <w:pStyle w:val="Heading3"/>
      </w:pPr>
      <w:bookmarkStart w:id="2793" w:name="b2778"/>
      <w:r>
        <w:t>§ 2325 Pflichtteilsergänzungsanspruch bei Schenkungen</w:t>
      </w:r>
      <w:r>
        <w:t xml:space="preserve"> </w:t>
      </w:r>
      <w:r>
        <w:rPr>
          <w:rStyle w:val="Suchmarke"/>
        </w:rPr>
        <w:t>#2325#</w:t>
      </w:r>
      <w:bookmarkEnd w:id="2793"/>
    </w:p>
    <w:p>
      <w:r>
        <w:t>(1) Hat der Erblasser einem Dritten eine Schenkung gemacht, so kann der Pflichtteilsberechtigte als Ergänzung des Pflichtteils den Betrag verlangen, um den sich der Pflichtteil erhöht, wenn der verschenkte Gegenstand dem Nachlass hinzugerechnet wird.</w:t>
      </w:r>
    </w:p>
    <w:p>
      <w:r>
        <w:t xml:space="preserve">(2) </w:t>
      </w:r>
      <w:r>
        <w:rPr>
          <w:rStyle w:val="Satznummer"/>
        </w:rPr>
        <w:t>1</w:t>
      </w:r>
      <w:r>
        <w:t xml:space="preserve">Eine verbrauchbare Sache kommt mit dem Werte in Ansatz, den sie zur Zeit der Schenkung hatte. </w:t>
      </w:r>
      <w:r>
        <w:rPr>
          <w:rStyle w:val="Satznummer"/>
        </w:rPr>
        <w:t>2</w:t>
      </w:r>
      <w:r>
        <w:t>Ein anderer Gegenstand kommt mit dem Werte in Ansatz, den er zur Zeit des Erbfalls hat; hatte er zur Zeit der Schenkung einen geringeren Wert, so wird nur dieser in Ansatz gebracht.</w:t>
      </w:r>
    </w:p>
    <w:p>
      <w:r>
        <w:t xml:space="preserve">(3) </w:t>
      </w:r>
      <w:r>
        <w:rPr>
          <w:rStyle w:val="Satznummer"/>
        </w:rPr>
        <w:t>1</w:t>
      </w:r>
      <w:r>
        <w:t xml:space="preserve">Die Schenkung wird innerhalb des ersten Jahres vor dem Erbfall in vollem Umfang, innerhalb jedes weiteren Jahres vor dem Erbfall um jeweils ein Zehntel weniger berücksichtigt. </w:t>
      </w:r>
      <w:r>
        <w:rPr>
          <w:rStyle w:val="Satznummer"/>
        </w:rPr>
        <w:t>2</w:t>
      </w:r>
      <w:r>
        <w:t xml:space="preserve">Sind zehn Jahre seit der Leistung des verschenkten Gegenstandes verstrichen, bleibt die Schenkung unberücksichtigt. </w:t>
      </w:r>
      <w:r>
        <w:rPr>
          <w:rStyle w:val="Satznummer"/>
        </w:rPr>
        <w:t>3</w:t>
      </w:r>
      <w:r>
        <w:t>Ist die Schenkung an den Ehegatten erfolgt, so beginnt die Frist nicht vor der Auflösung der Ehe.</w:t>
      </w:r>
    </w:p>
    <w:p>
      <w:pPr>
        <w:pStyle w:val="Heading3"/>
      </w:pPr>
      <w:bookmarkStart w:id="2794" w:name="b2779"/>
      <w:r>
        <w:t>§ 2326 Ergänzung über die Hälfte des gesetzlichen Erbteils</w:t>
      </w:r>
      <w:r>
        <w:t xml:space="preserve"> </w:t>
      </w:r>
      <w:r>
        <w:rPr>
          <w:rStyle w:val="Suchmarke"/>
        </w:rPr>
        <w:t>#2326#</w:t>
      </w:r>
      <w:bookmarkEnd w:id="2794"/>
    </w:p>
    <w:p>
      <w:r>
        <w:rPr>
          <w:rStyle w:val="Satznummer"/>
        </w:rPr>
        <w:t>1</w:t>
      </w:r>
      <w:r>
        <w:t xml:space="preserve">Der Pflichtteilsberechtigte kann die Ergänzung des Pflichtteils auch dann verlangen, wenn ihm die Hälfte des gesetzlichen Erbteils hinterlassen ist. </w:t>
      </w:r>
      <w:r>
        <w:rPr>
          <w:rStyle w:val="Satznummer"/>
        </w:rPr>
        <w:t>2</w:t>
      </w:r>
      <w:r>
        <w:t>Ist dem Pflichtteilsberechtigten mehr als die Hälfte hinterlassen, so ist der Anspruch ausgeschlossen, soweit der Wert des mehr Hinterlassenen reicht.</w:t>
      </w:r>
    </w:p>
    <w:p>
      <w:pPr>
        <w:pStyle w:val="Heading3"/>
      </w:pPr>
      <w:bookmarkStart w:id="2795" w:name="b2780"/>
      <w:r>
        <w:t>§ 2327 Beschenkter Pflichtteilsberechtigter</w:t>
      </w:r>
      <w:r>
        <w:t xml:space="preserve"> </w:t>
      </w:r>
      <w:r>
        <w:rPr>
          <w:rStyle w:val="Suchmarke"/>
        </w:rPr>
        <w:t>#2327#</w:t>
      </w:r>
      <w:bookmarkEnd w:id="2795"/>
    </w:p>
    <w:p>
      <w:r>
        <w:t xml:space="preserve">(1) </w:t>
      </w:r>
      <w:r>
        <w:rPr>
          <w:rStyle w:val="Satznummer"/>
        </w:rPr>
        <w:t>1</w:t>
      </w:r>
      <w:r>
        <w:t xml:space="preserve">Hat der Pflichtteilsberechtigte selbst ein Geschenk von dem Erblasser erhalten, so ist das Geschenk in gleicher Weise wie das dem Dritten gemachte Geschenk dem Nachlass hinzuzurechnen und zugleich dem Pflichtteilsberechtigten auf die Ergänzung anzurechnen. </w:t>
      </w:r>
      <w:r>
        <w:rPr>
          <w:rStyle w:val="Satznummer"/>
        </w:rPr>
        <w:t>2</w:t>
      </w:r>
      <w:r>
        <w:t xml:space="preserve">Ein nach </w:t>
      </w:r>
      <w:hyperlink w:anchor="b2768" w:history="1">
        <w:r>
          <w:rPr>
            <w:color w:val="0A3A8C"/>
            <w:u w:val="single"/>
          </w:rPr>
          <w:t xml:space="preserve">§ 2315</w:t>
        </w:r>
      </w:hyperlink>
      <w:r>
        <w:t xml:space="preserve"> anzurechnendes Geschenk ist auf den Gesamtbetrag des Pflichtteils und der Ergänzung anzurechnen.</w:t>
      </w:r>
    </w:p>
    <w:p>
      <w:r>
        <w:t xml:space="preserve">(2) Ist der Pflichtteilsberechtigte ein Abkömmling des Erblassers, so findet die Vorschrift des </w:t>
      </w:r>
      <w:hyperlink w:anchor="b2501" w:history="1">
        <w:r>
          <w:rPr>
            <w:color w:val="0A3A8C"/>
            <w:u w:val="single"/>
          </w:rPr>
          <w:t xml:space="preserve">§ 2051</w:t>
        </w:r>
      </w:hyperlink>
      <w:r>
        <w:t xml:space="preserve"> Abs. 1 entsprechende Anwendung.</w:t>
      </w:r>
    </w:p>
    <w:p>
      <w:pPr>
        <w:pStyle w:val="Heading3"/>
      </w:pPr>
      <w:bookmarkStart w:id="2796" w:name="b2781"/>
      <w:r>
        <w:t>§ 2328 Selbst pflichtteilsberechtigter Erbe</w:t>
      </w:r>
      <w:r>
        <w:t xml:space="preserve"> </w:t>
      </w:r>
      <w:r>
        <w:rPr>
          <w:rStyle w:val="Suchmarke"/>
        </w:rPr>
        <w:t>#2328#</w:t>
      </w:r>
      <w:bookmarkEnd w:id="2796"/>
    </w:p>
    <w:p>
      <w:r>
        <w:t>Ist der Erbe selbst pflichtteilsberechtigt, so kann er die Ergänzung des Pflichtteils soweit verweigern, dass ihm sein eigener Pflichtteil mit Einschluss dessen verbleibt, was ihm zur Ergänzung des Pflichtteils gebühren würde.</w:t>
      </w:r>
    </w:p>
    <w:p>
      <w:pPr>
        <w:pStyle w:val="Heading3"/>
      </w:pPr>
      <w:bookmarkStart w:id="2797" w:name="b2782"/>
      <w:r>
        <w:t>§ 2329 Anspruch gegen den Beschenkten</w:t>
      </w:r>
      <w:r>
        <w:t xml:space="preserve"> </w:t>
      </w:r>
      <w:r>
        <w:rPr>
          <w:rStyle w:val="Suchmarke"/>
        </w:rPr>
        <w:t>#2329#</w:t>
      </w:r>
      <w:bookmarkEnd w:id="2797"/>
    </w:p>
    <w:p>
      <w:r>
        <w:t xml:space="preserve">(1) </w:t>
      </w:r>
      <w:r>
        <w:rPr>
          <w:rStyle w:val="Satznummer"/>
        </w:rPr>
        <w:t>1</w:t>
      </w:r>
      <w:r>
        <w:t xml:space="preserve">Soweit der Erbe zur Ergänzung des Pflichtteils nicht verpflichtet ist, kann der Pflichtteilsberechtigte von dem Beschenkten die Herausgabe des Geschenks zum Zwecke der Befriedigung wegen des fehlenden Betrags nach den Vorschriften über die Herausgabe einer ungerechtfertigten Bereicherung fordern. </w:t>
      </w:r>
      <w:r>
        <w:rPr>
          <w:rStyle w:val="Satznummer"/>
        </w:rPr>
        <w:t>2</w:t>
      </w:r>
      <w:r>
        <w:t>Ist der Pflichtteilsberechtigte der alleinige Erbe, so steht ihm das gleiche Recht zu.</w:t>
      </w:r>
    </w:p>
    <w:p>
      <w:r>
        <w:t>(2) Der Beschenkte kann die Herausgabe durch Zahlung des fehlenden Betrags abwenden.</w:t>
      </w:r>
    </w:p>
    <w:p>
      <w:r>
        <w:t>(3) Unter mehreren Beschenkten haftet der früher Beschenkte nur insoweit, als der später Beschenkte nicht verpflichtet ist.</w:t>
      </w:r>
    </w:p>
    <w:p>
      <w:pPr>
        <w:pStyle w:val="Heading3"/>
      </w:pPr>
      <w:bookmarkStart w:id="2798" w:name="b2783"/>
      <w:r>
        <w:t>§ 2330 Anstandsschenkungen</w:t>
      </w:r>
      <w:r>
        <w:t xml:space="preserve"> </w:t>
      </w:r>
      <w:r>
        <w:rPr>
          <w:rStyle w:val="Suchmarke"/>
        </w:rPr>
        <w:t>#2330#</w:t>
      </w:r>
      <w:bookmarkEnd w:id="2798"/>
    </w:p>
    <w:p>
      <w:r>
        <w:t xml:space="preserve">Die Vorschriften der </w:t>
      </w:r>
      <w:hyperlink w:anchor="b2778" w:history="1">
        <w:r>
          <w:rPr>
            <w:color w:val="0A3A8C"/>
            <w:u w:val="single"/>
          </w:rPr>
          <w:t xml:space="preserve">§§ 2325</w:t>
        </w:r>
      </w:hyperlink>
      <w:r>
        <w:t xml:space="preserve"> bis </w:t>
      </w:r>
      <w:hyperlink w:anchor="b2782" w:history="1">
        <w:r>
          <w:rPr>
            <w:color w:val="0A3A8C"/>
            <w:u w:val="single"/>
          </w:rPr>
          <w:t xml:space="preserve">2329</w:t>
        </w:r>
      </w:hyperlink>
      <w:r>
        <w:t xml:space="preserve"> finden keine Anwendung auf Schenkungen, durch die einer sittlichen Pflicht oder einer auf den Anstand zu nehmenden Rücksicht entsprochen wird.</w:t>
      </w:r>
    </w:p>
    <w:p>
      <w:pPr>
        <w:pStyle w:val="Heading3"/>
      </w:pPr>
      <w:bookmarkStart w:id="2799" w:name="b2784"/>
      <w:r>
        <w:t>§ 2331 Zuwendungen aus dem Gesamtgut</w:t>
      </w:r>
      <w:r>
        <w:t xml:space="preserve"> </w:t>
      </w:r>
      <w:r>
        <w:rPr>
          <w:rStyle w:val="Suchmarke"/>
        </w:rPr>
        <w:t>#2331#</w:t>
      </w:r>
      <w:bookmarkEnd w:id="2799"/>
    </w:p>
    <w:p>
      <w:r>
        <w:t xml:space="preserve">(1) </w:t>
      </w:r>
      <w:r>
        <w:rPr>
          <w:rStyle w:val="Satznummer"/>
        </w:rPr>
        <w:t>1</w:t>
      </w:r>
      <w:r>
        <w:t xml:space="preserve">Eine Zuwendung, die aus dem Gesamtgut der Gütergemeinschaft erfolgt, gilt als von jedem der Ehegatten zur Hälfte gemacht. </w:t>
      </w:r>
      <w:r>
        <w:rPr>
          <w:rStyle w:val="Satznummer"/>
        </w:rPr>
        <w:t>2</w:t>
      </w:r>
      <w:r>
        <w:t>Die Zuwendung gilt jedoch, wenn sie an einen Abkömmling, der nur von einem der Ehegatten abstammt, oder an eine Person, von der nur einer der Ehegatten abstammt, erfolgt, oder wenn einer der Ehegatten wegen der Zuwendung zu dem Gesamtgut Ersatz zu leisten hat, als von diesem Ehegatten gemacht.</w:t>
      </w:r>
    </w:p>
    <w:p>
      <w:r>
        <w:t>(2) Diese Vorschriften sind auf eine Zuwendung aus dem Gesamtgut der fortgesetzten Gütergemeinschaft entsprechend anzuwenden.</w:t>
      </w:r>
    </w:p>
    <w:p>
      <w:pPr>
        <w:pStyle w:val="Heading3"/>
      </w:pPr>
      <w:bookmarkStart w:id="2800" w:name="b2785"/>
      <w:r>
        <w:t>§ 2331a Stundung</w:t>
      </w:r>
      <w:r>
        <w:t xml:space="preserve"> </w:t>
      </w:r>
      <w:r>
        <w:rPr>
          <w:rStyle w:val="Suchmarke"/>
        </w:rPr>
        <w:t>#2331a#</w:t>
      </w:r>
      <w:bookmarkEnd w:id="2800"/>
    </w:p>
    <w:p>
      <w:r>
        <w:t xml:space="preserve">(1) </w:t>
      </w:r>
      <w:r>
        <w:rPr>
          <w:rStyle w:val="Satznummer"/>
        </w:rPr>
        <w:t>1</w:t>
      </w:r>
      <w:r>
        <w:t xml:space="preserve">Der Erbe kann Stundung des Pflichtteils verlangen, wenn die sofortige Erfüllung des gesamten Anspruchs für den Erben wegen der Art der Nachlassgegenstände eine unbillige Härte wäre, insbesondere wenn sie ihn zur Aufgabe des Familienheims oder zur Veräußerung eines Wirtschaftsguts zwingen würde, das für den Erben und seine Familie die wirtschaftliche Lebensgrundlage bildet. </w:t>
      </w:r>
      <w:r>
        <w:rPr>
          <w:rStyle w:val="Satznummer"/>
        </w:rPr>
        <w:t>2</w:t>
      </w:r>
      <w:r>
        <w:t>Die Interessen des Pflichtteilsberechtigten sind angemessen zu berücksichtigen.</w:t>
      </w:r>
    </w:p>
    <w:p>
      <w:r>
        <w:t xml:space="preserve">(2) </w:t>
      </w:r>
      <w:r>
        <w:rPr>
          <w:rStyle w:val="Satznummer"/>
        </w:rPr>
        <w:t>1</w:t>
      </w:r>
      <w:r>
        <w:t xml:space="preserve">Für die Entscheidung über eine Stundung ist, wenn der Anspruch nicht bestritten wird, das Nachlassgericht zuständig. </w:t>
      </w:r>
      <w:r>
        <w:rPr>
          <w:rStyle w:val="Satznummer"/>
        </w:rPr>
        <w:t>2</w:t>
      </w:r>
      <w:hyperlink w:anchor="b1850" w:history="1">
        <w:r>
          <w:rPr>
            <w:color w:val="0A3A8C"/>
            <w:u w:val="single"/>
          </w:rPr>
          <w:t xml:space="preserve">§ 1382</w:t>
        </w:r>
      </w:hyperlink>
      <w:r>
        <w:t xml:space="preserve"> Abs. 2 bis 6 gilt entsprechend; an die Stelle des Familiengerichts tritt das Nachlassgericht.</w:t>
      </w:r>
    </w:p>
    <w:p>
      <w:pPr>
        <w:pStyle w:val="Heading3"/>
      </w:pPr>
      <w:bookmarkStart w:id="2801" w:name="b2786"/>
      <w:r>
        <w:t>§ 2332 Verjährung</w:t>
      </w:r>
      <w:r>
        <w:t xml:space="preserve"> </w:t>
      </w:r>
      <w:r>
        <w:rPr>
          <w:rStyle w:val="Suchmarke"/>
        </w:rPr>
        <w:t>#2332#</w:t>
      </w:r>
      <w:bookmarkEnd w:id="2801"/>
    </w:p>
    <w:p>
      <w:r>
        <w:t xml:space="preserve">(1) Die Verjährungsfrist des dem Pflichtteilsberechtigten nach </w:t>
      </w:r>
      <w:hyperlink w:anchor="b2782" w:history="1">
        <w:r>
          <w:rPr>
            <w:color w:val="0A3A8C"/>
            <w:u w:val="single"/>
          </w:rPr>
          <w:t xml:space="preserve">§ 2329</w:t>
        </w:r>
      </w:hyperlink>
      <w:r>
        <w:t xml:space="preserve"> gegen den Beschenkten zustehenden Anspruchs beginnt mit dem Erbfall.</w:t>
      </w:r>
    </w:p>
    <w:p>
      <w:r>
        <w:t xml:space="preserve">(2) Die Verjährung des Pflichtteilsanspruchs und des Anspruchs nach </w:t>
      </w:r>
      <w:hyperlink w:anchor="b2782" w:history="1">
        <w:r>
          <w:rPr>
            <w:color w:val="0A3A8C"/>
            <w:u w:val="single"/>
          </w:rPr>
          <w:t xml:space="preserve">§ 2329</w:t>
        </w:r>
      </w:hyperlink>
      <w:r>
        <w:t xml:space="preserve"> wird nicht dadurch gehemmt, dass die Ansprüche erst nach der Ausschlagung der Erbschaft oder eines Vermächtnisses geltend gemacht werden können.</w:t>
      </w:r>
    </w:p>
    <w:p>
      <w:pPr>
        <w:pStyle w:val="Heading3"/>
      </w:pPr>
      <w:bookmarkStart w:id="2802" w:name="b2787"/>
      <w:r>
        <w:t>§ 2333 Entziehung des Pflichtteils</w:t>
      </w:r>
      <w:r>
        <w:t xml:space="preserve"> </w:t>
      </w:r>
      <w:r>
        <w:rPr>
          <w:rStyle w:val="Suchmarke"/>
        </w:rPr>
        <w:t>#2333#</w:t>
      </w:r>
      <w:bookmarkEnd w:id="2802"/>
    </w:p>
    <w:p>
      <w:r>
        <w:t>(1) Der Erblasser kann einem Abkömmling den Pflichtteil entziehen, wenn der Abkömmling</w:t>
      </w:r>
    </w:p>
    <w:p>
      <w:pPr>
        <w:tabs>
          <w:tab w:pos="567" w:val="left"/>
        </w:tabs>
        <w:ind w:left="567" w:hanging="567"/>
      </w:pPr>
      <w:r>
        <w:t>1.</w:t>
      </w:r>
      <w:r>
        <w:tab/>
      </w:r>
      <w:r>
        <w:t>dem Erblasser, dem Ehegatten des Erblassers, einem anderen Abkömmling oder einer dem Erblasser ähnlich nahe stehenden Person nach dem Leben trachtet,</w:t>
      </w:r>
    </w:p>
    <w:p>
      <w:pPr>
        <w:tabs>
          <w:tab w:pos="567" w:val="left"/>
        </w:tabs>
        <w:ind w:left="567" w:hanging="567"/>
      </w:pPr>
      <w:r>
        <w:t>2.</w:t>
      </w:r>
      <w:r>
        <w:tab/>
      </w:r>
      <w:r>
        <w:t>sich eines Verbrechens oder eines schweren vorsätzlichen Vergehens gegen eine der in Nummer 1 bezeichneten Personen schuldig macht,</w:t>
      </w:r>
    </w:p>
    <w:p>
      <w:pPr>
        <w:tabs>
          <w:tab w:pos="567" w:val="left"/>
        </w:tabs>
        <w:ind w:left="567" w:hanging="567"/>
      </w:pPr>
      <w:r>
        <w:t>3.</w:t>
      </w:r>
      <w:r>
        <w:tab/>
      </w:r>
      <w:r>
        <w:t>die ihm dem Erblasser gegenüber gesetzlich obliegende Unterhaltspflicht böswillig verletzt oder</w:t>
      </w:r>
    </w:p>
    <w:p>
      <w:pPr>
        <w:tabs>
          <w:tab w:pos="567" w:val="left"/>
        </w:tabs>
        <w:ind w:left="567" w:hanging="567"/>
      </w:pPr>
      <w:r>
        <w:t>4.</w:t>
      </w:r>
      <w:r>
        <w:tab/>
      </w:r>
      <w:r>
        <w:t xml:space="preserve">wegen einer vorsätzlichen Straftat zu einer Freiheitsstrafe von mindestens einem Jahr ohne Bewährung rechtskräftig verurteilt wird und die Teilhabe des Abkömmlings am Nachlass deshalb für den Erblasser unzumutbar ist. </w:t>
      </w:r>
      <w:r>
        <w:rPr>
          <w:rStyle w:val="Satznummer"/>
        </w:rPr>
        <w:t>2</w:t>
      </w:r>
      <w:r>
        <w:t>Gleiches gilt, wenn die Unterbringung des Abkömmlings in einem psychiatrischen Krankenhaus oder in einer Entziehungsanstalt wegen einer ähnlich schwerwiegenden vorsätzlichen Tat rechtskräftig angeordnet wird.</w:t>
      </w:r>
    </w:p>
    <w:p>
      <w:r>
        <w:t>(2) Absatz 1 gilt entsprechend für die Entziehung des Eltern- oder Ehegattenpflichtteils.</w:t>
      </w:r>
    </w:p>
    <w:p>
      <w:pPr>
        <w:pStyle w:val="Heading3"/>
      </w:pPr>
      <w:bookmarkStart w:id="2803" w:name="b2788"/>
      <w:r>
        <w:t>§ 2334 (weggefallen)</w:t>
      </w:r>
      <w:r>
        <w:t xml:space="preserve"> </w:t>
      </w:r>
      <w:r>
        <w:rPr>
          <w:rStyle w:val="Suchmarke"/>
        </w:rPr>
        <w:t>#2334#</w:t>
      </w:r>
      <w:bookmarkEnd w:id="2803"/>
    </w:p>
    <w:p>
      <w:r>
        <w:t>-</w:t>
      </w:r>
    </w:p>
    <w:p>
      <w:pPr>
        <w:pStyle w:val="Heading3"/>
      </w:pPr>
      <w:bookmarkStart w:id="2804" w:name="b2789"/>
      <w:r>
        <w:t>§ 2335 (weggefallen)</w:t>
      </w:r>
      <w:r>
        <w:t xml:space="preserve"> </w:t>
      </w:r>
      <w:r>
        <w:rPr>
          <w:rStyle w:val="Suchmarke"/>
        </w:rPr>
        <w:t>#2335#</w:t>
      </w:r>
      <w:bookmarkEnd w:id="2804"/>
    </w:p>
    <w:p>
      <w:r>
        <w:t>-</w:t>
      </w:r>
    </w:p>
    <w:p>
      <w:pPr>
        <w:pStyle w:val="Heading3"/>
      </w:pPr>
      <w:bookmarkStart w:id="2805" w:name="b2790"/>
      <w:r>
        <w:t>§ 2336 Form, Beweislast, Unwirksamwerden</w:t>
      </w:r>
      <w:r>
        <w:t xml:space="preserve"> </w:t>
      </w:r>
      <w:r>
        <w:rPr>
          <w:rStyle w:val="Suchmarke"/>
        </w:rPr>
        <w:t>#2336#</w:t>
      </w:r>
      <w:bookmarkEnd w:id="2805"/>
    </w:p>
    <w:p>
      <w:r>
        <w:t>(1) Die Entziehung des Pflichtteils erfolgt durch letztwillige Verfügung.</w:t>
      </w:r>
    </w:p>
    <w:p>
      <w:r>
        <w:t xml:space="preserve">(2) </w:t>
      </w:r>
      <w:r>
        <w:rPr>
          <w:rStyle w:val="Satznummer"/>
        </w:rPr>
        <w:t>1</w:t>
      </w:r>
      <w:r>
        <w:t xml:space="preserve">Der Grund der Entziehung muss zur Zeit der Errichtung bestehen und in der Verfügung angegeben werden. </w:t>
      </w:r>
      <w:r>
        <w:rPr>
          <w:rStyle w:val="Satznummer"/>
        </w:rPr>
        <w:t>2</w:t>
      </w:r>
      <w:r>
        <w:t xml:space="preserve">Für eine Entziehung nach </w:t>
      </w:r>
      <w:hyperlink w:anchor="b2787" w:history="1">
        <w:r>
          <w:rPr>
            <w:color w:val="0A3A8C"/>
            <w:u w:val="single"/>
          </w:rPr>
          <w:t xml:space="preserve">§ 2333</w:t>
        </w:r>
      </w:hyperlink>
      <w:r>
        <w:t xml:space="preserve"> Absatz 1 Nummer 4 muss zur Zeit der Errichtung die Tat begangen sein und der Grund für die Unzumutbarkeit vorliegen; beides muss in der Verfügung angegeben werden.</w:t>
      </w:r>
    </w:p>
    <w:p>
      <w:r>
        <w:t>(3) Der Beweis des Grundes liegt demjenigen ob, welcher die Entziehung geltend macht.</w:t>
      </w:r>
    </w:p>
    <w:p>
      <w:r>
        <w:t>(4) (weggefallen)</w:t>
      </w:r>
    </w:p>
    <w:p>
      <w:pPr>
        <w:pStyle w:val="Heading3"/>
      </w:pPr>
      <w:bookmarkStart w:id="2806" w:name="b2791"/>
      <w:r>
        <w:t>§ 2337 Verzeihung</w:t>
      </w:r>
      <w:r>
        <w:t xml:space="preserve"> </w:t>
      </w:r>
      <w:r>
        <w:rPr>
          <w:rStyle w:val="Suchmarke"/>
        </w:rPr>
        <w:t>#2337#</w:t>
      </w:r>
      <w:bookmarkEnd w:id="2806"/>
    </w:p>
    <w:p>
      <w:r>
        <w:rPr>
          <w:rStyle w:val="Satznummer"/>
        </w:rPr>
        <w:t>1</w:t>
      </w:r>
      <w:r>
        <w:t xml:space="preserve">Das Recht zur Entziehung des Pflichtteils erlischt durch Verzeihung. </w:t>
      </w:r>
      <w:r>
        <w:rPr>
          <w:rStyle w:val="Satznummer"/>
        </w:rPr>
        <w:t>2</w:t>
      </w:r>
      <w:r>
        <w:t>Eine Verfügung, durch die der Erblasser die Entziehung angeordnet hat, wird durch die Verzeihung unwirksam.</w:t>
      </w:r>
    </w:p>
    <w:p>
      <w:pPr>
        <w:pStyle w:val="Heading3"/>
      </w:pPr>
      <w:bookmarkStart w:id="2807" w:name="b2792"/>
      <w:r>
        <w:t>§ 2338 Pflichtteilsbeschränkung</w:t>
      </w:r>
      <w:r>
        <w:t xml:space="preserve"> </w:t>
      </w:r>
      <w:r>
        <w:rPr>
          <w:rStyle w:val="Suchmarke"/>
        </w:rPr>
        <w:t>#2338#</w:t>
      </w:r>
      <w:bookmarkEnd w:id="2807"/>
    </w:p>
    <w:p>
      <w:r>
        <w:t xml:space="preserve">(1) </w:t>
      </w:r>
      <w:r>
        <w:rPr>
          <w:rStyle w:val="Satznummer"/>
        </w:rPr>
        <w:t>1</w:t>
      </w:r>
      <w:r>
        <w:t xml:space="preserve">Hat sich ein Abkömmling in solchem Maße der Verschwendung ergeben oder ist er in solchem Maße überschuldet, dass sein späterer Erwerb erheblich gefährdet wird, so kann der Erblasser das Pflichtteilsrecht des Abkömmlings durch die Anordnung beschränken, dass nach dem Tode des Abkömmlings dessen gesetzliche Erben das ihm Hinterlassene oder den ihm gebührenden Pflichtteil als Nacherben oder als Nachvermächtnisnehmer nach dem Verhältnis ihrer gesetzlichen Erbteile erhalten sollen. </w:t>
      </w:r>
      <w:r>
        <w:rPr>
          <w:rStyle w:val="Satznummer"/>
        </w:rPr>
        <w:t>2</w:t>
      </w:r>
      <w:r>
        <w:t>Der Erblasser kann auch für die Lebenszeit des Abkömmlings die Verwaltung einem Testamentsvollstrecker übertragen; der Abkömmling hat in einem solchen Falle Anspruch auf den jährlichen Reinertrag.</w:t>
      </w:r>
    </w:p>
    <w:p>
      <w:r>
        <w:t xml:space="preserve">(2) </w:t>
      </w:r>
      <w:r>
        <w:rPr>
          <w:rStyle w:val="Satznummer"/>
        </w:rPr>
        <w:t>1</w:t>
      </w:r>
      <w:r>
        <w:t xml:space="preserve">Auf Anordnungen dieser Art findet die Vorschrift des </w:t>
      </w:r>
      <w:hyperlink w:anchor="b2790" w:history="1">
        <w:r>
          <w:rPr>
            <w:color w:val="0A3A8C"/>
            <w:u w:val="single"/>
          </w:rPr>
          <w:t xml:space="preserve">§ 2336</w:t>
        </w:r>
      </w:hyperlink>
      <w:r>
        <w:t xml:space="preserve"> Abs. 1 bis 3 entsprechende Anwendung. </w:t>
      </w:r>
      <w:r>
        <w:rPr>
          <w:rStyle w:val="Satznummer"/>
        </w:rPr>
        <w:t>2</w:t>
      </w:r>
      <w:r>
        <w:t>Die Anordnungen sind unwirksam, wenn zur Zeit des Erbfalls der Abkömmling sich dauernd von dem verschwenderischen Leben abgewendet hat oder die den Grund der Anordnung bildende Überschuldung nicht mehr besteht.</w:t>
      </w:r>
    </w:p>
    <w:p>
      <w:pPr>
        <w:pStyle w:val="Heading2"/>
      </w:pPr>
      <w:bookmarkStart w:id="2808" w:name="b2793"/>
      <w:r>
        <w:t>Abschnitt 6 Erbunwürdigkeit</w:t>
      </w:r>
      <w:bookmarkEnd w:id="2808"/>
    </w:p>
    <w:p>
      <w:pPr>
        <w:pStyle w:val="Heading3"/>
      </w:pPr>
      <w:bookmarkStart w:id="2809" w:name="b2794"/>
      <w:r>
        <w:t>§ 2339 Gründe für Erbunwürdigkeit</w:t>
      </w:r>
      <w:r>
        <w:t xml:space="preserve"> </w:t>
      </w:r>
      <w:r>
        <w:rPr>
          <w:rStyle w:val="Suchmarke"/>
        </w:rPr>
        <w:t>#2339#</w:t>
      </w:r>
      <w:bookmarkEnd w:id="2809"/>
    </w:p>
    <w:p>
      <w:r>
        <w:t>(1) Erbunwürdig ist:</w:t>
      </w:r>
    </w:p>
    <w:p>
      <w:pPr>
        <w:tabs>
          <w:tab w:pos="567" w:val="left"/>
        </w:tabs>
        <w:ind w:left="567" w:hanging="567"/>
      </w:pPr>
      <w:r>
        <w:t>1.</w:t>
      </w:r>
      <w:r>
        <w:tab/>
      </w:r>
      <w:r>
        <w:t>wer den Erblasser vorsätzlich und widerrechtlich getötet oder zu töten versucht oder in einen Zustand versetzt hat, infolge dessen der Erblasser bis zu seinem Tode unfähig war, eine Verfügung von Todes wegen zu errichten oder aufzuheben,</w:t>
      </w:r>
    </w:p>
    <w:p>
      <w:pPr>
        <w:tabs>
          <w:tab w:pos="567" w:val="left"/>
        </w:tabs>
        <w:ind w:left="567" w:hanging="567"/>
      </w:pPr>
      <w:r>
        <w:t>2.</w:t>
      </w:r>
      <w:r>
        <w:tab/>
      </w:r>
      <w:r>
        <w:t>wer den Erblasser vorsätzlich und widerrechtlich verhindert hat, eine Verfügung von Todes wegen zu errichten oder aufzuheben,</w:t>
      </w:r>
    </w:p>
    <w:p>
      <w:pPr>
        <w:tabs>
          <w:tab w:pos="567" w:val="left"/>
        </w:tabs>
        <w:ind w:left="567" w:hanging="567"/>
      </w:pPr>
      <w:r>
        <w:t>3.</w:t>
      </w:r>
      <w:r>
        <w:tab/>
      </w:r>
      <w:r>
        <w:t>wer den Erblasser durch arglistige Täuschung oder widerrechtlich durch Drohung bestimmt hat, eine Verfügung von Todes wegen zu errichten oder aufzuheben,</w:t>
      </w:r>
    </w:p>
    <w:p>
      <w:pPr>
        <w:tabs>
          <w:tab w:pos="567" w:val="left"/>
        </w:tabs>
        <w:ind w:left="567" w:hanging="567"/>
      </w:pPr>
      <w:r>
        <w:t>4.</w:t>
      </w:r>
      <w:r>
        <w:tab/>
      </w:r>
      <w:r>
        <w:t>wer sich in Ansehung einer Verfügung des Erblassers von Todes wegen einer Straftat nach den §§ 267, 271 bis 274 des Strafgesetzbuchs schuldig gemacht hat.</w:t>
      </w:r>
    </w:p>
    <w:p>
      <w:r>
        <w:t>(2) Die Erbunwürdigkeit tritt in den Fällen des Absatzes 1 Nr. 3, 4 nicht ein, wenn vor dem Eintritt des Erbfalls die Verfügung, zu deren Errichtung der Erblasser bestimmt oder in Ansehung deren die Straftat begangen worden ist, unwirksam geworden ist, oder die Verfügung, zu deren Aufhebung er bestimmt worden ist, unwirksam geworden sein würde.</w:t>
      </w:r>
    </w:p>
    <w:p>
      <w:pPr>
        <w:pStyle w:val="Heading3"/>
      </w:pPr>
      <w:bookmarkStart w:id="2810" w:name="b2795"/>
      <w:r>
        <w:t>§ 2340 Geltendmachung der Erbunwürdigkeit durch Anfechtung</w:t>
      </w:r>
      <w:r>
        <w:t xml:space="preserve"> </w:t>
      </w:r>
      <w:r>
        <w:rPr>
          <w:rStyle w:val="Suchmarke"/>
        </w:rPr>
        <w:t>#2340#</w:t>
      </w:r>
      <w:bookmarkEnd w:id="2810"/>
    </w:p>
    <w:p>
      <w:r>
        <w:t>(1) Die Erbunwürdigkeit wird durch Anfechtung des Erbschaftserwerbs geltend gemacht.</w:t>
      </w:r>
    </w:p>
    <w:p>
      <w:r>
        <w:t xml:space="preserve">(2) </w:t>
      </w:r>
      <w:r>
        <w:rPr>
          <w:rStyle w:val="Satznummer"/>
        </w:rPr>
        <w:t>1</w:t>
      </w:r>
      <w:r>
        <w:t xml:space="preserve">Die Anfechtung ist erst nach dem Anfall der Erbschaft zulässig. </w:t>
      </w:r>
      <w:r>
        <w:rPr>
          <w:rStyle w:val="Satznummer"/>
        </w:rPr>
        <w:t>2</w:t>
      </w:r>
      <w:r>
        <w:t>Einem Nacherben gegenüber kann die Anfechtung erfolgen, sobald die Erbschaft dem Vorerben angefallen ist.</w:t>
      </w:r>
    </w:p>
    <w:p>
      <w:r>
        <w:t xml:space="preserve">(3) Die Anfechtung kann nur innerhalb der in </w:t>
      </w:r>
      <w:hyperlink w:anchor="b2536" w:history="1">
        <w:r>
          <w:rPr>
            <w:color w:val="0A3A8C"/>
            <w:u w:val="single"/>
          </w:rPr>
          <w:t xml:space="preserve">§ 2082</w:t>
        </w:r>
      </w:hyperlink>
      <w:r>
        <w:t xml:space="preserve"> bestimmten Fristen erfolgen.</w:t>
      </w:r>
    </w:p>
    <w:p>
      <w:pPr>
        <w:pStyle w:val="Heading3"/>
      </w:pPr>
      <w:bookmarkStart w:id="2811" w:name="b2796"/>
      <w:r>
        <w:t>§ 2341 Anfechtungsberechtigte</w:t>
      </w:r>
      <w:r>
        <w:t xml:space="preserve"> </w:t>
      </w:r>
      <w:r>
        <w:rPr>
          <w:rStyle w:val="Suchmarke"/>
        </w:rPr>
        <w:t>#2341#</w:t>
      </w:r>
      <w:bookmarkEnd w:id="2811"/>
    </w:p>
    <w:p>
      <w:r>
        <w:t>Anfechtungsberechtigt ist jeder, dem der Wegfall des Erbunwürdigen, sei es auch nur bei dem Wegfall eines anderen, zustatten kommt.</w:t>
      </w:r>
    </w:p>
    <w:p>
      <w:pPr>
        <w:pStyle w:val="Heading3"/>
      </w:pPr>
      <w:bookmarkStart w:id="2812" w:name="b2797"/>
      <w:r>
        <w:t>§ 2342 Anfechtungsklage</w:t>
      </w:r>
      <w:r>
        <w:t xml:space="preserve"> </w:t>
      </w:r>
      <w:r>
        <w:rPr>
          <w:rStyle w:val="Suchmarke"/>
        </w:rPr>
        <w:t>#2342#</w:t>
      </w:r>
      <w:bookmarkEnd w:id="2812"/>
    </w:p>
    <w:p>
      <w:r>
        <w:t xml:space="preserve">(1) </w:t>
      </w:r>
      <w:r>
        <w:rPr>
          <w:rStyle w:val="Satznummer"/>
        </w:rPr>
        <w:t>1</w:t>
      </w:r>
      <w:r>
        <w:t xml:space="preserve">Die Anfechtung erfolgt durch Erhebung der Anfechtungsklage. </w:t>
      </w:r>
      <w:r>
        <w:rPr>
          <w:rStyle w:val="Satznummer"/>
        </w:rPr>
        <w:t>2</w:t>
      </w:r>
      <w:r>
        <w:t>Die Klage ist darauf zu richten, dass der Erbe für erbunwürdig erklärt wird.</w:t>
      </w:r>
    </w:p>
    <w:p>
      <w:r>
        <w:t>(2) Die Wirkung der Anfechtung tritt erst mit der Rechtskraft des Urteils ein.</w:t>
      </w:r>
    </w:p>
    <w:p>
      <w:pPr>
        <w:pStyle w:val="Heading3"/>
      </w:pPr>
      <w:bookmarkStart w:id="2813" w:name="b2798"/>
      <w:r>
        <w:t>§ 2343 Verzeihung</w:t>
      </w:r>
      <w:r>
        <w:t xml:space="preserve"> </w:t>
      </w:r>
      <w:r>
        <w:rPr>
          <w:rStyle w:val="Suchmarke"/>
        </w:rPr>
        <w:t>#2343#</w:t>
      </w:r>
      <w:bookmarkEnd w:id="2813"/>
    </w:p>
    <w:p>
      <w:r>
        <w:t>Die Anfechtung ist ausgeschlossen, wenn der Erblasser dem Erbunwürdigen verziehen hat.</w:t>
      </w:r>
    </w:p>
    <w:p>
      <w:pPr>
        <w:pStyle w:val="Heading3"/>
      </w:pPr>
      <w:bookmarkStart w:id="2814" w:name="b2799"/>
      <w:r>
        <w:t>§ 2344 Wirkung der Erbunwürdigerklärung</w:t>
      </w:r>
      <w:r>
        <w:t xml:space="preserve"> </w:t>
      </w:r>
      <w:r>
        <w:rPr>
          <w:rStyle w:val="Suchmarke"/>
        </w:rPr>
        <w:t>#2344#</w:t>
      </w:r>
      <w:bookmarkEnd w:id="2814"/>
    </w:p>
    <w:p>
      <w:r>
        <w:t>(1) Ist ein Erbe für erbunwürdig erklärt, so gilt der Anfall an ihn als nicht erfolgt.</w:t>
      </w:r>
    </w:p>
    <w:p>
      <w:r>
        <w:t>(2) Die Erbschaft fällt demjenigen an, welcher berufen sein würde, wenn der Erbunwürdige zur Zeit des Erbfalls nicht gelebt hätte; der Anfall gilt als mit dem Eintritt des Erbfalls erfolgt.</w:t>
      </w:r>
    </w:p>
    <w:p>
      <w:pPr>
        <w:pStyle w:val="Heading3"/>
      </w:pPr>
      <w:bookmarkStart w:id="2815" w:name="b2800"/>
      <w:r>
        <w:t>§ 2345 Vermächtnisunwürdigkeit; Pflichtteilsunwürdigkeit</w:t>
      </w:r>
      <w:r>
        <w:t xml:space="preserve"> </w:t>
      </w:r>
      <w:r>
        <w:rPr>
          <w:rStyle w:val="Suchmarke"/>
        </w:rPr>
        <w:t>#2345#</w:t>
      </w:r>
      <w:bookmarkEnd w:id="2815"/>
    </w:p>
    <w:p>
      <w:r>
        <w:t xml:space="preserve">(1) </w:t>
      </w:r>
      <w:r>
        <w:rPr>
          <w:rStyle w:val="Satznummer"/>
        </w:rPr>
        <w:t>1</w:t>
      </w:r>
      <w:r>
        <w:t xml:space="preserve">Hat sich ein Vermächtnisnehmer einer der in </w:t>
      </w:r>
      <w:hyperlink w:anchor="b2794" w:history="1">
        <w:r>
          <w:rPr>
            <w:color w:val="0A3A8C"/>
            <w:u w:val="single"/>
          </w:rPr>
          <w:t xml:space="preserve">§ 2339</w:t>
        </w:r>
      </w:hyperlink>
      <w:r>
        <w:t xml:space="preserve"> Abs. 1 bezeichneten Verfehlungen schuldig gemacht, so ist der Anspruch aus dem Vermächtnis anfechtbar. </w:t>
      </w:r>
      <w:r>
        <w:rPr>
          <w:rStyle w:val="Satznummer"/>
        </w:rPr>
        <w:t>2</w:t>
      </w:r>
      <w:r>
        <w:t xml:space="preserve">Die Vorschriften der </w:t>
      </w:r>
      <w:hyperlink w:anchor="b2536" w:history="1">
        <w:r>
          <w:rPr>
            <w:color w:val="0A3A8C"/>
            <w:u w:val="single"/>
          </w:rPr>
          <w:t xml:space="preserve">§§ 2082</w:t>
        </w:r>
      </w:hyperlink>
      <w:r>
        <w:t xml:space="preserve">, </w:t>
      </w:r>
      <w:hyperlink w:anchor="b2537" w:history="1">
        <w:r>
          <w:rPr>
            <w:color w:val="0A3A8C"/>
            <w:u w:val="single"/>
          </w:rPr>
          <w:t xml:space="preserve">2083</w:t>
        </w:r>
      </w:hyperlink>
      <w:r>
        <w:t xml:space="preserve">, </w:t>
      </w:r>
      <w:hyperlink w:anchor="b2794" w:history="1">
        <w:r>
          <w:rPr>
            <w:color w:val="0A3A8C"/>
            <w:u w:val="single"/>
          </w:rPr>
          <w:t xml:space="preserve">2339</w:t>
        </w:r>
      </w:hyperlink>
      <w:r>
        <w:t xml:space="preserve"> Abs. 2 und der </w:t>
      </w:r>
      <w:hyperlink w:anchor="b2796" w:history="1">
        <w:r>
          <w:rPr>
            <w:color w:val="0A3A8C"/>
            <w:u w:val="single"/>
          </w:rPr>
          <w:t xml:space="preserve">§§ 2341</w:t>
        </w:r>
      </w:hyperlink>
      <w:r>
        <w:t xml:space="preserve">, </w:t>
      </w:r>
      <w:hyperlink w:anchor="b2798" w:history="1">
        <w:r>
          <w:rPr>
            <w:color w:val="0A3A8C"/>
            <w:u w:val="single"/>
          </w:rPr>
          <w:t xml:space="preserve">2343</w:t>
        </w:r>
      </w:hyperlink>
      <w:r>
        <w:t xml:space="preserve"> finden Anwendung.</w:t>
      </w:r>
    </w:p>
    <w:p>
      <w:r>
        <w:t>(2) Das Gleiche gilt für einen Pflichtteilsanspruch, wenn der Pflichtteilsberechtigte sich einer solchen Verfehlung schuldig gemacht hat.</w:t>
      </w:r>
    </w:p>
    <w:p>
      <w:pPr>
        <w:pStyle w:val="Heading2"/>
      </w:pPr>
      <w:bookmarkStart w:id="2816" w:name="b2801"/>
      <w:r>
        <w:t>Abschnitt 7 Erbverzicht</w:t>
      </w:r>
      <w:bookmarkEnd w:id="2816"/>
    </w:p>
    <w:p>
      <w:pPr>
        <w:pStyle w:val="Heading3"/>
      </w:pPr>
      <w:bookmarkStart w:id="2817" w:name="b2802"/>
      <w:r>
        <w:t>§ 2346 Wirkung des Erbverzichts, Beschränkungsmöglichkeit</w:t>
      </w:r>
      <w:r>
        <w:t xml:space="preserve"> </w:t>
      </w:r>
      <w:r>
        <w:rPr>
          <w:rStyle w:val="Suchmarke"/>
        </w:rPr>
        <w:t>#2346#</w:t>
      </w:r>
      <w:bookmarkEnd w:id="2817"/>
    </w:p>
    <w:p>
      <w:r>
        <w:t xml:space="preserve">(1) </w:t>
      </w:r>
      <w:r>
        <w:rPr>
          <w:rStyle w:val="Satznummer"/>
        </w:rPr>
        <w:t>1</w:t>
      </w:r>
      <w:r>
        <w:t xml:space="preserve">Verwandte sowie der Ehegatte des Erblassers können durch Vertrag mit dem Erblasser auf ihr gesetzliches Erbrecht verzichten. </w:t>
      </w:r>
      <w:r>
        <w:rPr>
          <w:rStyle w:val="Satznummer"/>
        </w:rPr>
        <w:t>2</w:t>
      </w:r>
      <w:r>
        <w:t>Der Verzichtende ist von der gesetzlichen Erbfolge ausgeschlossen, wie wenn er zur Zeit des Erbfalls nicht mehr lebte; er hat kein Pflichtteilsrecht.</w:t>
      </w:r>
    </w:p>
    <w:p>
      <w:r>
        <w:t>(2) Der Verzicht kann auf das Pflichtteilsrecht beschränkt werden.</w:t>
      </w:r>
    </w:p>
    <w:p>
      <w:pPr>
        <w:pStyle w:val="Heading3"/>
      </w:pPr>
      <w:bookmarkStart w:id="2818" w:name="b2803"/>
      <w:r>
        <w:t>§ 2347 Persönliche Anforderungen, Vertretung</w:t>
      </w:r>
      <w:r>
        <w:t xml:space="preserve"> </w:t>
      </w:r>
      <w:r>
        <w:rPr>
          <w:rStyle w:val="Suchmarke"/>
        </w:rPr>
        <w:t>#2347#</w:t>
      </w:r>
      <w:bookmarkEnd w:id="2818"/>
    </w:p>
    <w:p>
      <w:r>
        <w:rPr>
          <w:rStyle w:val="Satznummer"/>
        </w:rPr>
        <w:t>1</w:t>
      </w:r>
      <w:r>
        <w:t xml:space="preserve">Der Erblasser kann den Vertrag nach </w:t>
      </w:r>
      <w:hyperlink w:anchor="b2802" w:history="1">
        <w:r>
          <w:rPr>
            <w:color w:val="0A3A8C"/>
            <w:u w:val="single"/>
          </w:rPr>
          <w:t xml:space="preserve">§ 2346</w:t>
        </w:r>
      </w:hyperlink>
      <w:r>
        <w:t xml:space="preserve"> nur persönlich schließen; ist er in der Geschäftsfähigkeit beschränkt, so bedarf er nicht der Zustimmung seines gesetzlichen Vertreters. </w:t>
      </w:r>
      <w:r>
        <w:rPr>
          <w:rStyle w:val="Satznummer"/>
        </w:rPr>
        <w:t>2</w:t>
      </w:r>
      <w:r>
        <w:t>Ist der Erblasser geschäftsunfähig, so kann der Vertrag durch den gesetzlichen Vertreter geschlossen werden.</w:t>
      </w:r>
    </w:p>
    <w:p>
      <w:pPr>
        <w:pStyle w:val="Heading3"/>
      </w:pPr>
      <w:bookmarkStart w:id="2819" w:name="b2804"/>
      <w:r>
        <w:t>§ 2348 Form</w:t>
      </w:r>
      <w:r>
        <w:t xml:space="preserve"> </w:t>
      </w:r>
      <w:r>
        <w:rPr>
          <w:rStyle w:val="Suchmarke"/>
        </w:rPr>
        <w:t>#2348#</w:t>
      </w:r>
      <w:bookmarkEnd w:id="2819"/>
    </w:p>
    <w:p>
      <w:r>
        <w:t xml:space="preserve">Der Vertrag nach </w:t>
      </w:r>
      <w:hyperlink w:anchor="b2802" w:history="1">
        <w:r>
          <w:rPr>
            <w:color w:val="0A3A8C"/>
            <w:u w:val="single"/>
          </w:rPr>
          <w:t xml:space="preserve">§ 2346</w:t>
        </w:r>
      </w:hyperlink>
      <w:r>
        <w:t xml:space="preserve"> bedarf der notariellen Beurkundung.</w:t>
      </w:r>
    </w:p>
    <w:p>
      <w:pPr>
        <w:pStyle w:val="Heading3"/>
      </w:pPr>
      <w:bookmarkStart w:id="2820" w:name="b2805"/>
      <w:r>
        <w:t>§ 2349 Erstreckung auf Abkömmlinge</w:t>
      </w:r>
      <w:r>
        <w:t xml:space="preserve"> </w:t>
      </w:r>
      <w:r>
        <w:rPr>
          <w:rStyle w:val="Suchmarke"/>
        </w:rPr>
        <w:t>#2349#</w:t>
      </w:r>
      <w:bookmarkEnd w:id="2820"/>
    </w:p>
    <w:p>
      <w:r>
        <w:t>Verzichtet ein Abkömmling oder ein Seitenverwandter des Erblassers auf das gesetzliche Erbrecht, so erstreckt sich die Wirkung des Verzichts auf seine Abkömmlinge, sofern nicht ein anderes bestimmt wird.</w:t>
      </w:r>
    </w:p>
    <w:p>
      <w:pPr>
        <w:pStyle w:val="Heading3"/>
      </w:pPr>
      <w:bookmarkStart w:id="2821" w:name="b2806"/>
      <w:r>
        <w:t>§ 2350 Verzicht zugunsten eines anderen</w:t>
      </w:r>
      <w:r>
        <w:t xml:space="preserve"> </w:t>
      </w:r>
      <w:r>
        <w:rPr>
          <w:rStyle w:val="Suchmarke"/>
        </w:rPr>
        <w:t>#2350#</w:t>
      </w:r>
      <w:bookmarkEnd w:id="2821"/>
    </w:p>
    <w:p>
      <w:r>
        <w:t>(1) Verzichtet jemand zugunsten eines anderen auf das gesetzliche Erbrecht, so ist im Zweifel anzunehmen, dass der Verzicht nur für den Fall gelten soll, dass der andere Erbe wird.</w:t>
      </w:r>
    </w:p>
    <w:p>
      <w:r>
        <w:t>(2) Verzichtet ein Abkömmling des Erblassers auf das gesetzliche Erbrecht, so ist im Zweifel anzunehmen, dass der Verzicht nur zugunsten der anderen Abkömmlinge und des Ehegatten oder Lebenspartners des Erblassers gelten soll.</w:t>
      </w:r>
    </w:p>
    <w:p>
      <w:pPr>
        <w:pStyle w:val="Heading3"/>
      </w:pPr>
      <w:bookmarkStart w:id="2822" w:name="b2807"/>
      <w:r>
        <w:t>§ 2351 Aufhebung des Erbverzichts</w:t>
      </w:r>
      <w:r>
        <w:t xml:space="preserve"> </w:t>
      </w:r>
      <w:r>
        <w:rPr>
          <w:rStyle w:val="Suchmarke"/>
        </w:rPr>
        <w:t>#2351#</w:t>
      </w:r>
      <w:bookmarkEnd w:id="2822"/>
    </w:p>
    <w:p>
      <w:r>
        <w:t xml:space="preserve">Auf einen Vertrag, durch den ein Erbverzicht aufgehoben wird, findet die Vorschrift des </w:t>
      </w:r>
      <w:hyperlink w:anchor="b2804" w:history="1">
        <w:r>
          <w:rPr>
            <w:color w:val="0A3A8C"/>
            <w:u w:val="single"/>
          </w:rPr>
          <w:t xml:space="preserve">§ 2348</w:t>
        </w:r>
      </w:hyperlink>
      <w:r>
        <w:t xml:space="preserve"> und in Ansehung des Erblassers auch die Vorschrift des </w:t>
      </w:r>
      <w:hyperlink w:anchor="b2803" w:history="1">
        <w:r>
          <w:rPr>
            <w:color w:val="0A3A8C"/>
            <w:u w:val="single"/>
          </w:rPr>
          <w:t xml:space="preserve">§ 2347</w:t>
        </w:r>
      </w:hyperlink>
      <w:r>
        <w:t xml:space="preserve"> Satz 1 erster Halbsatz, Satz 2 Anwendung.</w:t>
      </w:r>
    </w:p>
    <w:p>
      <w:pPr>
        <w:pStyle w:val="Heading3"/>
      </w:pPr>
      <w:bookmarkStart w:id="2823" w:name="b2808"/>
      <w:r>
        <w:t>§ 2352 Verzicht auf Zuwendungen</w:t>
      </w:r>
      <w:r>
        <w:t xml:space="preserve"> </w:t>
      </w:r>
      <w:r>
        <w:rPr>
          <w:rStyle w:val="Suchmarke"/>
        </w:rPr>
        <w:t>#2352#</w:t>
      </w:r>
      <w:bookmarkEnd w:id="2823"/>
    </w:p>
    <w:p>
      <w:r>
        <w:rPr>
          <w:rStyle w:val="Satznummer"/>
        </w:rPr>
        <w:t>1</w:t>
      </w:r>
      <w:r>
        <w:t xml:space="preserve">Wer durch Testament als Erbe eingesetzt oder mit einem Vermächtnis bedacht ist, kann durch Vertrag mit dem Erblasser auf die Zuwendung verzichten. </w:t>
      </w:r>
      <w:r>
        <w:rPr>
          <w:rStyle w:val="Satznummer"/>
        </w:rPr>
        <w:t>2</w:t>
      </w:r>
      <w:r>
        <w:t xml:space="preserve">Das Gleiche gilt für eine Zuwendung, die in einem Erbvertrag einem Dritten gemacht ist. </w:t>
      </w:r>
      <w:r>
        <w:rPr>
          <w:rStyle w:val="Satznummer"/>
        </w:rPr>
        <w:t>3</w:t>
      </w:r>
      <w:r>
        <w:t xml:space="preserve">Die Vorschriften der </w:t>
      </w:r>
      <w:hyperlink w:anchor="b2803" w:history="1">
        <w:r>
          <w:rPr>
            <w:color w:val="0A3A8C"/>
            <w:u w:val="single"/>
          </w:rPr>
          <w:t xml:space="preserve">§§ 2347</w:t>
        </w:r>
      </w:hyperlink>
      <w:r>
        <w:t xml:space="preserve"> bis </w:t>
      </w:r>
      <w:hyperlink w:anchor="b2805" w:history="1">
        <w:r>
          <w:rPr>
            <w:color w:val="0A3A8C"/>
            <w:u w:val="single"/>
          </w:rPr>
          <w:t xml:space="preserve">2349</w:t>
        </w:r>
      </w:hyperlink>
      <w:r>
        <w:t xml:space="preserve"> finden Anwendung.</w:t>
      </w:r>
    </w:p>
    <w:p>
      <w:pPr>
        <w:pStyle w:val="Heading2"/>
      </w:pPr>
      <w:bookmarkStart w:id="2824" w:name="b2809"/>
      <w:r>
        <w:t>Abschnitt 8 Erbschein</w:t>
      </w:r>
      <w:bookmarkEnd w:id="2824"/>
    </w:p>
    <w:p>
      <w:pPr>
        <w:pStyle w:val="Heading3"/>
      </w:pPr>
      <w:bookmarkStart w:id="2825" w:name="b2810"/>
      <w:r>
        <w:t>§ 2353 Zuständigkeit des Nachlassgerichts, Antrag</w:t>
      </w:r>
      <w:r>
        <w:t xml:space="preserve"> </w:t>
      </w:r>
      <w:r>
        <w:rPr>
          <w:rStyle w:val="Suchmarke"/>
        </w:rPr>
        <w:t>#2353#</w:t>
      </w:r>
      <w:bookmarkEnd w:id="2825"/>
    </w:p>
    <w:p>
      <w:r>
        <w:t>Das Nachlassgericht hat dem Erben auf Antrag ein Zeugnis über sein Erbrecht und, wenn er nur zu einem Teil der Erbschaft berufen ist, über die Größe des Erbteils zu erteilen (Erbschein).</w:t>
      </w:r>
    </w:p>
    <w:p>
      <w:pPr>
        <w:pStyle w:val="Heading3"/>
      </w:pPr>
      <w:bookmarkStart w:id="2826" w:name="b2811"/>
      <w:r>
        <w:t>§§ 2354 bis 2359 (weggefallen)</w:t>
      </w:r>
      <w:bookmarkEnd w:id="2826"/>
    </w:p>
    <w:p>
      <w:r>
        <w:t>(weggefallen)</w:t>
      </w:r>
    </w:p>
    <w:p>
      <w:pPr>
        <w:pStyle w:val="Heading3"/>
      </w:pPr>
      <w:bookmarkStart w:id="2827" w:name="b2812"/>
      <w:r>
        <w:t>§ 2360 (weggefallen)</w:t>
      </w:r>
      <w:r>
        <w:t xml:space="preserve"> </w:t>
      </w:r>
      <w:r>
        <w:rPr>
          <w:rStyle w:val="Suchmarke"/>
        </w:rPr>
        <w:t>#2360#</w:t>
      </w:r>
      <w:bookmarkEnd w:id="2827"/>
    </w:p>
    <w:p>
      <w:r>
        <w:t>-</w:t>
      </w:r>
    </w:p>
    <w:p>
      <w:pPr>
        <w:pStyle w:val="Heading3"/>
      </w:pPr>
      <w:bookmarkStart w:id="2828" w:name="b2813"/>
      <w:r>
        <w:t>§ 2361 Einziehung oder Kraftloserklärung des unrichtigen Erbscheins</w:t>
      </w:r>
      <w:r>
        <w:t xml:space="preserve"> </w:t>
      </w:r>
      <w:r>
        <w:rPr>
          <w:rStyle w:val="Suchmarke"/>
        </w:rPr>
        <w:t>#2361#</w:t>
      </w:r>
      <w:bookmarkEnd w:id="2828"/>
    </w:p>
    <w:p>
      <w:r>
        <w:rPr>
          <w:rStyle w:val="Satznummer"/>
        </w:rPr>
        <w:t>1</w:t>
      </w:r>
      <w:r>
        <w:t xml:space="preserve">Ergibt sich, dass der erteilte Erbschein unrichtig ist, so hat ihn das Nachlassgericht einzuziehen. </w:t>
      </w:r>
      <w:r>
        <w:rPr>
          <w:rStyle w:val="Satznummer"/>
        </w:rPr>
        <w:t>2</w:t>
      </w:r>
      <w:r>
        <w:t>Mit der Einziehung wird der Erbschein kraftlos.</w:t>
      </w:r>
    </w:p>
    <w:p>
      <w:pPr>
        <w:pStyle w:val="Heading3"/>
      </w:pPr>
      <w:bookmarkStart w:id="2829" w:name="b2814"/>
      <w:r>
        <w:t>§ 2362 Herausgabe- und Auskunftsanspruch des wirklichen Erben</w:t>
      </w:r>
      <w:r>
        <w:t xml:space="preserve"> </w:t>
      </w:r>
      <w:r>
        <w:rPr>
          <w:rStyle w:val="Suchmarke"/>
        </w:rPr>
        <w:t>#2362#</w:t>
      </w:r>
      <w:bookmarkEnd w:id="2829"/>
    </w:p>
    <w:p>
      <w:r>
        <w:t>(1) Der wirkliche Erbe kann von dem Besitzer eines unrichtigen Erbscheins die Herausgabe an das Nachlassgericht verlangen.</w:t>
      </w:r>
    </w:p>
    <w:p>
      <w:r>
        <w:t>(2) Derjenige, welchem ein unrichtiger Erbschein erteilt worden ist, hat dem wirklichen Erben über den Bestand der Erbschaft und über den Verbleib der Erbschaftsgegenstände Auskunft zu erteilen.</w:t>
      </w:r>
    </w:p>
    <w:p>
      <w:pPr>
        <w:pStyle w:val="Heading3"/>
      </w:pPr>
      <w:bookmarkStart w:id="2830" w:name="b2815"/>
      <w:r>
        <w:t>§ 2363 Herausgabeanspruch des Nacherben und des Testamentsvollstreckers</w:t>
      </w:r>
      <w:r>
        <w:t xml:space="preserve"> </w:t>
      </w:r>
      <w:r>
        <w:rPr>
          <w:rStyle w:val="Suchmarke"/>
        </w:rPr>
        <w:t>#2363#</w:t>
      </w:r>
      <w:bookmarkEnd w:id="2830"/>
    </w:p>
    <w:p>
      <w:r>
        <w:t xml:space="preserve">Dem Nacherben sowie dem Testamentsvollstrecker steht das in </w:t>
      </w:r>
      <w:hyperlink w:anchor="b2814" w:history="1">
        <w:r>
          <w:rPr>
            <w:color w:val="0A3A8C"/>
            <w:u w:val="single"/>
          </w:rPr>
          <w:t xml:space="preserve">§ 2362</w:t>
        </w:r>
      </w:hyperlink>
      <w:r>
        <w:t xml:space="preserve"> Absatz 1 bestimmte Recht zu.</w:t>
      </w:r>
    </w:p>
    <w:p>
      <w:pPr>
        <w:pStyle w:val="Heading3"/>
      </w:pPr>
      <w:bookmarkStart w:id="2831" w:name="b2816"/>
      <w:r>
        <w:t>§ 2364 (weggefallen)</w:t>
      </w:r>
      <w:r>
        <w:t xml:space="preserve"> </w:t>
      </w:r>
      <w:r>
        <w:rPr>
          <w:rStyle w:val="Suchmarke"/>
        </w:rPr>
        <w:t>#2364#</w:t>
      </w:r>
      <w:bookmarkEnd w:id="2831"/>
    </w:p>
    <w:p>
      <w:pPr>
        <w:pStyle w:val="Heading3"/>
      </w:pPr>
      <w:bookmarkStart w:id="2832" w:name="b2817"/>
      <w:r>
        <w:t>§ 2365 Vermutung der Richtigkeit des Erbscheins</w:t>
      </w:r>
      <w:r>
        <w:t xml:space="preserve"> </w:t>
      </w:r>
      <w:r>
        <w:rPr>
          <w:rStyle w:val="Suchmarke"/>
        </w:rPr>
        <w:t>#2365#</w:t>
      </w:r>
      <w:bookmarkEnd w:id="2832"/>
    </w:p>
    <w:p>
      <w:r>
        <w:t>Es wird vermutet, dass demjenigen, welcher in dem Erbschein als Erbe bezeichnet ist, das in dem Erbschein angegebene Erbrecht zustehe und dass er nicht durch andere als die angegebenen Anordnungen beschränkt sei.</w:t>
      </w:r>
    </w:p>
    <w:p>
      <w:pPr>
        <w:pStyle w:val="Heading3"/>
      </w:pPr>
      <w:bookmarkStart w:id="2833" w:name="b2818"/>
      <w:r>
        <w:t>§ 2366 Öffentlicher Glaube des Erbscheins</w:t>
      </w:r>
      <w:r>
        <w:t xml:space="preserve"> </w:t>
      </w:r>
      <w:r>
        <w:rPr>
          <w:rStyle w:val="Suchmarke"/>
        </w:rPr>
        <w:t>#2366#</w:t>
      </w:r>
      <w:bookmarkEnd w:id="2833"/>
    </w:p>
    <w:p>
      <w:r>
        <w:t xml:space="preserve">Erwirbt jemand von demjenigen, welcher in einem Erbschein als Erbe bezeichnet ist, durch Rechtsgeschäft einen Erbschaftsgegenstand, ein Recht an einem solchen Gegenstand oder die Befreiung von einem zur Erbschaft gehörenden Recht, so gilt zu seinen Gunsten der Inhalt des Erbscheins, soweit die Vermutung des </w:t>
      </w:r>
      <w:hyperlink w:anchor="b2817" w:history="1">
        <w:r>
          <w:rPr>
            <w:color w:val="0A3A8C"/>
            <w:u w:val="single"/>
          </w:rPr>
          <w:t xml:space="preserve">§ 2365</w:t>
        </w:r>
      </w:hyperlink>
      <w:r>
        <w:t xml:space="preserve"> reicht, als richtig, es sei denn, dass er die Unrichtigkeit kennt oder weiß, dass das Nachlassgericht die Rückgabe des Erbscheins wegen Unrichtigkeit verlangt hat.</w:t>
      </w:r>
    </w:p>
    <w:p>
      <w:pPr>
        <w:pStyle w:val="Heading3"/>
      </w:pPr>
      <w:bookmarkStart w:id="2834" w:name="b2819"/>
      <w:r>
        <w:t>§ 2367 Leistung an Erbscheinserben</w:t>
      </w:r>
      <w:r>
        <w:t xml:space="preserve"> </w:t>
      </w:r>
      <w:r>
        <w:rPr>
          <w:rStyle w:val="Suchmarke"/>
        </w:rPr>
        <w:t>#2367#</w:t>
      </w:r>
      <w:bookmarkEnd w:id="2834"/>
    </w:p>
    <w:p>
      <w:r>
        <w:t xml:space="preserve">Die Vorschrift des </w:t>
      </w:r>
      <w:hyperlink w:anchor="b2818" w:history="1">
        <w:r>
          <w:rPr>
            <w:color w:val="0A3A8C"/>
            <w:u w:val="single"/>
          </w:rPr>
          <w:t xml:space="preserve">§ 2366</w:t>
        </w:r>
      </w:hyperlink>
      <w:r>
        <w:t xml:space="preserve"> findet entsprechende Anwendung, wenn an denjenigen, welcher in einem Erbschein als Erbe bezeichnet ist, auf Grund eines zur Erbschaft gehörenden Rechts eine Leistung bewirkt oder wenn zwischen ihm und einem anderen in Ansehung eines solchen Rechts ein nicht unter die Vorschrift des </w:t>
      </w:r>
      <w:hyperlink w:anchor="b2818" w:history="1">
        <w:r>
          <w:rPr>
            <w:color w:val="0A3A8C"/>
            <w:u w:val="single"/>
          </w:rPr>
          <w:t xml:space="preserve">§ 2366</w:t>
        </w:r>
      </w:hyperlink>
      <w:r>
        <w:t xml:space="preserve"> fallendes Rechtsgeschäft vorgenommen wird, das eine Verfügung über das Recht enthält.</w:t>
      </w:r>
    </w:p>
    <w:p>
      <w:pPr>
        <w:pStyle w:val="Heading3"/>
      </w:pPr>
      <w:bookmarkStart w:id="2835" w:name="b2820"/>
      <w:r>
        <w:t>§ 2368 Testamentsvollstreckerzeugnis</w:t>
      </w:r>
      <w:r>
        <w:t xml:space="preserve"> </w:t>
      </w:r>
      <w:r>
        <w:rPr>
          <w:rStyle w:val="Suchmarke"/>
        </w:rPr>
        <w:t>#2368#</w:t>
      </w:r>
      <w:bookmarkEnd w:id="2835"/>
    </w:p>
    <w:p>
      <w:r>
        <w:rPr>
          <w:rStyle w:val="Satznummer"/>
        </w:rPr>
        <w:t>1</w:t>
      </w:r>
      <w:r>
        <w:t xml:space="preserve">Einem Testamentsvollstrecker hat das Nachlassgericht auf Antrag ein Zeugnis über die Ernennung zu erteilen. </w:t>
      </w:r>
      <w:r>
        <w:rPr>
          <w:rStyle w:val="Satznummer"/>
        </w:rPr>
        <w:t>2</w:t>
      </w:r>
      <w:r>
        <w:t>Die Vorschriften über den Erbschein finden auf das Zeugnis entsprechende Anwendung; mit der Beendigung des Amts des Testamentsvollstreckers wird das Zeugnis kraftlos.</w:t>
      </w:r>
    </w:p>
    <w:p>
      <w:pPr>
        <w:pStyle w:val="Heading3"/>
      </w:pPr>
      <w:bookmarkStart w:id="2836" w:name="b2821"/>
      <w:r>
        <w:t>§ 2369 (weggefallen)</w:t>
      </w:r>
      <w:r>
        <w:t xml:space="preserve"> </w:t>
      </w:r>
      <w:r>
        <w:rPr>
          <w:rStyle w:val="Suchmarke"/>
        </w:rPr>
        <w:t>#2369#</w:t>
      </w:r>
      <w:bookmarkEnd w:id="2836"/>
    </w:p>
    <w:p>
      <w:pPr>
        <w:pStyle w:val="Heading3"/>
      </w:pPr>
      <w:bookmarkStart w:id="2837" w:name="b2822"/>
      <w:r>
        <w:t>§ 2370 Öffentlicher Glaube bei Todeserklärung</w:t>
      </w:r>
      <w:r>
        <w:t xml:space="preserve"> </w:t>
      </w:r>
      <w:r>
        <w:rPr>
          <w:rStyle w:val="Suchmarke"/>
        </w:rPr>
        <w:t>#2370#</w:t>
      </w:r>
      <w:bookmarkEnd w:id="2837"/>
    </w:p>
    <w:p>
      <w:r>
        <w:t xml:space="preserve">(1) Hat eine Person, die für tot erklärt oder deren Todeszeit nach den Vorschriften des Verschollenheitsgesetzes festgestellt ist, den Zeitpunkt überlebt, der als Zeitpunkt ihres Todes gilt, oder ist sie vor diesem Zeitpunkt gestorben, so gilt derjenige, welcher auf Grund der Todeserklärung oder der Feststellung der Todeszeit Erbe sein würde, in Ansehung der in den </w:t>
      </w:r>
      <w:hyperlink w:anchor="b2818" w:history="1">
        <w:r>
          <w:rPr>
            <w:color w:val="0A3A8C"/>
            <w:u w:val="single"/>
          </w:rPr>
          <w:t xml:space="preserve">§§ 2366</w:t>
        </w:r>
      </w:hyperlink>
      <w:r>
        <w:t xml:space="preserve">, </w:t>
      </w:r>
      <w:hyperlink w:anchor="b2819" w:history="1">
        <w:r>
          <w:rPr>
            <w:color w:val="0A3A8C"/>
            <w:u w:val="single"/>
          </w:rPr>
          <w:t xml:space="preserve">2367</w:t>
        </w:r>
      </w:hyperlink>
      <w:r>
        <w:t xml:space="preserve"> bezeichneten Rechtsgeschäfte zugunsten des Dritten auch ohne Erteilung eines Erbscheins als Erbe, es sei denn, dass der Dritte die Unrichtigkeit der Todeserklärung oder der Feststellung der Todeszeit kennt oder weiß, dass sie aufgehoben worden sind.</w:t>
      </w:r>
    </w:p>
    <w:p>
      <w:r>
        <w:t xml:space="preserve">(2) </w:t>
      </w:r>
      <w:r>
        <w:rPr>
          <w:rStyle w:val="Satznummer"/>
        </w:rPr>
        <w:t>1</w:t>
      </w:r>
      <w:r>
        <w:t xml:space="preserve">Ist ein Erbschein erteilt worden, so stehen demjenigen, der für tot erklärt oder dessen Todeszeit nach den Vorschriften des Verschollenheitsgesetzes festgestellt ist, wenn er noch lebt, die in </w:t>
      </w:r>
      <w:hyperlink w:anchor="b2814" w:history="1">
        <w:r>
          <w:rPr>
            <w:color w:val="0A3A8C"/>
            <w:u w:val="single"/>
          </w:rPr>
          <w:t xml:space="preserve">§ 2362</w:t>
        </w:r>
      </w:hyperlink>
      <w:r>
        <w:t xml:space="preserve"> bestimmten Rechte zu. </w:t>
      </w:r>
      <w:r>
        <w:rPr>
          <w:rStyle w:val="Satznummer"/>
        </w:rPr>
        <w:t>2</w:t>
      </w:r>
      <w:r>
        <w:t>Die gleichen Rechte hat eine Person, deren Tod ohne Todeserklärung oder Feststellung der Todeszeit mit Unrecht angenommen worden ist.</w:t>
      </w:r>
    </w:p>
    <w:p>
      <w:pPr>
        <w:pStyle w:val="Heading2"/>
      </w:pPr>
      <w:bookmarkStart w:id="2838" w:name="b2823"/>
      <w:r>
        <w:t>Abschnitt 9 Erbschaftskauf</w:t>
      </w:r>
      <w:bookmarkEnd w:id="2838"/>
    </w:p>
    <w:p>
      <w:pPr>
        <w:pStyle w:val="Heading3"/>
      </w:pPr>
      <w:bookmarkStart w:id="2839" w:name="b2824"/>
      <w:r>
        <w:t>§ 2371 Form</w:t>
      </w:r>
      <w:r>
        <w:t xml:space="preserve"> </w:t>
      </w:r>
      <w:r>
        <w:rPr>
          <w:rStyle w:val="Suchmarke"/>
        </w:rPr>
        <w:t>#2371#</w:t>
      </w:r>
      <w:bookmarkEnd w:id="2839"/>
    </w:p>
    <w:p>
      <w:r>
        <w:t>Ein Vertrag, durch den der Erbe die ihm angefallene Erbschaft verkauft, bedarf der notariellen Beurkundung.</w:t>
      </w:r>
    </w:p>
    <w:p>
      <w:pPr>
        <w:pStyle w:val="Heading3"/>
      </w:pPr>
      <w:bookmarkStart w:id="2840" w:name="b2825"/>
      <w:r>
        <w:t>§ 2372 Dem Käufer zustehende Vorteile</w:t>
      </w:r>
      <w:r>
        <w:t xml:space="preserve"> </w:t>
      </w:r>
      <w:r>
        <w:rPr>
          <w:rStyle w:val="Suchmarke"/>
        </w:rPr>
        <w:t>#2372#</w:t>
      </w:r>
      <w:bookmarkEnd w:id="2840"/>
    </w:p>
    <w:p>
      <w:r>
        <w:t>Die Vorteile, welche sich aus dem Wegfall eines Vermächtnisses oder einer Auflage oder aus der Ausgleichungspflicht eines Miterben ergeben, gebühren dem Käufer.</w:t>
      </w:r>
    </w:p>
    <w:p>
      <w:pPr>
        <w:pStyle w:val="Heading3"/>
      </w:pPr>
      <w:bookmarkStart w:id="2841" w:name="b2826"/>
      <w:r>
        <w:t>§ 2373 Dem Verkäufer verbleibende Teile</w:t>
      </w:r>
      <w:r>
        <w:t xml:space="preserve"> </w:t>
      </w:r>
      <w:r>
        <w:rPr>
          <w:rStyle w:val="Suchmarke"/>
        </w:rPr>
        <w:t>#2373#</w:t>
      </w:r>
      <w:bookmarkEnd w:id="2841"/>
    </w:p>
    <w:p>
      <w:r>
        <w:rPr>
          <w:rStyle w:val="Satznummer"/>
        </w:rPr>
        <w:t>1</w:t>
      </w:r>
      <w:r>
        <w:t xml:space="preserve">Ein Erbteil, der dem Verkäufer nach dem Abschluss des Kaufs durch Nacherbfolge oder infolge des Wegfalls eines Miterben anfällt, sowie ein dem Verkäufer zugewendetes Vorausvermächtnis ist im Zweifel nicht als mitverkauft anzusehen. </w:t>
      </w:r>
      <w:r>
        <w:rPr>
          <w:rStyle w:val="Satznummer"/>
        </w:rPr>
        <w:t>2</w:t>
      </w:r>
      <w:r>
        <w:t>Das Gleiche gilt von Familienpapieren und Familienbildern.</w:t>
      </w:r>
    </w:p>
    <w:p>
      <w:pPr>
        <w:pStyle w:val="Heading3"/>
      </w:pPr>
      <w:bookmarkStart w:id="2842" w:name="b2827"/>
      <w:r>
        <w:t>§ 2374 Herausgabepflicht</w:t>
      </w:r>
      <w:r>
        <w:t xml:space="preserve"> </w:t>
      </w:r>
      <w:r>
        <w:rPr>
          <w:rStyle w:val="Suchmarke"/>
        </w:rPr>
        <w:t>#2374#</w:t>
      </w:r>
      <w:bookmarkEnd w:id="2842"/>
    </w:p>
    <w:p>
      <w:r>
        <w:t>Der Verkäufer ist verpflichtet, dem Käufer die zur Zeit des Verkaufs vorhandenen Erbschaftsgegenstände mit Einschluss dessen herauszugeben, was er vor dem Verkauf auf Grund eines zur Erbschaft gehörenden Rechts oder als Ersatz für die Zerstörung, Beschädigung oder Entziehung eines Erbschaftsgegenstands oder durch ein Rechtsgeschäft erlangt hat, das sich auf die Erbschaft bezog.</w:t>
      </w:r>
    </w:p>
    <w:p>
      <w:pPr>
        <w:pStyle w:val="Heading3"/>
      </w:pPr>
      <w:bookmarkStart w:id="2843" w:name="b2828"/>
      <w:r>
        <w:t>§ 2375 Ersatzpflicht</w:t>
      </w:r>
      <w:r>
        <w:t xml:space="preserve"> </w:t>
      </w:r>
      <w:r>
        <w:rPr>
          <w:rStyle w:val="Suchmarke"/>
        </w:rPr>
        <w:t>#2375#</w:t>
      </w:r>
      <w:bookmarkEnd w:id="2843"/>
    </w:p>
    <w:p>
      <w:r>
        <w:t xml:space="preserve">(1) </w:t>
      </w:r>
      <w:r>
        <w:rPr>
          <w:rStyle w:val="Satznummer"/>
        </w:rPr>
        <w:t>1</w:t>
      </w:r>
      <w:r>
        <w:t xml:space="preserve">Hat der Verkäufer vor dem Verkauf einen Erbschaftsgegenstand verbraucht, unentgeltlich veräußert oder unentgeltlich belastet, so ist er verpflichtet, dem Käufer den Wert des verbrauchten oder veräußerten Gegenstands, im Falle der Belastung die Wertminderung zu ersetzen. </w:t>
      </w:r>
      <w:r>
        <w:rPr>
          <w:rStyle w:val="Satznummer"/>
        </w:rPr>
        <w:t>2</w:t>
      </w:r>
      <w:r>
        <w:t>Die Ersatzpflicht tritt nicht ein, wenn der Käufer den Verbrauch oder die unentgeltliche Verfügung bei dem Abschluss des Kaufs kennt.</w:t>
      </w:r>
    </w:p>
    <w:p>
      <w:r>
        <w:t>(2) Im Übrigen kann der Käufer wegen Verschlechterung, Untergangs oder einer aus einem anderen Grunde eingetretenen Unmöglichkeit der Herausgabe eines Erbschaftsgegenstands nicht Ersatz verlangen.</w:t>
      </w:r>
    </w:p>
    <w:p>
      <w:pPr>
        <w:pStyle w:val="Heading3"/>
      </w:pPr>
      <w:bookmarkStart w:id="2844" w:name="b2829"/>
      <w:r>
        <w:t>§ 2376 Haftung des Verkäufers</w:t>
      </w:r>
      <w:r>
        <w:t xml:space="preserve"> </w:t>
      </w:r>
      <w:r>
        <w:rPr>
          <w:rStyle w:val="Suchmarke"/>
        </w:rPr>
        <w:t>#2376#</w:t>
      </w:r>
      <w:bookmarkEnd w:id="2844"/>
    </w:p>
    <w:p>
      <w:r>
        <w:t>(1) Die Haftung des Verkäufers für Rechtsmängel beschränkt sich darauf, dass ihm das Erbrecht zusteht, dass es nicht durch das Recht eines Nacherben oder durch die Ernennung eines Testamentsvollstreckers beschränkt ist, dass nicht Vermächtnisse, Auflagen, Pflichtteilslasten, Ausgleichungspflichten oder Teilungsanordnungen bestehen und dass nicht unbeschränkte Haftung gegenüber den Nachlassgläubigern oder einzelnen von ihnen eingetreten ist.</w:t>
      </w:r>
    </w:p>
    <w:p>
      <w:r>
        <w:t>(2) Für Sachmängel eines zur Erbschaft gehörenden Gegenstands haftet der Verkäufer nicht, es sei denn, dass er einen Mangel arglistig verschwiegen oder eine Garantie für die Beschaffenheit des Gegenstands übernommen hat.</w:t>
      </w:r>
    </w:p>
    <w:p>
      <w:pPr>
        <w:pStyle w:val="Heading3"/>
      </w:pPr>
      <w:bookmarkStart w:id="2845" w:name="b2830"/>
      <w:r>
        <w:t>§ 2377 Wiederaufleben erloschener Rechtsverhältnisse</w:t>
      </w:r>
      <w:r>
        <w:t xml:space="preserve"> </w:t>
      </w:r>
      <w:r>
        <w:rPr>
          <w:rStyle w:val="Suchmarke"/>
        </w:rPr>
        <w:t>#2377#</w:t>
      </w:r>
      <w:bookmarkEnd w:id="2845"/>
    </w:p>
    <w:p>
      <w:r>
        <w:rPr>
          <w:rStyle w:val="Satznummer"/>
        </w:rPr>
        <w:t>1</w:t>
      </w:r>
      <w:r>
        <w:t xml:space="preserve">Die infolge des Erbfalls durch Vereinigung von Recht und Verbindlichkeit oder von Recht und Belastung erloschenen Rechtsverhältnisse gelten im Verhältnis zwischen dem Käufer und dem Verkäufer als nicht erloschen. </w:t>
      </w:r>
      <w:r>
        <w:rPr>
          <w:rStyle w:val="Satznummer"/>
        </w:rPr>
        <w:t>2</w:t>
      </w:r>
      <w:r>
        <w:t>Erforderlichenfalls ist ein solches Rechtsverhältnis wiederherzustellen.</w:t>
      </w:r>
    </w:p>
    <w:p>
      <w:pPr>
        <w:pStyle w:val="Heading3"/>
      </w:pPr>
      <w:bookmarkStart w:id="2846" w:name="b2831"/>
      <w:r>
        <w:t>§ 2378 Nachlassverbindlichkeiten</w:t>
      </w:r>
      <w:r>
        <w:t xml:space="preserve"> </w:t>
      </w:r>
      <w:r>
        <w:rPr>
          <w:rStyle w:val="Suchmarke"/>
        </w:rPr>
        <w:t>#2378#</w:t>
      </w:r>
      <w:bookmarkEnd w:id="2846"/>
    </w:p>
    <w:p>
      <w:r>
        <w:t xml:space="preserve">(1) Der Käufer ist dem Verkäufer gegenüber verpflichtet, die Nachlassverbindlichkeiten zu erfüllen, soweit nicht der Verkäufer nach </w:t>
      </w:r>
      <w:hyperlink w:anchor="b2829" w:history="1">
        <w:r>
          <w:rPr>
            <w:color w:val="0A3A8C"/>
            <w:u w:val="single"/>
          </w:rPr>
          <w:t xml:space="preserve">§ 2376</w:t>
        </w:r>
      </w:hyperlink>
      <w:r>
        <w:t xml:space="preserve"> dafür haftet, dass sie nicht bestehen.</w:t>
      </w:r>
    </w:p>
    <w:p>
      <w:r>
        <w:t>(2) Hat der Verkäufer vor dem Verkauf eine Nachlassverbindlichkeit erfüllt, so kann er von dem Käufer Ersatz verlangen.</w:t>
      </w:r>
    </w:p>
    <w:p>
      <w:pPr>
        <w:pStyle w:val="Heading3"/>
      </w:pPr>
      <w:bookmarkStart w:id="2847" w:name="b2832"/>
      <w:r>
        <w:t>§ 2379 Nutzungen und Lasten vor Verkauf</w:t>
      </w:r>
      <w:r>
        <w:t xml:space="preserve"> </w:t>
      </w:r>
      <w:r>
        <w:rPr>
          <w:rStyle w:val="Suchmarke"/>
        </w:rPr>
        <w:t>#2379#</w:t>
      </w:r>
      <w:bookmarkEnd w:id="2847"/>
    </w:p>
    <w:p>
      <w:r>
        <w:rPr>
          <w:rStyle w:val="Satznummer"/>
        </w:rPr>
        <w:t>1</w:t>
      </w:r>
      <w:r>
        <w:t xml:space="preserve">Dem Verkäufer verbleiben die auf die Zeit vor dem Verkauf fallenden Nutzungen. </w:t>
      </w:r>
      <w:r>
        <w:rPr>
          <w:rStyle w:val="Satznummer"/>
        </w:rPr>
        <w:t>2</w:t>
      </w:r>
      <w:r>
        <w:t xml:space="preserve">Er trägt für diese Zeit die Lasten, mit Einschluss der Zinsen der Nachlassverbindlichkeiten. </w:t>
      </w:r>
      <w:r>
        <w:rPr>
          <w:rStyle w:val="Satznummer"/>
        </w:rPr>
        <w:t>3</w:t>
      </w:r>
      <w:r>
        <w:t>Den Käufer treffen jedoch die von der Erbschaft zu entrichtenden Abgaben sowie die außerordentlichen Lasten, welche als auf den Stammwert der Erbschaftsgegenstände gelegt anzusehen sind.</w:t>
      </w:r>
    </w:p>
    <w:p>
      <w:pPr>
        <w:pStyle w:val="Heading3"/>
      </w:pPr>
      <w:bookmarkStart w:id="2848" w:name="b2833"/>
      <w:r>
        <w:t>§ 2380 Gefahrübergang, Nutzungen und Lasten nach Verkauf</w:t>
      </w:r>
      <w:r>
        <w:t xml:space="preserve"> </w:t>
      </w:r>
      <w:r>
        <w:rPr>
          <w:rStyle w:val="Suchmarke"/>
        </w:rPr>
        <w:t>#2380#</w:t>
      </w:r>
      <w:bookmarkEnd w:id="2848"/>
    </w:p>
    <w:p>
      <w:r>
        <w:rPr>
          <w:rStyle w:val="Satznummer"/>
        </w:rPr>
        <w:t>1</w:t>
      </w:r>
      <w:r>
        <w:t xml:space="preserve">Der Käufer trägt von dem Abschluss des Kaufs an die Gefahr des zufälligen Untergangs und einer zufälligen Verschlechterung der Erbschaftsgegenstände. </w:t>
      </w:r>
      <w:r>
        <w:rPr>
          <w:rStyle w:val="Satznummer"/>
        </w:rPr>
        <w:t>2</w:t>
      </w:r>
      <w:r>
        <w:t>Von diesem Zeitpunkt an gebühren ihm die Nutzungen und trägt er die Lasten.</w:t>
      </w:r>
    </w:p>
    <w:p>
      <w:pPr>
        <w:pStyle w:val="Heading3"/>
      </w:pPr>
      <w:bookmarkStart w:id="2849" w:name="b2834"/>
      <w:r>
        <w:t>§ 2381 Ersatz von Verwendungen und Aufwendungen</w:t>
      </w:r>
      <w:r>
        <w:t xml:space="preserve"> </w:t>
      </w:r>
      <w:r>
        <w:rPr>
          <w:rStyle w:val="Suchmarke"/>
        </w:rPr>
        <w:t>#2381#</w:t>
      </w:r>
      <w:bookmarkEnd w:id="2849"/>
    </w:p>
    <w:p>
      <w:r>
        <w:t>(1) Der Käufer hat dem Verkäufer die notwendigen Verwendungen zu ersetzen, die der Verkäufer vor dem Verkauf auf die Erbschaft gemacht hat.</w:t>
      </w:r>
    </w:p>
    <w:p>
      <w:r>
        <w:t>(2) Für andere vor dem Verkauf gemachte Aufwendungen hat der Käufer insoweit Ersatz zu leisten, als durch sie der Wert der Erbschaft zur Zeit des Verkaufs erhöht ist.</w:t>
      </w:r>
    </w:p>
    <w:p>
      <w:pPr>
        <w:pStyle w:val="Heading3"/>
      </w:pPr>
      <w:bookmarkStart w:id="2850" w:name="b2835"/>
      <w:r>
        <w:t>§ 2382 Haftung des Käufers gegenüber Nachlassgläubigern</w:t>
      </w:r>
      <w:r>
        <w:t xml:space="preserve"> </w:t>
      </w:r>
      <w:r>
        <w:rPr>
          <w:rStyle w:val="Suchmarke"/>
        </w:rPr>
        <w:t>#2382#</w:t>
      </w:r>
      <w:bookmarkEnd w:id="2850"/>
    </w:p>
    <w:p>
      <w:r>
        <w:t xml:space="preserve">(1) </w:t>
      </w:r>
      <w:r>
        <w:rPr>
          <w:rStyle w:val="Satznummer"/>
        </w:rPr>
        <w:t>1</w:t>
      </w:r>
      <w:r>
        <w:t xml:space="preserve">Der Käufer haftet von dem Abschluss des Kaufs an den Nachlassgläubigern, unbeschadet der Fortdauer der Haftung des Verkäufers. </w:t>
      </w:r>
      <w:r>
        <w:rPr>
          <w:rStyle w:val="Satznummer"/>
        </w:rPr>
        <w:t>2</w:t>
      </w:r>
      <w:r>
        <w:t xml:space="preserve">Dies gilt auch von den Verbindlichkeiten, zu deren Erfüllung der Käufer dem Verkäufer gegenüber nach den </w:t>
      </w:r>
      <w:hyperlink w:anchor="b2831" w:history="1">
        <w:r>
          <w:rPr>
            <w:color w:val="0A3A8C"/>
            <w:u w:val="single"/>
          </w:rPr>
          <w:t xml:space="preserve">§§ 2378</w:t>
        </w:r>
      </w:hyperlink>
      <w:r>
        <w:t xml:space="preserve">, </w:t>
      </w:r>
      <w:hyperlink w:anchor="b2832" w:history="1">
        <w:r>
          <w:rPr>
            <w:color w:val="0A3A8C"/>
            <w:u w:val="single"/>
          </w:rPr>
          <w:t xml:space="preserve">2379</w:t>
        </w:r>
      </w:hyperlink>
      <w:r>
        <w:t xml:space="preserve"> nicht verpflichtet ist.</w:t>
      </w:r>
    </w:p>
    <w:p>
      <w:r>
        <w:t>(2) Die Haftung des Käufers den Gläubigern gegenüber kann nicht durch Vereinbarung zwischen dem Käufer und dem Verkäufer ausgeschlossen oder beschränkt werden.</w:t>
      </w:r>
    </w:p>
    <w:p>
      <w:pPr>
        <w:pStyle w:val="Heading3"/>
      </w:pPr>
      <w:bookmarkStart w:id="2851" w:name="b2836"/>
      <w:r>
        <w:t>§ 2383 Umfang der Haftung des Käufers</w:t>
      </w:r>
      <w:r>
        <w:t xml:space="preserve"> </w:t>
      </w:r>
      <w:r>
        <w:rPr>
          <w:rStyle w:val="Suchmarke"/>
        </w:rPr>
        <w:t>#2383#</w:t>
      </w:r>
      <w:bookmarkEnd w:id="2851"/>
    </w:p>
    <w:p>
      <w:r>
        <w:t xml:space="preserve">(1) </w:t>
      </w:r>
      <w:r>
        <w:rPr>
          <w:rStyle w:val="Satznummer"/>
        </w:rPr>
        <w:t>1</w:t>
      </w:r>
      <w:r>
        <w:t xml:space="preserve">Für die Haftung des Käufers gelten die Vorschriften über die Beschränkung der Haftung des Erben. </w:t>
      </w:r>
      <w:r>
        <w:rPr>
          <w:rStyle w:val="Satznummer"/>
        </w:rPr>
        <w:t>2</w:t>
      </w:r>
      <w:r>
        <w:t xml:space="preserve">Er haftet unbeschränkt, soweit der Verkäufer zur Zeit des Verkaufs unbeschränkt haftet. </w:t>
      </w:r>
      <w:r>
        <w:rPr>
          <w:rStyle w:val="Satznummer"/>
        </w:rPr>
        <w:t>3</w:t>
      </w:r>
      <w:r>
        <w:t>Beschränkt sich die Haftung des Käufers auf die Erbschaft, so gelten seine Ansprüche aus dem Kauf als zur Erbschaft gehörend.</w:t>
      </w:r>
    </w:p>
    <w:p>
      <w:r>
        <w:t>(2) Die Errichtung des Inventars durch den Verkäufer oder den Käufer kommt auch dem anderen Teil zustatten, es sei denn, dass dieser unbeschränkt haftet.</w:t>
      </w:r>
    </w:p>
    <w:p>
      <w:pPr>
        <w:pStyle w:val="Heading3"/>
      </w:pPr>
      <w:bookmarkStart w:id="2852" w:name="b2837"/>
      <w:r>
        <w:t>§ 2384 Anzeigepflicht des Verkäufers gegenüber Nachlassgläubigern, Einsichtsrecht</w:t>
      </w:r>
      <w:r>
        <w:t xml:space="preserve"> </w:t>
      </w:r>
      <w:r>
        <w:rPr>
          <w:rStyle w:val="Suchmarke"/>
        </w:rPr>
        <w:t>#2384#</w:t>
      </w:r>
      <w:bookmarkEnd w:id="2852"/>
    </w:p>
    <w:p>
      <w:r>
        <w:t xml:space="preserve">(1) </w:t>
      </w:r>
      <w:r>
        <w:rPr>
          <w:rStyle w:val="Satznummer"/>
        </w:rPr>
        <w:t>1</w:t>
      </w:r>
      <w:r>
        <w:t xml:space="preserve">Der Verkäufer ist den Nachlassgläubigern gegenüber verpflichtet, den Verkauf der Erbschaft und den Namen des Käufers unverzüglich dem Nachlassgericht anzuzeigen. </w:t>
      </w:r>
      <w:r>
        <w:rPr>
          <w:rStyle w:val="Satznummer"/>
        </w:rPr>
        <w:t>2</w:t>
      </w:r>
      <w:r>
        <w:t>Die Anzeige des Verkäufers wird durch die Anzeige des Käufers ersetzt.</w:t>
      </w:r>
    </w:p>
    <w:p>
      <w:r>
        <w:t>(2) Das Nachlassgericht hat die Einsicht der Anzeige jedem zu gestatten, der ein rechtliches Interesse glaubhaft macht.</w:t>
      </w:r>
    </w:p>
    <w:p>
      <w:pPr>
        <w:pStyle w:val="Heading3"/>
      </w:pPr>
      <w:bookmarkStart w:id="2853" w:name="b2838"/>
      <w:r>
        <w:t>§ 2385 Anwendung auf ähnliche Verträge</w:t>
      </w:r>
      <w:r>
        <w:t xml:space="preserve"> </w:t>
      </w:r>
      <w:r>
        <w:rPr>
          <w:rStyle w:val="Suchmarke"/>
        </w:rPr>
        <w:t>#2385#</w:t>
      </w:r>
      <w:bookmarkEnd w:id="2853"/>
    </w:p>
    <w:p>
      <w:r>
        <w:t>(1) Die Vorschriften über den Erbschaftskauf finden entsprechende Anwendung auf den Kauf einer von dem Verkäufer durch Vertrag erworbenen Erbschaft sowie auf andere Verträge, die auf die Veräußerung einer dem Veräußerer angefallenen oder anderweit von ihm erworbenen Erbschaft gerichtet sind.</w:t>
      </w:r>
    </w:p>
    <w:p>
      <w:r>
        <w:t xml:space="preserve">(2) </w:t>
      </w:r>
      <w:r>
        <w:rPr>
          <w:rStyle w:val="Satznummer"/>
        </w:rPr>
        <w:t>1</w:t>
      </w:r>
      <w:r>
        <w:t xml:space="preserve">Im Falle einer Schenkung ist der Schenker nicht verpflichtet, für die vor der Schenkung verbrauchten oder unentgeltlich veräußerten Erbschaftsgegenstände oder für eine vor der Schenkung unentgeltlich vorgenommene Belastung dieser Gegenstände Ersatz zu leisten. </w:t>
      </w:r>
      <w:r>
        <w:rPr>
          <w:rStyle w:val="Satznummer"/>
        </w:rPr>
        <w:t>2</w:t>
      </w:r>
      <w:r>
        <w:t xml:space="preserve">Die in </w:t>
      </w:r>
      <w:hyperlink w:anchor="b2829" w:history="1">
        <w:r>
          <w:rPr>
            <w:color w:val="0A3A8C"/>
            <w:u w:val="single"/>
          </w:rPr>
          <w:t xml:space="preserve">§ 2376</w:t>
        </w:r>
      </w:hyperlink>
      <w:r>
        <w:t xml:space="preserve"> bestimmte Verpflichtung zur Gewährleistung wegen eines Mangels im Recht trifft den Schenker nicht; hat der Schenker den Mangel arglistig verschwiegen, so ist er verpflichtet, dem Beschenkten den daraus entstehenden Schaden zu ersetzen.</w:t>
      </w:r>
    </w:p>
    <w:p>
      <w:pPr>
        <w:spacing w:before="480"/>
      </w:pPr>
      <w:r>
        <w:t xml:space="preserve">Ende des Gesetzes: Bürgerliches Gesetzbuch (BGB)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Bürgerliches Gesetzbuch (BGB)</dc:title>
  <dc:subject>Nicht amtliche Fassung</dc:subject>
  <dc:creator>Barrierefreie Gesetze</dc:creator>
  <cp:keywords/>
  <dc:description/>
  <cp:lastModifiedBy>Barrierefreie Gesetze</cp:lastModifiedBy>
  <cp:revision>1</cp:revision>
  <dcterms:created xsi:type="dcterms:W3CDTF">2026-10-19T11:34:44Z</dcterms:created>
  <dcterms:modified xsi:type="dcterms:W3CDTF">2026-10-19T11:34:44Z</dcterms:modified>
  <cp:category/>
  <dc:language>de-DE</dc:language>
</cp:coreProperties>
</file>