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Verordnung über die Barrierefreiheitsanforderungen für Produkte und Dienstleistungen nach dem Barrierefreiheitsstärkungsgesetz, Verordnung zum Barrierefreiheitsstärkungsgesetz (BFSGV)</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15.06.2022</w:t>
      </w:r>
    </w:p>
    <w:p>
      <w:pPr>
        <w:pStyle w:val="Stand"/>
      </w:pPr>
      <w:r>
        <w:rPr>
          <w:b/>
        </w:rPr>
        <w:t xml:space="preserve">Letzte Änderung: </w:t>
      </w:r>
      <w:r>
        <w:t>Art. 1 V v. 10.07.2026 I Nr. 205</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Eingangsformel</w:t>
        </w:r>
      </w:hyperlink>
    </w:p>
    <w:p>
      <w:pPr>
        <w:pStyle w:val="Übersicht"/>
        <w:ind w:left="0"/>
      </w:pPr>
      <w:hyperlink w:anchor="b1" w:history="1">
        <w:r>
          <w:rPr>
            <w:color w:val="0A3A8C"/>
            <w:u w:val="single"/>
          </w:rPr>
          <w:t xml:space="preserve">§ 1 Anwendungsbereich</w:t>
        </w:r>
      </w:hyperlink>
    </w:p>
    <w:p>
      <w:pPr>
        <w:pStyle w:val="Übersicht"/>
        <w:ind w:left="0"/>
      </w:pPr>
      <w:hyperlink w:anchor="b2" w:history="1">
        <w:r>
          <w:rPr>
            <w:color w:val="0A3A8C"/>
            <w:u w:val="single"/>
          </w:rPr>
          <w:t xml:space="preserve">§ 2 Begriffsbestimmungen</w:t>
        </w:r>
      </w:hyperlink>
    </w:p>
    <w:p>
      <w:pPr>
        <w:pStyle w:val="Übersicht"/>
        <w:ind w:left="0"/>
      </w:pPr>
      <w:hyperlink w:anchor="b3" w:history="1">
        <w:r>
          <w:rPr>
            <w:color w:val="0A3A8C"/>
            <w:u w:val="single"/>
          </w:rPr>
          <w:t xml:space="preserve">§ 3 Stand der Technik</w:t>
        </w:r>
      </w:hyperlink>
    </w:p>
    <w:p>
      <w:pPr>
        <w:pStyle w:val="Übersicht"/>
        <w:ind w:left="0"/>
      </w:pPr>
      <w:hyperlink w:anchor="b4" w:history="1">
        <w:r>
          <w:rPr>
            <w:color w:val="0A3A8C"/>
            <w:u w:val="single"/>
          </w:rPr>
          <w:t xml:space="preserve">§ 4 Anforderungen an die Bereitstellung von Informationen für Produkte</w:t>
        </w:r>
      </w:hyperlink>
    </w:p>
    <w:p>
      <w:pPr>
        <w:pStyle w:val="Übersicht"/>
        <w:ind w:left="0"/>
      </w:pPr>
      <w:hyperlink w:anchor="b5" w:history="1">
        <w:r>
          <w:rPr>
            <w:color w:val="0A3A8C"/>
            <w:u w:val="single"/>
          </w:rPr>
          <w:t xml:space="preserve">§ 5 Anforderungen an Produktverpackungen und Anleitungen</w:t>
        </w:r>
      </w:hyperlink>
    </w:p>
    <w:p>
      <w:pPr>
        <w:pStyle w:val="Übersicht"/>
        <w:ind w:left="0"/>
      </w:pPr>
      <w:hyperlink w:anchor="b6" w:history="1">
        <w:r>
          <w:rPr>
            <w:color w:val="0A3A8C"/>
            <w:u w:val="single"/>
          </w:rPr>
          <w:t xml:space="preserve">§ 6 Anforderungen an Gestaltung von Benutzerschnittstelle und Funktionalität von Produkten</w:t>
        </w:r>
      </w:hyperlink>
    </w:p>
    <w:p>
      <w:pPr>
        <w:pStyle w:val="Übersicht"/>
        <w:ind w:left="0"/>
      </w:pPr>
      <w:hyperlink w:anchor="b7" w:history="1">
        <w:r>
          <w:rPr>
            <w:color w:val="0A3A8C"/>
            <w:u w:val="single"/>
          </w:rPr>
          <w:t xml:space="preserve">§ 7 Zusätzliche branchenspezifische Anforderungen an Selbstbedienungsterminals</w:t>
        </w:r>
      </w:hyperlink>
    </w:p>
    <w:p>
      <w:pPr>
        <w:pStyle w:val="Übersicht"/>
        <w:ind w:left="0"/>
      </w:pPr>
      <w:hyperlink w:anchor="b8" w:history="1">
        <w:r>
          <w:rPr>
            <w:color w:val="0A3A8C"/>
            <w:u w:val="single"/>
          </w:rPr>
          <w:t xml:space="preserve">§ 8 Zusätzliche branchenspezifische Anforderungen an E-Book-Lesegeräte</w:t>
        </w:r>
      </w:hyperlink>
    </w:p>
    <w:p>
      <w:pPr>
        <w:pStyle w:val="Übersicht"/>
        <w:ind w:left="0"/>
      </w:pPr>
      <w:hyperlink w:anchor="b9" w:history="1">
        <w:r>
          <w:rPr>
            <w:color w:val="0A3A8C"/>
            <w:u w:val="single"/>
          </w:rPr>
          <w:t xml:space="preserve">§ 9 Zusätzliche branchenspezifische Anforderungen an Verbraucherendgeräte mit interaktivem Leistungsumfang, die zur Bereitstellung von Telekommunikationsdiensten eingesetzt werden</w:t>
        </w:r>
      </w:hyperlink>
    </w:p>
    <w:p>
      <w:pPr>
        <w:pStyle w:val="Übersicht"/>
        <w:ind w:left="0"/>
      </w:pPr>
      <w:hyperlink w:anchor="b10" w:history="1">
        <w:r>
          <w:rPr>
            <w:color w:val="0A3A8C"/>
            <w:u w:val="single"/>
          </w:rPr>
          <w:t xml:space="preserve">§ 10 Zusätzliche branchenspezifische Anforderungen an Verbraucherendgeräte mit interaktivem Leistungsumfang, die für den Zugang zu audiovisuellen Mediendiensten verwendet werden</w:t>
        </w:r>
      </w:hyperlink>
    </w:p>
    <w:p>
      <w:pPr>
        <w:pStyle w:val="Übersicht"/>
        <w:ind w:left="0"/>
      </w:pPr>
      <w:hyperlink w:anchor="b11" w:history="1">
        <w:r>
          <w:rPr>
            <w:color w:val="0A3A8C"/>
            <w:u w:val="single"/>
          </w:rPr>
          <w:t xml:space="preserve">§ 11 Unterstützungsdienste</w:t>
        </w:r>
      </w:hyperlink>
    </w:p>
    <w:p>
      <w:pPr>
        <w:pStyle w:val="Übersicht"/>
        <w:ind w:left="0"/>
      </w:pPr>
      <w:hyperlink w:anchor="b12" w:history="1">
        <w:r>
          <w:rPr>
            <w:color w:val="0A3A8C"/>
            <w:u w:val="single"/>
          </w:rPr>
          <w:t xml:space="preserve">§ 12 Allgemeine Anforderungen an Dienstleistungen</w:t>
        </w:r>
      </w:hyperlink>
    </w:p>
    <w:p>
      <w:pPr>
        <w:pStyle w:val="Übersicht"/>
        <w:ind w:left="0"/>
      </w:pPr>
      <w:hyperlink w:anchor="b13" w:history="1">
        <w:r>
          <w:rPr>
            <w:color w:val="0A3A8C"/>
            <w:u w:val="single"/>
          </w:rPr>
          <w:t xml:space="preserve">§ 13 Zusätzliche Anforderungen an bestimmte Dienstleistungen</w:t>
        </w:r>
      </w:hyperlink>
    </w:p>
    <w:p>
      <w:pPr>
        <w:pStyle w:val="Übersicht"/>
        <w:ind w:left="0"/>
      </w:pPr>
      <w:hyperlink w:anchor="b14" w:history="1">
        <w:r>
          <w:rPr>
            <w:color w:val="0A3A8C"/>
            <w:u w:val="single"/>
          </w:rPr>
          <w:t xml:space="preserve">§ 14 Zusätzliche Anforderungen Telekommunikationsdienstleister</w:t>
        </w:r>
      </w:hyperlink>
    </w:p>
    <w:p>
      <w:pPr>
        <w:pStyle w:val="Übersicht"/>
        <w:ind w:left="0"/>
      </w:pPr>
      <w:hyperlink w:anchor="b15" w:history="1">
        <w:r>
          <w:rPr>
            <w:color w:val="0A3A8C"/>
            <w:u w:val="single"/>
          </w:rPr>
          <w:t xml:space="preserve">§ 15 Zusätzliche Anforderungen an Personenbeförderungsdienste</w:t>
        </w:r>
      </w:hyperlink>
    </w:p>
    <w:p>
      <w:pPr>
        <w:pStyle w:val="Übersicht"/>
        <w:ind w:left="0"/>
      </w:pPr>
      <w:hyperlink w:anchor="b16" w:history="1">
        <w:r>
          <w:rPr>
            <w:color w:val="0A3A8C"/>
            <w:u w:val="single"/>
          </w:rPr>
          <w:t xml:space="preserve">§ 16 Zusätzliche Anforderungen an Stadt-, Vorort- und Regionalverkehrsdienste</w:t>
        </w:r>
      </w:hyperlink>
    </w:p>
    <w:p>
      <w:pPr>
        <w:pStyle w:val="Übersicht"/>
        <w:ind w:left="0"/>
      </w:pPr>
      <w:hyperlink w:anchor="b17" w:history="1">
        <w:r>
          <w:rPr>
            <w:color w:val="0A3A8C"/>
            <w:u w:val="single"/>
          </w:rPr>
          <w:t xml:space="preserve">§ 17 Zusätzliche Anforderungen an Bankdienstleistungen für Verbraucher</w:t>
        </w:r>
      </w:hyperlink>
    </w:p>
    <w:p>
      <w:pPr>
        <w:pStyle w:val="Übersicht"/>
        <w:ind w:left="0"/>
      </w:pPr>
      <w:hyperlink w:anchor="b18" w:history="1">
        <w:r>
          <w:rPr>
            <w:color w:val="0A3A8C"/>
            <w:u w:val="single"/>
          </w:rPr>
          <w:t xml:space="preserve">§ 18 Zusätzliche Anforderungen an E-Books</w:t>
        </w:r>
      </w:hyperlink>
    </w:p>
    <w:p>
      <w:pPr>
        <w:pStyle w:val="Übersicht"/>
        <w:ind w:left="0"/>
      </w:pPr>
      <w:hyperlink w:anchor="b19" w:history="1">
        <w:r>
          <w:rPr>
            <w:color w:val="0A3A8C"/>
            <w:u w:val="single"/>
          </w:rPr>
          <w:t xml:space="preserve">§ 19 Zusätzliche Anforderungen an Dienstleistungen im elektronischen Geschäftsverkehr</w:t>
        </w:r>
      </w:hyperlink>
    </w:p>
    <w:p>
      <w:pPr>
        <w:pStyle w:val="Übersicht"/>
        <w:ind w:left="0"/>
      </w:pPr>
      <w:hyperlink w:anchor="b20" w:history="1">
        <w:r>
          <w:rPr>
            <w:color w:val="0A3A8C"/>
            <w:u w:val="single"/>
          </w:rPr>
          <w:t xml:space="preserve">§ 20 Anwendung von funktionalen Leistungskriterien</w:t>
        </w:r>
      </w:hyperlink>
    </w:p>
    <w:p>
      <w:pPr>
        <w:pStyle w:val="Übersicht"/>
        <w:ind w:left="0"/>
      </w:pPr>
      <w:hyperlink w:anchor="b21" w:history="1">
        <w:r>
          <w:rPr>
            <w:color w:val="0A3A8C"/>
            <w:u w:val="single"/>
          </w:rPr>
          <w:t xml:space="preserve">§ 21 Funktionale Leistungskriterien</w:t>
        </w:r>
      </w:hyperlink>
    </w:p>
    <w:p>
      <w:pPr>
        <w:pStyle w:val="Übersicht"/>
        <w:ind w:left="0"/>
      </w:pPr>
      <w:hyperlink w:anchor="b22" w:history="1">
        <w:r>
          <w:rPr>
            <w:color w:val="0A3A8C"/>
            <w:u w:val="single"/>
          </w:rPr>
          <w:t xml:space="preserve">§ 22 Inkrafttreten</w:t>
        </w:r>
      </w:hyperlink>
    </w:p>
    <w:p>
      <w:pPr>
        <w:pStyle w:val="Übersicht"/>
        <w:ind w:left="0"/>
      </w:pPr>
      <w:hyperlink w:anchor="b23" w:history="1">
        <w:r>
          <w:rPr>
            <w:color w:val="0A3A8C"/>
            <w:u w:val="single"/>
          </w:rPr>
          <w:t xml:space="preserve">Schlussformel</w:t>
        </w:r>
      </w:hyperlink>
    </w:p>
    <w:p>
      <w:pPr>
        <w:pStyle w:val="Heading1"/>
      </w:pPr>
      <w:bookmarkStart w:id="1" w:name="b0"/>
      <w:r>
        <w:t>Eingangsformel</w:t>
      </w:r>
      <w:bookmarkEnd w:id="1"/>
    </w:p>
    <w:p>
      <w:r>
        <w:t>Auf Grund des § 3 Absatz 2 des Barrierefreiheitsstärkungsgesetzes vom 16. Juli 2021 (BGBl. I S. 2970) in Verbindung mit § 1 Absatz 2 des Zuständigkeitsanpassungsgesetzes vom 16. August 2002 (BGBl. I S. 3165) und dem Organisationserlass vom 8. Dezember 2021 (BGBl. I S. 5176) verordnet das Bundesministerium für Arbeit und Soziales im Einvernehmen mit dem Bundesministerium der Finanzen, dem Bundesministerium für Gesundheit, dem Bundesministerium für Wirtschaft und Klimaschutz und dem Bundesministerium für Digitales und Verkehr:</w:t>
      </w:r>
    </w:p>
    <w:p>
      <w:pPr>
        <w:pStyle w:val="Heading1"/>
      </w:pPr>
      <w:bookmarkStart w:id="2" w:name="b1"/>
      <w:r>
        <w:t>§ 1 Anwendungsbereich</w:t>
      </w:r>
      <w:r>
        <w:t xml:space="preserve"> </w:t>
      </w:r>
      <w:r>
        <w:rPr>
          <w:rStyle w:val="Suchmarke"/>
        </w:rPr>
        <w:t>#1#</w:t>
      </w:r>
      <w:bookmarkEnd w:id="2"/>
    </w:p>
    <w:p>
      <w:r>
        <w:t>Diese Verordnung ist auf Produkte im Sinne des § 1 Absatz 2 des Barrierefreiheitsstärkungsgesetzes und Dienstleistungen im Sinne des § 1 Absatz 3 des Barrierefreiheitsstärkungsgesetzes anzuwenden.</w:t>
      </w:r>
    </w:p>
    <w:p>
      <w:pPr>
        <w:pStyle w:val="Heading1"/>
      </w:pPr>
      <w:bookmarkStart w:id="3" w:name="b2"/>
      <w:r>
        <w:t>§ 2 Begriffsbestimmungen</w:t>
      </w:r>
      <w:r>
        <w:t xml:space="preserve"> </w:t>
      </w:r>
      <w:r>
        <w:rPr>
          <w:rStyle w:val="Suchmarke"/>
        </w:rPr>
        <w:t>#2#</w:t>
      </w:r>
      <w:bookmarkEnd w:id="3"/>
    </w:p>
    <w:p>
      <w:r>
        <w:t>Für diese Verordnung gelten neben den Begriffsbestimmungen des § 2 des Barrierefreiheitsstärkungsgesetzes die folgenden Begriffsbestimmungen:</w:t>
      </w:r>
    </w:p>
    <w:p>
      <w:pPr>
        <w:tabs>
          <w:tab w:pos="567" w:val="left"/>
        </w:tabs>
        <w:ind w:left="567" w:hanging="567"/>
      </w:pPr>
      <w:r>
        <w:t>1.</w:t>
      </w:r>
      <w:r>
        <w:tab/>
      </w:r>
      <w:r>
        <w:t>Gesamtgesprächsdienst: ein Gesamtgesprächsdienst im Sinne des Artikels 2 Nummer 35 der Richtlinie (EU) 2018/1972 des Europäischen Parlaments und des Rates vom 11. Dezember 2018 über den europäischen Kodex für die elektronische Kommunikation (Neufassung) (ABl. L 321 vom 17.12.2018, S. 36);</w:t>
      </w:r>
    </w:p>
    <w:p>
      <w:pPr>
        <w:tabs>
          <w:tab w:pos="567" w:val="left"/>
        </w:tabs>
        <w:ind w:left="567" w:hanging="567"/>
      </w:pPr>
      <w:r>
        <w:t>2.</w:t>
      </w:r>
      <w:r>
        <w:tab/>
      </w:r>
      <w:r>
        <w:t>Identifizierungsmethode: jede Methode zum Erheben von Angaben zum Zweck der Identifizierung und zur Überprüfung dieser Angaben zum Zweck der Identifizierung;</w:t>
      </w:r>
    </w:p>
    <w:p>
      <w:pPr>
        <w:tabs>
          <w:tab w:pos="567" w:val="left"/>
        </w:tabs>
        <w:ind w:left="567" w:hanging="567"/>
      </w:pPr>
      <w:r>
        <w:t>3.</w:t>
      </w:r>
      <w:r>
        <w:tab/>
      </w:r>
      <w:r>
        <w:t>Sicherheitsfunktion: jede Funktion zum Schutz der Sicherheit in der Informationstechnik im Sinne des § 2 Nummer 39 des BSI-Gesetzes vom 2. Dezember 2025 (BGBl. I 2025 Nr. 301, S. 2);</w:t>
      </w:r>
    </w:p>
    <w:p>
      <w:pPr>
        <w:tabs>
          <w:tab w:pos="567" w:val="left"/>
        </w:tabs>
        <w:ind w:left="567" w:hanging="567"/>
      </w:pPr>
      <w:r>
        <w:t>4.</w:t>
      </w:r>
      <w:r>
        <w:tab/>
      </w:r>
      <w:r>
        <w:t>Intelligente Ticketsysteme: Systeme im Sinne des § 2 Nummer 40 des Barrierefreiheitsstärkungsgesetzes sowie Systeme, in denen Reservierungen und Buchungen mithilfe eines Geräts mit interaktivem Leistungsumfang unter anderem online vorgenommen und dem Verbraucher elektronisch übermittelt werden, damit sie in Papierform ausgedruckt oder mithilfe eines Geräts mit interaktivem Leistungsumfang während der Fahrt angezeigt werden können.</w:t>
      </w:r>
    </w:p>
    <w:p>
      <w:pPr>
        <w:pStyle w:val="Heading1"/>
      </w:pPr>
      <w:bookmarkStart w:id="4" w:name="b3"/>
      <w:r>
        <w:t>§ 3 Stand der Technik</w:t>
      </w:r>
      <w:r>
        <w:t xml:space="preserve"> </w:t>
      </w:r>
      <w:r>
        <w:rPr>
          <w:rStyle w:val="Suchmarke"/>
        </w:rPr>
        <w:t>#3#</w:t>
      </w:r>
      <w:bookmarkEnd w:id="4"/>
    </w:p>
    <w:p>
      <w:r>
        <w:t xml:space="preserve">(1) </w:t>
      </w:r>
      <w:r>
        <w:rPr>
          <w:rStyle w:val="Satznummer"/>
        </w:rPr>
        <w:t>1</w:t>
      </w:r>
      <w:r>
        <w:t xml:space="preserve">Bei der Erfüllung der Anforderungen nach dieser Rechtsverordnung ist der Stand der Technik zu beachten. </w:t>
      </w:r>
      <w:r>
        <w:rPr>
          <w:rStyle w:val="Satznummer"/>
        </w:rPr>
        <w:t>2</w:t>
      </w:r>
      <w:r>
        <w:t>Von dem Stand der Technik kann abgewichen werden, wenn auf andere Weise die Anforderungen dieser Rechtsverordnung in gleichem Maße erfüllt werden.</w:t>
      </w:r>
    </w:p>
    <w:p>
      <w:r>
        <w:t>(2) Die Bundesfachstelle für Barrierefreiheit veröffentlicht auf ihrer Website regelmäßig</w:t>
      </w:r>
    </w:p>
    <w:p>
      <w:pPr>
        <w:tabs>
          <w:tab w:pos="567" w:val="left"/>
        </w:tabs>
        <w:ind w:left="567" w:hanging="567"/>
      </w:pPr>
      <w:r>
        <w:t>1.</w:t>
      </w:r>
      <w:r>
        <w:tab/>
      </w:r>
      <w:r>
        <w:t xml:space="preserve">eine Auflistung der wichtigsten zu beachtenden Standards, aus denen die Barrierefreiheitsanforderungen für die in </w:t>
      </w:r>
      <w:hyperlink w:anchor="b1" w:history="1">
        <w:r>
          <w:rPr>
            <w:color w:val="0A3A8C"/>
            <w:u w:val="single"/>
          </w:rPr>
          <w:t xml:space="preserve">§ 1</w:t>
        </w:r>
      </w:hyperlink>
      <w:r>
        <w:t xml:space="preserve"> genannten Produkte und Dienstleistungen detailliert hervorgehen,</w:t>
      </w:r>
    </w:p>
    <w:p>
      <w:pPr>
        <w:tabs>
          <w:tab w:pos="567" w:val="left"/>
        </w:tabs>
        <w:ind w:left="567" w:hanging="567"/>
      </w:pPr>
      <w:r>
        <w:t>2.</w:t>
      </w:r>
      <w:r>
        <w:tab/>
      </w:r>
      <w:r>
        <w:t xml:space="preserve">Konformitätstabellen, die einen Überblick zu den wichtigsten Barrierefreiheitsanforderungen für die in </w:t>
      </w:r>
      <w:hyperlink w:anchor="b1" w:history="1">
        <w:r>
          <w:rPr>
            <w:color w:val="0A3A8C"/>
            <w:u w:val="single"/>
          </w:rPr>
          <w:t xml:space="preserve">§ 1</w:t>
        </w:r>
      </w:hyperlink>
      <w:r>
        <w:t xml:space="preserve"> genannten Produkte und Dienstleistungen geben und</w:t>
      </w:r>
    </w:p>
    <w:p>
      <w:pPr>
        <w:tabs>
          <w:tab w:pos="567" w:val="left"/>
        </w:tabs>
        <w:ind w:left="567" w:hanging="567"/>
      </w:pPr>
      <w:r>
        <w:t>3.</w:t>
      </w:r>
      <w:r>
        <w:tab/>
      </w:r>
      <w:r>
        <w:t>aktuelle Informationen zu den zu beachtenden Standards.</w:t>
      </w:r>
    </w:p>
    <w:p>
      <w:pPr>
        <w:pStyle w:val="Heading1"/>
      </w:pPr>
      <w:bookmarkStart w:id="5" w:name="b4"/>
      <w:r>
        <w:t>§ 4 Anforderungen an die Bereitstellung von Informationen für Produkte</w:t>
      </w:r>
      <w:r>
        <w:t xml:space="preserve"> </w:t>
      </w:r>
      <w:r>
        <w:rPr>
          <w:rStyle w:val="Suchmarke"/>
        </w:rPr>
        <w:t>#4#</w:t>
      </w:r>
      <w:bookmarkEnd w:id="5"/>
    </w:p>
    <w:p>
      <w:r>
        <w:t>(1) Informationen zur Nutzung des Produkts auf dem Produkt selbst, wie die Kennzeichnungen, die Gebrauchsanleitung und die Warnhinweise müssen</w:t>
      </w:r>
    </w:p>
    <w:p>
      <w:pPr>
        <w:tabs>
          <w:tab w:pos="567" w:val="left"/>
        </w:tabs>
        <w:ind w:left="567" w:hanging="567"/>
      </w:pPr>
      <w:r>
        <w:t>1.</w:t>
      </w:r>
      <w:r>
        <w:tab/>
      </w:r>
      <w:r>
        <w:t>über mehr als einen sensorischen Kanal zur Verfügung gestellt werden,</w:t>
      </w:r>
    </w:p>
    <w:p>
      <w:pPr>
        <w:tabs>
          <w:tab w:pos="567" w:val="left"/>
        </w:tabs>
        <w:ind w:left="567" w:hanging="567"/>
      </w:pPr>
      <w:r>
        <w:t>2.</w:t>
      </w:r>
      <w:r>
        <w:tab/>
      </w:r>
      <w:r>
        <w:t>in verständlicher Weise dargestellt werden,</w:t>
      </w:r>
    </w:p>
    <w:p>
      <w:pPr>
        <w:tabs>
          <w:tab w:pos="567" w:val="left"/>
        </w:tabs>
        <w:ind w:left="567" w:hanging="567"/>
      </w:pPr>
      <w:r>
        <w:t>3.</w:t>
      </w:r>
      <w:r>
        <w:tab/>
      </w:r>
      <w:r>
        <w:t>den Verbrauchern auf eine Weise dargestellt werden, die sie wahrnehmen können und</w:t>
      </w:r>
    </w:p>
    <w:p>
      <w:pPr>
        <w:tabs>
          <w:tab w:pos="567" w:val="left"/>
        </w:tabs>
        <w:ind w:left="567" w:hanging="567"/>
      </w:pPr>
      <w:r>
        <w:t>4.</w:t>
      </w:r>
      <w:r>
        <w:tab/>
      </w:r>
      <w:r>
        <w:t>in einer Schriftart mit angemessener Größe und mit geeigneter Form unter Berücksichtigung des vorhersehbaren Nutzungskontexts und mit ausreichendem Kontrast sowie ausreichenden Abständen zwischen den Buchstaben, Zeilen und Absätzen dargestellt werden.</w:t>
      </w:r>
    </w:p>
    <w:p>
      <w:r>
        <w:t>(2) Informationen zu den Barrierefreiheitsfunktionen des Produkts, deren Aktivierung und deren Interoperabilität mit assistiven Technologien sowie Informationen zur Nutzung des Produkts, die nicht auf dem Produkt selbst angegeben sind, sondern bei der Nutzung des Produkts oder auf anderem Wege, beispielsweise über eine Webseite, bereitgestellt werden, sind bei Inverkehrbringen des Produkts öffentlich verfügbar zu machen und müssen</w:t>
      </w:r>
    </w:p>
    <w:p>
      <w:pPr>
        <w:tabs>
          <w:tab w:pos="567" w:val="left"/>
        </w:tabs>
        <w:ind w:left="567" w:hanging="567"/>
      </w:pPr>
      <w:r>
        <w:t>1.</w:t>
      </w:r>
      <w:r>
        <w:tab/>
      </w:r>
      <w:r>
        <w:t>über mehr als einen sensorischen Kanal zur Verfügung gestellt werden,</w:t>
      </w:r>
    </w:p>
    <w:p>
      <w:pPr>
        <w:tabs>
          <w:tab w:pos="567" w:val="left"/>
        </w:tabs>
        <w:ind w:left="567" w:hanging="567"/>
      </w:pPr>
      <w:r>
        <w:t>2.</w:t>
      </w:r>
      <w:r>
        <w:tab/>
      </w:r>
      <w:r>
        <w:t>für den Verbraucher auffindbar sein,</w:t>
      </w:r>
    </w:p>
    <w:p>
      <w:pPr>
        <w:tabs>
          <w:tab w:pos="567" w:val="left"/>
        </w:tabs>
        <w:ind w:left="567" w:hanging="567"/>
      </w:pPr>
      <w:r>
        <w:t>3.</w:t>
      </w:r>
      <w:r>
        <w:tab/>
      </w:r>
      <w:r>
        <w:t>in verständlicher Weise dargestellt werden,</w:t>
      </w:r>
    </w:p>
    <w:p>
      <w:pPr>
        <w:tabs>
          <w:tab w:pos="567" w:val="left"/>
        </w:tabs>
        <w:ind w:left="567" w:hanging="567"/>
      </w:pPr>
      <w:r>
        <w:t>4.</w:t>
      </w:r>
      <w:r>
        <w:tab/>
      </w:r>
      <w:r>
        <w:t>den Verbrauchern auf eine Weise dargestellt werden, die sie wahrnehmen können,</w:t>
      </w:r>
    </w:p>
    <w:p>
      <w:pPr>
        <w:tabs>
          <w:tab w:pos="567" w:val="left"/>
        </w:tabs>
        <w:ind w:left="567" w:hanging="567"/>
      </w:pPr>
      <w:r>
        <w:t>5.</w:t>
      </w:r>
      <w:r>
        <w:tab/>
      </w:r>
      <w:r>
        <w:t>in einer Schriftart mit angemessener Größe und mit geeigneter Form unter Berücksichtigung des vorhersehbaren Nutzungskontexts und mit ausreichendem Kontrast sowie anpassbaren Abständen zwischen den Buchstaben, Zeilen und Absätzen dargestellt werden,</w:t>
      </w:r>
    </w:p>
    <w:p>
      <w:pPr>
        <w:tabs>
          <w:tab w:pos="567" w:val="left"/>
        </w:tabs>
        <w:ind w:left="567" w:hanging="567"/>
      </w:pPr>
      <w:r>
        <w:t>6.</w:t>
      </w:r>
      <w:r>
        <w:tab/>
      </w:r>
      <w:r>
        <w:t>hinsichtlich ihres Inhalts in Textformaten zur Verfügung gestellt werden, die sich zum Generieren alternativer assistiver Formate eignen, die in unterschiedlicher Art dargestellt werden und über mehr als einen sensorischen Kanal wahrgenommen werden können,</w:t>
      </w:r>
    </w:p>
    <w:p>
      <w:pPr>
        <w:tabs>
          <w:tab w:pos="567" w:val="left"/>
        </w:tabs>
        <w:ind w:left="567" w:hanging="567"/>
      </w:pPr>
      <w:r>
        <w:t>7.</w:t>
      </w:r>
      <w:r>
        <w:tab/>
      </w:r>
      <w:r>
        <w:t>mit einer alternativen Darstellung des Inhalts angeboten werden, wenn Elemente nicht-textlichen Inhalts enthalten sind,</w:t>
      </w:r>
    </w:p>
    <w:p>
      <w:pPr>
        <w:tabs>
          <w:tab w:pos="567" w:val="left"/>
        </w:tabs>
        <w:ind w:left="567" w:hanging="567"/>
      </w:pPr>
      <w:r>
        <w:t>8.</w:t>
      </w:r>
      <w:r>
        <w:tab/>
      </w:r>
      <w:r>
        <w:t xml:space="preserve">eine Beschreibung der Benutzerschnittstellen des Produkts, wie Handhabung, Steuerung und Rückmeldung, Eingabe und Ausgabe enthalten, wobei die Beschreibung die in </w:t>
      </w:r>
      <w:hyperlink w:anchor="b6" w:history="1">
        <w:r>
          <w:rPr>
            <w:color w:val="0A3A8C"/>
            <w:u w:val="single"/>
          </w:rPr>
          <w:t xml:space="preserve">§ 6</w:t>
        </w:r>
      </w:hyperlink>
      <w:r>
        <w:t xml:space="preserve"> aufgezählten Anforderungen erfüllen muss; dabei muss in der Beschreibung jeweils angegeben werden, ob das Produkt die in </w:t>
      </w:r>
      <w:hyperlink w:anchor="b6" w:history="1">
        <w:r>
          <w:rPr>
            <w:color w:val="0A3A8C"/>
            <w:u w:val="single"/>
          </w:rPr>
          <w:t xml:space="preserve">§ 6</w:t>
        </w:r>
      </w:hyperlink>
      <w:r>
        <w:t xml:space="preserve"> genannten Bestandteile, Funktionen und Merkmale aufweist,</w:t>
      </w:r>
    </w:p>
    <w:p>
      <w:pPr>
        <w:tabs>
          <w:tab w:pos="567" w:val="left"/>
        </w:tabs>
        <w:ind w:left="567" w:hanging="567"/>
      </w:pPr>
      <w:r>
        <w:t>9.</w:t>
      </w:r>
      <w:r>
        <w:tab/>
      </w:r>
      <w:r>
        <w:t xml:space="preserve">eine barrierefreie Beschreibung der Produktfunktionalität enthalten und dabei die in </w:t>
      </w:r>
      <w:hyperlink w:anchor="b6" w:history="1">
        <w:r>
          <w:rPr>
            <w:color w:val="0A3A8C"/>
            <w:u w:val="single"/>
          </w:rPr>
          <w:t xml:space="preserve">§ 6</w:t>
        </w:r>
      </w:hyperlink>
      <w:r>
        <w:t xml:space="preserve"> aufgezählten Anforderungen erfüllen; dabei muss in der Beschreibung jeweils angegeben werden, ob das Produkt die in </w:t>
      </w:r>
      <w:hyperlink w:anchor="b6" w:history="1">
        <w:r>
          <w:rPr>
            <w:color w:val="0A3A8C"/>
            <w:u w:val="single"/>
          </w:rPr>
          <w:t xml:space="preserve">§ 6</w:t>
        </w:r>
      </w:hyperlink>
      <w:r>
        <w:t xml:space="preserve"> genannten Bestandteile, Funktionen und Merkmale aufweist und</w:t>
      </w:r>
    </w:p>
    <w:p>
      <w:pPr>
        <w:tabs>
          <w:tab w:pos="567" w:val="left"/>
        </w:tabs>
        <w:ind w:left="567" w:hanging="567"/>
      </w:pPr>
      <w:r>
        <w:t>10.</w:t>
      </w:r>
      <w:r>
        <w:tab/>
      </w:r>
      <w:r>
        <w:t>eine Beschreibung der Soft- und Hardwareschnittstelle des Produkts mit Hilfsmitteln enthalten, wobei die Beschreibung auch eine Liste derjenigen Hilfsmittel enthalten muss, die zusammen mit dem Produkt getestet wurden.</w:t>
      </w:r>
    </w:p>
    <w:p>
      <w:r>
        <w:t>(3) Die Informationen nach den Absätzen 1 und 2 sind, soweit es möglich ist, in oder auf dem Produkt selbst anzugeben.</w:t>
      </w:r>
    </w:p>
    <w:p>
      <w:pPr>
        <w:pStyle w:val="Heading1"/>
      </w:pPr>
      <w:bookmarkStart w:id="6" w:name="b5"/>
      <w:r>
        <w:t>§ 5 Anforderungen an Produktverpackungen und Anleitungen</w:t>
      </w:r>
      <w:r>
        <w:t xml:space="preserve"> </w:t>
      </w:r>
      <w:r>
        <w:rPr>
          <w:rStyle w:val="Suchmarke"/>
        </w:rPr>
        <w:t>#5#</w:t>
      </w:r>
      <w:bookmarkEnd w:id="6"/>
    </w:p>
    <w:p>
      <w:r>
        <w:t>Die Verpackungen und Anleitungen der Produkte, mit Ausnahme von Selbstbedienungsterminals im Sinne des § 1 Absatz 2 Nummer 2 des Barrierefreiheitsstärkungsgesetzes müssen folgende Anforderungen erfüllen:</w:t>
      </w:r>
    </w:p>
    <w:p>
      <w:pPr>
        <w:tabs>
          <w:tab w:pos="567" w:val="left"/>
        </w:tabs>
        <w:ind w:left="567" w:hanging="567"/>
      </w:pPr>
      <w:r>
        <w:t>1.</w:t>
      </w:r>
      <w:r>
        <w:tab/>
      </w:r>
      <w:r>
        <w:t xml:space="preserve">die Informationen zur Produktverpackung, wie etwa zum Öffnen, zum Schließen, zur Verwendung oder zur Entsorgung, und, sofern bereitgestellt, die Informationen über die Barrierefreiheitsmerkmale des Produkts, müssen die Anforderungen des </w:t>
      </w:r>
      <w:hyperlink w:anchor="b4" w:history="1">
        <w:r>
          <w:rPr>
            <w:color w:val="0A3A8C"/>
            <w:u w:val="single"/>
          </w:rPr>
          <w:t xml:space="preserve">§ 4</w:t>
        </w:r>
      </w:hyperlink>
      <w:r>
        <w:t xml:space="preserve"> Absatz 1 erfüllen, wobei all diese Informationen auf der Verpackung angebracht werden müssen, soweit dies aufgrund der Größe oder der Art der Verpackung möglich ist und</w:t>
      </w:r>
    </w:p>
    <w:p>
      <w:pPr>
        <w:tabs>
          <w:tab w:pos="567" w:val="left"/>
        </w:tabs>
        <w:ind w:left="567" w:hanging="567"/>
      </w:pPr>
      <w:r>
        <w:t>2.</w:t>
      </w:r>
      <w:r>
        <w:tab/>
      </w:r>
      <w:r>
        <w:t>die Anleitungen zur Installation und Wartung, Lagerung und Entsorgung, die nicht auf dem Produkt selbst angebracht sind, sondern auf anderem Wege, beispielsweise über eine Webseite, bereitgestellt werden, müssen bei Inverkehrbringen des Produkts öffentlich zugänglich sein und folgenden Anforderungen genügen:</w:t>
      </w:r>
    </w:p>
    <w:p>
      <w:pPr>
        <w:tabs>
          <w:tab w:pos="1134" w:val="left"/>
        </w:tabs>
        <w:ind w:left="1134" w:hanging="567"/>
      </w:pPr>
      <w:r>
        <w:t>a)</w:t>
      </w:r>
      <w:r>
        <w:tab/>
      </w:r>
      <w:r>
        <w:t>sie werden über mehr als einen sensorischen Kanal zur Verfügung gestellt,</w:t>
      </w:r>
    </w:p>
    <w:p>
      <w:pPr>
        <w:tabs>
          <w:tab w:pos="1134" w:val="left"/>
        </w:tabs>
        <w:ind w:left="1134" w:hanging="567"/>
      </w:pPr>
      <w:r>
        <w:t>b)</w:t>
      </w:r>
      <w:r>
        <w:tab/>
      </w:r>
      <w:r>
        <w:t>sie sind für den Verbraucher auffindbar,</w:t>
      </w:r>
    </w:p>
    <w:p>
      <w:pPr>
        <w:tabs>
          <w:tab w:pos="1134" w:val="left"/>
        </w:tabs>
        <w:ind w:left="1134" w:hanging="567"/>
      </w:pPr>
      <w:r>
        <w:t>c)</w:t>
      </w:r>
      <w:r>
        <w:tab/>
      </w:r>
      <w:r>
        <w:t>sie werden in verständlicher Weise dargestellt,</w:t>
      </w:r>
    </w:p>
    <w:p>
      <w:pPr>
        <w:tabs>
          <w:tab w:pos="1134" w:val="left"/>
        </w:tabs>
        <w:ind w:left="1134" w:hanging="567"/>
      </w:pPr>
      <w:r>
        <w:t>d)</w:t>
      </w:r>
      <w:r>
        <w:tab/>
      </w:r>
      <w:r>
        <w:t>sie werden den Verbrauchern auf eine Weise dargestellt, die sie wahrnehmen können,</w:t>
      </w:r>
    </w:p>
    <w:p>
      <w:pPr>
        <w:tabs>
          <w:tab w:pos="1134" w:val="left"/>
        </w:tabs>
        <w:ind w:left="1134" w:hanging="567"/>
      </w:pPr>
      <w:r>
        <w:t>e)</w:t>
      </w:r>
      <w:r>
        <w:tab/>
      </w:r>
      <w:r>
        <w:t>sie werden in einer Schriftart mit angemessener Größe und mit geeigneter Form unter Berücksichtigung des vorhersehbaren Nutzungskontexts und mit ausreichendem Kontrast sowie anpassbaren Abständen zwischen den Buchstaben, Zeilen und Absätzen dargestellt,</w:t>
      </w:r>
    </w:p>
    <w:p>
      <w:pPr>
        <w:tabs>
          <w:tab w:pos="1134" w:val="left"/>
        </w:tabs>
        <w:ind w:left="1134" w:hanging="567"/>
      </w:pPr>
      <w:r>
        <w:t>f)</w:t>
      </w:r>
      <w:r>
        <w:tab/>
      </w:r>
      <w:r>
        <w:t>der Inhalt der Anleitungen wird in Textformaten zur Verfügung gestellt, die sich zum Generieren alternativer assistiver Formate durch den Verbraucher eignen, die auf unterschiedliche Art dargestellt und über mehr als einen sensorischen Kanal wahrgenommen werden können und</w:t>
      </w:r>
    </w:p>
    <w:p>
      <w:pPr>
        <w:tabs>
          <w:tab w:pos="1134" w:val="left"/>
        </w:tabs>
        <w:ind w:left="1134" w:hanging="567"/>
      </w:pPr>
      <w:r>
        <w:t>g)</w:t>
      </w:r>
      <w:r>
        <w:tab/>
      </w:r>
      <w:r>
        <w:t>es wird eine alternative Darstellung des Inhalts angeboten, wenn Elemente nicht-textlichen Inhalts enthalten sind.</w:t>
      </w:r>
    </w:p>
    <w:p>
      <w:pPr>
        <w:pStyle w:val="Heading1"/>
      </w:pPr>
      <w:bookmarkStart w:id="7" w:name="b6"/>
      <w:r>
        <w:t>§ 6 Anforderungen an Gestaltung von Benutzerschnittstelle und Funktionalität von Produkten</w:t>
      </w:r>
      <w:r>
        <w:t xml:space="preserve"> </w:t>
      </w:r>
      <w:r>
        <w:rPr>
          <w:rStyle w:val="Suchmarke"/>
        </w:rPr>
        <w:t>#6#</w:t>
      </w:r>
      <w:bookmarkEnd w:id="7"/>
    </w:p>
    <w:p>
      <w:r>
        <w:t>(1) Das Produkt, einschließlich seiner Benutzerschnittstelle, muss Bestandteile, Funktionen und Merkmale enthalten, die es Menschen mit Behinderungen ermöglichen, auf das Produkt zuzugreifen, es wahrzunehmen, zu bedienen, zu verstehen und zu steuern.</w:t>
      </w:r>
    </w:p>
    <w:p>
      <w:r>
        <w:t>(2) Das Produkt muss</w:t>
      </w:r>
    </w:p>
    <w:p>
      <w:pPr>
        <w:tabs>
          <w:tab w:pos="567" w:val="left"/>
        </w:tabs>
        <w:ind w:left="567" w:hanging="567"/>
      </w:pPr>
      <w:r>
        <w:t>1.</w:t>
      </w:r>
      <w:r>
        <w:tab/>
      </w:r>
      <w:r>
        <w:t>Kommunikation, einschließlich zwischenmenschlicher Kommunikation, Bedienung, Information, Steuerung und Orientierung über mehr als einen sensorischen Kanal ermöglichen, soweit es Kommunikation anbietet; das schließt auch die Bereitstellung von Alternativen zu visuellen, auditiven, gesprochenen und taktilen Elementen ein,</w:t>
      </w:r>
    </w:p>
    <w:p>
      <w:pPr>
        <w:tabs>
          <w:tab w:pos="567" w:val="left"/>
        </w:tabs>
        <w:ind w:left="567" w:hanging="567"/>
      </w:pPr>
      <w:r>
        <w:t>2.</w:t>
      </w:r>
      <w:r>
        <w:tab/>
      </w:r>
      <w:r>
        <w:t>bei Verwendung von gesprochener Sprache Alternativen zur gesprochenen Sprache und zur stimmlichen Eingabe für die Kommunikation, Bedienung, Steuerung und Orientierung zur Verfügung stellen,</w:t>
      </w:r>
    </w:p>
    <w:p>
      <w:pPr>
        <w:tabs>
          <w:tab w:pos="567" w:val="left"/>
        </w:tabs>
        <w:ind w:left="567" w:hanging="567"/>
      </w:pPr>
      <w:r>
        <w:t>3.</w:t>
      </w:r>
      <w:r>
        <w:tab/>
      </w:r>
      <w:r>
        <w:t>bei Verwendung visueller Elemente</w:t>
      </w:r>
    </w:p>
    <w:p>
      <w:pPr>
        <w:tabs>
          <w:tab w:pos="1134" w:val="left"/>
        </w:tabs>
        <w:ind w:left="1134" w:hanging="567"/>
      </w:pPr>
      <w:r>
        <w:t>a)</w:t>
      </w:r>
      <w:r>
        <w:tab/>
      </w:r>
      <w:r>
        <w:t>eine flexible Einstellung der Größe, der Helligkeit und des Kontrastes für die Kommunikation, Information und Bedienung sowie zur Gewährleistung der Interoperabilität mit Programmen und Hilfsmitteln zur Navigation in der Schnittstelle ermöglichen und</w:t>
      </w:r>
    </w:p>
    <w:p>
      <w:pPr>
        <w:tabs>
          <w:tab w:pos="1134" w:val="left"/>
        </w:tabs>
        <w:ind w:left="1134" w:hanging="567"/>
      </w:pPr>
      <w:r>
        <w:t>b)</w:t>
      </w:r>
      <w:r>
        <w:tab/>
      </w:r>
      <w:r>
        <w:t>für die Verbesserung der visuellen Klarheit flexible Möglichkeiten zur Verfügung stellen,</w:t>
      </w:r>
    </w:p>
    <w:p>
      <w:pPr>
        <w:tabs>
          <w:tab w:pos="567" w:val="left"/>
        </w:tabs>
        <w:ind w:left="567" w:hanging="567"/>
      </w:pPr>
      <w:r>
        <w:t>4.</w:t>
      </w:r>
      <w:r>
        <w:tab/>
      </w:r>
      <w:r>
        <w:t>Alternativen zu Farben zur Verfügung stellen, wenn mittels Farben Informationen mitgeteilt werden, über eine Handlung informiert wird, zu einer Reaktion aufgefordert wird oder Elemente gekennzeichnet werden,</w:t>
      </w:r>
    </w:p>
    <w:p>
      <w:pPr>
        <w:tabs>
          <w:tab w:pos="567" w:val="left"/>
        </w:tabs>
        <w:ind w:left="567" w:hanging="567"/>
      </w:pPr>
      <w:r>
        <w:t>5.</w:t>
      </w:r>
      <w:r>
        <w:tab/>
      </w:r>
      <w:r>
        <w:t>Alternativen zu hörbaren Signalen zur Verfügung stellen, wenn mittels hörbarer Signale Informationen mitgeteilt werden, über eine Handlung informiert wird, zu einer Reaktion aufgefordert wird oder Elemente gekennzeichnet werden,</w:t>
      </w:r>
    </w:p>
    <w:p>
      <w:pPr>
        <w:tabs>
          <w:tab w:pos="567" w:val="left"/>
        </w:tabs>
        <w:ind w:left="567" w:hanging="567"/>
      </w:pPr>
      <w:r>
        <w:t>6.</w:t>
      </w:r>
      <w:r>
        <w:tab/>
      </w:r>
      <w:r>
        <w:t>bei der Verwendung von Audio-Elementen</w:t>
      </w:r>
    </w:p>
    <w:p>
      <w:pPr>
        <w:tabs>
          <w:tab w:pos="1134" w:val="left"/>
        </w:tabs>
        <w:ind w:left="1134" w:hanging="567"/>
      </w:pPr>
      <w:r>
        <w:t>a)</w:t>
      </w:r>
      <w:r>
        <w:tab/>
      </w:r>
      <w:r>
        <w:t>es dem Verbraucher ermöglichen, die Lautstärke und Geschwindigkeit zu regeln und</w:t>
      </w:r>
    </w:p>
    <w:p>
      <w:pPr>
        <w:tabs>
          <w:tab w:pos="1134" w:val="left"/>
        </w:tabs>
        <w:ind w:left="1134" w:hanging="567"/>
      </w:pPr>
      <w:r>
        <w:t>b)</w:t>
      </w:r>
      <w:r>
        <w:tab/>
      </w:r>
      <w:r>
        <w:t>erweiterte Audiofunktionen, wie die Verringerung von störenden Audiosignalen von Geräten in der Umgebung und auditive Klarheit, zur Verfügung stellen,</w:t>
      </w:r>
    </w:p>
    <w:p>
      <w:pPr>
        <w:tabs>
          <w:tab w:pos="567" w:val="left"/>
        </w:tabs>
        <w:ind w:left="567" w:hanging="567"/>
      </w:pPr>
      <w:r>
        <w:t>7.</w:t>
      </w:r>
      <w:r>
        <w:tab/>
      </w:r>
      <w:r>
        <w:t>bei zwingend erforderlicher manueller Bedienung und Steuerung</w:t>
      </w:r>
    </w:p>
    <w:p>
      <w:pPr>
        <w:tabs>
          <w:tab w:pos="1134" w:val="left"/>
        </w:tabs>
        <w:ind w:left="1134" w:hanging="567"/>
      </w:pPr>
      <w:r>
        <w:t>a)</w:t>
      </w:r>
      <w:r>
        <w:tab/>
      </w:r>
      <w:r>
        <w:t>sequenzielle Steuerung und Alternativen zur feinmotorischen Steuerung zur Verfügung stellen, um eine gleichzeitige Bedienung mit Handgriffen zu vermeiden und</w:t>
      </w:r>
    </w:p>
    <w:p>
      <w:pPr>
        <w:tabs>
          <w:tab w:pos="1134" w:val="left"/>
        </w:tabs>
        <w:ind w:left="1134" w:hanging="567"/>
      </w:pPr>
      <w:r>
        <w:t>b)</w:t>
      </w:r>
      <w:r>
        <w:tab/>
      </w:r>
      <w:r>
        <w:t>taktil erkennbare Teile verwenden,</w:t>
      </w:r>
    </w:p>
    <w:p>
      <w:pPr>
        <w:tabs>
          <w:tab w:pos="567" w:val="left"/>
        </w:tabs>
        <w:ind w:left="567" w:hanging="567"/>
      </w:pPr>
      <w:r>
        <w:t>8.</w:t>
      </w:r>
      <w:r>
        <w:tab/>
      </w:r>
      <w:r>
        <w:t>Bedienungsformen vermeiden, die eine erhebliche Reichweite und großen Kraftaufwand erfordern,</w:t>
      </w:r>
    </w:p>
    <w:p>
      <w:pPr>
        <w:tabs>
          <w:tab w:pos="567" w:val="left"/>
        </w:tabs>
        <w:ind w:left="567" w:hanging="567"/>
      </w:pPr>
      <w:r>
        <w:t>9.</w:t>
      </w:r>
      <w:r>
        <w:tab/>
      </w:r>
      <w:r>
        <w:t>das Auslösen fotosensitiver Anfälle vermeiden,</w:t>
      </w:r>
    </w:p>
    <w:p>
      <w:pPr>
        <w:tabs>
          <w:tab w:pos="567" w:val="left"/>
        </w:tabs>
        <w:ind w:left="567" w:hanging="567"/>
      </w:pPr>
      <w:r>
        <w:t>10.</w:t>
      </w:r>
      <w:r>
        <w:tab/>
      </w:r>
      <w:r>
        <w:t>bei Nutzung der Barrierefreiheitsfunktionen durch den Verbraucher dessen Privatsphäre schützen,</w:t>
      </w:r>
    </w:p>
    <w:p>
      <w:pPr>
        <w:tabs>
          <w:tab w:pos="567" w:val="left"/>
        </w:tabs>
        <w:ind w:left="567" w:hanging="567"/>
      </w:pPr>
      <w:r>
        <w:t>11.</w:t>
      </w:r>
      <w:r>
        <w:tab/>
      </w:r>
      <w:r>
        <w:t>Alternativen zur biometrischen Identifizierung und Steuerung anbieten,</w:t>
      </w:r>
    </w:p>
    <w:p>
      <w:pPr>
        <w:tabs>
          <w:tab w:pos="567" w:val="left"/>
        </w:tabs>
        <w:ind w:left="567" w:hanging="567"/>
      </w:pPr>
      <w:r>
        <w:t>12.</w:t>
      </w:r>
      <w:r>
        <w:tab/>
      </w:r>
      <w:r>
        <w:t>die Konsistenz der Funktionalitäten wahren und ausreichend Zeit und eine flexible Zeitmenge für die Interaktionen zur Verfügung stellen und</w:t>
      </w:r>
    </w:p>
    <w:p>
      <w:pPr>
        <w:tabs>
          <w:tab w:pos="567" w:val="left"/>
        </w:tabs>
        <w:ind w:left="567" w:hanging="567"/>
      </w:pPr>
      <w:r>
        <w:t>13.</w:t>
      </w:r>
      <w:r>
        <w:tab/>
      </w:r>
      <w:r>
        <w:t>Software und Hardware für Schnittstellen zu den assistiven Technologien aufweisen.</w:t>
      </w:r>
    </w:p>
    <w:p>
      <w:pPr>
        <w:pStyle w:val="Heading1"/>
      </w:pPr>
      <w:bookmarkStart w:id="8" w:name="b7"/>
      <w:r>
        <w:t>§ 7 Zusätzliche branchenspezifische Anforderungen an Selbstbedienungsterminals</w:t>
      </w:r>
      <w:r>
        <w:t xml:space="preserve"> </w:t>
      </w:r>
      <w:r>
        <w:rPr>
          <w:rStyle w:val="Suchmarke"/>
        </w:rPr>
        <w:t>#7#</w:t>
      </w:r>
      <w:bookmarkEnd w:id="8"/>
    </w:p>
    <w:p>
      <w:r>
        <w:t>(1) Selbstbedienungsterminals müssen</w:t>
      </w:r>
    </w:p>
    <w:p>
      <w:pPr>
        <w:tabs>
          <w:tab w:pos="567" w:val="left"/>
        </w:tabs>
        <w:ind w:left="567" w:hanging="567"/>
      </w:pPr>
      <w:r>
        <w:t>1.</w:t>
      </w:r>
      <w:r>
        <w:tab/>
      </w:r>
      <w:r>
        <w:t>mit Sprachausgabe ausgestattet sein,</w:t>
      </w:r>
    </w:p>
    <w:p>
      <w:pPr>
        <w:tabs>
          <w:tab w:pos="567" w:val="left"/>
        </w:tabs>
        <w:ind w:left="567" w:hanging="567"/>
      </w:pPr>
      <w:r>
        <w:t>2.</w:t>
      </w:r>
      <w:r>
        <w:tab/>
      </w:r>
      <w:r>
        <w:t>die Benutzung von Einzel-Kopfhörern ermöglichen,</w:t>
      </w:r>
    </w:p>
    <w:p>
      <w:pPr>
        <w:tabs>
          <w:tab w:pos="567" w:val="left"/>
        </w:tabs>
        <w:ind w:left="567" w:hanging="567"/>
      </w:pPr>
      <w:r>
        <w:t>3.</w:t>
      </w:r>
      <w:r>
        <w:tab/>
      </w:r>
      <w:r>
        <w:t>den Verbraucher über mehr als einen sensorischen Kanal darauf hinweisen, wenn die für die erforderliche Antwort zur Verfügung gestellte Zeit begrenzt ist,</w:t>
      </w:r>
    </w:p>
    <w:p>
      <w:pPr>
        <w:tabs>
          <w:tab w:pos="567" w:val="left"/>
        </w:tabs>
        <w:ind w:left="567" w:hanging="567"/>
      </w:pPr>
      <w:r>
        <w:t>4.</w:t>
      </w:r>
      <w:r>
        <w:tab/>
      </w:r>
      <w:r>
        <w:t>die Verlängerung der für die Antwort zur Verfügung gestellten Zeit ermöglichen,</w:t>
      </w:r>
    </w:p>
    <w:p>
      <w:pPr>
        <w:tabs>
          <w:tab w:pos="567" w:val="left"/>
        </w:tabs>
        <w:ind w:left="567" w:hanging="567"/>
      </w:pPr>
      <w:r>
        <w:t>5.</w:t>
      </w:r>
      <w:r>
        <w:tab/>
      </w:r>
      <w:r>
        <w:t>mit Tasten und Bedienelementen mit ausreichendem Kontrast und taktiler Erkennbarkeit ausgestattet sein, soweit Tasten und Bedienelemente verwendet werden und</w:t>
      </w:r>
    </w:p>
    <w:p>
      <w:pPr>
        <w:tabs>
          <w:tab w:pos="567" w:val="left"/>
        </w:tabs>
        <w:ind w:left="567" w:hanging="567"/>
      </w:pPr>
      <w:r>
        <w:t>6.</w:t>
      </w:r>
      <w:r>
        <w:tab/>
      </w:r>
      <w:r>
        <w:t>bei der Verwendung von Audiosignalen oder akustischen Signalen solche Audiosignale oder akustische Signale verwenden, die mit auf Unionsebene verfügbaren Hilfsmitteln und Technologien, etwa mit Hörhilfetechnologie wie Hörgeräten, Telefonspulen, Cochlea-Implantaten und technischen Hörhilfen, kompatibel sind.</w:t>
      </w:r>
    </w:p>
    <w:p>
      <w:r>
        <w:t>(2) Selbstbedienungsterminals dürfen keine Aktivierung von Barrierefreiheitsfunktionen erfordern, damit Selbstbedienungsterminals von Personen, die auf entsprechende Funktionen angewiesen sind, eingeschaltet werden können.</w:t>
      </w:r>
    </w:p>
    <w:p>
      <w:pPr>
        <w:pStyle w:val="Heading1"/>
      </w:pPr>
      <w:bookmarkStart w:id="9" w:name="b8"/>
      <w:r>
        <w:t>§ 8 Zusätzliche branchenspezifische Anforderungen an E-Book-Lesegeräte</w:t>
      </w:r>
      <w:r>
        <w:t xml:space="preserve"> </w:t>
      </w:r>
      <w:r>
        <w:rPr>
          <w:rStyle w:val="Suchmarke"/>
        </w:rPr>
        <w:t>#8#</w:t>
      </w:r>
      <w:bookmarkEnd w:id="9"/>
    </w:p>
    <w:p>
      <w:r>
        <w:t>E-Book-Lesegeräte müssen mit Sprachausgabe ausgestattet sein.</w:t>
      </w:r>
    </w:p>
    <w:p>
      <w:pPr>
        <w:pStyle w:val="Heading1"/>
      </w:pPr>
      <w:bookmarkStart w:id="10" w:name="b9"/>
      <w:r>
        <w:t>§ 9 Zusätzliche branchenspezifische Anforderungen an Verbraucherendgeräte mit interaktivem Leistungsumfang, die zur Bereitstellung von Telekommunikationsdiensten eingesetzt werden</w:t>
      </w:r>
      <w:r>
        <w:t xml:space="preserve"> </w:t>
      </w:r>
      <w:r>
        <w:rPr>
          <w:rStyle w:val="Suchmarke"/>
        </w:rPr>
        <w:t>#9#</w:t>
      </w:r>
      <w:bookmarkEnd w:id="10"/>
    </w:p>
    <w:p>
      <w:r>
        <w:t>Verbraucherendgeräte mit interaktivem Leistungsumfang, die zur Bereitstellung von Telekommunikationsdiensten eingesetzt werden, müssen</w:t>
      </w:r>
    </w:p>
    <w:p>
      <w:pPr>
        <w:tabs>
          <w:tab w:pos="567" w:val="left"/>
        </w:tabs>
        <w:ind w:left="567" w:hanging="567"/>
      </w:pPr>
      <w:r>
        <w:t>1.</w:t>
      </w:r>
      <w:r>
        <w:tab/>
      </w:r>
      <w:r>
        <w:t>die Verarbeitung von Text in Echtzeit unterstützen, wenn sie zusätzlich zu Sprache auch Text verwenden,</w:t>
      </w:r>
    </w:p>
    <w:p>
      <w:pPr>
        <w:tabs>
          <w:tab w:pos="567" w:val="left"/>
        </w:tabs>
        <w:ind w:left="567" w:hanging="567"/>
      </w:pPr>
      <w:r>
        <w:t>2.</w:t>
      </w:r>
      <w:r>
        <w:tab/>
      </w:r>
      <w:r>
        <w:t>eine hohe Audioqualität unterstützen,</w:t>
      </w:r>
    </w:p>
    <w:p>
      <w:pPr>
        <w:tabs>
          <w:tab w:pos="567" w:val="left"/>
        </w:tabs>
        <w:ind w:left="567" w:hanging="567"/>
      </w:pPr>
      <w:r>
        <w:t>3.</w:t>
      </w:r>
      <w:r>
        <w:tab/>
      </w:r>
      <w:r>
        <w:t>die Abwicklung von Gesamtgesprächsdiensten unterstützen, wenn sie zusätzlich zu Text und Sprache oder in Kombination damit auch Video verwenden; dies schließt synchronisierte Sprache, Text in Echtzeit und Video mit einer Bildauflösung, die die Verständigung über Gebärdensprache ermöglicht, ein,</w:t>
      </w:r>
    </w:p>
    <w:p>
      <w:pPr>
        <w:tabs>
          <w:tab w:pos="567" w:val="left"/>
        </w:tabs>
        <w:ind w:left="567" w:hanging="567"/>
      </w:pPr>
      <w:r>
        <w:t>4.</w:t>
      </w:r>
      <w:r>
        <w:tab/>
      </w:r>
      <w:r>
        <w:t>eine effektive drahtlose Verbindung zu Hörhilfetechnologie sicherstellen und</w:t>
      </w:r>
    </w:p>
    <w:p>
      <w:pPr>
        <w:tabs>
          <w:tab w:pos="567" w:val="left"/>
        </w:tabs>
        <w:ind w:left="567" w:hanging="567"/>
      </w:pPr>
      <w:r>
        <w:t>5.</w:t>
      </w:r>
      <w:r>
        <w:tab/>
      </w:r>
      <w:r>
        <w:t>so gestaltet sein, dass keine Interferenzen mit Hilfsmitteln auftreten.</w:t>
      </w:r>
    </w:p>
    <w:p>
      <w:pPr>
        <w:pStyle w:val="Heading1"/>
      </w:pPr>
      <w:bookmarkStart w:id="11" w:name="b10"/>
      <w:r>
        <w:t>§ 10 Zusätzliche branchenspezifische Anforderungen an Verbraucherendgeräte mit interaktivem Leistungsumfang, die für den Zugang zu audiovisuellen Mediendiensten verwendet werden</w:t>
      </w:r>
      <w:r>
        <w:t xml:space="preserve"> </w:t>
      </w:r>
      <w:r>
        <w:rPr>
          <w:rStyle w:val="Suchmarke"/>
        </w:rPr>
        <w:t>#10#</w:t>
      </w:r>
      <w:bookmarkEnd w:id="11"/>
    </w:p>
    <w:p>
      <w:r>
        <w:t>Verbraucherendgeräte mit interaktivem Leistungsumfang, die für den Zugang zu audiovisuellen Mediendiensten verwendet werden, müssen Menschen mit Behinderungen diejenigen Barrierefreiheitskomponenten bereitstellen, die der Anbieter audiovisueller Mediendienste für den Benutzerzugang, die Auswahl von Optionen, die Steuerung, die Personalisierung und die Übertragung an Hilfsmittel zur Verfügung stellt.</w:t>
      </w:r>
    </w:p>
    <w:p>
      <w:pPr>
        <w:pStyle w:val="Heading1"/>
      </w:pPr>
      <w:bookmarkStart w:id="12" w:name="b11"/>
      <w:r>
        <w:t>§ 11 Unterstützungsdienste</w:t>
      </w:r>
      <w:r>
        <w:t xml:space="preserve"> </w:t>
      </w:r>
      <w:r>
        <w:rPr>
          <w:rStyle w:val="Suchmarke"/>
        </w:rPr>
        <w:t>#11#</w:t>
      </w:r>
      <w:bookmarkEnd w:id="12"/>
    </w:p>
    <w:p>
      <w:r>
        <w:t>Wenn Unterstützungsdienste wie Help-Desk, Call-Center, technische Unterstützung, Relaisdienste und Schulungsdienste verfügbar sind, müssen sie Informationen über die Barrierefreiheit und die Kompatibilität des Produkts mit assistiven Technologien mittels barrierefreien Kommunikationsmitteln bereitstellen.</w:t>
      </w:r>
    </w:p>
    <w:p>
      <w:pPr>
        <w:pStyle w:val="Heading1"/>
      </w:pPr>
      <w:bookmarkStart w:id="13" w:name="b12"/>
      <w:r>
        <w:t>§ 12 Allgemeine Anforderungen an Dienstleistungen</w:t>
      </w:r>
      <w:r>
        <w:t xml:space="preserve"> </w:t>
      </w:r>
      <w:r>
        <w:rPr>
          <w:rStyle w:val="Suchmarke"/>
        </w:rPr>
        <w:t>#12#</w:t>
      </w:r>
      <w:bookmarkEnd w:id="13"/>
    </w:p>
    <w:p>
      <w:r>
        <w:t>Damit Dienstleistungen die Anforderungen des § 3 Absatz 1 Satz 2 Barrierefreiheitsstärkungsgesetz erfüllen, müssen</w:t>
      </w:r>
    </w:p>
    <w:p>
      <w:pPr>
        <w:tabs>
          <w:tab w:pos="567" w:val="left"/>
        </w:tabs>
        <w:ind w:left="567" w:hanging="567"/>
      </w:pPr>
      <w:r>
        <w:t>1.</w:t>
      </w:r>
      <w:r>
        <w:tab/>
      </w:r>
      <w:r>
        <w:t xml:space="preserve">Produkte im Sinne des § 1 Absatz 2 des Barrierefreiheitsstärkungsgesetzes, die zur Erbringung der Dienstleistung verwendet werden, die Anforderungen der </w:t>
      </w:r>
      <w:hyperlink w:anchor="b4" w:history="1">
        <w:r>
          <w:rPr>
            <w:color w:val="0A3A8C"/>
            <w:u w:val="single"/>
          </w:rPr>
          <w:t xml:space="preserve">§§ 4</w:t>
        </w:r>
      </w:hyperlink>
      <w:r>
        <w:t xml:space="preserve"> und </w:t>
      </w:r>
      <w:hyperlink w:anchor="b6" w:history="1">
        <w:r>
          <w:rPr>
            <w:color w:val="0A3A8C"/>
            <w:u w:val="single"/>
          </w:rPr>
          <w:t xml:space="preserve">6</w:t>
        </w:r>
      </w:hyperlink>
      <w:r>
        <w:t xml:space="preserve"> bis </w:t>
      </w:r>
      <w:hyperlink w:anchor="b11" w:history="1">
        <w:r>
          <w:rPr>
            <w:color w:val="0A3A8C"/>
            <w:u w:val="single"/>
          </w:rPr>
          <w:t xml:space="preserve">11</w:t>
        </w:r>
      </w:hyperlink>
      <w:r>
        <w:t xml:space="preserve"> und, soweit anwendbar, die Anforderungen des </w:t>
      </w:r>
      <w:hyperlink w:anchor="b5" w:history="1">
        <w:r>
          <w:rPr>
            <w:color w:val="0A3A8C"/>
            <w:u w:val="single"/>
          </w:rPr>
          <w:t xml:space="preserve">§ 5</w:t>
        </w:r>
      </w:hyperlink>
      <w:r>
        <w:t xml:space="preserve"> erfüllen,</w:t>
      </w:r>
    </w:p>
    <w:p>
      <w:pPr>
        <w:tabs>
          <w:tab w:pos="567" w:val="left"/>
        </w:tabs>
        <w:ind w:left="567" w:hanging="567"/>
      </w:pPr>
      <w:r>
        <w:t>2.</w:t>
      </w:r>
      <w:r>
        <w:tab/>
      </w:r>
      <w:r>
        <w:t>die Bereitstellung von Informationen über die Funktionsweise der Dienstleistung sowie für den Fall, dass für die Erbringung der Dienstleistung Produkte verwendet werden, die Bereitstellung von Informationen über die Verbindung der Dienstleistung zu diesen Produkten sowie über die Barrierefreiheitsmerkmale und die Interoperabilität dieser Produkte mit assistiven Technologien folgende Anforderungen erfüllen:</w:t>
      </w:r>
    </w:p>
    <w:p>
      <w:pPr>
        <w:tabs>
          <w:tab w:pos="1134" w:val="left"/>
        </w:tabs>
        <w:ind w:left="1134" w:hanging="567"/>
      </w:pPr>
      <w:r>
        <w:t>a)</w:t>
      </w:r>
      <w:r>
        <w:tab/>
      </w:r>
      <w:r>
        <w:t>die Informationen werden über mehr als einen sensorischen Kanal bereitgestellt,</w:t>
      </w:r>
    </w:p>
    <w:p>
      <w:pPr>
        <w:tabs>
          <w:tab w:pos="1134" w:val="left"/>
        </w:tabs>
        <w:ind w:left="1134" w:hanging="567"/>
      </w:pPr>
      <w:r>
        <w:t>b)</w:t>
      </w:r>
      <w:r>
        <w:tab/>
      </w:r>
      <w:r>
        <w:t>sie sind für den Verbraucher auffindbar,</w:t>
      </w:r>
    </w:p>
    <w:p>
      <w:pPr>
        <w:tabs>
          <w:tab w:pos="1134" w:val="left"/>
        </w:tabs>
        <w:ind w:left="1134" w:hanging="567"/>
      </w:pPr>
      <w:r>
        <w:t>c)</w:t>
      </w:r>
      <w:r>
        <w:tab/>
      </w:r>
      <w:r>
        <w:t>sie werden in verständlicher Weise dargestellt,</w:t>
      </w:r>
    </w:p>
    <w:p>
      <w:pPr>
        <w:tabs>
          <w:tab w:pos="1134" w:val="left"/>
        </w:tabs>
        <w:ind w:left="1134" w:hanging="567"/>
      </w:pPr>
      <w:r>
        <w:t>d)</w:t>
      </w:r>
      <w:r>
        <w:tab/>
      </w:r>
      <w:r>
        <w:t>sie werden den Verbrauchern auf eine Weise dargestellt, die sie wahrnehmen können,</w:t>
      </w:r>
    </w:p>
    <w:p>
      <w:pPr>
        <w:tabs>
          <w:tab w:pos="1134" w:val="left"/>
        </w:tabs>
        <w:ind w:left="1134" w:hanging="567"/>
      </w:pPr>
      <w:r>
        <w:t>e)</w:t>
      </w:r>
      <w:r>
        <w:tab/>
      </w:r>
      <w:r>
        <w:t>der Informationsinhalt wird in Textformaten zur Verfügung gestellt, die sich zum Generieren alternativer assistiver Formate durch den Verbraucher eignen, die auf unterschiedliche Art dargestellt und über mehr als einen sensorischen Kanal wahrgenommen werden können,</w:t>
      </w:r>
    </w:p>
    <w:p>
      <w:pPr>
        <w:tabs>
          <w:tab w:pos="1134" w:val="left"/>
        </w:tabs>
        <w:ind w:left="1134" w:hanging="567"/>
      </w:pPr>
      <w:r>
        <w:t>f)</w:t>
      </w:r>
      <w:r>
        <w:tab/>
      </w:r>
      <w:r>
        <w:t>sie werden in einer Schriftart mit angemessener Größe und mit geeigneter Form unter Berücksichtigung des vorhersehbaren Nutzungskontexts und mit ausreichendem Kontrast sowie ausreichenden Abständen zwischen den Buchstaben, Zeilen und Absätzen dargestellt,</w:t>
      </w:r>
    </w:p>
    <w:p>
      <w:pPr>
        <w:tabs>
          <w:tab w:pos="1134" w:val="left"/>
        </w:tabs>
        <w:ind w:left="1134" w:hanging="567"/>
      </w:pPr>
      <w:r>
        <w:t>g)</w:t>
      </w:r>
      <w:r>
        <w:tab/>
      </w:r>
      <w:r>
        <w:t>es wird eine alternative Darstellung des Inhalts angeboten, wenn Elemente nicht-textlichen Inhalts enthalten sind,</w:t>
      </w:r>
    </w:p>
    <w:p>
      <w:pPr>
        <w:tabs>
          <w:tab w:pos="1134" w:val="left"/>
        </w:tabs>
        <w:ind w:left="1134" w:hanging="567"/>
      </w:pPr>
      <w:r>
        <w:t>h)</w:t>
      </w:r>
      <w:r>
        <w:tab/>
      </w:r>
      <w:r>
        <w:t>die für die Erbringung der Dienstleistung erforderlichen digitalen Informationen werden auf konsistente und angemessene Weise bereitgestellt, indem sie wahrnehmbar, bedienbar, verständlich und robust gestaltet werden,</w:t>
      </w:r>
    </w:p>
    <w:p>
      <w:pPr>
        <w:tabs>
          <w:tab w:pos="567" w:val="left"/>
        </w:tabs>
        <w:ind w:left="567" w:hanging="567"/>
      </w:pPr>
      <w:r>
        <w:t>3.</w:t>
      </w:r>
      <w:r>
        <w:tab/>
      </w:r>
      <w:r>
        <w:t>Webseiten, einschließlich der zugehörigen Online-Anwendungen und auf Mobilgeräten angebotenen Dienstleistungen, einschließlich mobiler Apps, auf konsistente und angemessene Weise wahrnehmbar, bedienbar, verständlich und robust gestaltet werden und</w:t>
      </w:r>
    </w:p>
    <w:p>
      <w:pPr>
        <w:tabs>
          <w:tab w:pos="567" w:val="left"/>
        </w:tabs>
        <w:ind w:left="567" w:hanging="567"/>
      </w:pPr>
      <w:r>
        <w:t>4.</w:t>
      </w:r>
      <w:r>
        <w:tab/>
      </w:r>
      <w:r>
        <w:t>im Fall der Verfügbarkeit von Unterstützungsdiensten wie Help-Desk, Call-Center, technische Unterstützung, Relaisdienste und Schulungsdienste diese die Informationen über die Barrierefreiheit und die Kompatibilität der Dienstleistung mit assistiven Technologien mit barrierefreien Kommunikationsmitteln bereitstellen.</w:t>
      </w:r>
    </w:p>
    <w:p>
      <w:pPr>
        <w:pStyle w:val="Heading1"/>
      </w:pPr>
      <w:bookmarkStart w:id="14" w:name="b13"/>
      <w:r>
        <w:t>§ 13 Zusätzliche Anforderungen an bestimmte Dienstleistungen</w:t>
      </w:r>
      <w:r>
        <w:t xml:space="preserve"> </w:t>
      </w:r>
      <w:r>
        <w:rPr>
          <w:rStyle w:val="Suchmarke"/>
        </w:rPr>
        <w:t>#13#</w:t>
      </w:r>
      <w:bookmarkEnd w:id="14"/>
    </w:p>
    <w:p>
      <w:r>
        <w:t>Damit Menschen mit Behinderungen die Dienstleistungen der §§ 14 bis 19 in größtmöglichem Umfang nutzen können, müssen diese Dienstleistungen Funktionen, Vorgehensweisen, Strategien und Verfahren sowie Änderungen bei der Ausführung vorsehen, die auf die Bedürfnisse von Menschen mit Behinderungen ausgerichtet sind und die Interoperabilität mit assistiven Technologien gewährleisten.</w:t>
      </w:r>
    </w:p>
    <w:p>
      <w:pPr>
        <w:pStyle w:val="Heading1"/>
      </w:pPr>
      <w:bookmarkStart w:id="15" w:name="b14"/>
      <w:r>
        <w:t>§ 14 Zusätzliche Anforderungen Telekommunikationsdienstleister</w:t>
      </w:r>
      <w:r>
        <w:t xml:space="preserve"> </w:t>
      </w:r>
      <w:r>
        <w:rPr>
          <w:rStyle w:val="Suchmarke"/>
        </w:rPr>
        <w:t>#14#</w:t>
      </w:r>
      <w:bookmarkEnd w:id="15"/>
    </w:p>
    <w:p>
      <w:r>
        <w:t xml:space="preserve">(1) </w:t>
      </w:r>
      <w:r>
        <w:rPr>
          <w:rStyle w:val="Satznummer"/>
        </w:rPr>
        <w:t>1</w:t>
      </w:r>
      <w:r>
        <w:t xml:space="preserve">Bei Telekommunikationsdiensten, die Sprachkommunikation ermöglichen, muss zusätzlich zur Sprachkommunikation Text in Echtzeit bereitgestellt werden. </w:t>
      </w:r>
      <w:r>
        <w:rPr>
          <w:rStyle w:val="Satznummer"/>
        </w:rPr>
        <w:t>2</w:t>
      </w:r>
      <w:r>
        <w:t>Soweit die Telekommunikationsdienste Video zur Verfügung stellen, muss ein Gesamtgesprächsdienst bereitgestellt werden.</w:t>
      </w:r>
    </w:p>
    <w:p>
      <w:r>
        <w:t xml:space="preserve">(2) </w:t>
      </w:r>
      <w:r>
        <w:rPr>
          <w:rStyle w:val="Satznummer"/>
        </w:rPr>
        <w:t>1</w:t>
      </w:r>
      <w:r>
        <w:t xml:space="preserve">Bei den in Artikel 109 Absatz 2 der Richtlinie (EU) 2018/1972 in der Fassung vom 11. Dezember 2018 genannten Notrufen muss gewährleistet sein, dass die Notrufkommunikation über Sprache und Text, einschließlich Text in Echtzeit, synchronisiert ist. </w:t>
      </w:r>
      <w:r>
        <w:rPr>
          <w:rStyle w:val="Satznummer"/>
        </w:rPr>
        <w:t>2</w:t>
      </w:r>
      <w:r>
        <w:t xml:space="preserve">Soweit die Telekommunikationsdienste Video zur Verfügung stellen, muss zusätzlich gewährleistet sein, dass die Notrufkommunikation auch als Gesamtgesprächsdienst synchronisiert ist. </w:t>
      </w:r>
      <w:r>
        <w:rPr>
          <w:rStyle w:val="Satznummer"/>
        </w:rPr>
        <w:t>3</w:t>
      </w:r>
      <w:r>
        <w:t>Die Notrufe müssen unverzüglich an die örtlich zuständige Notrufabfragestelle übermittelt werden.</w:t>
      </w:r>
    </w:p>
    <w:p>
      <w:pPr>
        <w:pStyle w:val="Heading1"/>
      </w:pPr>
      <w:bookmarkStart w:id="16" w:name="b15"/>
      <w:r>
        <w:t>§ 15 Zusätzliche Anforderungen an Personenbeförderungsdienste</w:t>
      </w:r>
      <w:r>
        <w:t xml:space="preserve"> </w:t>
      </w:r>
      <w:r>
        <w:rPr>
          <w:rStyle w:val="Suchmarke"/>
        </w:rPr>
        <w:t>#15#</w:t>
      </w:r>
      <w:bookmarkEnd w:id="16"/>
    </w:p>
    <w:p>
      <w:r>
        <w:t>Bei Personenbeförderungsdiensten im Luft-, Bus-, Schienen- und Schiffsverkehr, ausgenommen Stadt-, Vorort- sowie Regionalverkehrsdienste, muss die Bereitstellung gewährleistet werden von:</w:t>
      </w:r>
    </w:p>
    <w:p>
      <w:pPr>
        <w:tabs>
          <w:tab w:pos="567" w:val="left"/>
        </w:tabs>
        <w:ind w:left="567" w:hanging="567"/>
      </w:pPr>
      <w:r>
        <w:t>1.</w:t>
      </w:r>
      <w:r>
        <w:tab/>
      </w:r>
      <w:r>
        <w:t>Informationen über die Barrierefreiheit der Verkehrsmittel, der umliegenden Infrastruktur und Gebäude sowie die Unterstützung für Menschen mit Behinderungen;</w:t>
      </w:r>
    </w:p>
    <w:p>
      <w:pPr>
        <w:tabs>
          <w:tab w:pos="567" w:val="left"/>
        </w:tabs>
        <w:ind w:left="567" w:hanging="567"/>
      </w:pPr>
      <w:r>
        <w:t>2.</w:t>
      </w:r>
      <w:r>
        <w:tab/>
      </w:r>
      <w:r>
        <w:t>Informationen zu intelligenten Ticketsystemen, wie der elektronischen Reservierung und Buchung von Fahrausweisen;</w:t>
      </w:r>
    </w:p>
    <w:p>
      <w:pPr>
        <w:tabs>
          <w:tab w:pos="567" w:val="left"/>
        </w:tabs>
        <w:ind w:left="567" w:hanging="567"/>
      </w:pPr>
      <w:r>
        <w:t>3.</w:t>
      </w:r>
      <w:r>
        <w:tab/>
      </w:r>
      <w:r>
        <w:t>Reiseinformationen in Echtzeit wie Fahrpläne, Informationen über Verkehrsstörungen, Anschlüsse und die Weiterreise mit anderen Verkehrsmitteln;</w:t>
      </w:r>
    </w:p>
    <w:p>
      <w:pPr>
        <w:tabs>
          <w:tab w:pos="567" w:val="left"/>
        </w:tabs>
        <w:ind w:left="567" w:hanging="567"/>
      </w:pPr>
      <w:r>
        <w:t>4.</w:t>
      </w:r>
      <w:r>
        <w:tab/>
      </w:r>
      <w:r>
        <w:t>zusätzlichen Serviceinformationen, wie am Bahnhof im Dienst befindliches Servicepersonal, defekte Aufzüge oder vorübergehend nicht verfügbare Dienstleistungen.</w:t>
      </w:r>
    </w:p>
    <w:p>
      <w:pPr>
        <w:pStyle w:val="Heading1"/>
      </w:pPr>
      <w:bookmarkStart w:id="17" w:name="b16"/>
      <w:r>
        <w:t>§ 16 Zusätzliche Anforderungen an Stadt-, Vorort- und Regionalverkehrsdienste</w:t>
      </w:r>
      <w:r>
        <w:t xml:space="preserve"> </w:t>
      </w:r>
      <w:r>
        <w:rPr>
          <w:rStyle w:val="Suchmarke"/>
        </w:rPr>
        <w:t>#16#</w:t>
      </w:r>
      <w:bookmarkEnd w:id="17"/>
    </w:p>
    <w:p>
      <w:r>
        <w:t xml:space="preserve">Selbstbedienungsterminals im Sinne des § 1 Absatz 2 Nummer 2 Buchstabe b Doppelbuchstabe d des Barrierefreiheitsstärkungsgesetzes, die zur Erbringung der Dienstleistung im Stadt-, Vorort- und Regionalverkehrsdienst verwendet werden, müssen die Anforderungen der </w:t>
      </w:r>
      <w:hyperlink w:anchor="b4" w:history="1">
        <w:r>
          <w:rPr>
            <w:color w:val="0A3A8C"/>
            <w:u w:val="single"/>
          </w:rPr>
          <w:t xml:space="preserve">§§ 4</w:t>
        </w:r>
      </w:hyperlink>
      <w:r>
        <w:t xml:space="preserve">, </w:t>
      </w:r>
      <w:hyperlink w:anchor="b6" w:history="1">
        <w:r>
          <w:rPr>
            <w:color w:val="0A3A8C"/>
            <w:u w:val="single"/>
          </w:rPr>
          <w:t xml:space="preserve">6</w:t>
        </w:r>
      </w:hyperlink>
      <w:r>
        <w:t xml:space="preserve">, </w:t>
      </w:r>
      <w:hyperlink w:anchor="b7" w:history="1">
        <w:r>
          <w:rPr>
            <w:color w:val="0A3A8C"/>
            <w:u w:val="single"/>
          </w:rPr>
          <w:t xml:space="preserve">7</w:t>
        </w:r>
      </w:hyperlink>
      <w:r>
        <w:t xml:space="preserve"> und </w:t>
      </w:r>
      <w:hyperlink w:anchor="b11" w:history="1">
        <w:r>
          <w:rPr>
            <w:color w:val="0A3A8C"/>
            <w:u w:val="single"/>
          </w:rPr>
          <w:t xml:space="preserve">11</w:t>
        </w:r>
      </w:hyperlink>
      <w:r>
        <w:t xml:space="preserve"> erfüllen.</w:t>
      </w:r>
    </w:p>
    <w:p>
      <w:pPr>
        <w:pStyle w:val="Heading1"/>
      </w:pPr>
      <w:bookmarkStart w:id="18" w:name="b17"/>
      <w:r>
        <w:t>§ 17 Zusätzliche Anforderungen an Bankdienstleistungen für Verbraucher</w:t>
      </w:r>
      <w:r>
        <w:t xml:space="preserve"> </w:t>
      </w:r>
      <w:r>
        <w:rPr>
          <w:rStyle w:val="Suchmarke"/>
        </w:rPr>
        <w:t>#17#</w:t>
      </w:r>
      <w:bookmarkEnd w:id="18"/>
    </w:p>
    <w:p>
      <w:r>
        <w:t xml:space="preserve">(1) </w:t>
      </w:r>
      <w:r>
        <w:rPr>
          <w:rStyle w:val="Satznummer"/>
        </w:rPr>
        <w:t>1</w:t>
      </w:r>
      <w:r>
        <w:t xml:space="preserve">Soweit Identifizierungsmethoden, Authentifizierungsmethoden, elektronische Signaturen, Sicherheitsfunktionen und Zahlungsdienste bereitgestellt werden, müssen diese wahrnehmbar, bedienbar, verständlich und robust sein. </w:t>
      </w:r>
      <w:r>
        <w:rPr>
          <w:rStyle w:val="Satznummer"/>
        </w:rPr>
        <w:t>2</w:t>
      </w:r>
      <w:r>
        <w:t>Eine Authentifizierungsmethode im Sinne dieser Vorschrift ist jede Methode zur Authentifizierung im Sinne des § 1 Absatz 23 des Zahlungsdiensteaufsichtsgesetzes vom 17. Juli 2017 (BGBl. I S. 2446; 2019 I S. 1113), das zuletzt durch Artikel 5 des Gesetzes vom 25. Juni 2021 (BGBl. I S. 2083) geändert worden ist.</w:t>
      </w:r>
    </w:p>
    <w:p>
      <w:r>
        <w:t>(2) Es muss gewährleistet werden, dass die Informationen zur Funktionsweise der Bankdienstleistung für Verbraucher verständlich sind, ohne dass ihr Schwierigkeitsgrad das Sprachniveau B2 des Gemeinsamen europäischen Referenzrahmens für Sprachen des Europarats überschreitet.</w:t>
      </w:r>
    </w:p>
    <w:p>
      <w:pPr>
        <w:pStyle w:val="Heading1"/>
      </w:pPr>
      <w:bookmarkStart w:id="19" w:name="b18"/>
      <w:r>
        <w:t>§ 18 Zusätzliche Anforderungen an E-Books</w:t>
      </w:r>
      <w:r>
        <w:t xml:space="preserve"> </w:t>
      </w:r>
      <w:r>
        <w:rPr>
          <w:rStyle w:val="Suchmarke"/>
        </w:rPr>
        <w:t>#18#</w:t>
      </w:r>
      <w:bookmarkEnd w:id="19"/>
    </w:p>
    <w:p>
      <w:r>
        <w:t>E-Books müssen</w:t>
      </w:r>
    </w:p>
    <w:p>
      <w:pPr>
        <w:tabs>
          <w:tab w:pos="567" w:val="left"/>
        </w:tabs>
        <w:ind w:left="567" w:hanging="567"/>
      </w:pPr>
      <w:r>
        <w:t>1.</w:t>
      </w:r>
      <w:r>
        <w:tab/>
      </w:r>
      <w:r>
        <w:t>die synchronisierte Bereitstellung von Text- und Audioinhalten gewährleisten, sofern sie neben Text- auch Audioinhalte enthalten,</w:t>
      </w:r>
    </w:p>
    <w:p>
      <w:pPr>
        <w:tabs>
          <w:tab w:pos="567" w:val="left"/>
        </w:tabs>
        <w:ind w:left="567" w:hanging="567"/>
      </w:pPr>
      <w:r>
        <w:t>2.</w:t>
      </w:r>
      <w:r>
        <w:tab/>
      </w:r>
      <w:r>
        <w:t>gewährleisten, dass die Dateien des E-Books die ordnungsgemäße Funktionsweise assistiver Technologien nicht verhindern,</w:t>
      </w:r>
    </w:p>
    <w:p>
      <w:pPr>
        <w:tabs>
          <w:tab w:pos="567" w:val="left"/>
        </w:tabs>
        <w:ind w:left="567" w:hanging="567"/>
      </w:pPr>
      <w:r>
        <w:t>3.</w:t>
      </w:r>
      <w:r>
        <w:tab/>
      </w:r>
      <w:r>
        <w:t>den Zugang zu Inhalten gewährleisten,</w:t>
      </w:r>
    </w:p>
    <w:p>
      <w:pPr>
        <w:tabs>
          <w:tab w:pos="567" w:val="left"/>
        </w:tabs>
        <w:ind w:left="567" w:hanging="567"/>
      </w:pPr>
      <w:r>
        <w:t>4.</w:t>
      </w:r>
      <w:r>
        <w:tab/>
      </w:r>
      <w:r>
        <w:t>die Navigation im Dateiinhalt und im Layout einschließlich dynamischer Layouts gewährleisten,</w:t>
      </w:r>
    </w:p>
    <w:p>
      <w:pPr>
        <w:tabs>
          <w:tab w:pos="567" w:val="left"/>
        </w:tabs>
        <w:ind w:left="567" w:hanging="567"/>
      </w:pPr>
      <w:r>
        <w:t>5.</w:t>
      </w:r>
      <w:r>
        <w:tab/>
      </w:r>
      <w:r>
        <w:t>eine Struktur bereitstellen,</w:t>
      </w:r>
    </w:p>
    <w:p>
      <w:pPr>
        <w:tabs>
          <w:tab w:pos="567" w:val="left"/>
        </w:tabs>
        <w:ind w:left="567" w:hanging="567"/>
      </w:pPr>
      <w:r>
        <w:t>6.</w:t>
      </w:r>
      <w:r>
        <w:tab/>
      </w:r>
      <w:r>
        <w:t>Flexibilität und Wahlfreiheit bei der Darstellung der Inhalte bereitstellen,</w:t>
      </w:r>
    </w:p>
    <w:p>
      <w:pPr>
        <w:tabs>
          <w:tab w:pos="567" w:val="left"/>
        </w:tabs>
        <w:ind w:left="567" w:hanging="567"/>
      </w:pPr>
      <w:r>
        <w:t>7.</w:t>
      </w:r>
      <w:r>
        <w:tab/>
      </w:r>
      <w:r>
        <w:t>alternative Wiedergabearten für den Inhalt in wahrnehmbarer, verständlicher, bedienbarer und robuster Weise ermöglichen,</w:t>
      </w:r>
    </w:p>
    <w:p>
      <w:pPr>
        <w:tabs>
          <w:tab w:pos="567" w:val="left"/>
        </w:tabs>
        <w:ind w:left="567" w:hanging="567"/>
      </w:pPr>
      <w:r>
        <w:t>8.</w:t>
      </w:r>
      <w:r>
        <w:tab/>
      </w:r>
      <w:r>
        <w:t>die Interoperabilität des Inhalts mit assistiven Technologien in wahrnehmbarer, verständlicher, bedienbarer und robuster Weise ermöglichen,</w:t>
      </w:r>
    </w:p>
    <w:p>
      <w:pPr>
        <w:tabs>
          <w:tab w:pos="567" w:val="left"/>
        </w:tabs>
        <w:ind w:left="567" w:hanging="567"/>
      </w:pPr>
      <w:r>
        <w:t>9.</w:t>
      </w:r>
      <w:r>
        <w:tab/>
      </w:r>
      <w:r>
        <w:t>die Auffindbarkeit der Barrierefreiheitsmerkmale durch Bereitstellung von Informationen in Form von Metadaten gewährleisten und</w:t>
      </w:r>
    </w:p>
    <w:p>
      <w:pPr>
        <w:tabs>
          <w:tab w:pos="567" w:val="left"/>
        </w:tabs>
        <w:ind w:left="567" w:hanging="567"/>
      </w:pPr>
      <w:r>
        <w:t>10.</w:t>
      </w:r>
      <w:r>
        <w:tab/>
      </w:r>
      <w:r>
        <w:t>nach Maßgabe der §§ 95a bis 96 des Urheberrechtsgesetzes gewährleisten, dass Barrierefreiheitsfunktionen nicht durch technische Maßnahmen zum Schutz von Werken und sonstigen Schutzgegenständen blockiert werden.</w:t>
      </w:r>
    </w:p>
    <w:p>
      <w:pPr>
        <w:pStyle w:val="Heading1"/>
      </w:pPr>
      <w:bookmarkStart w:id="20" w:name="b19"/>
      <w:r>
        <w:t>§ 19 Zusätzliche Anforderungen an Dienstleistungen im elektronischen Geschäftsverkehr</w:t>
      </w:r>
      <w:r>
        <w:t xml:space="preserve"> </w:t>
      </w:r>
      <w:r>
        <w:rPr>
          <w:rStyle w:val="Suchmarke"/>
        </w:rPr>
        <w:t>#19#</w:t>
      </w:r>
      <w:bookmarkEnd w:id="20"/>
    </w:p>
    <w:p>
      <w:r>
        <w:t>Bei Dienstleistungen im elektronischen Geschäftsverkehr müssen</w:t>
      </w:r>
    </w:p>
    <w:p>
      <w:pPr>
        <w:tabs>
          <w:tab w:pos="567" w:val="left"/>
        </w:tabs>
        <w:ind w:left="567" w:hanging="567"/>
      </w:pPr>
      <w:r>
        <w:t>1.</w:t>
      </w:r>
      <w:r>
        <w:tab/>
      </w:r>
      <w:r>
        <w:t>Informationen zur Barrierefreiheit der zum Verkauf stehenden Produkte und der angebotenen Dienstleistungen bereitgestellt werden, soweit diese Informationen vom verantwortlichen Wirtschaftsakteur zur Verfügung gestellt werden,</w:t>
      </w:r>
    </w:p>
    <w:p>
      <w:pPr>
        <w:tabs>
          <w:tab w:pos="567" w:val="left"/>
        </w:tabs>
        <w:ind w:left="567" w:hanging="567"/>
      </w:pPr>
      <w:r>
        <w:t>2.</w:t>
      </w:r>
      <w:r>
        <w:tab/>
      </w:r>
      <w:r>
        <w:t>Identifizierungs-, Authentifizierungs-, Sicherheits- und Zahlungsfunktionen, wenn diese nicht in Form eines Produkts, sondern im Rahmen einer Dienstleistung bereitgestellt werden, wahrnehmbar, bedienbar, verständlich und robust gestaltet werden und</w:t>
      </w:r>
    </w:p>
    <w:p>
      <w:pPr>
        <w:tabs>
          <w:tab w:pos="567" w:val="left"/>
        </w:tabs>
        <w:ind w:left="567" w:hanging="567"/>
      </w:pPr>
      <w:r>
        <w:t>3.</w:t>
      </w:r>
      <w:r>
        <w:tab/>
      </w:r>
      <w:r>
        <w:t>Identifizierungsmethoden, Authentifizierungsmethoden, elektronische Signaturen und Zahlungsdienste, wenn diese bereitgestellt werden, wahrnehmbar, bedienbar, verständlich und robust gestaltet werden.</w:t>
      </w:r>
    </w:p>
    <w:p>
      <w:pPr>
        <w:pStyle w:val="Heading1"/>
      </w:pPr>
      <w:bookmarkStart w:id="21" w:name="b20"/>
      <w:r>
        <w:t>§ 20 Anwendung von funktionalen Leistungskriterien</w:t>
      </w:r>
      <w:r>
        <w:t xml:space="preserve"> </w:t>
      </w:r>
      <w:r>
        <w:rPr>
          <w:rStyle w:val="Suchmarke"/>
        </w:rPr>
        <w:t>#20#</w:t>
      </w:r>
      <w:bookmarkEnd w:id="21"/>
    </w:p>
    <w:p>
      <w:r>
        <w:t xml:space="preserve">(1) Funktionen, die die Gestaltung und Herstellung von Produkten sowie die Erbringung von Dienstleistungen betreffen und für die keine Anforderungen in den </w:t>
      </w:r>
      <w:hyperlink w:anchor="b4" w:history="1">
        <w:r>
          <w:rPr>
            <w:color w:val="0A3A8C"/>
            <w:u w:val="single"/>
          </w:rPr>
          <w:t xml:space="preserve">§§ 4</w:t>
        </w:r>
      </w:hyperlink>
      <w:r>
        <w:t xml:space="preserve"> bis </w:t>
      </w:r>
      <w:hyperlink w:anchor="b19" w:history="1">
        <w:r>
          <w:rPr>
            <w:color w:val="0A3A8C"/>
            <w:u w:val="single"/>
          </w:rPr>
          <w:t xml:space="preserve">19</w:t>
        </w:r>
      </w:hyperlink>
      <w:r>
        <w:t xml:space="preserve"> aufgestellt werden, gelten als barrierefrei, wenn sie die Anforderungen an die funktionalen Leistungskriterien und -fähigkeiten der Nutzer im Sinne des </w:t>
      </w:r>
      <w:hyperlink w:anchor="b21" w:history="1">
        <w:r>
          <w:rPr>
            <w:color w:val="0A3A8C"/>
            <w:u w:val="single"/>
          </w:rPr>
          <w:t xml:space="preserve">§ 21</w:t>
        </w:r>
      </w:hyperlink>
      <w:r>
        <w:t xml:space="preserve"> erfüllen.</w:t>
      </w:r>
    </w:p>
    <w:p>
      <w:r>
        <w:t xml:space="preserve">(2) Soweit die in den </w:t>
      </w:r>
      <w:hyperlink w:anchor="b4" w:history="1">
        <w:r>
          <w:rPr>
            <w:color w:val="0A3A8C"/>
            <w:u w:val="single"/>
          </w:rPr>
          <w:t xml:space="preserve">§§ 4</w:t>
        </w:r>
      </w:hyperlink>
      <w:r>
        <w:t xml:space="preserve"> bis </w:t>
      </w:r>
      <w:hyperlink w:anchor="b19" w:history="1">
        <w:r>
          <w:rPr>
            <w:color w:val="0A3A8C"/>
            <w:u w:val="single"/>
          </w:rPr>
          <w:t xml:space="preserve">19</w:t>
        </w:r>
      </w:hyperlink>
      <w:r>
        <w:t xml:space="preserve"> festgelegten Anforderungen eine spezifische technische Anforderung enthalten, dürfen die funktionalen Leistungskriterien nur dann als Alternative zu dieser technischen Anforderung zur Anwendung kommen, wenn</w:t>
      </w:r>
    </w:p>
    <w:p>
      <w:pPr>
        <w:tabs>
          <w:tab w:pos="567" w:val="left"/>
        </w:tabs>
        <w:ind w:left="567" w:hanging="567"/>
      </w:pPr>
      <w:r>
        <w:t>1.</w:t>
      </w:r>
      <w:r>
        <w:tab/>
      </w:r>
      <w:r>
        <w:t xml:space="preserve">die übrigen Anforderungen in den </w:t>
      </w:r>
      <w:hyperlink w:anchor="b4" w:history="1">
        <w:r>
          <w:rPr>
            <w:color w:val="0A3A8C"/>
            <w:u w:val="single"/>
          </w:rPr>
          <w:t xml:space="preserve">§§ 4</w:t>
        </w:r>
      </w:hyperlink>
      <w:r>
        <w:t xml:space="preserve"> bis </w:t>
      </w:r>
      <w:hyperlink w:anchor="b19" w:history="1">
        <w:r>
          <w:rPr>
            <w:color w:val="0A3A8C"/>
            <w:u w:val="single"/>
          </w:rPr>
          <w:t xml:space="preserve">19</w:t>
        </w:r>
      </w:hyperlink>
      <w:r>
        <w:t xml:space="preserve"> erfüllt werden und</w:t>
      </w:r>
    </w:p>
    <w:p>
      <w:pPr>
        <w:tabs>
          <w:tab w:pos="567" w:val="left"/>
        </w:tabs>
        <w:ind w:left="567" w:hanging="567"/>
      </w:pPr>
      <w:r>
        <w:t>2.</w:t>
      </w:r>
      <w:r>
        <w:tab/>
      </w:r>
      <w:r>
        <w:t>die Anwendung der funktionalen Leistungskriterien dazu führt, dass die Gestaltung und Herstellung eines Produktes oder die Erbringung einer Dienstleistung in einer entsprechenden oder besseren Barrierefreiheit resultiert.</w:t>
      </w:r>
    </w:p>
    <w:p>
      <w:pPr>
        <w:pStyle w:val="Heading1"/>
      </w:pPr>
      <w:bookmarkStart w:id="22" w:name="b21"/>
      <w:r>
        <w:t>§ 21 Funktionale Leistungskriterien</w:t>
      </w:r>
      <w:r>
        <w:t xml:space="preserve"> </w:t>
      </w:r>
      <w:r>
        <w:rPr>
          <w:rStyle w:val="Suchmarke"/>
        </w:rPr>
        <w:t>#21#</w:t>
      </w:r>
      <w:bookmarkEnd w:id="22"/>
    </w:p>
    <w:p>
      <w:r>
        <w:t>(1) Wenn das Produkt oder die Dienstleistung visuelle Bedienungsformen bietet, muss</w:t>
      </w:r>
    </w:p>
    <w:p>
      <w:pPr>
        <w:tabs>
          <w:tab w:pos="567" w:val="left"/>
        </w:tabs>
        <w:ind w:left="567" w:hanging="567"/>
      </w:pPr>
      <w:r>
        <w:t>1.</w:t>
      </w:r>
      <w:r>
        <w:tab/>
      </w:r>
      <w:r>
        <w:t>mindestens eine Bedienungsform vorhanden sein, die eine Nutzung bei fehlendem Sehvermögen ermöglicht,</w:t>
      </w:r>
    </w:p>
    <w:p>
      <w:pPr>
        <w:tabs>
          <w:tab w:pos="567" w:val="left"/>
        </w:tabs>
        <w:ind w:left="567" w:hanging="567"/>
      </w:pPr>
      <w:r>
        <w:t>2.</w:t>
      </w:r>
      <w:r>
        <w:tab/>
      </w:r>
      <w:r>
        <w:t>mindestens eine Bedienungsform vorhanden sein, die eine Nutzung bei eingeschränktem Sehvermögen ermöglicht und</w:t>
      </w:r>
    </w:p>
    <w:p>
      <w:pPr>
        <w:tabs>
          <w:tab w:pos="567" w:val="left"/>
        </w:tabs>
        <w:ind w:left="567" w:hanging="567"/>
      </w:pPr>
      <w:r>
        <w:t>3.</w:t>
      </w:r>
      <w:r>
        <w:tab/>
      </w:r>
      <w:r>
        <w:t>mindestens eine Bedienungsform vorhanden sein, die keine Farbunterscheidung erfordert.</w:t>
      </w:r>
    </w:p>
    <w:p>
      <w:r>
        <w:t>(2) Wenn das Produkt oder die Dienstleistung auditive Bedienungsformen bietet, muss</w:t>
      </w:r>
    </w:p>
    <w:p>
      <w:pPr>
        <w:tabs>
          <w:tab w:pos="567" w:val="left"/>
        </w:tabs>
        <w:ind w:left="567" w:hanging="567"/>
      </w:pPr>
      <w:r>
        <w:t>1.</w:t>
      </w:r>
      <w:r>
        <w:tab/>
      </w:r>
      <w:r>
        <w:t>mindestens eine Bedienungsform vorhanden sein, die kein Hörvermögen erfordert und</w:t>
      </w:r>
    </w:p>
    <w:p>
      <w:pPr>
        <w:tabs>
          <w:tab w:pos="567" w:val="left"/>
        </w:tabs>
        <w:ind w:left="567" w:hanging="567"/>
      </w:pPr>
      <w:r>
        <w:t>2.</w:t>
      </w:r>
      <w:r>
        <w:tab/>
      </w:r>
      <w:r>
        <w:t>mindestens eine Bedienungsform mit erweiterten Audiofunktionen vorhanden sein, die die Nutzung bei eingeschränktem Hörvermögen ermöglicht.</w:t>
      </w:r>
    </w:p>
    <w:p>
      <w:r>
        <w:t xml:space="preserve">(3) </w:t>
      </w:r>
      <w:r>
        <w:rPr>
          <w:rStyle w:val="Satznummer"/>
        </w:rPr>
        <w:t>1</w:t>
      </w:r>
      <w:r>
        <w:t xml:space="preserve">Wenn für das Produkt oder die Dienstleistung eine stimmliche Eingabe des Nutzers erforderlich ist, muss mindestens eine Bedienungsform vorhanden sein, die keine stimmliche Eingabe erfordert. </w:t>
      </w:r>
      <w:r>
        <w:rPr>
          <w:rStyle w:val="Satznummer"/>
        </w:rPr>
        <w:t>2</w:t>
      </w:r>
      <w:r>
        <w:t>Als stimmliche Eingabe gelten auch orale Laute wie Sprechen, Pfeifen oder Schnalzen.</w:t>
      </w:r>
    </w:p>
    <w:p>
      <w:r>
        <w:t>(4) Wenn das Produkt oder die Dienstleistung manuell bedient werden muss, muss mindestens eine Bedienungsform vorhanden sein, die die Nutzung mithilfe anderer Bedienungsformen ermöglicht, welche keine feinmotorische Steuerung und Bedienung, Handmuskelkraft oder gleichzeitige Bedienung von mehr als einem Bedienelement erfordern.</w:t>
      </w:r>
    </w:p>
    <w:p>
      <w:r>
        <w:t xml:space="preserve">(5) </w:t>
      </w:r>
      <w:r>
        <w:rPr>
          <w:rStyle w:val="Satznummer"/>
        </w:rPr>
        <w:t>1</w:t>
      </w:r>
      <w:r>
        <w:t xml:space="preserve">Die Bedienelemente des Produkts müssen sich in der Reichweite aller Nutzer befinden. </w:t>
      </w:r>
      <w:r>
        <w:rPr>
          <w:rStyle w:val="Satznummer"/>
        </w:rPr>
        <w:t>2</w:t>
      </w:r>
      <w:r>
        <w:t>Wenn das Produkt oder die Dienstleistung manuelle Bedienungsformen bietet, muss mindestens eine Bedienungsform vorhanden sein, die die Bedienung bei eingeschränkter Reichweite und Kraft ermöglicht.</w:t>
      </w:r>
    </w:p>
    <w:p>
      <w:r>
        <w:t>(6) Wenn das Produkt visuelle Bedienungsformen bietet, sind fotosensitive Anfälle auslösende Bedienungsformen zu vermeiden.</w:t>
      </w:r>
    </w:p>
    <w:p>
      <w:r>
        <w:t>(7) Das Produkt oder die Dienstleistung muss mit mindestens einer Bedienungsform ausgestattet sein, die Funktionen umfasst, die die Nutzung bei kognitiven Einschränkungen erleichtern und vereinfachen.</w:t>
      </w:r>
    </w:p>
    <w:p>
      <w:r>
        <w:t>(8) Wenn das Produkt oder die Dienstleistung Funktionen umfasst, die der Barrierefreiheit dienen, muss mindestens eine Bedienungsform vorhanden sein, mit der die Privatsphäre der Nutzer bei Verwendung dieser Barrierefreiheitsfunktionen gewahrt ist.</w:t>
      </w:r>
    </w:p>
    <w:p>
      <w:pPr>
        <w:pStyle w:val="Heading1"/>
      </w:pPr>
      <w:bookmarkStart w:id="23" w:name="b22"/>
      <w:r>
        <w:t>§ 22 Inkrafttreten</w:t>
      </w:r>
      <w:r>
        <w:t xml:space="preserve"> </w:t>
      </w:r>
      <w:r>
        <w:rPr>
          <w:rStyle w:val="Suchmarke"/>
        </w:rPr>
        <w:t>#22#</w:t>
      </w:r>
      <w:bookmarkEnd w:id="23"/>
    </w:p>
    <w:p>
      <w:r>
        <w:t>Diese Verordnung tritt am 28. Juni 2025 in Kraft.</w:t>
      </w:r>
    </w:p>
    <w:p>
      <w:pPr>
        <w:pStyle w:val="Heading1"/>
      </w:pPr>
      <w:bookmarkStart w:id="24" w:name="b23"/>
      <w:r>
        <w:t>Schlussformel</w:t>
      </w:r>
      <w:bookmarkEnd w:id="24"/>
    </w:p>
    <w:p>
      <w:r>
        <w:t>Der Bundesrat hat zugestimmt.</w:t>
      </w:r>
    </w:p>
    <w:p>
      <w:pPr>
        <w:spacing w:before="480"/>
      </w:pPr>
      <w:r>
        <w:t xml:space="preserve">Ende des Gesetzes: Verordnung über die Barrierefreiheitsanforderungen für Produkte und Dienstleistungen nach dem Barrierefreiheitsstärkungsgesetz, Verordnung zum Barrierefreiheitsstärkungsgesetz (BFSGV)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fsg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Verordnung über die Barrierefreiheitsanforderungen für Produkte und Dienstleistungen nach dem Barrierefreiheitsstärkungsgesetz, Verordnung zum Barrierefreiheitsstärkungsgesetz (BFSGV)</dc:title>
  <dc:subject>Nicht amtliche Fassung</dc:subject>
  <dc:creator>Barrierefreie Gesetze</dc:creator>
  <cp:keywords/>
  <dc:description/>
  <cp:lastModifiedBy>Barrierefreie Gesetze</cp:lastModifiedBy>
  <cp:revision>1</cp:revision>
  <dcterms:created xsi:type="dcterms:W3CDTF">2026-10-19T19:53:18Z</dcterms:created>
  <dcterms:modified xsi:type="dcterms:W3CDTF">2026-10-19T19:53:18Z</dcterms:modified>
  <cp:category/>
  <dc:language>de-DE</dc:language>
</cp:coreProperties>
</file>