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Abgabenordnung (AO)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16.03.1976</w:t>
      </w:r>
    </w:p>
    <w:p>
      <w:pPr>
        <w:pStyle w:val="Stand"/>
      </w:pPr>
      <w:r>
        <w:rPr>
          <w:b/>
        </w:rPr>
        <w:t xml:space="preserve">Letzte Änderung: </w:t>
      </w:r>
      <w:r>
        <w:t>Art. 15 Abs. 6 G v. 03.07.2026 I Nr. 199</w:t>
      </w:r>
    </w:p>
    <w:p>
      <w:pPr>
        <w:pStyle w:val="Stand"/>
      </w:pPr>
      <w:r>
        <w:rPr>
          <w:b/>
        </w:rPr>
        <w:t xml:space="preserve">Neufassung: </w:t>
      </w:r>
      <w:r>
        <w:t>Bek. v. 23.01.2025 I Nr. 24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Einleitende Vorschriften</w:t>
        </w:r>
      </w:hyperlink>
    </w:p>
    <w:p>
      <w:pPr>
        <w:pStyle w:val="Übersicht"/>
        <w:ind w:left="340"/>
      </w:pPr>
      <w:hyperlink w:anchor="b1" w:history="1">
        <w:r>
          <w:rPr>
            <w:b/>
            <w:color w:val="0A3A8C"/>
            <w:u w:val="single"/>
          </w:rPr>
          <w:t xml:space="preserve">Erster Abschnitt Anwendungsbereich</w:t>
        </w:r>
      </w:hyperlink>
    </w:p>
    <w:p>
      <w:pPr>
        <w:pStyle w:val="Übersicht"/>
        <w:ind w:left="680"/>
      </w:pPr>
      <w:hyperlink w:anchor="b2" w:history="1">
        <w:r>
          <w:rPr>
            <w:color w:val="0A3A8C"/>
            <w:u w:val="single"/>
          </w:rPr>
          <w:t xml:space="preserve">§ 1 Anwendungsbereich</w:t>
        </w:r>
      </w:hyperlink>
    </w:p>
    <w:p>
      <w:pPr>
        <w:pStyle w:val="Übersicht"/>
        <w:ind w:left="680"/>
      </w:pPr>
      <w:hyperlink w:anchor="b3" w:history="1">
        <w:r>
          <w:rPr>
            <w:color w:val="0A3A8C"/>
            <w:u w:val="single"/>
          </w:rPr>
          <w:t xml:space="preserve">§ 2 Vorrang völkerrechtlicher Vereinbarungen</w:t>
        </w:r>
      </w:hyperlink>
    </w:p>
    <w:p>
      <w:pPr>
        <w:pStyle w:val="Übersicht"/>
        <w:ind w:left="680"/>
      </w:pPr>
      <w:hyperlink w:anchor="b4" w:history="1">
        <w:r>
          <w:rPr>
            <w:color w:val="0A3A8C"/>
            <w:u w:val="single"/>
          </w:rPr>
          <w:t xml:space="preserve">§ 2a Anwendungsbereich der Vorschriften über die Verarbeitung personenbezogener Daten</w:t>
        </w:r>
      </w:hyperlink>
    </w:p>
    <w:p>
      <w:pPr>
        <w:pStyle w:val="Übersicht"/>
        <w:ind w:left="340"/>
      </w:pPr>
      <w:hyperlink w:anchor="b5" w:history="1">
        <w:r>
          <w:rPr>
            <w:b/>
            <w:color w:val="0A3A8C"/>
            <w:u w:val="single"/>
          </w:rPr>
          <w:t xml:space="preserve">Zweiter Abschnitt Steuerliche Begriffsbestimmungen</w:t>
        </w:r>
      </w:hyperlink>
    </w:p>
    <w:p>
      <w:pPr>
        <w:pStyle w:val="Übersicht"/>
        <w:ind w:left="680"/>
      </w:pPr>
      <w:hyperlink w:anchor="b6" w:history="1">
        <w:r>
          <w:rPr>
            <w:color w:val="0A3A8C"/>
            <w:u w:val="single"/>
          </w:rPr>
          <w:t xml:space="preserve">§ 3 Steuern, steuerliche Nebenleistungen</w:t>
        </w:r>
      </w:hyperlink>
    </w:p>
    <w:p>
      <w:pPr>
        <w:pStyle w:val="Übersicht"/>
        <w:ind w:left="680"/>
      </w:pPr>
      <w:hyperlink w:anchor="b7" w:history="1">
        <w:r>
          <w:rPr>
            <w:color w:val="0A3A8C"/>
            <w:u w:val="single"/>
          </w:rPr>
          <w:t xml:space="preserve">§ 4 Gesetz</w:t>
        </w:r>
      </w:hyperlink>
    </w:p>
    <w:p>
      <w:pPr>
        <w:pStyle w:val="Übersicht"/>
        <w:ind w:left="680"/>
      </w:pPr>
      <w:hyperlink w:anchor="b8" w:history="1">
        <w:r>
          <w:rPr>
            <w:color w:val="0A3A8C"/>
            <w:u w:val="single"/>
          </w:rPr>
          <w:t xml:space="preserve">§ 5 Ermessen</w:t>
        </w:r>
      </w:hyperlink>
    </w:p>
    <w:p>
      <w:pPr>
        <w:pStyle w:val="Übersicht"/>
        <w:ind w:left="680"/>
      </w:pPr>
      <w:hyperlink w:anchor="b9" w:history="1">
        <w:r>
          <w:rPr>
            <w:color w:val="0A3A8C"/>
            <w:u w:val="single"/>
          </w:rPr>
          <w:t xml:space="preserve">§ 6 Behörden, öffentliche und nicht-öffentliche Stellen, Finanzbehörden</w:t>
        </w:r>
      </w:hyperlink>
    </w:p>
    <w:p>
      <w:pPr>
        <w:pStyle w:val="Übersicht"/>
        <w:ind w:left="680"/>
      </w:pPr>
      <w:hyperlink w:anchor="b10" w:history="1">
        <w:r>
          <w:rPr>
            <w:color w:val="0A3A8C"/>
            <w:u w:val="single"/>
          </w:rPr>
          <w:t xml:space="preserve">§ 7 Amtsträger</w:t>
        </w:r>
      </w:hyperlink>
    </w:p>
    <w:p>
      <w:pPr>
        <w:pStyle w:val="Übersicht"/>
        <w:ind w:left="680"/>
      </w:pPr>
      <w:hyperlink w:anchor="b11" w:history="1">
        <w:r>
          <w:rPr>
            <w:color w:val="0A3A8C"/>
            <w:u w:val="single"/>
          </w:rPr>
          <w:t xml:space="preserve">§ 8 Wohnsitz</w:t>
        </w:r>
      </w:hyperlink>
    </w:p>
    <w:p>
      <w:pPr>
        <w:pStyle w:val="Übersicht"/>
        <w:ind w:left="680"/>
      </w:pPr>
      <w:hyperlink w:anchor="b12" w:history="1">
        <w:r>
          <w:rPr>
            <w:color w:val="0A3A8C"/>
            <w:u w:val="single"/>
          </w:rPr>
          <w:t xml:space="preserve">§ 9 Gewöhnlicher Aufenthalt</w:t>
        </w:r>
      </w:hyperlink>
    </w:p>
    <w:p>
      <w:pPr>
        <w:pStyle w:val="Übersicht"/>
        <w:ind w:left="680"/>
      </w:pPr>
      <w:hyperlink w:anchor="b13" w:history="1">
        <w:r>
          <w:rPr>
            <w:color w:val="0A3A8C"/>
            <w:u w:val="single"/>
          </w:rPr>
          <w:t xml:space="preserve">§ 10 Geschäftsleitung</w:t>
        </w:r>
      </w:hyperlink>
    </w:p>
    <w:p>
      <w:pPr>
        <w:pStyle w:val="Übersicht"/>
        <w:ind w:left="680"/>
      </w:pPr>
      <w:hyperlink w:anchor="b14" w:history="1">
        <w:r>
          <w:rPr>
            <w:color w:val="0A3A8C"/>
            <w:u w:val="single"/>
          </w:rPr>
          <w:t xml:space="preserve">§ 11 Sitz</w:t>
        </w:r>
      </w:hyperlink>
    </w:p>
    <w:p>
      <w:pPr>
        <w:pStyle w:val="Übersicht"/>
        <w:ind w:left="680"/>
      </w:pPr>
      <w:hyperlink w:anchor="b15" w:history="1">
        <w:r>
          <w:rPr>
            <w:color w:val="0A3A8C"/>
            <w:u w:val="single"/>
          </w:rPr>
          <w:t xml:space="preserve">§ 12 Betriebstätte</w:t>
        </w:r>
      </w:hyperlink>
    </w:p>
    <w:p>
      <w:pPr>
        <w:pStyle w:val="Übersicht"/>
        <w:ind w:left="680"/>
      </w:pPr>
      <w:hyperlink w:anchor="b16" w:history="1">
        <w:r>
          <w:rPr>
            <w:color w:val="0A3A8C"/>
            <w:u w:val="single"/>
          </w:rPr>
          <w:t xml:space="preserve">§ 13 Ständiger Vertreter</w:t>
        </w:r>
      </w:hyperlink>
    </w:p>
    <w:p>
      <w:pPr>
        <w:pStyle w:val="Übersicht"/>
        <w:ind w:left="680"/>
      </w:pPr>
      <w:hyperlink w:anchor="b17" w:history="1">
        <w:r>
          <w:rPr>
            <w:color w:val="0A3A8C"/>
            <w:u w:val="single"/>
          </w:rPr>
          <w:t xml:space="preserve">§ 14 Wirtschaftlicher Geschäftsbetrieb</w:t>
        </w:r>
      </w:hyperlink>
    </w:p>
    <w:p>
      <w:pPr>
        <w:pStyle w:val="Übersicht"/>
        <w:ind w:left="680"/>
      </w:pPr>
      <w:hyperlink w:anchor="b18" w:history="1">
        <w:r>
          <w:rPr>
            <w:color w:val="0A3A8C"/>
            <w:u w:val="single"/>
          </w:rPr>
          <w:t xml:space="preserve">§ 14a Personenvereinigungen</w:t>
        </w:r>
      </w:hyperlink>
    </w:p>
    <w:p>
      <w:pPr>
        <w:pStyle w:val="Übersicht"/>
        <w:ind w:left="680"/>
      </w:pPr>
      <w:hyperlink w:anchor="b19" w:history="1">
        <w:r>
          <w:rPr>
            <w:color w:val="0A3A8C"/>
            <w:u w:val="single"/>
          </w:rPr>
          <w:t xml:space="preserve">§ 14b Körperschaften mit Sitz im Ausland</w:t>
        </w:r>
      </w:hyperlink>
    </w:p>
    <w:p>
      <w:pPr>
        <w:pStyle w:val="Übersicht"/>
        <w:ind w:left="680"/>
      </w:pPr>
      <w:hyperlink w:anchor="b20" w:history="1">
        <w:r>
          <w:rPr>
            <w:color w:val="0A3A8C"/>
            <w:u w:val="single"/>
          </w:rPr>
          <w:t xml:space="preserve">§ 15 Angehörige</w:t>
        </w:r>
      </w:hyperlink>
    </w:p>
    <w:p>
      <w:pPr>
        <w:pStyle w:val="Übersicht"/>
        <w:ind w:left="340"/>
      </w:pPr>
      <w:hyperlink w:anchor="b21" w:history="1">
        <w:r>
          <w:rPr>
            <w:b/>
            <w:color w:val="0A3A8C"/>
            <w:u w:val="single"/>
          </w:rPr>
          <w:t xml:space="preserve">Dritter Abschnitt Zuständigkeit der Finanzbehörden</w:t>
        </w:r>
      </w:hyperlink>
    </w:p>
    <w:p>
      <w:pPr>
        <w:pStyle w:val="Übersicht"/>
        <w:ind w:left="680"/>
      </w:pPr>
      <w:hyperlink w:anchor="b22" w:history="1">
        <w:r>
          <w:rPr>
            <w:color w:val="0A3A8C"/>
            <w:u w:val="single"/>
          </w:rPr>
          <w:t xml:space="preserve">§ 16 Sachliche Zuständigkeit</w:t>
        </w:r>
      </w:hyperlink>
    </w:p>
    <w:p>
      <w:pPr>
        <w:pStyle w:val="Übersicht"/>
        <w:ind w:left="680"/>
      </w:pPr>
      <w:hyperlink w:anchor="b23" w:history="1">
        <w:r>
          <w:rPr>
            <w:color w:val="0A3A8C"/>
            <w:u w:val="single"/>
          </w:rPr>
          <w:t xml:space="preserve">§ 17 Örtliche Zuständigkeit</w:t>
        </w:r>
      </w:hyperlink>
    </w:p>
    <w:p>
      <w:pPr>
        <w:pStyle w:val="Übersicht"/>
        <w:ind w:left="680"/>
      </w:pPr>
      <w:hyperlink w:anchor="b24" w:history="1">
        <w:r>
          <w:rPr>
            <w:color w:val="0A3A8C"/>
            <w:u w:val="single"/>
          </w:rPr>
          <w:t xml:space="preserve">§ 18 Gesonderte Feststellungen</w:t>
        </w:r>
      </w:hyperlink>
    </w:p>
    <w:p>
      <w:pPr>
        <w:pStyle w:val="Übersicht"/>
        <w:ind w:left="680"/>
      </w:pPr>
      <w:hyperlink w:anchor="b25" w:history="1">
        <w:r>
          <w:rPr>
            <w:color w:val="0A3A8C"/>
            <w:u w:val="single"/>
          </w:rPr>
          <w:t xml:space="preserve">§ 19 Steuern vom Einkommen und Vermögen natürlicher Personen</w:t>
        </w:r>
      </w:hyperlink>
    </w:p>
    <w:p>
      <w:pPr>
        <w:pStyle w:val="Übersicht"/>
        <w:ind w:left="680"/>
      </w:pPr>
      <w:hyperlink w:anchor="b26" w:history="1">
        <w:r>
          <w:rPr>
            <w:color w:val="0A3A8C"/>
            <w:u w:val="single"/>
          </w:rPr>
          <w:t xml:space="preserve">§ 20 Steuern vom Einkommen und Vermögen der Körperschaften, Personenvereinigungen, Vermögensmassen</w:t>
        </w:r>
      </w:hyperlink>
    </w:p>
    <w:p>
      <w:pPr>
        <w:pStyle w:val="Übersicht"/>
        <w:ind w:left="680"/>
      </w:pPr>
      <w:hyperlink w:anchor="b27" w:history="1">
        <w:r>
          <w:rPr>
            <w:color w:val="0A3A8C"/>
            <w:u w:val="single"/>
          </w:rPr>
          <w:t xml:space="preserve">§ 20a Steuern vom Einkommen bei Bauleistungen</w:t>
        </w:r>
      </w:hyperlink>
    </w:p>
    <w:p>
      <w:pPr>
        <w:pStyle w:val="Übersicht"/>
        <w:ind w:left="680"/>
      </w:pPr>
      <w:hyperlink w:anchor="b28" w:history="1">
        <w:r>
          <w:rPr>
            <w:color w:val="0A3A8C"/>
            <w:u w:val="single"/>
          </w:rPr>
          <w:t xml:space="preserve">§ 21 Umsatzsteuer</w:t>
        </w:r>
      </w:hyperlink>
    </w:p>
    <w:p>
      <w:pPr>
        <w:pStyle w:val="Übersicht"/>
        <w:ind w:left="680"/>
      </w:pPr>
      <w:hyperlink w:anchor="b29" w:history="1">
        <w:r>
          <w:rPr>
            <w:color w:val="0A3A8C"/>
            <w:u w:val="single"/>
          </w:rPr>
          <w:t xml:space="preserve">§ 22 Realsteuern</w:t>
        </w:r>
      </w:hyperlink>
    </w:p>
    <w:p>
      <w:pPr>
        <w:pStyle w:val="Übersicht"/>
        <w:ind w:left="680"/>
      </w:pPr>
      <w:hyperlink w:anchor="b30" w:history="1">
        <w:r>
          <w:rPr>
            <w:color w:val="0A3A8C"/>
            <w:u w:val="single"/>
          </w:rPr>
          <w:t xml:space="preserve">§ 22a Zuständigkeit auf dem Festlandsockel oder an der ausschließlichen Wirtschaftszone</w:t>
        </w:r>
      </w:hyperlink>
    </w:p>
    <w:p>
      <w:pPr>
        <w:pStyle w:val="Übersicht"/>
        <w:ind w:left="680"/>
      </w:pPr>
      <w:hyperlink w:anchor="b31" w:history="1">
        <w:r>
          <w:rPr>
            <w:color w:val="0A3A8C"/>
            <w:u w:val="single"/>
          </w:rPr>
          <w:t xml:space="preserve">§ 23 Einfuhr- und Ausfuhrabgaben und Verbrauchsteuern</w:t>
        </w:r>
      </w:hyperlink>
    </w:p>
    <w:p>
      <w:pPr>
        <w:pStyle w:val="Übersicht"/>
        <w:ind w:left="680"/>
      </w:pPr>
      <w:hyperlink w:anchor="b32" w:history="1">
        <w:r>
          <w:rPr>
            <w:color w:val="0A3A8C"/>
            <w:u w:val="single"/>
          </w:rPr>
          <w:t xml:space="preserve">§ 24 Ersatzzuständigkeit</w:t>
        </w:r>
      </w:hyperlink>
    </w:p>
    <w:p>
      <w:pPr>
        <w:pStyle w:val="Übersicht"/>
        <w:ind w:left="680"/>
      </w:pPr>
      <w:hyperlink w:anchor="b33" w:history="1">
        <w:r>
          <w:rPr>
            <w:color w:val="0A3A8C"/>
            <w:u w:val="single"/>
          </w:rPr>
          <w:t xml:space="preserve">§ 25 Mehrfache örtliche Zuständigkeit</w:t>
        </w:r>
      </w:hyperlink>
    </w:p>
    <w:p>
      <w:pPr>
        <w:pStyle w:val="Übersicht"/>
        <w:ind w:left="680"/>
      </w:pPr>
      <w:hyperlink w:anchor="b34" w:history="1">
        <w:r>
          <w:rPr>
            <w:color w:val="0A3A8C"/>
            <w:u w:val="single"/>
          </w:rPr>
          <w:t xml:space="preserve">§ 26 Zuständigkeitswechsel</w:t>
        </w:r>
      </w:hyperlink>
    </w:p>
    <w:p>
      <w:pPr>
        <w:pStyle w:val="Übersicht"/>
        <w:ind w:left="680"/>
      </w:pPr>
      <w:hyperlink w:anchor="b35" w:history="1">
        <w:r>
          <w:rPr>
            <w:color w:val="0A3A8C"/>
            <w:u w:val="single"/>
          </w:rPr>
          <w:t xml:space="preserve">§ 27 Zuständigkeitsvereinbarung</w:t>
        </w:r>
      </w:hyperlink>
    </w:p>
    <w:p>
      <w:pPr>
        <w:pStyle w:val="Übersicht"/>
        <w:ind w:left="680"/>
      </w:pPr>
      <w:hyperlink w:anchor="b36" w:history="1">
        <w:r>
          <w:rPr>
            <w:color w:val="0A3A8C"/>
            <w:u w:val="single"/>
          </w:rPr>
          <w:t xml:space="preserve">§ 28 Zuständigkeitsstreit</w:t>
        </w:r>
      </w:hyperlink>
    </w:p>
    <w:p>
      <w:pPr>
        <w:pStyle w:val="Übersicht"/>
        <w:ind w:left="680"/>
      </w:pPr>
      <w:hyperlink w:anchor="b37" w:history="1">
        <w:r>
          <w:rPr>
            <w:color w:val="0A3A8C"/>
            <w:u w:val="single"/>
          </w:rPr>
          <w:t xml:space="preserve">§ 29 Gefahr im Verzug</w:t>
        </w:r>
      </w:hyperlink>
    </w:p>
    <w:p>
      <w:pPr>
        <w:pStyle w:val="Übersicht"/>
        <w:ind w:left="680"/>
      </w:pPr>
      <w:hyperlink w:anchor="b38" w:history="1">
        <w:r>
          <w:rPr>
            <w:color w:val="0A3A8C"/>
            <w:u w:val="single"/>
          </w:rPr>
          <w:t xml:space="preserve">§ 29a Unterstützung des örtlich zuständigen Finanzamts auf Anweisung der vorgesetzten Finanzbehörde</w:t>
        </w:r>
      </w:hyperlink>
    </w:p>
    <w:p>
      <w:pPr>
        <w:pStyle w:val="Übersicht"/>
        <w:ind w:left="340"/>
      </w:pPr>
      <w:hyperlink w:anchor="b39" w:history="1">
        <w:r>
          <w:rPr>
            <w:b/>
            <w:color w:val="0A3A8C"/>
            <w:u w:val="single"/>
          </w:rPr>
          <w:t xml:space="preserve">Vierter Abschnitt Verarbeitung geschützter Daten und Steuergeheimnis</w:t>
        </w:r>
      </w:hyperlink>
    </w:p>
    <w:p>
      <w:pPr>
        <w:pStyle w:val="Übersicht"/>
        <w:ind w:left="680"/>
      </w:pPr>
      <w:hyperlink w:anchor="b40" w:history="1">
        <w:r>
          <w:rPr>
            <w:color w:val="0A3A8C"/>
            <w:u w:val="single"/>
          </w:rPr>
          <w:t xml:space="preserve">§ 29b Verarbeitung personenbezogener Daten durch Finanzbehörden</w:t>
        </w:r>
      </w:hyperlink>
    </w:p>
    <w:p>
      <w:pPr>
        <w:pStyle w:val="Übersicht"/>
        <w:ind w:left="680"/>
      </w:pPr>
      <w:hyperlink w:anchor="b41" w:history="1">
        <w:r>
          <w:rPr>
            <w:color w:val="0A3A8C"/>
            <w:u w:val="single"/>
          </w:rPr>
          <w:t xml:space="preserve">§ 29c Verarbeitung personenbezogener Daten durch Finanzbehörden zu anderen Zwecken</w:t>
        </w:r>
      </w:hyperlink>
    </w:p>
    <w:p>
      <w:pPr>
        <w:pStyle w:val="Übersicht"/>
        <w:ind w:left="680"/>
      </w:pPr>
      <w:hyperlink w:anchor="b42" w:history="1">
        <w:r>
          <w:rPr>
            <w:color w:val="0A3A8C"/>
            <w:u w:val="single"/>
          </w:rPr>
          <w:t xml:space="preserve">§ 30 Steuergeheimnis</w:t>
        </w:r>
      </w:hyperlink>
    </w:p>
    <w:p>
      <w:pPr>
        <w:pStyle w:val="Übersicht"/>
        <w:ind w:left="680"/>
      </w:pPr>
      <w:hyperlink w:anchor="b43" w:history="1">
        <w:r>
          <w:rPr>
            <w:color w:val="0A3A8C"/>
            <w:u w:val="single"/>
          </w:rPr>
          <w:t xml:space="preserve">§ 31 Mitteilung von Besteuerungsgrundlagen</w:t>
        </w:r>
      </w:hyperlink>
    </w:p>
    <w:p>
      <w:pPr>
        <w:pStyle w:val="Übersicht"/>
        <w:ind w:left="680"/>
      </w:pPr>
      <w:hyperlink w:anchor="b44" w:history="1">
        <w:r>
          <w:rPr>
            <w:color w:val="0A3A8C"/>
            <w:u w:val="single"/>
          </w:rPr>
          <w:t xml:space="preserve">§ 31a Mitteilungen zur Bekämpfung der illegalen Beschäftigung und des Leistungsmissbrauchs</w:t>
        </w:r>
      </w:hyperlink>
    </w:p>
    <w:p>
      <w:pPr>
        <w:pStyle w:val="Übersicht"/>
        <w:ind w:left="680"/>
      </w:pPr>
      <w:hyperlink w:anchor="b45" w:history="1">
        <w:r>
          <w:rPr>
            <w:color w:val="0A3A8C"/>
            <w:u w:val="single"/>
          </w:rPr>
          <w:t xml:space="preserve">§ 31b Mitteilungen zur Bekämpfung der Geldwäsche und der Terrorismusfinanzierung</w:t>
        </w:r>
      </w:hyperlink>
    </w:p>
    <w:p>
      <w:pPr>
        <w:pStyle w:val="Übersicht"/>
        <w:ind w:left="680"/>
      </w:pPr>
      <w:hyperlink w:anchor="b46" w:history="1">
        <w:r>
          <w:rPr>
            <w:color w:val="0A3A8C"/>
            <w:u w:val="single"/>
          </w:rPr>
          <w:t xml:space="preserve">§ 31c Verarbeitung besonderer Kategorien personenbezogener Daten durch Finanzbehörden zu statistischen Zwecken</w:t>
        </w:r>
      </w:hyperlink>
    </w:p>
    <w:p>
      <w:pPr>
        <w:pStyle w:val="Übersicht"/>
        <w:ind w:left="340"/>
      </w:pPr>
      <w:hyperlink w:anchor="b47" w:history="1">
        <w:r>
          <w:rPr>
            <w:b/>
            <w:color w:val="0A3A8C"/>
            <w:u w:val="single"/>
          </w:rPr>
          <w:t xml:space="preserve">Fünfter Abschnitt Haftungsbeschränkung für Amtsträger</w:t>
        </w:r>
      </w:hyperlink>
    </w:p>
    <w:p>
      <w:pPr>
        <w:pStyle w:val="Übersicht"/>
        <w:ind w:left="680"/>
      </w:pPr>
      <w:hyperlink w:anchor="b48" w:history="1">
        <w:r>
          <w:rPr>
            <w:color w:val="0A3A8C"/>
            <w:u w:val="single"/>
          </w:rPr>
          <w:t xml:space="preserve">§ 32 Haftungsbeschränkung für Amtsträger</w:t>
        </w:r>
      </w:hyperlink>
    </w:p>
    <w:p>
      <w:pPr>
        <w:pStyle w:val="Übersicht"/>
        <w:ind w:left="340"/>
      </w:pPr>
      <w:hyperlink w:anchor="b49" w:history="1">
        <w:r>
          <w:rPr>
            <w:b/>
            <w:color w:val="0A3A8C"/>
            <w:u w:val="single"/>
          </w:rPr>
          <w:t xml:space="preserve">Sechster Abschnitt Rechte der betroffenen Person</w:t>
        </w:r>
      </w:hyperlink>
    </w:p>
    <w:p>
      <w:pPr>
        <w:pStyle w:val="Übersicht"/>
        <w:ind w:left="680"/>
      </w:pPr>
      <w:hyperlink w:anchor="b50" w:history="1">
        <w:r>
          <w:rPr>
            <w:color w:val="0A3A8C"/>
            <w:u w:val="single"/>
          </w:rPr>
          <w:t xml:space="preserve">§ 32a Informationspflicht der Finanzbehörde bei Erhebung personenbezogener Daten bei betroffenen Personen</w:t>
        </w:r>
      </w:hyperlink>
    </w:p>
    <w:p>
      <w:pPr>
        <w:pStyle w:val="Übersicht"/>
        <w:ind w:left="680"/>
      </w:pPr>
      <w:hyperlink w:anchor="b51" w:history="1">
        <w:r>
          <w:rPr>
            <w:color w:val="0A3A8C"/>
            <w:u w:val="single"/>
          </w:rPr>
          <w:t xml:space="preserve">§ 32b Informationspflicht der Finanzbehörde, wenn personenbezogene Daten nicht bei der betroffenen Person erhoben wurden</w:t>
        </w:r>
      </w:hyperlink>
    </w:p>
    <w:p>
      <w:pPr>
        <w:pStyle w:val="Übersicht"/>
        <w:ind w:left="680"/>
      </w:pPr>
      <w:hyperlink w:anchor="b52" w:history="1">
        <w:r>
          <w:rPr>
            <w:color w:val="0A3A8C"/>
            <w:u w:val="single"/>
          </w:rPr>
          <w:t xml:space="preserve">§ 32c Auskunftsrecht der betroffenen Person</w:t>
        </w:r>
      </w:hyperlink>
    </w:p>
    <w:p>
      <w:pPr>
        <w:pStyle w:val="Übersicht"/>
        <w:ind w:left="680"/>
      </w:pPr>
      <w:hyperlink w:anchor="b53" w:history="1">
        <w:r>
          <w:rPr>
            <w:color w:val="0A3A8C"/>
            <w:u w:val="single"/>
          </w:rPr>
          <w:t xml:space="preserve">§ 32d Form der Information oder Auskunftserteilung</w:t>
        </w:r>
      </w:hyperlink>
    </w:p>
    <w:p>
      <w:pPr>
        <w:pStyle w:val="Übersicht"/>
        <w:ind w:left="680"/>
      </w:pPr>
      <w:hyperlink w:anchor="b54" w:history="1">
        <w:r>
          <w:rPr>
            <w:color w:val="0A3A8C"/>
            <w:u w:val="single"/>
          </w:rPr>
          <w:t xml:space="preserve">§ 32e Verhältnis zu anderen Auskunfts- und Informationszugangsansprüchen</w:t>
        </w:r>
      </w:hyperlink>
    </w:p>
    <w:p>
      <w:pPr>
        <w:pStyle w:val="Übersicht"/>
        <w:ind w:left="680"/>
      </w:pPr>
      <w:hyperlink w:anchor="b55" w:history="1">
        <w:r>
          <w:rPr>
            <w:color w:val="0A3A8C"/>
            <w:u w:val="single"/>
          </w:rPr>
          <w:t xml:space="preserve">§ 32f Recht auf Berichtigung und Löschung, Widerspruchsrecht</w:t>
        </w:r>
      </w:hyperlink>
    </w:p>
    <w:p>
      <w:pPr>
        <w:pStyle w:val="Übersicht"/>
        <w:ind w:left="340"/>
      </w:pPr>
      <w:hyperlink w:anchor="b56" w:history="1">
        <w:r>
          <w:rPr>
            <w:b/>
            <w:color w:val="0A3A8C"/>
            <w:u w:val="single"/>
          </w:rPr>
          <w:t xml:space="preserve">Siebter Abschnitt Datenschutzaufsicht, Gerichtlicher Rechtsschutz in datenschutzrechtlichen Angelegenheiten</w:t>
        </w:r>
      </w:hyperlink>
    </w:p>
    <w:p>
      <w:pPr>
        <w:pStyle w:val="Übersicht"/>
        <w:ind w:left="680"/>
      </w:pPr>
      <w:hyperlink w:anchor="b57" w:history="1">
        <w:r>
          <w:rPr>
            <w:color w:val="0A3A8C"/>
            <w:u w:val="single"/>
          </w:rPr>
          <w:t xml:space="preserve">§ 32g Datenschutzbeauftragte der Finanzbehörden</w:t>
        </w:r>
      </w:hyperlink>
    </w:p>
    <w:p>
      <w:pPr>
        <w:pStyle w:val="Übersicht"/>
        <w:ind w:left="680"/>
      </w:pPr>
      <w:hyperlink w:anchor="b58" w:history="1">
        <w:r>
          <w:rPr>
            <w:color w:val="0A3A8C"/>
            <w:u w:val="single"/>
          </w:rPr>
          <w:t xml:space="preserve">§ 32h Datenschutzrechtliche Aufsicht, Datenschutz-Folgenabschätzung</w:t>
        </w:r>
      </w:hyperlink>
    </w:p>
    <w:p>
      <w:pPr>
        <w:pStyle w:val="Übersicht"/>
        <w:ind w:left="680"/>
      </w:pPr>
      <w:hyperlink w:anchor="b59" w:history="1">
        <w:r>
          <w:rPr>
            <w:color w:val="0A3A8C"/>
            <w:u w:val="single"/>
          </w:rPr>
          <w:t xml:space="preserve">§ 32i Gerichtlicher Rechtsschutz</w:t>
        </w:r>
      </w:hyperlink>
    </w:p>
    <w:p>
      <w:pPr>
        <w:pStyle w:val="Übersicht"/>
        <w:ind w:left="680"/>
      </w:pPr>
      <w:hyperlink w:anchor="b60" w:history="1">
        <w:r>
          <w:rPr>
            <w:color w:val="0A3A8C"/>
            <w:u w:val="single"/>
          </w:rPr>
          <w:t xml:space="preserve">§ 32j Antrag auf gerichtliche Entscheidung bei angenommener Rechtswidrigkeit eines Angemessenheitsbeschlusses der Europäischen Kommission</w:t>
        </w:r>
      </w:hyperlink>
    </w:p>
    <w:p>
      <w:pPr>
        <w:pStyle w:val="Übersicht"/>
        <w:ind w:left="0"/>
      </w:pPr>
      <w:hyperlink w:anchor="b61" w:history="1">
        <w:r>
          <w:rPr>
            <w:b/>
            <w:color w:val="0A3A8C"/>
            <w:u w:val="single"/>
          </w:rPr>
          <w:t xml:space="preserve">Zweiter Teil Steuerschuldrecht</w:t>
        </w:r>
      </w:hyperlink>
    </w:p>
    <w:p>
      <w:pPr>
        <w:pStyle w:val="Übersicht"/>
        <w:ind w:left="340"/>
      </w:pPr>
      <w:hyperlink w:anchor="b62" w:history="1">
        <w:r>
          <w:rPr>
            <w:b/>
            <w:color w:val="0A3A8C"/>
            <w:u w:val="single"/>
          </w:rPr>
          <w:t xml:space="preserve">Erster Abschnitt Steuerpflichtiger</w:t>
        </w:r>
      </w:hyperlink>
    </w:p>
    <w:p>
      <w:pPr>
        <w:pStyle w:val="Übersicht"/>
        <w:ind w:left="680"/>
      </w:pPr>
      <w:hyperlink w:anchor="b63" w:history="1">
        <w:r>
          <w:rPr>
            <w:color w:val="0A3A8C"/>
            <w:u w:val="single"/>
          </w:rPr>
          <w:t xml:space="preserve">§ 33 Steuerpflichtiger</w:t>
        </w:r>
      </w:hyperlink>
    </w:p>
    <w:p>
      <w:pPr>
        <w:pStyle w:val="Übersicht"/>
        <w:ind w:left="680"/>
      </w:pPr>
      <w:hyperlink w:anchor="b64" w:history="1">
        <w:r>
          <w:rPr>
            <w:color w:val="0A3A8C"/>
            <w:u w:val="single"/>
          </w:rPr>
          <w:t xml:space="preserve">§ 34 Pflichten der gesetzlichen Vertreter und der Vermögensverwalter</w:t>
        </w:r>
      </w:hyperlink>
    </w:p>
    <w:p>
      <w:pPr>
        <w:pStyle w:val="Übersicht"/>
        <w:ind w:left="680"/>
      </w:pPr>
      <w:hyperlink w:anchor="b65" w:history="1">
        <w:r>
          <w:rPr>
            <w:color w:val="0A3A8C"/>
            <w:u w:val="single"/>
          </w:rPr>
          <w:t xml:space="preserve">§ 35 Pflichten des Verfügungsberechtigten</w:t>
        </w:r>
      </w:hyperlink>
    </w:p>
    <w:p>
      <w:pPr>
        <w:pStyle w:val="Übersicht"/>
        <w:ind w:left="680"/>
      </w:pPr>
      <w:hyperlink w:anchor="b66" w:history="1">
        <w:r>
          <w:rPr>
            <w:color w:val="0A3A8C"/>
            <w:u w:val="single"/>
          </w:rPr>
          <w:t xml:space="preserve">§ 36 Erlöschen der Vertretungsmacht</w:t>
        </w:r>
      </w:hyperlink>
    </w:p>
    <w:p>
      <w:pPr>
        <w:pStyle w:val="Übersicht"/>
        <w:ind w:left="340"/>
      </w:pPr>
      <w:hyperlink w:anchor="b67" w:history="1">
        <w:r>
          <w:rPr>
            <w:b/>
            <w:color w:val="0A3A8C"/>
            <w:u w:val="single"/>
          </w:rPr>
          <w:t xml:space="preserve">Zweiter Abschnitt Steuerschuldverhältnis</w:t>
        </w:r>
      </w:hyperlink>
    </w:p>
    <w:p>
      <w:pPr>
        <w:pStyle w:val="Übersicht"/>
        <w:ind w:left="680"/>
      </w:pPr>
      <w:hyperlink w:anchor="b68" w:history="1">
        <w:r>
          <w:rPr>
            <w:color w:val="0A3A8C"/>
            <w:u w:val="single"/>
          </w:rPr>
          <w:t xml:space="preserve">§ 37 Ansprüche aus dem Steuerschuldverhältnis</w:t>
        </w:r>
      </w:hyperlink>
    </w:p>
    <w:p>
      <w:pPr>
        <w:pStyle w:val="Übersicht"/>
        <w:ind w:left="680"/>
      </w:pPr>
      <w:hyperlink w:anchor="b69" w:history="1">
        <w:r>
          <w:rPr>
            <w:color w:val="0A3A8C"/>
            <w:u w:val="single"/>
          </w:rPr>
          <w:t xml:space="preserve">§ 38 Entstehung der Ansprüche aus dem Steuerschuldverhältnis</w:t>
        </w:r>
      </w:hyperlink>
    </w:p>
    <w:p>
      <w:pPr>
        <w:pStyle w:val="Übersicht"/>
        <w:ind w:left="680"/>
      </w:pPr>
      <w:hyperlink w:anchor="b70" w:history="1">
        <w:r>
          <w:rPr>
            <w:color w:val="0A3A8C"/>
            <w:u w:val="single"/>
          </w:rPr>
          <w:t xml:space="preserve">§ 39 Zurechnung</w:t>
        </w:r>
      </w:hyperlink>
    </w:p>
    <w:p>
      <w:pPr>
        <w:pStyle w:val="Übersicht"/>
        <w:ind w:left="680"/>
      </w:pPr>
      <w:hyperlink w:anchor="b71" w:history="1">
        <w:r>
          <w:rPr>
            <w:color w:val="0A3A8C"/>
            <w:u w:val="single"/>
          </w:rPr>
          <w:t xml:space="preserve">§ 40 Gesetz- oder sittenwidriges Handeln</w:t>
        </w:r>
      </w:hyperlink>
    </w:p>
    <w:p>
      <w:pPr>
        <w:pStyle w:val="Übersicht"/>
        <w:ind w:left="680"/>
      </w:pPr>
      <w:hyperlink w:anchor="b72" w:history="1">
        <w:r>
          <w:rPr>
            <w:color w:val="0A3A8C"/>
            <w:u w:val="single"/>
          </w:rPr>
          <w:t xml:space="preserve">§ 41 Unwirksame Rechtsgeschäfte</w:t>
        </w:r>
      </w:hyperlink>
    </w:p>
    <w:p>
      <w:pPr>
        <w:pStyle w:val="Übersicht"/>
        <w:ind w:left="680"/>
      </w:pPr>
      <w:hyperlink w:anchor="b73" w:history="1">
        <w:r>
          <w:rPr>
            <w:color w:val="0A3A8C"/>
            <w:u w:val="single"/>
          </w:rPr>
          <w:t xml:space="preserve">§ 42 Missbrauch von rechtlichen Gestaltungsmöglichkeiten</w:t>
        </w:r>
      </w:hyperlink>
    </w:p>
    <w:p>
      <w:pPr>
        <w:pStyle w:val="Übersicht"/>
        <w:ind w:left="680"/>
      </w:pPr>
      <w:hyperlink w:anchor="b74" w:history="1">
        <w:r>
          <w:rPr>
            <w:color w:val="0A3A8C"/>
            <w:u w:val="single"/>
          </w:rPr>
          <w:t xml:space="preserve">§ 43 Steuerschuldner, Steuervergütungsgläubiger</w:t>
        </w:r>
      </w:hyperlink>
    </w:p>
    <w:p>
      <w:pPr>
        <w:pStyle w:val="Übersicht"/>
        <w:ind w:left="680"/>
      </w:pPr>
      <w:hyperlink w:anchor="b75" w:history="1">
        <w:r>
          <w:rPr>
            <w:color w:val="0A3A8C"/>
            <w:u w:val="single"/>
          </w:rPr>
          <w:t xml:space="preserve">§ 44 Gesamtschuldner</w:t>
        </w:r>
      </w:hyperlink>
    </w:p>
    <w:p>
      <w:pPr>
        <w:pStyle w:val="Übersicht"/>
        <w:ind w:left="680"/>
      </w:pPr>
      <w:hyperlink w:anchor="b76" w:history="1">
        <w:r>
          <w:rPr>
            <w:color w:val="0A3A8C"/>
            <w:u w:val="single"/>
          </w:rPr>
          <w:t xml:space="preserve">§ 45 Gesamtrechtsnachfolge</w:t>
        </w:r>
      </w:hyperlink>
    </w:p>
    <w:p>
      <w:pPr>
        <w:pStyle w:val="Übersicht"/>
        <w:ind w:left="680"/>
      </w:pPr>
      <w:hyperlink w:anchor="b77" w:history="1">
        <w:r>
          <w:rPr>
            <w:color w:val="0A3A8C"/>
            <w:u w:val="single"/>
          </w:rPr>
          <w:t xml:space="preserve">§ 46 Abtretung, Verpfändung, Pfändung</w:t>
        </w:r>
      </w:hyperlink>
    </w:p>
    <w:p>
      <w:pPr>
        <w:pStyle w:val="Übersicht"/>
        <w:ind w:left="680"/>
      </w:pPr>
      <w:hyperlink w:anchor="b78" w:history="1">
        <w:r>
          <w:rPr>
            <w:color w:val="0A3A8C"/>
            <w:u w:val="single"/>
          </w:rPr>
          <w:t xml:space="preserve">§ 47 Erlöschen</w:t>
        </w:r>
      </w:hyperlink>
    </w:p>
    <w:p>
      <w:pPr>
        <w:pStyle w:val="Übersicht"/>
        <w:ind w:left="680"/>
      </w:pPr>
      <w:hyperlink w:anchor="b79" w:history="1">
        <w:r>
          <w:rPr>
            <w:color w:val="0A3A8C"/>
            <w:u w:val="single"/>
          </w:rPr>
          <w:t xml:space="preserve">§ 48 Leistung durch Dritte, Haftung Dritter</w:t>
        </w:r>
      </w:hyperlink>
    </w:p>
    <w:p>
      <w:pPr>
        <w:pStyle w:val="Übersicht"/>
        <w:ind w:left="680"/>
      </w:pPr>
      <w:hyperlink w:anchor="b80" w:history="1">
        <w:r>
          <w:rPr>
            <w:color w:val="0A3A8C"/>
            <w:u w:val="single"/>
          </w:rPr>
          <w:t xml:space="preserve">§ 49 Verschollenheit</w:t>
        </w:r>
      </w:hyperlink>
    </w:p>
    <w:p>
      <w:pPr>
        <w:pStyle w:val="Übersicht"/>
        <w:ind w:left="680"/>
      </w:pPr>
      <w:hyperlink w:anchor="b81" w:history="1">
        <w:r>
          <w:rPr>
            <w:color w:val="0A3A8C"/>
            <w:u w:val="single"/>
          </w:rPr>
          <w:t xml:space="preserve">§ 50 Erlöschen und Unbedingtwerden der Verbrauchsteuer, Übergang der bedingten Verbrauchsteuerschuld</w:t>
        </w:r>
      </w:hyperlink>
    </w:p>
    <w:p>
      <w:pPr>
        <w:pStyle w:val="Übersicht"/>
        <w:ind w:left="340"/>
      </w:pPr>
      <w:hyperlink w:anchor="b82" w:history="1">
        <w:r>
          <w:rPr>
            <w:b/>
            <w:color w:val="0A3A8C"/>
            <w:u w:val="single"/>
          </w:rPr>
          <w:t xml:space="preserve">Dritter Abschnitt Steuerbegünstigte Zwecke</w:t>
        </w:r>
      </w:hyperlink>
    </w:p>
    <w:p>
      <w:pPr>
        <w:pStyle w:val="Übersicht"/>
        <w:ind w:left="680"/>
      </w:pPr>
      <w:hyperlink w:anchor="b83" w:history="1">
        <w:r>
          <w:rPr>
            <w:color w:val="0A3A8C"/>
            <w:u w:val="single"/>
          </w:rPr>
          <w:t xml:space="preserve">§ 51 Allgemeines</w:t>
        </w:r>
      </w:hyperlink>
    </w:p>
    <w:p>
      <w:pPr>
        <w:pStyle w:val="Übersicht"/>
        <w:ind w:left="680"/>
      </w:pPr>
      <w:hyperlink w:anchor="b84" w:history="1">
        <w:r>
          <w:rPr>
            <w:color w:val="0A3A8C"/>
            <w:u w:val="single"/>
          </w:rPr>
          <w:t xml:space="preserve">§ 52 Gemeinnützige Zwecke</w:t>
        </w:r>
      </w:hyperlink>
    </w:p>
    <w:p>
      <w:pPr>
        <w:pStyle w:val="Übersicht"/>
        <w:ind w:left="680"/>
      </w:pPr>
      <w:hyperlink w:anchor="b85" w:history="1">
        <w:r>
          <w:rPr>
            <w:color w:val="0A3A8C"/>
            <w:u w:val="single"/>
          </w:rPr>
          <w:t xml:space="preserve">§ 53 Mildtätige Zwecke</w:t>
        </w:r>
      </w:hyperlink>
    </w:p>
    <w:p>
      <w:pPr>
        <w:pStyle w:val="Übersicht"/>
        <w:ind w:left="680"/>
      </w:pPr>
      <w:hyperlink w:anchor="b86" w:history="1">
        <w:r>
          <w:rPr>
            <w:color w:val="0A3A8C"/>
            <w:u w:val="single"/>
          </w:rPr>
          <w:t xml:space="preserve">§ 54 Kirchliche Zwecke</w:t>
        </w:r>
      </w:hyperlink>
    </w:p>
    <w:p>
      <w:pPr>
        <w:pStyle w:val="Übersicht"/>
        <w:ind w:left="680"/>
      </w:pPr>
      <w:hyperlink w:anchor="b87" w:history="1">
        <w:r>
          <w:rPr>
            <w:color w:val="0A3A8C"/>
            <w:u w:val="single"/>
          </w:rPr>
          <w:t xml:space="preserve">§ 55 Selbstlosigkeit</w:t>
        </w:r>
      </w:hyperlink>
    </w:p>
    <w:p>
      <w:pPr>
        <w:pStyle w:val="Übersicht"/>
        <w:ind w:left="680"/>
      </w:pPr>
      <w:hyperlink w:anchor="b88" w:history="1">
        <w:r>
          <w:rPr>
            <w:color w:val="0A3A8C"/>
            <w:u w:val="single"/>
          </w:rPr>
          <w:t xml:space="preserve">§ 56 Ausschließlichkeit</w:t>
        </w:r>
      </w:hyperlink>
    </w:p>
    <w:p>
      <w:pPr>
        <w:pStyle w:val="Übersicht"/>
        <w:ind w:left="680"/>
      </w:pPr>
      <w:hyperlink w:anchor="b89" w:history="1">
        <w:r>
          <w:rPr>
            <w:color w:val="0A3A8C"/>
            <w:u w:val="single"/>
          </w:rPr>
          <w:t xml:space="preserve">§ 57 Unmittelbarkeit</w:t>
        </w:r>
      </w:hyperlink>
    </w:p>
    <w:p>
      <w:pPr>
        <w:pStyle w:val="Übersicht"/>
        <w:ind w:left="680"/>
      </w:pPr>
      <w:hyperlink w:anchor="b90" w:history="1">
        <w:r>
          <w:rPr>
            <w:color w:val="0A3A8C"/>
            <w:u w:val="single"/>
          </w:rPr>
          <w:t xml:space="preserve">§ 58 Steuerlich unschädliche Betätigungen</w:t>
        </w:r>
      </w:hyperlink>
    </w:p>
    <w:p>
      <w:pPr>
        <w:pStyle w:val="Übersicht"/>
        <w:ind w:left="680"/>
      </w:pPr>
      <w:hyperlink w:anchor="b91" w:history="1">
        <w:r>
          <w:rPr>
            <w:color w:val="0A3A8C"/>
            <w:u w:val="single"/>
          </w:rPr>
          <w:t xml:space="preserve">§ 58a Vertrauensschutz bei Mittelweitergaben</w:t>
        </w:r>
      </w:hyperlink>
    </w:p>
    <w:p>
      <w:pPr>
        <w:pStyle w:val="Übersicht"/>
        <w:ind w:left="680"/>
      </w:pPr>
      <w:hyperlink w:anchor="b92" w:history="1">
        <w:r>
          <w:rPr>
            <w:color w:val="0A3A8C"/>
            <w:u w:val="single"/>
          </w:rPr>
          <w:t xml:space="preserve">§ 59 Voraussetzung der Steuervergünstigung</w:t>
        </w:r>
      </w:hyperlink>
    </w:p>
    <w:p>
      <w:pPr>
        <w:pStyle w:val="Übersicht"/>
        <w:ind w:left="680"/>
      </w:pPr>
      <w:hyperlink w:anchor="b93" w:history="1">
        <w:r>
          <w:rPr>
            <w:color w:val="0A3A8C"/>
            <w:u w:val="single"/>
          </w:rPr>
          <w:t xml:space="preserve">§ 60 Anforderungen an die Satzung</w:t>
        </w:r>
      </w:hyperlink>
    </w:p>
    <w:p>
      <w:pPr>
        <w:pStyle w:val="Übersicht"/>
        <w:ind w:left="680"/>
      </w:pPr>
      <w:hyperlink w:anchor="b94" w:history="1">
        <w:r>
          <w:rPr>
            <w:color w:val="0A3A8C"/>
            <w:u w:val="single"/>
          </w:rPr>
          <w:t xml:space="preserve">§ 60a Feststellung der satzungsmäßigen Voraussetzungen</w:t>
        </w:r>
      </w:hyperlink>
    </w:p>
    <w:p>
      <w:pPr>
        <w:pStyle w:val="Übersicht"/>
        <w:ind w:left="680"/>
      </w:pPr>
      <w:hyperlink w:anchor="b95" w:history="1">
        <w:r>
          <w:rPr>
            <w:color w:val="0A3A8C"/>
            <w:u w:val="single"/>
          </w:rPr>
          <w:t xml:space="preserve">§ 60b Zuwendungsempfängerregister</w:t>
        </w:r>
      </w:hyperlink>
    </w:p>
    <w:p>
      <w:pPr>
        <w:pStyle w:val="Übersicht"/>
        <w:ind w:left="680"/>
      </w:pPr>
      <w:hyperlink w:anchor="b96" w:history="1">
        <w:r>
          <w:rPr>
            <w:color w:val="0A3A8C"/>
            <w:u w:val="single"/>
          </w:rPr>
          <w:t xml:space="preserve">§ 61 Satzungsmäßige Vermögensbindung</w:t>
        </w:r>
      </w:hyperlink>
    </w:p>
    <w:p>
      <w:pPr>
        <w:pStyle w:val="Übersicht"/>
        <w:ind w:left="680"/>
      </w:pPr>
      <w:hyperlink w:anchor="b97" w:history="1">
        <w:r>
          <w:rPr>
            <w:color w:val="0A3A8C"/>
            <w:u w:val="single"/>
          </w:rPr>
          <w:t xml:space="preserve">§ 62 Rücklagen und Vermögensbildung</w:t>
        </w:r>
      </w:hyperlink>
    </w:p>
    <w:p>
      <w:pPr>
        <w:pStyle w:val="Übersicht"/>
        <w:ind w:left="680"/>
      </w:pPr>
      <w:hyperlink w:anchor="b98" w:history="1">
        <w:r>
          <w:rPr>
            <w:color w:val="0A3A8C"/>
            <w:u w:val="single"/>
          </w:rPr>
          <w:t xml:space="preserve">§ 63 Anforderungen an die tatsächliche Geschäftsführung</w:t>
        </w:r>
      </w:hyperlink>
    </w:p>
    <w:p>
      <w:pPr>
        <w:pStyle w:val="Übersicht"/>
        <w:ind w:left="680"/>
      </w:pPr>
      <w:hyperlink w:anchor="b99" w:history="1">
        <w:r>
          <w:rPr>
            <w:color w:val="0A3A8C"/>
            <w:u w:val="single"/>
          </w:rPr>
          <w:t xml:space="preserve">§ 64 Steuerpflichtige wirtschaftliche Geschäftsbetriebe</w:t>
        </w:r>
      </w:hyperlink>
    </w:p>
    <w:p>
      <w:pPr>
        <w:pStyle w:val="Übersicht"/>
        <w:ind w:left="680"/>
      </w:pPr>
      <w:hyperlink w:anchor="b100" w:history="1">
        <w:r>
          <w:rPr>
            <w:color w:val="0A3A8C"/>
            <w:u w:val="single"/>
          </w:rPr>
          <w:t xml:space="preserve">§ 65 Zweckbetrieb</w:t>
        </w:r>
      </w:hyperlink>
    </w:p>
    <w:p>
      <w:pPr>
        <w:pStyle w:val="Übersicht"/>
        <w:ind w:left="680"/>
      </w:pPr>
      <w:hyperlink w:anchor="b101" w:history="1">
        <w:r>
          <w:rPr>
            <w:color w:val="0A3A8C"/>
            <w:u w:val="single"/>
          </w:rPr>
          <w:t xml:space="preserve">§ 66 Wohlfahrtspflege</w:t>
        </w:r>
      </w:hyperlink>
    </w:p>
    <w:p>
      <w:pPr>
        <w:pStyle w:val="Übersicht"/>
        <w:ind w:left="680"/>
      </w:pPr>
      <w:hyperlink w:anchor="b102" w:history="1">
        <w:r>
          <w:rPr>
            <w:color w:val="0A3A8C"/>
            <w:u w:val="single"/>
          </w:rPr>
          <w:t xml:space="preserve">§ 67 Krankenhäuser</w:t>
        </w:r>
      </w:hyperlink>
    </w:p>
    <w:p>
      <w:pPr>
        <w:pStyle w:val="Übersicht"/>
        <w:ind w:left="680"/>
      </w:pPr>
      <w:hyperlink w:anchor="b103" w:history="1">
        <w:r>
          <w:rPr>
            <w:color w:val="0A3A8C"/>
            <w:u w:val="single"/>
          </w:rPr>
          <w:t xml:space="preserve">§ 67a Sportliche Veranstaltungen</w:t>
        </w:r>
      </w:hyperlink>
    </w:p>
    <w:p>
      <w:pPr>
        <w:pStyle w:val="Übersicht"/>
        <w:ind w:left="680"/>
      </w:pPr>
      <w:hyperlink w:anchor="b104" w:history="1">
        <w:r>
          <w:rPr>
            <w:color w:val="0A3A8C"/>
            <w:u w:val="single"/>
          </w:rPr>
          <w:t xml:space="preserve">§ 68 Einzelne Zweckbetriebe</w:t>
        </w:r>
      </w:hyperlink>
    </w:p>
    <w:p>
      <w:pPr>
        <w:pStyle w:val="Übersicht"/>
        <w:ind w:left="340"/>
      </w:pPr>
      <w:hyperlink w:anchor="b105" w:history="1">
        <w:r>
          <w:rPr>
            <w:b/>
            <w:color w:val="0A3A8C"/>
            <w:u w:val="single"/>
          </w:rPr>
          <w:t xml:space="preserve">Vierter Abschnitt Haftung</w:t>
        </w:r>
      </w:hyperlink>
    </w:p>
    <w:p>
      <w:pPr>
        <w:pStyle w:val="Übersicht"/>
        <w:ind w:left="680"/>
      </w:pPr>
      <w:hyperlink w:anchor="b106" w:history="1">
        <w:r>
          <w:rPr>
            <w:color w:val="0A3A8C"/>
            <w:u w:val="single"/>
          </w:rPr>
          <w:t xml:space="preserve">§ 69 Haftung der Vertreter</w:t>
        </w:r>
      </w:hyperlink>
    </w:p>
    <w:p>
      <w:pPr>
        <w:pStyle w:val="Übersicht"/>
        <w:ind w:left="680"/>
      </w:pPr>
      <w:hyperlink w:anchor="b107" w:history="1">
        <w:r>
          <w:rPr>
            <w:color w:val="0A3A8C"/>
            <w:u w:val="single"/>
          </w:rPr>
          <w:t xml:space="preserve">§ 70 Haftung des Vertretenen</w:t>
        </w:r>
      </w:hyperlink>
    </w:p>
    <w:p>
      <w:pPr>
        <w:pStyle w:val="Übersicht"/>
        <w:ind w:left="680"/>
      </w:pPr>
      <w:hyperlink w:anchor="b108" w:history="1">
        <w:r>
          <w:rPr>
            <w:color w:val="0A3A8C"/>
            <w:u w:val="single"/>
          </w:rPr>
          <w:t xml:space="preserve">§ 71 Haftung des Steuerhinterziehers und des Steuerhehlers</w:t>
        </w:r>
      </w:hyperlink>
    </w:p>
    <w:p>
      <w:pPr>
        <w:pStyle w:val="Übersicht"/>
        <w:ind w:left="680"/>
      </w:pPr>
      <w:hyperlink w:anchor="b109" w:history="1">
        <w:r>
          <w:rPr>
            <w:color w:val="0A3A8C"/>
            <w:u w:val="single"/>
          </w:rPr>
          <w:t xml:space="preserve">§ 72 Haftung bei Verletzung der Pflicht zur Kontenwahrheit</w:t>
        </w:r>
      </w:hyperlink>
    </w:p>
    <w:p>
      <w:pPr>
        <w:pStyle w:val="Übersicht"/>
        <w:ind w:left="680"/>
      </w:pPr>
      <w:hyperlink w:anchor="b110" w:history="1">
        <w:r>
          <w:rPr>
            <w:color w:val="0A3A8C"/>
            <w:u w:val="single"/>
          </w:rPr>
          <w:t xml:space="preserve">§ 72a Haftung Dritter bei Datenübermittlungen an Finanzbehörden</w:t>
        </w:r>
      </w:hyperlink>
    </w:p>
    <w:p>
      <w:pPr>
        <w:pStyle w:val="Übersicht"/>
        <w:ind w:left="680"/>
      </w:pPr>
      <w:hyperlink w:anchor="b111" w:history="1">
        <w:r>
          <w:rPr>
            <w:color w:val="0A3A8C"/>
            <w:u w:val="single"/>
          </w:rPr>
          <w:t xml:space="preserve">§ 73 Haftung bei Organschaft</w:t>
        </w:r>
      </w:hyperlink>
    </w:p>
    <w:p>
      <w:pPr>
        <w:pStyle w:val="Übersicht"/>
        <w:ind w:left="680"/>
      </w:pPr>
      <w:hyperlink w:anchor="b112" w:history="1">
        <w:r>
          <w:rPr>
            <w:color w:val="0A3A8C"/>
            <w:u w:val="single"/>
          </w:rPr>
          <w:t xml:space="preserve">§ 74 Haftung des Eigentümers von Gegenständen</w:t>
        </w:r>
      </w:hyperlink>
    </w:p>
    <w:p>
      <w:pPr>
        <w:pStyle w:val="Übersicht"/>
        <w:ind w:left="680"/>
      </w:pPr>
      <w:hyperlink w:anchor="b113" w:history="1">
        <w:r>
          <w:rPr>
            <w:color w:val="0A3A8C"/>
            <w:u w:val="single"/>
          </w:rPr>
          <w:t xml:space="preserve">§ 75 Haftung des Betriebsübernehmers</w:t>
        </w:r>
      </w:hyperlink>
    </w:p>
    <w:p>
      <w:pPr>
        <w:pStyle w:val="Übersicht"/>
        <w:ind w:left="680"/>
      </w:pPr>
      <w:hyperlink w:anchor="b114" w:history="1">
        <w:r>
          <w:rPr>
            <w:color w:val="0A3A8C"/>
            <w:u w:val="single"/>
          </w:rPr>
          <w:t xml:space="preserve">§ 76 Sachhaftung</w:t>
        </w:r>
      </w:hyperlink>
    </w:p>
    <w:p>
      <w:pPr>
        <w:pStyle w:val="Übersicht"/>
        <w:ind w:left="680"/>
      </w:pPr>
      <w:hyperlink w:anchor="b115" w:history="1">
        <w:r>
          <w:rPr>
            <w:color w:val="0A3A8C"/>
            <w:u w:val="single"/>
          </w:rPr>
          <w:t xml:space="preserve">§ 77 Duldungspflicht</w:t>
        </w:r>
      </w:hyperlink>
    </w:p>
    <w:p>
      <w:pPr>
        <w:pStyle w:val="Übersicht"/>
        <w:ind w:left="0"/>
      </w:pPr>
      <w:hyperlink w:anchor="b116" w:history="1">
        <w:r>
          <w:rPr>
            <w:b/>
            <w:color w:val="0A3A8C"/>
            <w:u w:val="single"/>
          </w:rPr>
          <w:t xml:space="preserve">Dritter Teil Allgemeine Verfahrensvorschriften</w:t>
        </w:r>
      </w:hyperlink>
    </w:p>
    <w:p>
      <w:pPr>
        <w:pStyle w:val="Übersicht"/>
        <w:ind w:left="340"/>
      </w:pPr>
      <w:hyperlink w:anchor="b117" w:history="1">
        <w:r>
          <w:rPr>
            <w:b/>
            <w:color w:val="0A3A8C"/>
            <w:u w:val="single"/>
          </w:rPr>
          <w:t xml:space="preserve">Erster Abschnitt Verfahrensgrundsätze</w:t>
        </w:r>
      </w:hyperlink>
    </w:p>
    <w:p>
      <w:pPr>
        <w:pStyle w:val="Übersicht"/>
        <w:ind w:left="680"/>
      </w:pPr>
      <w:hyperlink w:anchor="b118" w:history="1">
        <w:r>
          <w:rPr>
            <w:b/>
            <w:color w:val="0A3A8C"/>
            <w:u w:val="single"/>
          </w:rPr>
          <w:t xml:space="preserve">1. Unterabschnitt Beteiligung am Verfahren</w:t>
        </w:r>
      </w:hyperlink>
    </w:p>
    <w:p>
      <w:pPr>
        <w:pStyle w:val="Übersicht"/>
        <w:ind w:left="1020"/>
      </w:pPr>
      <w:hyperlink w:anchor="b119" w:history="1">
        <w:r>
          <w:rPr>
            <w:color w:val="0A3A8C"/>
            <w:u w:val="single"/>
          </w:rPr>
          <w:t xml:space="preserve">§ 78 Beteiligte</w:t>
        </w:r>
      </w:hyperlink>
    </w:p>
    <w:p>
      <w:pPr>
        <w:pStyle w:val="Übersicht"/>
        <w:ind w:left="1020"/>
      </w:pPr>
      <w:hyperlink w:anchor="b120" w:history="1">
        <w:r>
          <w:rPr>
            <w:color w:val="0A3A8C"/>
            <w:u w:val="single"/>
          </w:rPr>
          <w:t xml:space="preserve">§ 79 Handlungsfähigkeit</w:t>
        </w:r>
      </w:hyperlink>
    </w:p>
    <w:p>
      <w:pPr>
        <w:pStyle w:val="Übersicht"/>
        <w:ind w:left="1020"/>
      </w:pPr>
      <w:hyperlink w:anchor="b121" w:history="1">
        <w:r>
          <w:rPr>
            <w:color w:val="0A3A8C"/>
            <w:u w:val="single"/>
          </w:rPr>
          <w:t xml:space="preserve">§ 80 Bevollmächtigte und Beistände</w:t>
        </w:r>
      </w:hyperlink>
    </w:p>
    <w:p>
      <w:pPr>
        <w:pStyle w:val="Übersicht"/>
        <w:ind w:left="1020"/>
      </w:pPr>
      <w:hyperlink w:anchor="b122" w:history="1">
        <w:r>
          <w:rPr>
            <w:color w:val="0A3A8C"/>
            <w:u w:val="single"/>
          </w:rPr>
          <w:t xml:space="preserve">§ 80a Elektronische Übermittlung von Vollmachtsdaten an Landesfinanzbehörden</w:t>
        </w:r>
      </w:hyperlink>
    </w:p>
    <w:p>
      <w:pPr>
        <w:pStyle w:val="Übersicht"/>
        <w:ind w:left="1020"/>
      </w:pPr>
      <w:hyperlink w:anchor="b123" w:history="1">
        <w:r>
          <w:rPr>
            <w:color w:val="0A3A8C"/>
            <w:u w:val="single"/>
          </w:rPr>
          <w:t xml:space="preserve">§ 81 Bestellung eines Vertreters von Amts wegen</w:t>
        </w:r>
      </w:hyperlink>
    </w:p>
    <w:p>
      <w:pPr>
        <w:pStyle w:val="Übersicht"/>
        <w:ind w:left="680"/>
      </w:pPr>
      <w:hyperlink w:anchor="b124" w:history="1">
        <w:r>
          <w:rPr>
            <w:b/>
            <w:color w:val="0A3A8C"/>
            <w:u w:val="single"/>
          </w:rPr>
          <w:t xml:space="preserve">2. Unterabschnitt Ausschließung und Ablehnung von Amtsträgern und anderen Personen</w:t>
        </w:r>
      </w:hyperlink>
    </w:p>
    <w:p>
      <w:pPr>
        <w:pStyle w:val="Übersicht"/>
        <w:ind w:left="1020"/>
      </w:pPr>
      <w:hyperlink w:anchor="b125" w:history="1">
        <w:r>
          <w:rPr>
            <w:color w:val="0A3A8C"/>
            <w:u w:val="single"/>
          </w:rPr>
          <w:t xml:space="preserve">§ 82 Ausgeschlossene Personen</w:t>
        </w:r>
      </w:hyperlink>
    </w:p>
    <w:p>
      <w:pPr>
        <w:pStyle w:val="Übersicht"/>
        <w:ind w:left="1020"/>
      </w:pPr>
      <w:hyperlink w:anchor="b126" w:history="1">
        <w:r>
          <w:rPr>
            <w:color w:val="0A3A8C"/>
            <w:u w:val="single"/>
          </w:rPr>
          <w:t xml:space="preserve">§ 83 Besorgnis der Befangenheit</w:t>
        </w:r>
      </w:hyperlink>
    </w:p>
    <w:p>
      <w:pPr>
        <w:pStyle w:val="Übersicht"/>
        <w:ind w:left="1020"/>
      </w:pPr>
      <w:hyperlink w:anchor="b127" w:history="1">
        <w:r>
          <w:rPr>
            <w:color w:val="0A3A8C"/>
            <w:u w:val="single"/>
          </w:rPr>
          <w:t xml:space="preserve">§ 84 Ablehnung von Mitgliedern eines Ausschusses</w:t>
        </w:r>
      </w:hyperlink>
    </w:p>
    <w:p>
      <w:pPr>
        <w:pStyle w:val="Übersicht"/>
        <w:ind w:left="680"/>
      </w:pPr>
      <w:hyperlink w:anchor="b128" w:history="1">
        <w:r>
          <w:rPr>
            <w:b/>
            <w:color w:val="0A3A8C"/>
            <w:u w:val="single"/>
          </w:rPr>
          <w:t xml:space="preserve">3. Unterabschnitt Besteuerungsgrundsätze, Beweismittel</w:t>
        </w:r>
      </w:hyperlink>
    </w:p>
    <w:p>
      <w:pPr>
        <w:pStyle w:val="Übersicht"/>
        <w:ind w:left="1020"/>
      </w:pPr>
      <w:hyperlink w:anchor="b129" w:history="1">
        <w:r>
          <w:rPr>
            <w:b/>
            <w:color w:val="0A3A8C"/>
            <w:u w:val="single"/>
          </w:rPr>
          <w:t xml:space="preserve">I. Allgemeines</w:t>
        </w:r>
      </w:hyperlink>
    </w:p>
    <w:p>
      <w:pPr>
        <w:pStyle w:val="Übersicht"/>
        <w:ind w:left="1361"/>
      </w:pPr>
      <w:hyperlink w:anchor="b130" w:history="1">
        <w:r>
          <w:rPr>
            <w:color w:val="0A3A8C"/>
            <w:u w:val="single"/>
          </w:rPr>
          <w:t xml:space="preserve">§ 85 Besteuerungsgrundsätze</w:t>
        </w:r>
      </w:hyperlink>
    </w:p>
    <w:p>
      <w:pPr>
        <w:pStyle w:val="Übersicht"/>
        <w:ind w:left="1361"/>
      </w:pPr>
      <w:hyperlink w:anchor="b131" w:history="1">
        <w:r>
          <w:rPr>
            <w:color w:val="0A3A8C"/>
            <w:u w:val="single"/>
          </w:rPr>
          <w:t xml:space="preserve">§ 86 Beginn des Verfahrens</w:t>
        </w:r>
      </w:hyperlink>
    </w:p>
    <w:p>
      <w:pPr>
        <w:pStyle w:val="Übersicht"/>
        <w:ind w:left="1361"/>
      </w:pPr>
      <w:hyperlink w:anchor="b132" w:history="1">
        <w:r>
          <w:rPr>
            <w:color w:val="0A3A8C"/>
            <w:u w:val="single"/>
          </w:rPr>
          <w:t xml:space="preserve">§ 87 Amtssprache</w:t>
        </w:r>
      </w:hyperlink>
    </w:p>
    <w:p>
      <w:pPr>
        <w:pStyle w:val="Übersicht"/>
        <w:ind w:left="1361"/>
      </w:pPr>
      <w:hyperlink w:anchor="b133" w:history="1">
        <w:r>
          <w:rPr>
            <w:color w:val="0A3A8C"/>
            <w:u w:val="single"/>
          </w:rPr>
          <w:t xml:space="preserve">§ 87a Elektronische Kommunikation</w:t>
        </w:r>
      </w:hyperlink>
    </w:p>
    <w:p>
      <w:pPr>
        <w:pStyle w:val="Übersicht"/>
        <w:ind w:left="1361"/>
      </w:pPr>
      <w:hyperlink w:anchor="b134" w:history="1">
        <w:r>
          <w:rPr>
            <w:color w:val="0A3A8C"/>
            <w:u w:val="single"/>
          </w:rPr>
          <w:t xml:space="preserve">§ 87b Bedingungen für die elektronische Übermittlung von Daten an Finanzbehörden</w:t>
        </w:r>
      </w:hyperlink>
    </w:p>
    <w:p>
      <w:pPr>
        <w:pStyle w:val="Übersicht"/>
        <w:ind w:left="1361"/>
      </w:pPr>
      <w:hyperlink w:anchor="b135" w:history="1">
        <w:r>
          <w:rPr>
            <w:color w:val="0A3A8C"/>
            <w:u w:val="single"/>
          </w:rPr>
          <w:t xml:space="preserve">§ 87c Nicht amtliche Datenverarbeitungsprogramme für das Besteuerungsverfahren</w:t>
        </w:r>
      </w:hyperlink>
    </w:p>
    <w:p>
      <w:pPr>
        <w:pStyle w:val="Übersicht"/>
        <w:ind w:left="1361"/>
      </w:pPr>
      <w:hyperlink w:anchor="b136" w:history="1">
        <w:r>
          <w:rPr>
            <w:color w:val="0A3A8C"/>
            <w:u w:val="single"/>
          </w:rPr>
          <w:t xml:space="preserve">§ 87d Datenübermittlungen an Finanzbehörden im Auftrag</w:t>
        </w:r>
      </w:hyperlink>
    </w:p>
    <w:p>
      <w:pPr>
        <w:pStyle w:val="Übersicht"/>
        <w:ind w:left="1361"/>
      </w:pPr>
      <w:hyperlink w:anchor="b137" w:history="1">
        <w:r>
          <w:rPr>
            <w:color w:val="0A3A8C"/>
            <w:u w:val="single"/>
          </w:rPr>
          <w:t xml:space="preserve">§ 87e Ausnahmeregelung für Einfuhr- und Ausfuhrabgaben, Verbrauchsteuern und die Luftverkehrsteuer</w:t>
        </w:r>
      </w:hyperlink>
    </w:p>
    <w:p>
      <w:pPr>
        <w:pStyle w:val="Übersicht"/>
        <w:ind w:left="1361"/>
      </w:pPr>
      <w:hyperlink w:anchor="b138" w:history="1">
        <w:r>
          <w:rPr>
            <w:color w:val="0A3A8C"/>
            <w:u w:val="single"/>
          </w:rPr>
          <w:t xml:space="preserve">§ 88 Untersuchungsgrundsatz</w:t>
        </w:r>
      </w:hyperlink>
    </w:p>
    <w:p>
      <w:pPr>
        <w:pStyle w:val="Übersicht"/>
        <w:ind w:left="1361"/>
      </w:pPr>
      <w:hyperlink w:anchor="b139" w:history="1">
        <w:r>
          <w:rPr>
            <w:color w:val="0A3A8C"/>
            <w:u w:val="single"/>
          </w:rPr>
          <w:t xml:space="preserve">§ 88a Sammlung von geschützten Daten</w:t>
        </w:r>
      </w:hyperlink>
    </w:p>
    <w:p>
      <w:pPr>
        <w:pStyle w:val="Übersicht"/>
        <w:ind w:left="1361"/>
      </w:pPr>
      <w:hyperlink w:anchor="b140" w:history="1">
        <w:r>
          <w:rPr>
            <w:color w:val="0A3A8C"/>
            <w:u w:val="single"/>
          </w:rPr>
          <w:t xml:space="preserve">§ 88b Länderübergreifender Abruf und Verwendung von Daten zur Verhütung, Ermittlung und Verfolgung von Steuerverkürzungen</w:t>
        </w:r>
      </w:hyperlink>
    </w:p>
    <w:p>
      <w:pPr>
        <w:pStyle w:val="Übersicht"/>
        <w:ind w:left="1361"/>
      </w:pPr>
      <w:hyperlink w:anchor="b141" w:history="1">
        <w:r>
          <w:rPr>
            <w:color w:val="0A3A8C"/>
            <w:u w:val="single"/>
          </w:rPr>
          <w:t xml:space="preserve">§ 88c Informationsaustausch über kapitalmarktbezogene Gestaltungen</w:t>
        </w:r>
      </w:hyperlink>
    </w:p>
    <w:p>
      <w:pPr>
        <w:pStyle w:val="Übersicht"/>
        <w:ind w:left="1361"/>
      </w:pPr>
      <w:hyperlink w:anchor="b142" w:history="1">
        <w:r>
          <w:rPr>
            <w:color w:val="0A3A8C"/>
            <w:u w:val="single"/>
          </w:rPr>
          <w:t xml:space="preserve">§ 89 Beratung, Auskunft</w:t>
        </w:r>
      </w:hyperlink>
    </w:p>
    <w:p>
      <w:pPr>
        <w:pStyle w:val="Übersicht"/>
        <w:ind w:left="1361"/>
      </w:pPr>
      <w:hyperlink w:anchor="b143" w:history="1">
        <w:r>
          <w:rPr>
            <w:color w:val="0A3A8C"/>
            <w:u w:val="single"/>
          </w:rPr>
          <w:t xml:space="preserve">§ 89a Vorabverständigungsverfahren</w:t>
        </w:r>
      </w:hyperlink>
    </w:p>
    <w:p>
      <w:pPr>
        <w:pStyle w:val="Übersicht"/>
        <w:ind w:left="1361"/>
      </w:pPr>
      <w:hyperlink w:anchor="b144" w:history="1">
        <w:r>
          <w:rPr>
            <w:color w:val="0A3A8C"/>
            <w:u w:val="single"/>
          </w:rPr>
          <w:t xml:space="preserve">§ 89b Internationale Risikobewertungsverfahren</w:t>
        </w:r>
      </w:hyperlink>
    </w:p>
    <w:p>
      <w:pPr>
        <w:pStyle w:val="Übersicht"/>
        <w:ind w:left="1361"/>
      </w:pPr>
      <w:hyperlink w:anchor="b145" w:history="1">
        <w:r>
          <w:rPr>
            <w:color w:val="0A3A8C"/>
            <w:u w:val="single"/>
          </w:rPr>
          <w:t xml:space="preserve">§ 90 Mitwirkungspflichten der Beteiligten</w:t>
        </w:r>
      </w:hyperlink>
    </w:p>
    <w:p>
      <w:pPr>
        <w:pStyle w:val="Übersicht"/>
        <w:ind w:left="1361"/>
      </w:pPr>
      <w:hyperlink w:anchor="b146" w:history="1">
        <w:r>
          <w:rPr>
            <w:color w:val="0A3A8C"/>
            <w:u w:val="single"/>
          </w:rPr>
          <w:t xml:space="preserve">§ 91 Anhörung Beteiligter</w:t>
        </w:r>
      </w:hyperlink>
    </w:p>
    <w:p>
      <w:pPr>
        <w:pStyle w:val="Übersicht"/>
        <w:ind w:left="1361"/>
      </w:pPr>
      <w:hyperlink w:anchor="b147" w:history="1">
        <w:r>
          <w:rPr>
            <w:color w:val="0A3A8C"/>
            <w:u w:val="single"/>
          </w:rPr>
          <w:t xml:space="preserve">§ 92 Beweismittel</w:t>
        </w:r>
      </w:hyperlink>
    </w:p>
    <w:p>
      <w:pPr>
        <w:pStyle w:val="Übersicht"/>
        <w:ind w:left="1020"/>
      </w:pPr>
      <w:hyperlink w:anchor="b148" w:history="1">
        <w:r>
          <w:rPr>
            <w:b/>
            <w:color w:val="0A3A8C"/>
            <w:u w:val="single"/>
          </w:rPr>
          <w:t xml:space="preserve">II. Beweis durch Auskünfte und Sachverständigengutachten</w:t>
        </w:r>
      </w:hyperlink>
    </w:p>
    <w:p>
      <w:pPr>
        <w:pStyle w:val="Übersicht"/>
        <w:ind w:left="1361"/>
      </w:pPr>
      <w:hyperlink w:anchor="b149" w:history="1">
        <w:r>
          <w:rPr>
            <w:color w:val="0A3A8C"/>
            <w:u w:val="single"/>
          </w:rPr>
          <w:t xml:space="preserve">§ 93 Auskunftspflicht der Beteiligten und anderer Personen</w:t>
        </w:r>
      </w:hyperlink>
    </w:p>
    <w:p>
      <w:pPr>
        <w:pStyle w:val="Übersicht"/>
        <w:ind w:left="1361"/>
      </w:pPr>
      <w:hyperlink w:anchor="b150" w:history="1">
        <w:r>
          <w:rPr>
            <w:color w:val="0A3A8C"/>
            <w:u w:val="single"/>
          </w:rPr>
          <w:t xml:space="preserve">§ 93a Allgemeine Mitteilungspflichten</w:t>
        </w:r>
      </w:hyperlink>
    </w:p>
    <w:p>
      <w:pPr>
        <w:pStyle w:val="Übersicht"/>
        <w:ind w:left="1361"/>
      </w:pPr>
      <w:hyperlink w:anchor="b151" w:history="1">
        <w:r>
          <w:rPr>
            <w:color w:val="0A3A8C"/>
            <w:u w:val="single"/>
          </w:rPr>
          <w:t xml:space="preserve">§ 93b Automatisierter Abruf von Kontoinformationen</w:t>
        </w:r>
      </w:hyperlink>
    </w:p>
    <w:p>
      <w:pPr>
        <w:pStyle w:val="Übersicht"/>
        <w:ind w:left="1361"/>
      </w:pPr>
      <w:hyperlink w:anchor="b152" w:history="1">
        <w:r>
          <w:rPr>
            <w:color w:val="0A3A8C"/>
            <w:u w:val="single"/>
          </w:rPr>
          <w:t xml:space="preserve">§ 93c Datenübermittlung durch Dritte</w:t>
        </w:r>
      </w:hyperlink>
    </w:p>
    <w:p>
      <w:pPr>
        <w:pStyle w:val="Übersicht"/>
        <w:ind w:left="1361"/>
      </w:pPr>
      <w:hyperlink w:anchor="b153" w:history="1">
        <w:r>
          <w:rPr>
            <w:color w:val="0A3A8C"/>
            <w:u w:val="single"/>
          </w:rPr>
          <w:t xml:space="preserve">§ 93d Verordnungsermächtigung</w:t>
        </w:r>
      </w:hyperlink>
    </w:p>
    <w:p>
      <w:pPr>
        <w:pStyle w:val="Übersicht"/>
        <w:ind w:left="1361"/>
      </w:pPr>
      <w:hyperlink w:anchor="b154" w:history="1">
        <w:r>
          <w:rPr>
            <w:color w:val="0A3A8C"/>
            <w:u w:val="single"/>
          </w:rPr>
          <w:t xml:space="preserve">§ 94 Eidliche Vernehmung</w:t>
        </w:r>
      </w:hyperlink>
    </w:p>
    <w:p>
      <w:pPr>
        <w:pStyle w:val="Übersicht"/>
        <w:ind w:left="1361"/>
      </w:pPr>
      <w:hyperlink w:anchor="b155" w:history="1">
        <w:r>
          <w:rPr>
            <w:color w:val="0A3A8C"/>
            <w:u w:val="single"/>
          </w:rPr>
          <w:t xml:space="preserve">§ 95 Versicherung an Eides statt</w:t>
        </w:r>
      </w:hyperlink>
    </w:p>
    <w:p>
      <w:pPr>
        <w:pStyle w:val="Übersicht"/>
        <w:ind w:left="1361"/>
      </w:pPr>
      <w:hyperlink w:anchor="b156" w:history="1">
        <w:r>
          <w:rPr>
            <w:color w:val="0A3A8C"/>
            <w:u w:val="single"/>
          </w:rPr>
          <w:t xml:space="preserve">§ 96 Hinzuziehung von Sachverständigen</w:t>
        </w:r>
      </w:hyperlink>
    </w:p>
    <w:p>
      <w:pPr>
        <w:pStyle w:val="Übersicht"/>
        <w:ind w:left="1020"/>
      </w:pPr>
      <w:hyperlink w:anchor="b157" w:history="1">
        <w:r>
          <w:rPr>
            <w:b/>
            <w:color w:val="0A3A8C"/>
            <w:u w:val="single"/>
          </w:rPr>
          <w:t xml:space="preserve">III. Beweis durch Urkunden und Augenschein</w:t>
        </w:r>
      </w:hyperlink>
    </w:p>
    <w:p>
      <w:pPr>
        <w:pStyle w:val="Übersicht"/>
        <w:ind w:left="1361"/>
      </w:pPr>
      <w:hyperlink w:anchor="b158" w:history="1">
        <w:r>
          <w:rPr>
            <w:color w:val="0A3A8C"/>
            <w:u w:val="single"/>
          </w:rPr>
          <w:t xml:space="preserve">§ 97 Vorlage von Urkunden</w:t>
        </w:r>
      </w:hyperlink>
    </w:p>
    <w:p>
      <w:pPr>
        <w:pStyle w:val="Übersicht"/>
        <w:ind w:left="1361"/>
      </w:pPr>
      <w:hyperlink w:anchor="b159" w:history="1">
        <w:r>
          <w:rPr>
            <w:color w:val="0A3A8C"/>
            <w:u w:val="single"/>
          </w:rPr>
          <w:t xml:space="preserve">§ 98 Einnahme des Augenscheins</w:t>
        </w:r>
      </w:hyperlink>
    </w:p>
    <w:p>
      <w:pPr>
        <w:pStyle w:val="Übersicht"/>
        <w:ind w:left="1361"/>
      </w:pPr>
      <w:hyperlink w:anchor="b160" w:history="1">
        <w:r>
          <w:rPr>
            <w:color w:val="0A3A8C"/>
            <w:u w:val="single"/>
          </w:rPr>
          <w:t xml:space="preserve">§ 99 Betreten von Grundstücken und Räumen</w:t>
        </w:r>
      </w:hyperlink>
    </w:p>
    <w:p>
      <w:pPr>
        <w:pStyle w:val="Übersicht"/>
        <w:ind w:left="1361"/>
      </w:pPr>
      <w:hyperlink w:anchor="b161" w:history="1">
        <w:r>
          <w:rPr>
            <w:color w:val="0A3A8C"/>
            <w:u w:val="single"/>
          </w:rPr>
          <w:t xml:space="preserve">§ 100 Vorlage von Wertsachen</w:t>
        </w:r>
      </w:hyperlink>
    </w:p>
    <w:p>
      <w:pPr>
        <w:pStyle w:val="Übersicht"/>
        <w:ind w:left="1020"/>
      </w:pPr>
      <w:hyperlink w:anchor="b162" w:history="1">
        <w:r>
          <w:rPr>
            <w:b/>
            <w:color w:val="0A3A8C"/>
            <w:u w:val="single"/>
          </w:rPr>
          <w:t xml:space="preserve">IV. Auskunfts- und Vorlageverweigerungsrechte</w:t>
        </w:r>
      </w:hyperlink>
    </w:p>
    <w:p>
      <w:pPr>
        <w:pStyle w:val="Übersicht"/>
        <w:ind w:left="1361"/>
      </w:pPr>
      <w:hyperlink w:anchor="b163" w:history="1">
        <w:r>
          <w:rPr>
            <w:color w:val="0A3A8C"/>
            <w:u w:val="single"/>
          </w:rPr>
          <w:t xml:space="preserve">§ 101 Auskunfts- und Eidesverweigerungsrecht der Angehörigen</w:t>
        </w:r>
      </w:hyperlink>
    </w:p>
    <w:p>
      <w:pPr>
        <w:pStyle w:val="Übersicht"/>
        <w:ind w:left="1361"/>
      </w:pPr>
      <w:hyperlink w:anchor="b164" w:history="1">
        <w:r>
          <w:rPr>
            <w:color w:val="0A3A8C"/>
            <w:u w:val="single"/>
          </w:rPr>
          <w:t xml:space="preserve">§ 102 Auskunftsverweigerungsrecht zum Schutz bestimmter Berufsgeheimnisse</w:t>
        </w:r>
      </w:hyperlink>
    </w:p>
    <w:p>
      <w:pPr>
        <w:pStyle w:val="Übersicht"/>
        <w:ind w:left="1361"/>
      </w:pPr>
      <w:hyperlink w:anchor="b165" w:history="1">
        <w:r>
          <w:rPr>
            <w:color w:val="0A3A8C"/>
            <w:u w:val="single"/>
          </w:rPr>
          <w:t xml:space="preserve">§ 103 Auskunftsverweigerungsrecht bei Gefahr der Verfolgung wegen einer Straftat oder einer Ordnungswidrigkeit</w:t>
        </w:r>
      </w:hyperlink>
    </w:p>
    <w:p>
      <w:pPr>
        <w:pStyle w:val="Übersicht"/>
        <w:ind w:left="1361"/>
      </w:pPr>
      <w:hyperlink w:anchor="b166" w:history="1">
        <w:r>
          <w:rPr>
            <w:color w:val="0A3A8C"/>
            <w:u w:val="single"/>
          </w:rPr>
          <w:t xml:space="preserve">§ 104 Verweigerung der Erstattung eines Gutachtens und der Vorlage von Urkunden</w:t>
        </w:r>
      </w:hyperlink>
    </w:p>
    <w:p>
      <w:pPr>
        <w:pStyle w:val="Übersicht"/>
        <w:ind w:left="1361"/>
      </w:pPr>
      <w:hyperlink w:anchor="b167" w:history="1">
        <w:r>
          <w:rPr>
            <w:color w:val="0A3A8C"/>
            <w:u w:val="single"/>
          </w:rPr>
          <w:t xml:space="preserve">§ 105 Verhältnis der Auskunfts- und Vorlagepflicht zur Schweigepflicht öffentlicher Stellen</w:t>
        </w:r>
      </w:hyperlink>
    </w:p>
    <w:p>
      <w:pPr>
        <w:pStyle w:val="Übersicht"/>
        <w:ind w:left="1361"/>
      </w:pPr>
      <w:hyperlink w:anchor="b168" w:history="1">
        <w:r>
          <w:rPr>
            <w:color w:val="0A3A8C"/>
            <w:u w:val="single"/>
          </w:rPr>
          <w:t xml:space="preserve">§ 106 Beschränkung der Auskunfts- und Vorlagepflicht bei Beeinträchtigung des staatlichen Wohls</w:t>
        </w:r>
      </w:hyperlink>
    </w:p>
    <w:p>
      <w:pPr>
        <w:pStyle w:val="Übersicht"/>
        <w:ind w:left="1020"/>
      </w:pPr>
      <w:hyperlink w:anchor="b169" w:history="1">
        <w:r>
          <w:rPr>
            <w:b/>
            <w:color w:val="0A3A8C"/>
            <w:u w:val="single"/>
          </w:rPr>
          <w:t xml:space="preserve">V. Entschädigung der Auskunftspflichtigen und der Sachverständigen</w:t>
        </w:r>
      </w:hyperlink>
    </w:p>
    <w:p>
      <w:pPr>
        <w:pStyle w:val="Übersicht"/>
        <w:ind w:left="1361"/>
      </w:pPr>
      <w:hyperlink w:anchor="b170" w:history="1">
        <w:r>
          <w:rPr>
            <w:color w:val="0A3A8C"/>
            <w:u w:val="single"/>
          </w:rPr>
          <w:t xml:space="preserve">§ 107 Entschädigung der Auskunftspflichtigen und der Sachverständigen</w:t>
        </w:r>
      </w:hyperlink>
    </w:p>
    <w:p>
      <w:pPr>
        <w:pStyle w:val="Übersicht"/>
        <w:ind w:left="680"/>
      </w:pPr>
      <w:hyperlink w:anchor="b171" w:history="1">
        <w:r>
          <w:rPr>
            <w:b/>
            <w:color w:val="0A3A8C"/>
            <w:u w:val="single"/>
          </w:rPr>
          <w:t xml:space="preserve">4. Unterabschnitt Fristen, Termine, Wiedereinsetzung</w:t>
        </w:r>
      </w:hyperlink>
    </w:p>
    <w:p>
      <w:pPr>
        <w:pStyle w:val="Übersicht"/>
        <w:ind w:left="1020"/>
      </w:pPr>
      <w:hyperlink w:anchor="b172" w:history="1">
        <w:r>
          <w:rPr>
            <w:color w:val="0A3A8C"/>
            <w:u w:val="single"/>
          </w:rPr>
          <w:t xml:space="preserve">§ 108 Fristen und Termine</w:t>
        </w:r>
      </w:hyperlink>
    </w:p>
    <w:p>
      <w:pPr>
        <w:pStyle w:val="Übersicht"/>
        <w:ind w:left="1020"/>
      </w:pPr>
      <w:hyperlink w:anchor="b173" w:history="1">
        <w:r>
          <w:rPr>
            <w:color w:val="0A3A8C"/>
            <w:u w:val="single"/>
          </w:rPr>
          <w:t xml:space="preserve">§ 109 Verlängerung von Fristen</w:t>
        </w:r>
      </w:hyperlink>
    </w:p>
    <w:p>
      <w:pPr>
        <w:pStyle w:val="Übersicht"/>
        <w:ind w:left="1020"/>
      </w:pPr>
      <w:hyperlink w:anchor="b174" w:history="1">
        <w:r>
          <w:rPr>
            <w:color w:val="0A3A8C"/>
            <w:u w:val="single"/>
          </w:rPr>
          <w:t xml:space="preserve">§ 110 Wiedereinsetzung in den vorigen Stand</w:t>
        </w:r>
      </w:hyperlink>
    </w:p>
    <w:p>
      <w:pPr>
        <w:pStyle w:val="Übersicht"/>
        <w:ind w:left="680"/>
      </w:pPr>
      <w:hyperlink w:anchor="b175" w:history="1">
        <w:r>
          <w:rPr>
            <w:b/>
            <w:color w:val="0A3A8C"/>
            <w:u w:val="single"/>
          </w:rPr>
          <w:t xml:space="preserve">5. Unterabschnitt Rechts- und Amtshilfe</w:t>
        </w:r>
      </w:hyperlink>
    </w:p>
    <w:p>
      <w:pPr>
        <w:pStyle w:val="Übersicht"/>
        <w:ind w:left="1020"/>
      </w:pPr>
      <w:hyperlink w:anchor="b176" w:history="1">
        <w:r>
          <w:rPr>
            <w:color w:val="0A3A8C"/>
            <w:u w:val="single"/>
          </w:rPr>
          <w:t xml:space="preserve">§ 111 Amtshilfepflicht</w:t>
        </w:r>
      </w:hyperlink>
    </w:p>
    <w:p>
      <w:pPr>
        <w:pStyle w:val="Übersicht"/>
        <w:ind w:left="1020"/>
      </w:pPr>
      <w:hyperlink w:anchor="b177" w:history="1">
        <w:r>
          <w:rPr>
            <w:color w:val="0A3A8C"/>
            <w:u w:val="single"/>
          </w:rPr>
          <w:t xml:space="preserve">§ 112 Voraussetzungen und Grenzen der Amtshilfe</w:t>
        </w:r>
      </w:hyperlink>
    </w:p>
    <w:p>
      <w:pPr>
        <w:pStyle w:val="Übersicht"/>
        <w:ind w:left="1020"/>
      </w:pPr>
      <w:hyperlink w:anchor="b178" w:history="1">
        <w:r>
          <w:rPr>
            <w:color w:val="0A3A8C"/>
            <w:u w:val="single"/>
          </w:rPr>
          <w:t xml:space="preserve">§ 113 Auswahl der Behörde</w:t>
        </w:r>
      </w:hyperlink>
    </w:p>
    <w:p>
      <w:pPr>
        <w:pStyle w:val="Übersicht"/>
        <w:ind w:left="1020"/>
      </w:pPr>
      <w:hyperlink w:anchor="b179" w:history="1">
        <w:r>
          <w:rPr>
            <w:color w:val="0A3A8C"/>
            <w:u w:val="single"/>
          </w:rPr>
          <w:t xml:space="preserve">§ 114 Durchführung der Amtshilfe</w:t>
        </w:r>
      </w:hyperlink>
    </w:p>
    <w:p>
      <w:pPr>
        <w:pStyle w:val="Übersicht"/>
        <w:ind w:left="1020"/>
      </w:pPr>
      <w:hyperlink w:anchor="b180" w:history="1">
        <w:r>
          <w:rPr>
            <w:color w:val="0A3A8C"/>
            <w:u w:val="single"/>
          </w:rPr>
          <w:t xml:space="preserve">§ 115 Kosten der Amtshilfe</w:t>
        </w:r>
      </w:hyperlink>
    </w:p>
    <w:p>
      <w:pPr>
        <w:pStyle w:val="Übersicht"/>
        <w:ind w:left="1020"/>
      </w:pPr>
      <w:hyperlink w:anchor="b181" w:history="1">
        <w:r>
          <w:rPr>
            <w:color w:val="0A3A8C"/>
            <w:u w:val="single"/>
          </w:rPr>
          <w:t xml:space="preserve">§ 116 Anzeige von Steuerstraftaten</w:t>
        </w:r>
      </w:hyperlink>
    </w:p>
    <w:p>
      <w:pPr>
        <w:pStyle w:val="Übersicht"/>
        <w:ind w:left="1020"/>
      </w:pPr>
      <w:hyperlink w:anchor="b182" w:history="1">
        <w:r>
          <w:rPr>
            <w:color w:val="0A3A8C"/>
            <w:u w:val="single"/>
          </w:rPr>
          <w:t xml:space="preserve">§ 117 Zwischenstaatliche Rechts- und Amtshilfe in Steuersachen</w:t>
        </w:r>
      </w:hyperlink>
    </w:p>
    <w:p>
      <w:pPr>
        <w:pStyle w:val="Übersicht"/>
        <w:ind w:left="1020"/>
      </w:pPr>
      <w:hyperlink w:anchor="b183" w:history="1">
        <w:r>
          <w:rPr>
            <w:color w:val="0A3A8C"/>
            <w:u w:val="single"/>
          </w:rPr>
          <w:t xml:space="preserve">§ 117a Umsetzung innerstaatlich anwendbarer völkerrechtlicher Vereinbarungen zur Förderung der Steuerehrlichkeit bei internationalen Sachverhalten; Verordnungsermächtigung</w:t>
        </w:r>
      </w:hyperlink>
    </w:p>
    <w:p>
      <w:pPr>
        <w:pStyle w:val="Übersicht"/>
        <w:ind w:left="1020"/>
      </w:pPr>
      <w:hyperlink w:anchor="b184" w:history="1">
        <w:r>
          <w:rPr>
            <w:color w:val="0A3A8C"/>
            <w:u w:val="single"/>
          </w:rPr>
          <w:t xml:space="preserve">§ 117b Besondere Formen der Amtshilfe mit Drittstaaten</w:t>
        </w:r>
      </w:hyperlink>
    </w:p>
    <w:p>
      <w:pPr>
        <w:pStyle w:val="Übersicht"/>
        <w:ind w:left="1020"/>
      </w:pPr>
      <w:hyperlink w:anchor="b185" w:history="1">
        <w:r>
          <w:rPr>
            <w:color w:val="0A3A8C"/>
            <w:u w:val="single"/>
          </w:rPr>
          <w:t xml:space="preserve">§ 117c Übermittlung von Informationen einschließlich personenbezogener Daten auf Ersuchen an einen anderen Mitgliedstaat der Europäischen Union zur Verhütung von Straftaten</w:t>
        </w:r>
      </w:hyperlink>
    </w:p>
    <w:p>
      <w:pPr>
        <w:pStyle w:val="Übersicht"/>
        <w:ind w:left="1020"/>
      </w:pPr>
      <w:hyperlink w:anchor="b186" w:history="1">
        <w:r>
          <w:rPr>
            <w:color w:val="0A3A8C"/>
            <w:u w:val="single"/>
          </w:rPr>
          <w:t xml:space="preserve">§ 117d Inhalt des Ersuchens</w:t>
        </w:r>
      </w:hyperlink>
    </w:p>
    <w:p>
      <w:pPr>
        <w:pStyle w:val="Übersicht"/>
        <w:ind w:left="1020"/>
      </w:pPr>
      <w:hyperlink w:anchor="b187" w:history="1">
        <w:r>
          <w:rPr>
            <w:color w:val="0A3A8C"/>
            <w:u w:val="single"/>
          </w:rPr>
          <w:t xml:space="preserve">§ 117e Ablehnungsgründe</w:t>
        </w:r>
      </w:hyperlink>
    </w:p>
    <w:p>
      <w:pPr>
        <w:pStyle w:val="Übersicht"/>
        <w:ind w:left="1020"/>
      </w:pPr>
      <w:hyperlink w:anchor="b188" w:history="1">
        <w:r>
          <w:rPr>
            <w:color w:val="0A3A8C"/>
            <w:u w:val="single"/>
          </w:rPr>
          <w:t xml:space="preserve">§ 117f Zusammenarbeit mit zentralen Kontaktstellen</w:t>
        </w:r>
      </w:hyperlink>
    </w:p>
    <w:p>
      <w:pPr>
        <w:pStyle w:val="Übersicht"/>
        <w:ind w:left="1020"/>
      </w:pPr>
      <w:hyperlink w:anchor="b189" w:history="1">
        <w:r>
          <w:rPr>
            <w:color w:val="0A3A8C"/>
            <w:u w:val="single"/>
          </w:rPr>
          <w:t xml:space="preserve">§ 117g Informationsübermittlung ohne Ersuchen</w:t>
        </w:r>
      </w:hyperlink>
    </w:p>
    <w:p>
      <w:pPr>
        <w:pStyle w:val="Übersicht"/>
        <w:ind w:left="1020"/>
      </w:pPr>
      <w:hyperlink w:anchor="b190" w:history="1">
        <w:r>
          <w:rPr>
            <w:color w:val="0A3A8C"/>
            <w:u w:val="single"/>
          </w:rPr>
          <w:t xml:space="preserve">§ 117h Verpflichtung zur Übermittlung von Informationen ohne Ersuchen</w:t>
        </w:r>
      </w:hyperlink>
    </w:p>
    <w:p>
      <w:pPr>
        <w:pStyle w:val="Übersicht"/>
        <w:ind w:left="1020"/>
      </w:pPr>
      <w:hyperlink w:anchor="b191" w:history="1">
        <w:r>
          <w:rPr>
            <w:color w:val="0A3A8C"/>
            <w:u w:val="single"/>
          </w:rPr>
          <w:t xml:space="preserve">§ 117i Informationsübermittlung an Schengen-assoziierte Staaten</w:t>
        </w:r>
      </w:hyperlink>
    </w:p>
    <w:p>
      <w:pPr>
        <w:pStyle w:val="Übersicht"/>
        <w:ind w:left="1020"/>
      </w:pPr>
      <w:hyperlink w:anchor="b192" w:history="1">
        <w:r>
          <w:rPr>
            <w:color w:val="0A3A8C"/>
            <w:u w:val="single"/>
          </w:rPr>
          <w:t xml:space="preserve">§ 117j Ausgehende Ersuchen um Übermittlung von Informationen einschließlich personenbezogener Daten an Strafverfolgungsbehörden eines anderen Mitgliedstaates der Europäischen Union</w:t>
        </w:r>
      </w:hyperlink>
    </w:p>
    <w:p>
      <w:pPr>
        <w:pStyle w:val="Übersicht"/>
        <w:ind w:left="1020"/>
      </w:pPr>
      <w:hyperlink w:anchor="b193" w:history="1">
        <w:r>
          <w:rPr>
            <w:color w:val="0A3A8C"/>
            <w:u w:val="single"/>
          </w:rPr>
          <w:t xml:space="preserve">§ 117k Verwendung von nach der Richtlinie (EU) 2023/977 übermittelten Informationen</w:t>
        </w:r>
      </w:hyperlink>
    </w:p>
    <w:p>
      <w:pPr>
        <w:pStyle w:val="Übersicht"/>
        <w:ind w:left="1020"/>
      </w:pPr>
      <w:hyperlink w:anchor="b194" w:history="1">
        <w:r>
          <w:rPr>
            <w:color w:val="0A3A8C"/>
            <w:u w:val="single"/>
          </w:rPr>
          <w:t xml:space="preserve">§ 117l Statistiken über die zwischenstaatliche Amts- und Rechtshilfe</w:t>
        </w:r>
      </w:hyperlink>
    </w:p>
    <w:p>
      <w:pPr>
        <w:pStyle w:val="Übersicht"/>
        <w:ind w:left="340"/>
      </w:pPr>
      <w:hyperlink w:anchor="b195" w:history="1">
        <w:r>
          <w:rPr>
            <w:b/>
            <w:color w:val="0A3A8C"/>
            <w:u w:val="single"/>
          </w:rPr>
          <w:t xml:space="preserve">Zweiter Abschnitt Verwaltungsakte</w:t>
        </w:r>
      </w:hyperlink>
    </w:p>
    <w:p>
      <w:pPr>
        <w:pStyle w:val="Übersicht"/>
        <w:ind w:left="680"/>
      </w:pPr>
      <w:hyperlink w:anchor="b196" w:history="1">
        <w:r>
          <w:rPr>
            <w:color w:val="0A3A8C"/>
            <w:u w:val="single"/>
          </w:rPr>
          <w:t xml:space="preserve">§ 118 Begriff des Verwaltungsakts</w:t>
        </w:r>
      </w:hyperlink>
    </w:p>
    <w:p>
      <w:pPr>
        <w:pStyle w:val="Übersicht"/>
        <w:ind w:left="680"/>
      </w:pPr>
      <w:hyperlink w:anchor="b197" w:history="1">
        <w:r>
          <w:rPr>
            <w:color w:val="0A3A8C"/>
            <w:u w:val="single"/>
          </w:rPr>
          <w:t xml:space="preserve">§ 119 Bestimmtheit und Form des Verwaltungsakts</w:t>
        </w:r>
      </w:hyperlink>
    </w:p>
    <w:p>
      <w:pPr>
        <w:pStyle w:val="Übersicht"/>
        <w:ind w:left="680"/>
      </w:pPr>
      <w:hyperlink w:anchor="b198" w:history="1">
        <w:r>
          <w:rPr>
            <w:color w:val="0A3A8C"/>
            <w:u w:val="single"/>
          </w:rPr>
          <w:t xml:space="preserve">§ 120 Nebenbestimmungen zum Verwaltungsakt</w:t>
        </w:r>
      </w:hyperlink>
    </w:p>
    <w:p>
      <w:pPr>
        <w:pStyle w:val="Übersicht"/>
        <w:ind w:left="680"/>
      </w:pPr>
      <w:hyperlink w:anchor="b199" w:history="1">
        <w:r>
          <w:rPr>
            <w:color w:val="0A3A8C"/>
            <w:u w:val="single"/>
          </w:rPr>
          <w:t xml:space="preserve">§ 121 Begründung des Verwaltungsakts</w:t>
        </w:r>
      </w:hyperlink>
    </w:p>
    <w:p>
      <w:pPr>
        <w:pStyle w:val="Übersicht"/>
        <w:ind w:left="680"/>
      </w:pPr>
      <w:hyperlink w:anchor="b200" w:history="1">
        <w:r>
          <w:rPr>
            <w:color w:val="0A3A8C"/>
            <w:u w:val="single"/>
          </w:rPr>
          <w:t xml:space="preserve">§ 122 Bekanntgabe des Verwaltungsakts</w:t>
        </w:r>
      </w:hyperlink>
    </w:p>
    <w:p>
      <w:pPr>
        <w:pStyle w:val="Übersicht"/>
        <w:ind w:left="680"/>
      </w:pPr>
      <w:hyperlink w:anchor="b201" w:history="1">
        <w:r>
          <w:rPr>
            <w:color w:val="0A3A8C"/>
            <w:u w:val="single"/>
          </w:rPr>
          <w:t xml:space="preserve">§ 122a Bekanntgabe von Verwaltungsakten durch Bereitstellung zum Datenabruf</w:t>
        </w:r>
      </w:hyperlink>
    </w:p>
    <w:p>
      <w:pPr>
        <w:pStyle w:val="Übersicht"/>
        <w:ind w:left="680"/>
      </w:pPr>
      <w:hyperlink w:anchor="b202" w:history="1">
        <w:r>
          <w:rPr>
            <w:color w:val="0A3A8C"/>
            <w:u w:val="single"/>
          </w:rPr>
          <w:t xml:space="preserve">§ 123 Bestellung eines Empfangsbevollmächtigten</w:t>
        </w:r>
      </w:hyperlink>
    </w:p>
    <w:p>
      <w:pPr>
        <w:pStyle w:val="Übersicht"/>
        <w:ind w:left="680"/>
      </w:pPr>
      <w:hyperlink w:anchor="b203" w:history="1">
        <w:r>
          <w:rPr>
            <w:color w:val="0A3A8C"/>
            <w:u w:val="single"/>
          </w:rPr>
          <w:t xml:space="preserve">§ 124 Wirksamkeit des Verwaltungsakts</w:t>
        </w:r>
      </w:hyperlink>
    </w:p>
    <w:p>
      <w:pPr>
        <w:pStyle w:val="Übersicht"/>
        <w:ind w:left="680"/>
      </w:pPr>
      <w:hyperlink w:anchor="b204" w:history="1">
        <w:r>
          <w:rPr>
            <w:color w:val="0A3A8C"/>
            <w:u w:val="single"/>
          </w:rPr>
          <w:t xml:space="preserve">§ 125 Nichtigkeit des Verwaltungsakts</w:t>
        </w:r>
      </w:hyperlink>
    </w:p>
    <w:p>
      <w:pPr>
        <w:pStyle w:val="Übersicht"/>
        <w:ind w:left="680"/>
      </w:pPr>
      <w:hyperlink w:anchor="b205" w:history="1">
        <w:r>
          <w:rPr>
            <w:color w:val="0A3A8C"/>
            <w:u w:val="single"/>
          </w:rPr>
          <w:t xml:space="preserve">§ 126 Heilung von Verfahrens- und Formfehlern</w:t>
        </w:r>
      </w:hyperlink>
    </w:p>
    <w:p>
      <w:pPr>
        <w:pStyle w:val="Übersicht"/>
        <w:ind w:left="680"/>
      </w:pPr>
      <w:hyperlink w:anchor="b206" w:history="1">
        <w:r>
          <w:rPr>
            <w:color w:val="0A3A8C"/>
            <w:u w:val="single"/>
          </w:rPr>
          <w:t xml:space="preserve">§ 127 Folgen von Verfahrens- und Formfehlern</w:t>
        </w:r>
      </w:hyperlink>
    </w:p>
    <w:p>
      <w:pPr>
        <w:pStyle w:val="Übersicht"/>
        <w:ind w:left="680"/>
      </w:pPr>
      <w:hyperlink w:anchor="b207" w:history="1">
        <w:r>
          <w:rPr>
            <w:color w:val="0A3A8C"/>
            <w:u w:val="single"/>
          </w:rPr>
          <w:t xml:space="preserve">§ 128 Umdeutung eines fehlerhaften Verwaltungsakts</w:t>
        </w:r>
      </w:hyperlink>
    </w:p>
    <w:p>
      <w:pPr>
        <w:pStyle w:val="Übersicht"/>
        <w:ind w:left="680"/>
      </w:pPr>
      <w:hyperlink w:anchor="b208" w:history="1">
        <w:r>
          <w:rPr>
            <w:color w:val="0A3A8C"/>
            <w:u w:val="single"/>
          </w:rPr>
          <w:t xml:space="preserve">§ 129 Offenbare Unrichtigkeiten beim Erlass eines Verwaltungsakts</w:t>
        </w:r>
      </w:hyperlink>
    </w:p>
    <w:p>
      <w:pPr>
        <w:pStyle w:val="Übersicht"/>
        <w:ind w:left="680"/>
      </w:pPr>
      <w:hyperlink w:anchor="b209" w:history="1">
        <w:r>
          <w:rPr>
            <w:color w:val="0A3A8C"/>
            <w:u w:val="single"/>
          </w:rPr>
          <w:t xml:space="preserve">§ 130 Rücknahme eines rechtswidrigen Verwaltungsakts</w:t>
        </w:r>
      </w:hyperlink>
    </w:p>
    <w:p>
      <w:pPr>
        <w:pStyle w:val="Übersicht"/>
        <w:ind w:left="680"/>
      </w:pPr>
      <w:hyperlink w:anchor="b210" w:history="1">
        <w:r>
          <w:rPr>
            <w:color w:val="0A3A8C"/>
            <w:u w:val="single"/>
          </w:rPr>
          <w:t xml:space="preserve">§ 131 Widerruf eines rechtmäßigen Verwaltungsakts</w:t>
        </w:r>
      </w:hyperlink>
    </w:p>
    <w:p>
      <w:pPr>
        <w:pStyle w:val="Übersicht"/>
        <w:ind w:left="680"/>
      </w:pPr>
      <w:hyperlink w:anchor="b211" w:history="1">
        <w:r>
          <w:rPr>
            <w:color w:val="0A3A8C"/>
            <w:u w:val="single"/>
          </w:rPr>
          <w:t xml:space="preserve">§ 132 Rücknahme, Widerruf, Aufhebung und Änderung im Rechtsbehelfsverfahren</w:t>
        </w:r>
      </w:hyperlink>
    </w:p>
    <w:p>
      <w:pPr>
        <w:pStyle w:val="Übersicht"/>
        <w:ind w:left="680"/>
      </w:pPr>
      <w:hyperlink w:anchor="b212" w:history="1">
        <w:r>
          <w:rPr>
            <w:color w:val="0A3A8C"/>
            <w:u w:val="single"/>
          </w:rPr>
          <w:t xml:space="preserve">§ 133 Rückgabe von Urkunden und Sachen</w:t>
        </w:r>
      </w:hyperlink>
    </w:p>
    <w:p>
      <w:pPr>
        <w:pStyle w:val="Übersicht"/>
        <w:ind w:left="0"/>
      </w:pPr>
      <w:hyperlink w:anchor="b213" w:history="1">
        <w:r>
          <w:rPr>
            <w:b/>
            <w:color w:val="0A3A8C"/>
            <w:u w:val="single"/>
          </w:rPr>
          <w:t xml:space="preserve">Vierter Teil Durchführung der Besteuerung</w:t>
        </w:r>
      </w:hyperlink>
    </w:p>
    <w:p>
      <w:pPr>
        <w:pStyle w:val="Übersicht"/>
        <w:ind w:left="340"/>
      </w:pPr>
      <w:hyperlink w:anchor="b214" w:history="1">
        <w:r>
          <w:rPr>
            <w:b/>
            <w:color w:val="0A3A8C"/>
            <w:u w:val="single"/>
          </w:rPr>
          <w:t xml:space="preserve">Erster Abschnitt Erfassung der Steuerpflichtigen</w:t>
        </w:r>
      </w:hyperlink>
    </w:p>
    <w:p>
      <w:pPr>
        <w:pStyle w:val="Übersicht"/>
        <w:ind w:left="680"/>
      </w:pPr>
      <w:hyperlink w:anchor="b215" w:history="1">
        <w:r>
          <w:rPr>
            <w:b/>
            <w:color w:val="0A3A8C"/>
            <w:u w:val="single"/>
          </w:rPr>
          <w:t xml:space="preserve">1. Unterabschnitt Personenstands- und Betriebsaufnahme</w:t>
        </w:r>
      </w:hyperlink>
    </w:p>
    <w:p>
      <w:pPr>
        <w:pStyle w:val="Übersicht"/>
        <w:ind w:left="1020"/>
      </w:pPr>
      <w:hyperlink w:anchor="b216" w:history="1">
        <w:r>
          <w:rPr>
            <w:color w:val="0A3A8C"/>
            <w:u w:val="single"/>
          </w:rPr>
          <w:t xml:space="preserve">§§ 134 bis 136 (weggefallen)</w:t>
        </w:r>
      </w:hyperlink>
    </w:p>
    <w:p>
      <w:pPr>
        <w:pStyle w:val="Übersicht"/>
        <w:ind w:left="680"/>
      </w:pPr>
      <w:hyperlink w:anchor="b217" w:history="1">
        <w:r>
          <w:rPr>
            <w:b/>
            <w:color w:val="0A3A8C"/>
            <w:u w:val="single"/>
          </w:rPr>
          <w:t xml:space="preserve">2. Unterabschnitt Anzeigepflichten</w:t>
        </w:r>
      </w:hyperlink>
    </w:p>
    <w:p>
      <w:pPr>
        <w:pStyle w:val="Übersicht"/>
        <w:ind w:left="1020"/>
      </w:pPr>
      <w:hyperlink w:anchor="b218" w:history="1">
        <w:r>
          <w:rPr>
            <w:color w:val="0A3A8C"/>
            <w:u w:val="single"/>
          </w:rPr>
          <w:t xml:space="preserve">§ 137 Steuerliche Erfassung von Körperschaften, Vereinigungen und Vermögensmassen</w:t>
        </w:r>
      </w:hyperlink>
    </w:p>
    <w:p>
      <w:pPr>
        <w:pStyle w:val="Übersicht"/>
        <w:ind w:left="1020"/>
      </w:pPr>
      <w:hyperlink w:anchor="b219" w:history="1">
        <w:r>
          <w:rPr>
            <w:color w:val="0A3A8C"/>
            <w:u w:val="single"/>
          </w:rPr>
          <w:t xml:space="preserve">§ 138 Anzeigen über die Erwerbstätigkeit</w:t>
        </w:r>
      </w:hyperlink>
    </w:p>
    <w:p>
      <w:pPr>
        <w:pStyle w:val="Übersicht"/>
        <w:ind w:left="1020"/>
      </w:pPr>
      <w:hyperlink w:anchor="b220" w:history="1">
        <w:r>
          <w:rPr>
            <w:color w:val="0A3A8C"/>
            <w:u w:val="single"/>
          </w:rPr>
          <w:t xml:space="preserve">§ 138a Länderbezogener Bericht multinationaler Unternehmensgruppen</w:t>
        </w:r>
      </w:hyperlink>
    </w:p>
    <w:p>
      <w:pPr>
        <w:pStyle w:val="Übersicht"/>
        <w:ind w:left="1020"/>
      </w:pPr>
      <w:hyperlink w:anchor="b221" w:history="1">
        <w:r>
          <w:rPr>
            <w:color w:val="0A3A8C"/>
            <w:u w:val="single"/>
          </w:rPr>
          <w:t xml:space="preserve">§ 138b Mitteilungspflicht Dritter über Beziehungen inländischer Steuerpflichtiger zu Drittstaat-Gesellschaften</w:t>
        </w:r>
      </w:hyperlink>
    </w:p>
    <w:p>
      <w:pPr>
        <w:pStyle w:val="Übersicht"/>
        <w:ind w:left="1020"/>
      </w:pPr>
      <w:hyperlink w:anchor="b222" w:history="1">
        <w:r>
          <w:rPr>
            <w:color w:val="0A3A8C"/>
            <w:u w:val="single"/>
          </w:rPr>
          <w:t xml:space="preserve">§ 138c Verordnungsermächtigung</w:t>
        </w:r>
      </w:hyperlink>
    </w:p>
    <w:p>
      <w:pPr>
        <w:pStyle w:val="Übersicht"/>
        <w:ind w:left="1020"/>
      </w:pPr>
      <w:hyperlink w:anchor="b223" w:history="1">
        <w:r>
          <w:rPr>
            <w:color w:val="0A3A8C"/>
            <w:u w:val="single"/>
          </w:rPr>
          <w:t xml:space="preserve">§ 138d Pflicht zur Mitteilung grenzüberschreitender Steuergestaltungen</w:t>
        </w:r>
      </w:hyperlink>
    </w:p>
    <w:p>
      <w:pPr>
        <w:pStyle w:val="Übersicht"/>
        <w:ind w:left="1020"/>
      </w:pPr>
      <w:hyperlink w:anchor="b224" w:history="1">
        <w:r>
          <w:rPr>
            <w:color w:val="0A3A8C"/>
            <w:u w:val="single"/>
          </w:rPr>
          <w:t xml:space="preserve">§ 138e Kennzeichen grenzüberschreitender Steuergestaltungen</w:t>
        </w:r>
      </w:hyperlink>
    </w:p>
    <w:p>
      <w:pPr>
        <w:pStyle w:val="Übersicht"/>
        <w:ind w:left="1020"/>
      </w:pPr>
      <w:hyperlink w:anchor="b225" w:history="1">
        <w:r>
          <w:rPr>
            <w:color w:val="0A3A8C"/>
            <w:u w:val="single"/>
          </w:rPr>
          <w:t xml:space="preserve">§ 138f Verfahren zur Mitteilung grenzüberschreitender Steuergestaltungen durch Intermediäre</w:t>
        </w:r>
      </w:hyperlink>
    </w:p>
    <w:p>
      <w:pPr>
        <w:pStyle w:val="Übersicht"/>
        <w:ind w:left="1020"/>
      </w:pPr>
      <w:hyperlink w:anchor="b226" w:history="1">
        <w:r>
          <w:rPr>
            <w:color w:val="0A3A8C"/>
            <w:u w:val="single"/>
          </w:rPr>
          <w:t xml:space="preserve">§ 138g Verfahren zur Mitteilung grenzüberschreitender Steuergestaltungen durch Nutzer</w:t>
        </w:r>
      </w:hyperlink>
    </w:p>
    <w:p>
      <w:pPr>
        <w:pStyle w:val="Übersicht"/>
        <w:ind w:left="1020"/>
      </w:pPr>
      <w:hyperlink w:anchor="b227" w:history="1">
        <w:r>
          <w:rPr>
            <w:color w:val="0A3A8C"/>
            <w:u w:val="single"/>
          </w:rPr>
          <w:t xml:space="preserve">§ 138h Mitteilungen bei marktfähigen grenzüberschreitenden Steuergestaltungen</w:t>
        </w:r>
      </w:hyperlink>
    </w:p>
    <w:p>
      <w:pPr>
        <w:pStyle w:val="Übersicht"/>
        <w:ind w:left="1020"/>
      </w:pPr>
      <w:hyperlink w:anchor="b228" w:history="1">
        <w:r>
          <w:rPr>
            <w:color w:val="0A3A8C"/>
            <w:u w:val="single"/>
          </w:rPr>
          <w:t xml:space="preserve">§ 138i Information der Landesfinanzbehörden</w:t>
        </w:r>
      </w:hyperlink>
    </w:p>
    <w:p>
      <w:pPr>
        <w:pStyle w:val="Übersicht"/>
        <w:ind w:left="1020"/>
      </w:pPr>
      <w:hyperlink w:anchor="b229" w:history="1">
        <w:r>
          <w:rPr>
            <w:color w:val="0A3A8C"/>
            <w:u w:val="single"/>
          </w:rPr>
          <w:t xml:space="preserve">§ 138j Auswertung der Mitteilungen grenzüberschreitender Steuergestaltungen</w:t>
        </w:r>
      </w:hyperlink>
    </w:p>
    <w:p>
      <w:pPr>
        <w:pStyle w:val="Übersicht"/>
        <w:ind w:left="1020"/>
      </w:pPr>
      <w:hyperlink w:anchor="b230" w:history="1">
        <w:r>
          <w:rPr>
            <w:color w:val="0A3A8C"/>
            <w:u w:val="single"/>
          </w:rPr>
          <w:t xml:space="preserve">§ 138k Angabe der grenzüberschreitenden Steuergestaltung in der Steuererklärung</w:t>
        </w:r>
      </w:hyperlink>
    </w:p>
    <w:p>
      <w:pPr>
        <w:pStyle w:val="Übersicht"/>
        <w:ind w:left="1020"/>
      </w:pPr>
      <w:hyperlink w:anchor="b231" w:history="1">
        <w:r>
          <w:rPr>
            <w:color w:val="0A3A8C"/>
            <w:u w:val="single"/>
          </w:rPr>
          <w:t xml:space="preserve">§ 139 Anmeldung von Betrieben in besonderen Fällen</w:t>
        </w:r>
      </w:hyperlink>
    </w:p>
    <w:p>
      <w:pPr>
        <w:pStyle w:val="Übersicht"/>
        <w:ind w:left="680"/>
      </w:pPr>
      <w:hyperlink w:anchor="b232" w:history="1">
        <w:r>
          <w:rPr>
            <w:b/>
            <w:color w:val="0A3A8C"/>
            <w:u w:val="single"/>
          </w:rPr>
          <w:t xml:space="preserve">3. Unterabschnitt Identifikationsmerkmal</w:t>
        </w:r>
      </w:hyperlink>
    </w:p>
    <w:p>
      <w:pPr>
        <w:pStyle w:val="Übersicht"/>
        <w:ind w:left="1020"/>
      </w:pPr>
      <w:hyperlink w:anchor="b233" w:history="1">
        <w:r>
          <w:rPr>
            <w:color w:val="0A3A8C"/>
            <w:u w:val="single"/>
          </w:rPr>
          <w:t xml:space="preserve">§ 139a Identifikationsmerkmal</w:t>
        </w:r>
      </w:hyperlink>
    </w:p>
    <w:p>
      <w:pPr>
        <w:pStyle w:val="Übersicht"/>
        <w:ind w:left="1020"/>
      </w:pPr>
      <w:hyperlink w:anchor="b234" w:history="1">
        <w:r>
          <w:rPr>
            <w:color w:val="0A3A8C"/>
            <w:u w:val="single"/>
          </w:rPr>
          <w:t xml:space="preserve">§ 139b Identifikationsnummer</w:t>
        </w:r>
      </w:hyperlink>
    </w:p>
    <w:p>
      <w:pPr>
        <w:pStyle w:val="Übersicht"/>
        <w:ind w:left="1020"/>
      </w:pPr>
      <w:hyperlink w:anchor="b235" w:history="1">
        <w:r>
          <w:rPr>
            <w:color w:val="0A3A8C"/>
            <w:u w:val="single"/>
          </w:rPr>
          <w:t xml:space="preserve">§ 139c Wirtschafts-Identifikationsnummer</w:t>
        </w:r>
      </w:hyperlink>
    </w:p>
    <w:p>
      <w:pPr>
        <w:pStyle w:val="Übersicht"/>
        <w:ind w:left="1020"/>
      </w:pPr>
      <w:hyperlink w:anchor="b236" w:history="1">
        <w:r>
          <w:rPr>
            <w:color w:val="0A3A8C"/>
            <w:u w:val="single"/>
          </w:rPr>
          <w:t xml:space="preserve">§ 139d Verordnungsermächtigung</w:t>
        </w:r>
      </w:hyperlink>
    </w:p>
    <w:p>
      <w:pPr>
        <w:pStyle w:val="Übersicht"/>
        <w:ind w:left="1020"/>
      </w:pPr>
      <w:hyperlink w:anchor="b237" w:history="1">
        <w:r>
          <w:rPr>
            <w:color w:val="0A3A8C"/>
            <w:u w:val="single"/>
          </w:rPr>
          <w:t xml:space="preserve">§ 139e Direktauszahlungsmechanismus</w:t>
        </w:r>
      </w:hyperlink>
    </w:p>
    <w:p>
      <w:pPr>
        <w:pStyle w:val="Übersicht"/>
        <w:ind w:left="340"/>
      </w:pPr>
      <w:hyperlink w:anchor="b238" w:history="1">
        <w:r>
          <w:rPr>
            <w:b/>
            <w:color w:val="0A3A8C"/>
            <w:u w:val="single"/>
          </w:rPr>
          <w:t xml:space="preserve">Zweiter Abschnitt Mitwirkungspflichten</w:t>
        </w:r>
      </w:hyperlink>
    </w:p>
    <w:p>
      <w:pPr>
        <w:pStyle w:val="Übersicht"/>
        <w:ind w:left="680"/>
      </w:pPr>
      <w:hyperlink w:anchor="b239" w:history="1">
        <w:r>
          <w:rPr>
            <w:b/>
            <w:color w:val="0A3A8C"/>
            <w:u w:val="single"/>
          </w:rPr>
          <w:t xml:space="preserve">1. Unterabschnitt Führung von Büchern und Aufzeichnungen</w:t>
        </w:r>
      </w:hyperlink>
    </w:p>
    <w:p>
      <w:pPr>
        <w:pStyle w:val="Übersicht"/>
        <w:ind w:left="1020"/>
      </w:pPr>
      <w:hyperlink w:anchor="b240" w:history="1">
        <w:r>
          <w:rPr>
            <w:color w:val="0A3A8C"/>
            <w:u w:val="single"/>
          </w:rPr>
          <w:t xml:space="preserve">§ 140 Buchführungs- und Aufzeichnungspflichten nach anderen Gesetzen</w:t>
        </w:r>
      </w:hyperlink>
    </w:p>
    <w:p>
      <w:pPr>
        <w:pStyle w:val="Übersicht"/>
        <w:ind w:left="1020"/>
      </w:pPr>
      <w:hyperlink w:anchor="b241" w:history="1">
        <w:r>
          <w:rPr>
            <w:color w:val="0A3A8C"/>
            <w:u w:val="single"/>
          </w:rPr>
          <w:t xml:space="preserve">§ 141 Buchführungspflicht bestimmter Steuerpflichtiger</w:t>
        </w:r>
      </w:hyperlink>
    </w:p>
    <w:p>
      <w:pPr>
        <w:pStyle w:val="Übersicht"/>
        <w:ind w:left="1020"/>
      </w:pPr>
      <w:hyperlink w:anchor="b242" w:history="1">
        <w:r>
          <w:rPr>
            <w:color w:val="0A3A8C"/>
            <w:u w:val="single"/>
          </w:rPr>
          <w:t xml:space="preserve">§ 142 Ergänzende Vorschriften für Land- und Forstwirte</w:t>
        </w:r>
      </w:hyperlink>
    </w:p>
    <w:p>
      <w:pPr>
        <w:pStyle w:val="Übersicht"/>
        <w:ind w:left="1020"/>
      </w:pPr>
      <w:hyperlink w:anchor="b243" w:history="1">
        <w:r>
          <w:rPr>
            <w:color w:val="0A3A8C"/>
            <w:u w:val="single"/>
          </w:rPr>
          <w:t xml:space="preserve">§ 143 Aufzeichnung des Wareneingangs</w:t>
        </w:r>
      </w:hyperlink>
    </w:p>
    <w:p>
      <w:pPr>
        <w:pStyle w:val="Übersicht"/>
        <w:ind w:left="1020"/>
      </w:pPr>
      <w:hyperlink w:anchor="b244" w:history="1">
        <w:r>
          <w:rPr>
            <w:color w:val="0A3A8C"/>
            <w:u w:val="single"/>
          </w:rPr>
          <w:t xml:space="preserve">§ 144 Aufzeichnung des Warenausgangs</w:t>
        </w:r>
      </w:hyperlink>
    </w:p>
    <w:p>
      <w:pPr>
        <w:pStyle w:val="Übersicht"/>
        <w:ind w:left="1020"/>
      </w:pPr>
      <w:hyperlink w:anchor="b245" w:history="1">
        <w:r>
          <w:rPr>
            <w:color w:val="0A3A8C"/>
            <w:u w:val="single"/>
          </w:rPr>
          <w:t xml:space="preserve">§ 145 Allgemeine Anforderungen an die Buchführung und Aufzeichnungen</w:t>
        </w:r>
      </w:hyperlink>
    </w:p>
    <w:p>
      <w:pPr>
        <w:pStyle w:val="Übersicht"/>
        <w:ind w:left="1020"/>
      </w:pPr>
      <w:hyperlink w:anchor="b246" w:history="1">
        <w:r>
          <w:rPr>
            <w:color w:val="0A3A8C"/>
            <w:u w:val="single"/>
          </w:rPr>
          <w:t xml:space="preserve">§ 146 Ordnungsvorschriften für die Buchführung und für Aufzeichnungen</w:t>
        </w:r>
      </w:hyperlink>
    </w:p>
    <w:p>
      <w:pPr>
        <w:pStyle w:val="Übersicht"/>
        <w:ind w:left="1020"/>
      </w:pPr>
      <w:hyperlink w:anchor="b247" w:history="1">
        <w:r>
          <w:rPr>
            <w:color w:val="0A3A8C"/>
            <w:u w:val="single"/>
          </w:rPr>
          <w:t xml:space="preserve">§ 146a Ordnungsvorschrift für die Buchführung und für Aufzeichnungen mittels elektronischer Aufzeichnungssysteme; Verordnungsermächtigung</w:t>
        </w:r>
      </w:hyperlink>
    </w:p>
    <w:p>
      <w:pPr>
        <w:pStyle w:val="Übersicht"/>
        <w:ind w:left="1020"/>
      </w:pPr>
      <w:hyperlink w:anchor="b248" w:history="1">
        <w:r>
          <w:rPr>
            <w:color w:val="0A3A8C"/>
            <w:u w:val="single"/>
          </w:rPr>
          <w:t xml:space="preserve">§ 146b Kassen-Nachschau</w:t>
        </w:r>
      </w:hyperlink>
    </w:p>
    <w:p>
      <w:pPr>
        <w:pStyle w:val="Übersicht"/>
        <w:ind w:left="1020"/>
      </w:pPr>
      <w:hyperlink w:anchor="b249" w:history="1">
        <w:r>
          <w:rPr>
            <w:color w:val="0A3A8C"/>
            <w:u w:val="single"/>
          </w:rPr>
          <w:t xml:space="preserve">§ 147 Ordnungsvorschriften für die Aufbewahrung von Unterlagen</w:t>
        </w:r>
      </w:hyperlink>
    </w:p>
    <w:p>
      <w:pPr>
        <w:pStyle w:val="Übersicht"/>
        <w:ind w:left="1020"/>
      </w:pPr>
      <w:hyperlink w:anchor="b250" w:history="1">
        <w:r>
          <w:rPr>
            <w:color w:val="0A3A8C"/>
            <w:u w:val="single"/>
          </w:rPr>
          <w:t xml:space="preserve">§ 147a Vorschriften für die Aufbewahrung von Aufzeichnungen und Unterlagen bestimmter Steuerpflichtiger</w:t>
        </w:r>
      </w:hyperlink>
    </w:p>
    <w:p>
      <w:pPr>
        <w:pStyle w:val="Übersicht"/>
        <w:ind w:left="1020"/>
      </w:pPr>
      <w:hyperlink w:anchor="b251" w:history="1">
        <w:r>
          <w:rPr>
            <w:color w:val="0A3A8C"/>
            <w:u w:val="single"/>
          </w:rPr>
          <w:t xml:space="preserve">§ 147b Verordnungsermächtigung zur Vereinheitlichung von digitalen Schnittstellen</w:t>
        </w:r>
      </w:hyperlink>
    </w:p>
    <w:p>
      <w:pPr>
        <w:pStyle w:val="Übersicht"/>
        <w:ind w:left="1020"/>
      </w:pPr>
      <w:hyperlink w:anchor="b252" w:history="1">
        <w:r>
          <w:rPr>
            <w:color w:val="0A3A8C"/>
            <w:u w:val="single"/>
          </w:rPr>
          <w:t xml:space="preserve">§ 148 Bewilligung von Erleichterungen</w:t>
        </w:r>
      </w:hyperlink>
    </w:p>
    <w:p>
      <w:pPr>
        <w:pStyle w:val="Übersicht"/>
        <w:ind w:left="680"/>
      </w:pPr>
      <w:hyperlink w:anchor="b253" w:history="1">
        <w:r>
          <w:rPr>
            <w:b/>
            <w:color w:val="0A3A8C"/>
            <w:u w:val="single"/>
          </w:rPr>
          <w:t xml:space="preserve">2. Unterabschnitt Steuererklärungen</w:t>
        </w:r>
      </w:hyperlink>
    </w:p>
    <w:p>
      <w:pPr>
        <w:pStyle w:val="Übersicht"/>
        <w:ind w:left="1020"/>
      </w:pPr>
      <w:hyperlink w:anchor="b254" w:history="1">
        <w:r>
          <w:rPr>
            <w:color w:val="0A3A8C"/>
            <w:u w:val="single"/>
          </w:rPr>
          <w:t xml:space="preserve">§ 149 Abgabe der Steuererklärungen</w:t>
        </w:r>
      </w:hyperlink>
    </w:p>
    <w:p>
      <w:pPr>
        <w:pStyle w:val="Übersicht"/>
        <w:ind w:left="1020"/>
      </w:pPr>
      <w:hyperlink w:anchor="b255" w:history="1">
        <w:r>
          <w:rPr>
            <w:color w:val="0A3A8C"/>
            <w:u w:val="single"/>
          </w:rPr>
          <w:t xml:space="preserve">§ 150 Form und Inhalt der Steuererklärungen</w:t>
        </w:r>
      </w:hyperlink>
    </w:p>
    <w:p>
      <w:pPr>
        <w:pStyle w:val="Übersicht"/>
        <w:ind w:left="1020"/>
      </w:pPr>
      <w:hyperlink w:anchor="b256" w:history="1">
        <w:r>
          <w:rPr>
            <w:color w:val="0A3A8C"/>
            <w:u w:val="single"/>
          </w:rPr>
          <w:t xml:space="preserve">§ 151 Aufnahme der Steuererklärung an Amtsstelle</w:t>
        </w:r>
      </w:hyperlink>
    </w:p>
    <w:p>
      <w:pPr>
        <w:pStyle w:val="Übersicht"/>
        <w:ind w:left="1020"/>
      </w:pPr>
      <w:hyperlink w:anchor="b257" w:history="1">
        <w:r>
          <w:rPr>
            <w:color w:val="0A3A8C"/>
            <w:u w:val="single"/>
          </w:rPr>
          <w:t xml:space="preserve">§ 152 Verspätungszuschlag</w:t>
        </w:r>
      </w:hyperlink>
    </w:p>
    <w:p>
      <w:pPr>
        <w:pStyle w:val="Übersicht"/>
        <w:ind w:left="1020"/>
      </w:pPr>
      <w:hyperlink w:anchor="b258" w:history="1">
        <w:r>
          <w:rPr>
            <w:color w:val="0A3A8C"/>
            <w:u w:val="single"/>
          </w:rPr>
          <w:t xml:space="preserve">§ 153 Berichtigung von Erklärungen</w:t>
        </w:r>
      </w:hyperlink>
    </w:p>
    <w:p>
      <w:pPr>
        <w:pStyle w:val="Übersicht"/>
        <w:ind w:left="680"/>
      </w:pPr>
      <w:hyperlink w:anchor="b259" w:history="1">
        <w:r>
          <w:rPr>
            <w:b/>
            <w:color w:val="0A3A8C"/>
            <w:u w:val="single"/>
          </w:rPr>
          <w:t xml:space="preserve">3. Unterabschnitt Kontenwahrheit</w:t>
        </w:r>
      </w:hyperlink>
    </w:p>
    <w:p>
      <w:pPr>
        <w:pStyle w:val="Übersicht"/>
        <w:ind w:left="1020"/>
      </w:pPr>
      <w:hyperlink w:anchor="b260" w:history="1">
        <w:r>
          <w:rPr>
            <w:color w:val="0A3A8C"/>
            <w:u w:val="single"/>
          </w:rPr>
          <w:t xml:space="preserve">§ 154 Kontenwahrheit</w:t>
        </w:r>
      </w:hyperlink>
    </w:p>
    <w:p>
      <w:pPr>
        <w:pStyle w:val="Übersicht"/>
        <w:ind w:left="340"/>
      </w:pPr>
      <w:hyperlink w:anchor="b261" w:history="1">
        <w:r>
          <w:rPr>
            <w:b/>
            <w:color w:val="0A3A8C"/>
            <w:u w:val="single"/>
          </w:rPr>
          <w:t xml:space="preserve">Dritter Abschnitt Festsetzungs- und Feststellungsverfahren</w:t>
        </w:r>
      </w:hyperlink>
    </w:p>
    <w:p>
      <w:pPr>
        <w:pStyle w:val="Übersicht"/>
        <w:ind w:left="680"/>
      </w:pPr>
      <w:hyperlink w:anchor="b262" w:history="1">
        <w:r>
          <w:rPr>
            <w:b/>
            <w:color w:val="0A3A8C"/>
            <w:u w:val="single"/>
          </w:rPr>
          <w:t xml:space="preserve">1. Unterabschnitt Steuerfestsetzung</w:t>
        </w:r>
      </w:hyperlink>
    </w:p>
    <w:p>
      <w:pPr>
        <w:pStyle w:val="Übersicht"/>
        <w:ind w:left="1020"/>
      </w:pPr>
      <w:hyperlink w:anchor="b263" w:history="1">
        <w:r>
          <w:rPr>
            <w:b/>
            <w:color w:val="0A3A8C"/>
            <w:u w:val="single"/>
          </w:rPr>
          <w:t xml:space="preserve">I. Allgemeine Vorschriften</w:t>
        </w:r>
      </w:hyperlink>
    </w:p>
    <w:p>
      <w:pPr>
        <w:pStyle w:val="Übersicht"/>
        <w:ind w:left="1361"/>
      </w:pPr>
      <w:hyperlink w:anchor="b264" w:history="1">
        <w:r>
          <w:rPr>
            <w:color w:val="0A3A8C"/>
            <w:u w:val="single"/>
          </w:rPr>
          <w:t xml:space="preserve">§ 155 Steuerfestsetzung</w:t>
        </w:r>
      </w:hyperlink>
    </w:p>
    <w:p>
      <w:pPr>
        <w:pStyle w:val="Übersicht"/>
        <w:ind w:left="1361"/>
      </w:pPr>
      <w:hyperlink w:anchor="b265" w:history="1">
        <w:r>
          <w:rPr>
            <w:color w:val="0A3A8C"/>
            <w:u w:val="single"/>
          </w:rPr>
          <w:t xml:space="preserve">§ 156 Absehen von der Steuerfestsetzung</w:t>
        </w:r>
      </w:hyperlink>
    </w:p>
    <w:p>
      <w:pPr>
        <w:pStyle w:val="Übersicht"/>
        <w:ind w:left="1361"/>
      </w:pPr>
      <w:hyperlink w:anchor="b266" w:history="1">
        <w:r>
          <w:rPr>
            <w:color w:val="0A3A8C"/>
            <w:u w:val="single"/>
          </w:rPr>
          <w:t xml:space="preserve">§ 157 Form und Inhalt der Steuerbescheide</w:t>
        </w:r>
      </w:hyperlink>
    </w:p>
    <w:p>
      <w:pPr>
        <w:pStyle w:val="Übersicht"/>
        <w:ind w:left="1361"/>
      </w:pPr>
      <w:hyperlink w:anchor="b267" w:history="1">
        <w:r>
          <w:rPr>
            <w:color w:val="0A3A8C"/>
            <w:u w:val="single"/>
          </w:rPr>
          <w:t xml:space="preserve">§ 158 Beweiskraft der Buchführung</w:t>
        </w:r>
      </w:hyperlink>
    </w:p>
    <w:p>
      <w:pPr>
        <w:pStyle w:val="Übersicht"/>
        <w:ind w:left="1361"/>
      </w:pPr>
      <w:hyperlink w:anchor="b268" w:history="1">
        <w:r>
          <w:rPr>
            <w:color w:val="0A3A8C"/>
            <w:u w:val="single"/>
          </w:rPr>
          <w:t xml:space="preserve">§ 159 Nachweis der Treuhänderschaft</w:t>
        </w:r>
      </w:hyperlink>
    </w:p>
    <w:p>
      <w:pPr>
        <w:pStyle w:val="Übersicht"/>
        <w:ind w:left="1361"/>
      </w:pPr>
      <w:hyperlink w:anchor="b269" w:history="1">
        <w:r>
          <w:rPr>
            <w:color w:val="0A3A8C"/>
            <w:u w:val="single"/>
          </w:rPr>
          <w:t xml:space="preserve">§ 160 Benennung von Gläubigern und Zahlungsempfängern</w:t>
        </w:r>
      </w:hyperlink>
    </w:p>
    <w:p>
      <w:pPr>
        <w:pStyle w:val="Übersicht"/>
        <w:ind w:left="1361"/>
      </w:pPr>
      <w:hyperlink w:anchor="b270" w:history="1">
        <w:r>
          <w:rPr>
            <w:color w:val="0A3A8C"/>
            <w:u w:val="single"/>
          </w:rPr>
          <w:t xml:space="preserve">§ 161 Fehlmengen bei Bestandsaufnahmen</w:t>
        </w:r>
      </w:hyperlink>
    </w:p>
    <w:p>
      <w:pPr>
        <w:pStyle w:val="Übersicht"/>
        <w:ind w:left="1361"/>
      </w:pPr>
      <w:hyperlink w:anchor="b271" w:history="1">
        <w:r>
          <w:rPr>
            <w:color w:val="0A3A8C"/>
            <w:u w:val="single"/>
          </w:rPr>
          <w:t xml:space="preserve">§ 162 Schätzung von Besteuerungsgrundlagen</w:t>
        </w:r>
      </w:hyperlink>
    </w:p>
    <w:p>
      <w:pPr>
        <w:pStyle w:val="Übersicht"/>
        <w:ind w:left="1361"/>
      </w:pPr>
      <w:hyperlink w:anchor="b272" w:history="1">
        <w:r>
          <w:rPr>
            <w:color w:val="0A3A8C"/>
            <w:u w:val="single"/>
          </w:rPr>
          <w:t xml:space="preserve">§ 163 Abweichende Festsetzung von Steuern aus Billigkeitsgründen</w:t>
        </w:r>
      </w:hyperlink>
    </w:p>
    <w:p>
      <w:pPr>
        <w:pStyle w:val="Übersicht"/>
        <w:ind w:left="1361"/>
      </w:pPr>
      <w:hyperlink w:anchor="b273" w:history="1">
        <w:r>
          <w:rPr>
            <w:color w:val="0A3A8C"/>
            <w:u w:val="single"/>
          </w:rPr>
          <w:t xml:space="preserve">§ 164 Steuerfestsetzung unter Vorbehalt der Nachprüfung</w:t>
        </w:r>
      </w:hyperlink>
    </w:p>
    <w:p>
      <w:pPr>
        <w:pStyle w:val="Übersicht"/>
        <w:ind w:left="1361"/>
      </w:pPr>
      <w:hyperlink w:anchor="b274" w:history="1">
        <w:r>
          <w:rPr>
            <w:color w:val="0A3A8C"/>
            <w:u w:val="single"/>
          </w:rPr>
          <w:t xml:space="preserve">§ 165 Vorläufige Steuerfestsetzung, Aussetzung der Steuerfestsetzung</w:t>
        </w:r>
      </w:hyperlink>
    </w:p>
    <w:p>
      <w:pPr>
        <w:pStyle w:val="Übersicht"/>
        <w:ind w:left="1361"/>
      </w:pPr>
      <w:hyperlink w:anchor="b275" w:history="1">
        <w:r>
          <w:rPr>
            <w:color w:val="0A3A8C"/>
            <w:u w:val="single"/>
          </w:rPr>
          <w:t xml:space="preserve">§ 166 Drittwirkung der Steuerfestsetzung</w:t>
        </w:r>
      </w:hyperlink>
    </w:p>
    <w:p>
      <w:pPr>
        <w:pStyle w:val="Übersicht"/>
        <w:ind w:left="1361"/>
      </w:pPr>
      <w:hyperlink w:anchor="b276" w:history="1">
        <w:r>
          <w:rPr>
            <w:color w:val="0A3A8C"/>
            <w:u w:val="single"/>
          </w:rPr>
          <w:t xml:space="preserve">§ 167 Steueranmeldung, Verwendung von Steuerzeichen oder Steuerstemplern</w:t>
        </w:r>
      </w:hyperlink>
    </w:p>
    <w:p>
      <w:pPr>
        <w:pStyle w:val="Übersicht"/>
        <w:ind w:left="1361"/>
      </w:pPr>
      <w:hyperlink w:anchor="b277" w:history="1">
        <w:r>
          <w:rPr>
            <w:color w:val="0A3A8C"/>
            <w:u w:val="single"/>
          </w:rPr>
          <w:t xml:space="preserve">§ 168 Wirkung einer Steueranmeldung</w:t>
        </w:r>
      </w:hyperlink>
    </w:p>
    <w:p>
      <w:pPr>
        <w:pStyle w:val="Übersicht"/>
        <w:ind w:left="1020"/>
      </w:pPr>
      <w:hyperlink w:anchor="b278" w:history="1">
        <w:r>
          <w:rPr>
            <w:b/>
            <w:color w:val="0A3A8C"/>
            <w:u w:val="single"/>
          </w:rPr>
          <w:t xml:space="preserve">II. Festsetzungsverjährung</w:t>
        </w:r>
      </w:hyperlink>
    </w:p>
    <w:p>
      <w:pPr>
        <w:pStyle w:val="Übersicht"/>
        <w:ind w:left="1361"/>
      </w:pPr>
      <w:hyperlink w:anchor="b279" w:history="1">
        <w:r>
          <w:rPr>
            <w:color w:val="0A3A8C"/>
            <w:u w:val="single"/>
          </w:rPr>
          <w:t xml:space="preserve">§ 169 Festsetzungsfrist</w:t>
        </w:r>
      </w:hyperlink>
    </w:p>
    <w:p>
      <w:pPr>
        <w:pStyle w:val="Übersicht"/>
        <w:ind w:left="1361"/>
      </w:pPr>
      <w:hyperlink w:anchor="b280" w:history="1">
        <w:r>
          <w:rPr>
            <w:color w:val="0A3A8C"/>
            <w:u w:val="single"/>
          </w:rPr>
          <w:t xml:space="preserve">§ 170 Beginn der Festsetzungsfrist</w:t>
        </w:r>
      </w:hyperlink>
    </w:p>
    <w:p>
      <w:pPr>
        <w:pStyle w:val="Übersicht"/>
        <w:ind w:left="1361"/>
      </w:pPr>
      <w:hyperlink w:anchor="b281" w:history="1">
        <w:r>
          <w:rPr>
            <w:color w:val="0A3A8C"/>
            <w:u w:val="single"/>
          </w:rPr>
          <w:t xml:space="preserve">§ 171 Ablaufhemmung</w:t>
        </w:r>
      </w:hyperlink>
    </w:p>
    <w:p>
      <w:pPr>
        <w:pStyle w:val="Übersicht"/>
        <w:ind w:left="1020"/>
      </w:pPr>
      <w:hyperlink w:anchor="b282" w:history="1">
        <w:r>
          <w:rPr>
            <w:b/>
            <w:color w:val="0A3A8C"/>
            <w:u w:val="single"/>
          </w:rPr>
          <w:t xml:space="preserve">III. Bestandskraft</w:t>
        </w:r>
      </w:hyperlink>
    </w:p>
    <w:p>
      <w:pPr>
        <w:pStyle w:val="Übersicht"/>
        <w:ind w:left="1361"/>
      </w:pPr>
      <w:hyperlink w:anchor="b283" w:history="1">
        <w:r>
          <w:rPr>
            <w:color w:val="0A3A8C"/>
            <w:u w:val="single"/>
          </w:rPr>
          <w:t xml:space="preserve">§ 172 Aufhebung und Änderung von Steuerbescheiden</w:t>
        </w:r>
      </w:hyperlink>
    </w:p>
    <w:p>
      <w:pPr>
        <w:pStyle w:val="Übersicht"/>
        <w:ind w:left="1361"/>
      </w:pPr>
      <w:hyperlink w:anchor="b284" w:history="1">
        <w:r>
          <w:rPr>
            <w:color w:val="0A3A8C"/>
            <w:u w:val="single"/>
          </w:rPr>
          <w:t xml:space="preserve">§ 173 Aufhebung oder Änderung von Steuerbescheiden wegen neuer Tatsachen oder Beweismittel</w:t>
        </w:r>
      </w:hyperlink>
    </w:p>
    <w:p>
      <w:pPr>
        <w:pStyle w:val="Übersicht"/>
        <w:ind w:left="1361"/>
      </w:pPr>
      <w:hyperlink w:anchor="b285" w:history="1">
        <w:r>
          <w:rPr>
            <w:color w:val="0A3A8C"/>
            <w:u w:val="single"/>
          </w:rPr>
          <w:t xml:space="preserve">§ 173a Schreib- oder Rechenfehler bei Erstellung einer Steuererklärung</w:t>
        </w:r>
      </w:hyperlink>
    </w:p>
    <w:p>
      <w:pPr>
        <w:pStyle w:val="Übersicht"/>
        <w:ind w:left="1361"/>
      </w:pPr>
      <w:hyperlink w:anchor="b286" w:history="1">
        <w:r>
          <w:rPr>
            <w:color w:val="0A3A8C"/>
            <w:u w:val="single"/>
          </w:rPr>
          <w:t xml:space="preserve">§ 174 Widerstreitende Steuerfestsetzungen</w:t>
        </w:r>
      </w:hyperlink>
    </w:p>
    <w:p>
      <w:pPr>
        <w:pStyle w:val="Übersicht"/>
        <w:ind w:left="1361"/>
      </w:pPr>
      <w:hyperlink w:anchor="b287" w:history="1">
        <w:r>
          <w:rPr>
            <w:color w:val="0A3A8C"/>
            <w:u w:val="single"/>
          </w:rPr>
          <w:t xml:space="preserve">§ 175 Änderung von Steuerbescheiden auf Grund von Grundlagenbescheiden und bei rückwirkenden Ereignissen</w:t>
        </w:r>
      </w:hyperlink>
    </w:p>
    <w:p>
      <w:pPr>
        <w:pStyle w:val="Übersicht"/>
        <w:ind w:left="1361"/>
      </w:pPr>
      <w:hyperlink w:anchor="b288" w:history="1">
        <w:r>
          <w:rPr>
            <w:color w:val="0A3A8C"/>
            <w:u w:val="single"/>
          </w:rPr>
          <w:t xml:space="preserve">§ 175a Umsetzung von Verständigungsvereinbarungen</w:t>
        </w:r>
      </w:hyperlink>
    </w:p>
    <w:p>
      <w:pPr>
        <w:pStyle w:val="Übersicht"/>
        <w:ind w:left="1361"/>
      </w:pPr>
      <w:hyperlink w:anchor="b289" w:history="1">
        <w:r>
          <w:rPr>
            <w:color w:val="0A3A8C"/>
            <w:u w:val="single"/>
          </w:rPr>
          <w:t xml:space="preserve">§ 175b Änderung von Steuerbescheiden bei Datenübermittlung durch Dritte</w:t>
        </w:r>
      </w:hyperlink>
    </w:p>
    <w:p>
      <w:pPr>
        <w:pStyle w:val="Übersicht"/>
        <w:ind w:left="1361"/>
      </w:pPr>
      <w:hyperlink w:anchor="b290" w:history="1">
        <w:r>
          <w:rPr>
            <w:color w:val="0A3A8C"/>
            <w:u w:val="single"/>
          </w:rPr>
          <w:t xml:space="preserve">§ 176 Vertrauensschutz bei der Aufhebung und Änderung von Steuerbescheiden</w:t>
        </w:r>
      </w:hyperlink>
    </w:p>
    <w:p>
      <w:pPr>
        <w:pStyle w:val="Übersicht"/>
        <w:ind w:left="1361"/>
      </w:pPr>
      <w:hyperlink w:anchor="b291" w:history="1">
        <w:r>
          <w:rPr>
            <w:color w:val="0A3A8C"/>
            <w:u w:val="single"/>
          </w:rPr>
          <w:t xml:space="preserve">§ 177 Berichtigung von materiellen Fehlern</w:t>
        </w:r>
      </w:hyperlink>
    </w:p>
    <w:p>
      <w:pPr>
        <w:pStyle w:val="Übersicht"/>
        <w:ind w:left="1020"/>
      </w:pPr>
      <w:hyperlink w:anchor="b292" w:history="1">
        <w:r>
          <w:rPr>
            <w:b/>
            <w:color w:val="0A3A8C"/>
            <w:u w:val="single"/>
          </w:rPr>
          <w:t xml:space="preserve">IV. Kosten</w:t>
        </w:r>
      </w:hyperlink>
    </w:p>
    <w:p>
      <w:pPr>
        <w:pStyle w:val="Übersicht"/>
        <w:ind w:left="1361"/>
      </w:pPr>
      <w:hyperlink w:anchor="b293" w:history="1">
        <w:r>
          <w:rPr>
            <w:color w:val="0A3A8C"/>
            <w:u w:val="single"/>
          </w:rPr>
          <w:t xml:space="preserve">§ 178 Kosten bei besonderer Inanspruchnahme der Zollbehörden</w:t>
        </w:r>
      </w:hyperlink>
    </w:p>
    <w:p>
      <w:pPr>
        <w:pStyle w:val="Übersicht"/>
        <w:ind w:left="680"/>
      </w:pPr>
      <w:hyperlink w:anchor="b294" w:history="1">
        <w:r>
          <w:rPr>
            <w:b/>
            <w:color w:val="0A3A8C"/>
            <w:u w:val="single"/>
          </w:rPr>
          <w:t xml:space="preserve">2. Unterabschnitt Gesonderte Feststellung von Besteuerungsgrundlagen, Festsetzung von Steuermessbeträgen</w:t>
        </w:r>
      </w:hyperlink>
    </w:p>
    <w:p>
      <w:pPr>
        <w:pStyle w:val="Übersicht"/>
        <w:ind w:left="1020"/>
      </w:pPr>
      <w:hyperlink w:anchor="b295" w:history="1">
        <w:r>
          <w:rPr>
            <w:b/>
            <w:color w:val="0A3A8C"/>
            <w:u w:val="single"/>
          </w:rPr>
          <w:t xml:space="preserve">I. Gesonderte Feststellungen</w:t>
        </w:r>
      </w:hyperlink>
    </w:p>
    <w:p>
      <w:pPr>
        <w:pStyle w:val="Übersicht"/>
        <w:ind w:left="1361"/>
      </w:pPr>
      <w:hyperlink w:anchor="b296" w:history="1">
        <w:r>
          <w:rPr>
            <w:color w:val="0A3A8C"/>
            <w:u w:val="single"/>
          </w:rPr>
          <w:t xml:space="preserve">§ 179 Feststellung von Besteuerungsgrundlagen</w:t>
        </w:r>
      </w:hyperlink>
    </w:p>
    <w:p>
      <w:pPr>
        <w:pStyle w:val="Übersicht"/>
        <w:ind w:left="1361"/>
      </w:pPr>
      <w:hyperlink w:anchor="b297" w:history="1">
        <w:r>
          <w:rPr>
            <w:color w:val="0A3A8C"/>
            <w:u w:val="single"/>
          </w:rPr>
          <w:t xml:space="preserve">§ 180 Gesonderte Feststellung von Besteuerungsgrundlagen</w:t>
        </w:r>
      </w:hyperlink>
    </w:p>
    <w:p>
      <w:pPr>
        <w:pStyle w:val="Übersicht"/>
        <w:ind w:left="1361"/>
      </w:pPr>
      <w:hyperlink w:anchor="b298" w:history="1">
        <w:r>
          <w:rPr>
            <w:color w:val="0A3A8C"/>
            <w:u w:val="single"/>
          </w:rPr>
          <w:t xml:space="preserve">§ 181 Verfahrensvorschriften für die gesonderte Feststellung, Feststellungsfrist, Erklärungspflicht</w:t>
        </w:r>
      </w:hyperlink>
    </w:p>
    <w:p>
      <w:pPr>
        <w:pStyle w:val="Übersicht"/>
        <w:ind w:left="1361"/>
      </w:pPr>
      <w:hyperlink w:anchor="b299" w:history="1">
        <w:r>
          <w:rPr>
            <w:color w:val="0A3A8C"/>
            <w:u w:val="single"/>
          </w:rPr>
          <w:t xml:space="preserve">§ 182 Wirkungen der gesonderten Feststellung</w:t>
        </w:r>
      </w:hyperlink>
    </w:p>
    <w:p>
      <w:pPr>
        <w:pStyle w:val="Übersicht"/>
        <w:ind w:left="1361"/>
      </w:pPr>
      <w:hyperlink w:anchor="b300" w:history="1">
        <w:r>
          <w:rPr>
            <w:color w:val="0A3A8C"/>
            <w:u w:val="single"/>
          </w:rPr>
          <w:t xml:space="preserve">§ 183 Bekanntgabe bei der gesonderten und einheitlichen Feststellung gegenüber rechtsfähigen Personenvereinigungen</w:t>
        </w:r>
      </w:hyperlink>
    </w:p>
    <w:p>
      <w:pPr>
        <w:pStyle w:val="Übersicht"/>
        <w:ind w:left="1361"/>
      </w:pPr>
      <w:hyperlink w:anchor="b301" w:history="1">
        <w:r>
          <w:rPr>
            <w:color w:val="0A3A8C"/>
            <w:u w:val="single"/>
          </w:rPr>
          <w:t xml:space="preserve">§ 183a Empfangsbevollmächtigte bei der gesonderten und einheitlichen Feststellung bei nicht rechtsfähigen Personenvereinigungen und in sonstigen Fällen</w:t>
        </w:r>
      </w:hyperlink>
    </w:p>
    <w:p>
      <w:pPr>
        <w:pStyle w:val="Übersicht"/>
        <w:ind w:left="1020"/>
      </w:pPr>
      <w:hyperlink w:anchor="b302" w:history="1">
        <w:r>
          <w:rPr>
            <w:b/>
            <w:color w:val="0A3A8C"/>
            <w:u w:val="single"/>
          </w:rPr>
          <w:t xml:space="preserve">II. Festsetzung von Steuermessbeträgen</w:t>
        </w:r>
      </w:hyperlink>
    </w:p>
    <w:p>
      <w:pPr>
        <w:pStyle w:val="Übersicht"/>
        <w:ind w:left="1361"/>
      </w:pPr>
      <w:hyperlink w:anchor="b303" w:history="1">
        <w:r>
          <w:rPr>
            <w:color w:val="0A3A8C"/>
            <w:u w:val="single"/>
          </w:rPr>
          <w:t xml:space="preserve">§ 184 Festsetzung von Steuermessbeträgen</w:t>
        </w:r>
      </w:hyperlink>
    </w:p>
    <w:p>
      <w:pPr>
        <w:pStyle w:val="Übersicht"/>
        <w:ind w:left="680"/>
      </w:pPr>
      <w:hyperlink w:anchor="b304" w:history="1">
        <w:r>
          <w:rPr>
            <w:b/>
            <w:color w:val="0A3A8C"/>
            <w:u w:val="single"/>
          </w:rPr>
          <w:t xml:space="preserve">3. Unterabschnitt Zerlegung und Zuteilung</w:t>
        </w:r>
      </w:hyperlink>
    </w:p>
    <w:p>
      <w:pPr>
        <w:pStyle w:val="Übersicht"/>
        <w:ind w:left="1020"/>
      </w:pPr>
      <w:hyperlink w:anchor="b305" w:history="1">
        <w:r>
          <w:rPr>
            <w:color w:val="0A3A8C"/>
            <w:u w:val="single"/>
          </w:rPr>
          <w:t xml:space="preserve">§ 185 Geltung der allgemeinen Vorschriften</w:t>
        </w:r>
      </w:hyperlink>
    </w:p>
    <w:p>
      <w:pPr>
        <w:pStyle w:val="Übersicht"/>
        <w:ind w:left="1020"/>
      </w:pPr>
      <w:hyperlink w:anchor="b306" w:history="1">
        <w:r>
          <w:rPr>
            <w:color w:val="0A3A8C"/>
            <w:u w:val="single"/>
          </w:rPr>
          <w:t xml:space="preserve">§ 186 Beteiligte</w:t>
        </w:r>
      </w:hyperlink>
    </w:p>
    <w:p>
      <w:pPr>
        <w:pStyle w:val="Übersicht"/>
        <w:ind w:left="1020"/>
      </w:pPr>
      <w:hyperlink w:anchor="b307" w:history="1">
        <w:r>
          <w:rPr>
            <w:color w:val="0A3A8C"/>
            <w:u w:val="single"/>
          </w:rPr>
          <w:t xml:space="preserve">§ 187 Akteneinsicht</w:t>
        </w:r>
      </w:hyperlink>
    </w:p>
    <w:p>
      <w:pPr>
        <w:pStyle w:val="Übersicht"/>
        <w:ind w:left="1020"/>
      </w:pPr>
      <w:hyperlink w:anchor="b308" w:history="1">
        <w:r>
          <w:rPr>
            <w:color w:val="0A3A8C"/>
            <w:u w:val="single"/>
          </w:rPr>
          <w:t xml:space="preserve">§ 188 Zerlegungsbescheid</w:t>
        </w:r>
      </w:hyperlink>
    </w:p>
    <w:p>
      <w:pPr>
        <w:pStyle w:val="Übersicht"/>
        <w:ind w:left="1020"/>
      </w:pPr>
      <w:hyperlink w:anchor="b309" w:history="1">
        <w:r>
          <w:rPr>
            <w:color w:val="0A3A8C"/>
            <w:u w:val="single"/>
          </w:rPr>
          <w:t xml:space="preserve">§ 189 Änderung der Zerlegung</w:t>
        </w:r>
      </w:hyperlink>
    </w:p>
    <w:p>
      <w:pPr>
        <w:pStyle w:val="Übersicht"/>
        <w:ind w:left="1020"/>
      </w:pPr>
      <w:hyperlink w:anchor="b310" w:history="1">
        <w:r>
          <w:rPr>
            <w:color w:val="0A3A8C"/>
            <w:u w:val="single"/>
          </w:rPr>
          <w:t xml:space="preserve">§ 190 Zuteilungsverfahren</w:t>
        </w:r>
      </w:hyperlink>
    </w:p>
    <w:p>
      <w:pPr>
        <w:pStyle w:val="Übersicht"/>
        <w:ind w:left="680"/>
      </w:pPr>
      <w:hyperlink w:anchor="b311" w:history="1">
        <w:r>
          <w:rPr>
            <w:b/>
            <w:color w:val="0A3A8C"/>
            <w:u w:val="single"/>
          </w:rPr>
          <w:t xml:space="preserve">4. Unterabschnitt Haftung</w:t>
        </w:r>
      </w:hyperlink>
    </w:p>
    <w:p>
      <w:pPr>
        <w:pStyle w:val="Übersicht"/>
        <w:ind w:left="1020"/>
      </w:pPr>
      <w:hyperlink w:anchor="b312" w:history="1">
        <w:r>
          <w:rPr>
            <w:color w:val="0A3A8C"/>
            <w:u w:val="single"/>
          </w:rPr>
          <w:t xml:space="preserve">§ 191 Haftungsbescheide, Duldungsbescheide</w:t>
        </w:r>
      </w:hyperlink>
    </w:p>
    <w:p>
      <w:pPr>
        <w:pStyle w:val="Übersicht"/>
        <w:ind w:left="1020"/>
      </w:pPr>
      <w:hyperlink w:anchor="b313" w:history="1">
        <w:r>
          <w:rPr>
            <w:color w:val="0A3A8C"/>
            <w:u w:val="single"/>
          </w:rPr>
          <w:t xml:space="preserve">§ 192 Vertragliche Haftung</w:t>
        </w:r>
      </w:hyperlink>
    </w:p>
    <w:p>
      <w:pPr>
        <w:pStyle w:val="Übersicht"/>
        <w:ind w:left="340"/>
      </w:pPr>
      <w:hyperlink w:anchor="b314" w:history="1">
        <w:r>
          <w:rPr>
            <w:b/>
            <w:color w:val="0A3A8C"/>
            <w:u w:val="single"/>
          </w:rPr>
          <w:t xml:space="preserve">Vierter Abschnitt Außenprüfung</w:t>
        </w:r>
      </w:hyperlink>
    </w:p>
    <w:p>
      <w:pPr>
        <w:pStyle w:val="Übersicht"/>
        <w:ind w:left="680"/>
      </w:pPr>
      <w:hyperlink w:anchor="b315" w:history="1">
        <w:r>
          <w:rPr>
            <w:b/>
            <w:color w:val="0A3A8C"/>
            <w:u w:val="single"/>
          </w:rPr>
          <w:t xml:space="preserve">1. Unterabschnitt Allgemeine Vorschriften</w:t>
        </w:r>
      </w:hyperlink>
    </w:p>
    <w:p>
      <w:pPr>
        <w:pStyle w:val="Übersicht"/>
        <w:ind w:left="1020"/>
      </w:pPr>
      <w:hyperlink w:anchor="b316" w:history="1">
        <w:r>
          <w:rPr>
            <w:color w:val="0A3A8C"/>
            <w:u w:val="single"/>
          </w:rPr>
          <w:t xml:space="preserve">§ 193 Zulässigkeit einer Außenprüfung</w:t>
        </w:r>
      </w:hyperlink>
    </w:p>
    <w:p>
      <w:pPr>
        <w:pStyle w:val="Übersicht"/>
        <w:ind w:left="1020"/>
      </w:pPr>
      <w:hyperlink w:anchor="b317" w:history="1">
        <w:r>
          <w:rPr>
            <w:color w:val="0A3A8C"/>
            <w:u w:val="single"/>
          </w:rPr>
          <w:t xml:space="preserve">§ 194 Sachlicher Umfang einer Außenprüfung</w:t>
        </w:r>
      </w:hyperlink>
    </w:p>
    <w:p>
      <w:pPr>
        <w:pStyle w:val="Übersicht"/>
        <w:ind w:left="1020"/>
      </w:pPr>
      <w:hyperlink w:anchor="b318" w:history="1">
        <w:r>
          <w:rPr>
            <w:color w:val="0A3A8C"/>
            <w:u w:val="single"/>
          </w:rPr>
          <w:t xml:space="preserve">§ 195 Zuständigkeit</w:t>
        </w:r>
      </w:hyperlink>
    </w:p>
    <w:p>
      <w:pPr>
        <w:pStyle w:val="Übersicht"/>
        <w:ind w:left="1020"/>
      </w:pPr>
      <w:hyperlink w:anchor="b319" w:history="1">
        <w:r>
          <w:rPr>
            <w:color w:val="0A3A8C"/>
            <w:u w:val="single"/>
          </w:rPr>
          <w:t xml:space="preserve">§ 196 Prüfungsanordnung</w:t>
        </w:r>
      </w:hyperlink>
    </w:p>
    <w:p>
      <w:pPr>
        <w:pStyle w:val="Übersicht"/>
        <w:ind w:left="1020"/>
      </w:pPr>
      <w:hyperlink w:anchor="b320" w:history="1">
        <w:r>
          <w:rPr>
            <w:color w:val="0A3A8C"/>
            <w:u w:val="single"/>
          </w:rPr>
          <w:t xml:space="preserve">§ 197 Bekanntgabe der Prüfungsanordnung</w:t>
        </w:r>
      </w:hyperlink>
    </w:p>
    <w:p>
      <w:pPr>
        <w:pStyle w:val="Übersicht"/>
        <w:ind w:left="1020"/>
      </w:pPr>
      <w:hyperlink w:anchor="b321" w:history="1">
        <w:r>
          <w:rPr>
            <w:color w:val="0A3A8C"/>
            <w:u w:val="single"/>
          </w:rPr>
          <w:t xml:space="preserve">§ 198 Ausweispflicht, Beginn der Außenprüfung</w:t>
        </w:r>
      </w:hyperlink>
    </w:p>
    <w:p>
      <w:pPr>
        <w:pStyle w:val="Übersicht"/>
        <w:ind w:left="1020"/>
      </w:pPr>
      <w:hyperlink w:anchor="b322" w:history="1">
        <w:r>
          <w:rPr>
            <w:color w:val="0A3A8C"/>
            <w:u w:val="single"/>
          </w:rPr>
          <w:t xml:space="preserve">§ 199 Prüfungsgrundsätze</w:t>
        </w:r>
      </w:hyperlink>
    </w:p>
    <w:p>
      <w:pPr>
        <w:pStyle w:val="Übersicht"/>
        <w:ind w:left="1020"/>
      </w:pPr>
      <w:hyperlink w:anchor="b323" w:history="1">
        <w:r>
          <w:rPr>
            <w:color w:val="0A3A8C"/>
            <w:u w:val="single"/>
          </w:rPr>
          <w:t xml:space="preserve">§ 200 Mitwirkungspflichten des Steuerpflichtigen</w:t>
        </w:r>
      </w:hyperlink>
    </w:p>
    <w:p>
      <w:pPr>
        <w:pStyle w:val="Übersicht"/>
        <w:ind w:left="1020"/>
      </w:pPr>
      <w:hyperlink w:anchor="b324" w:history="1">
        <w:r>
          <w:rPr>
            <w:color w:val="0A3A8C"/>
            <w:u w:val="single"/>
          </w:rPr>
          <w:t xml:space="preserve">§ 200a Qualifiziertes Mitwirkungsverlangen</w:t>
        </w:r>
      </w:hyperlink>
    </w:p>
    <w:p>
      <w:pPr>
        <w:pStyle w:val="Übersicht"/>
        <w:ind w:left="1020"/>
      </w:pPr>
      <w:hyperlink w:anchor="b325" w:history="1">
        <w:r>
          <w:rPr>
            <w:color w:val="0A3A8C"/>
            <w:u w:val="single"/>
          </w:rPr>
          <w:t xml:space="preserve">§ 201 Schlussbesprechung</w:t>
        </w:r>
      </w:hyperlink>
    </w:p>
    <w:p>
      <w:pPr>
        <w:pStyle w:val="Übersicht"/>
        <w:ind w:left="1020"/>
      </w:pPr>
      <w:hyperlink w:anchor="b326" w:history="1">
        <w:r>
          <w:rPr>
            <w:color w:val="0A3A8C"/>
            <w:u w:val="single"/>
          </w:rPr>
          <w:t xml:space="preserve">§ 202 Inhalt und Bekanntgabe des Prüfungsberichts</w:t>
        </w:r>
      </w:hyperlink>
    </w:p>
    <w:p>
      <w:pPr>
        <w:pStyle w:val="Übersicht"/>
        <w:ind w:left="1020"/>
      </w:pPr>
      <w:hyperlink w:anchor="b327" w:history="1">
        <w:r>
          <w:rPr>
            <w:color w:val="0A3A8C"/>
            <w:u w:val="single"/>
          </w:rPr>
          <w:t xml:space="preserve">§ 203 Abgekürzte Außenprüfung</w:t>
        </w:r>
      </w:hyperlink>
    </w:p>
    <w:p>
      <w:pPr>
        <w:pStyle w:val="Übersicht"/>
        <w:ind w:left="1020"/>
      </w:pPr>
      <w:hyperlink w:anchor="b328" w:history="1">
        <w:r>
          <w:rPr>
            <w:color w:val="0A3A8C"/>
            <w:u w:val="single"/>
          </w:rPr>
          <w:t xml:space="preserve">§ 203a Außenprüfung bei Datenübermittlung durch Dritte</w:t>
        </w:r>
      </w:hyperlink>
    </w:p>
    <w:p>
      <w:pPr>
        <w:pStyle w:val="Übersicht"/>
        <w:ind w:left="680"/>
      </w:pPr>
      <w:hyperlink w:anchor="b329" w:history="1">
        <w:r>
          <w:rPr>
            <w:b/>
            <w:color w:val="0A3A8C"/>
            <w:u w:val="single"/>
          </w:rPr>
          <w:t xml:space="preserve">2. Unterabschnitt Verbindliche Zusagen auf Grund einer Außenprüfung</w:t>
        </w:r>
      </w:hyperlink>
    </w:p>
    <w:p>
      <w:pPr>
        <w:pStyle w:val="Übersicht"/>
        <w:ind w:left="1020"/>
      </w:pPr>
      <w:hyperlink w:anchor="b330" w:history="1">
        <w:r>
          <w:rPr>
            <w:color w:val="0A3A8C"/>
            <w:u w:val="single"/>
          </w:rPr>
          <w:t xml:space="preserve">§ 204 Voraussetzung der verbindlichen Zusage</w:t>
        </w:r>
      </w:hyperlink>
    </w:p>
    <w:p>
      <w:pPr>
        <w:pStyle w:val="Übersicht"/>
        <w:ind w:left="1020"/>
      </w:pPr>
      <w:hyperlink w:anchor="b331" w:history="1">
        <w:r>
          <w:rPr>
            <w:color w:val="0A3A8C"/>
            <w:u w:val="single"/>
          </w:rPr>
          <w:t xml:space="preserve">§ 205 Form der verbindlichen Zusage</w:t>
        </w:r>
      </w:hyperlink>
    </w:p>
    <w:p>
      <w:pPr>
        <w:pStyle w:val="Übersicht"/>
        <w:ind w:left="1020"/>
      </w:pPr>
      <w:hyperlink w:anchor="b332" w:history="1">
        <w:r>
          <w:rPr>
            <w:color w:val="0A3A8C"/>
            <w:u w:val="single"/>
          </w:rPr>
          <w:t xml:space="preserve">§ 206 Bindungswirkung</w:t>
        </w:r>
      </w:hyperlink>
    </w:p>
    <w:p>
      <w:pPr>
        <w:pStyle w:val="Übersicht"/>
        <w:ind w:left="1020"/>
      </w:pPr>
      <w:hyperlink w:anchor="b333" w:history="1">
        <w:r>
          <w:rPr>
            <w:color w:val="0A3A8C"/>
            <w:u w:val="single"/>
          </w:rPr>
          <w:t xml:space="preserve">§ 207 Außerkrafttreten, Aufhebung und Änderung der verbindlichen Zusage</w:t>
        </w:r>
      </w:hyperlink>
    </w:p>
    <w:p>
      <w:pPr>
        <w:pStyle w:val="Übersicht"/>
        <w:ind w:left="340"/>
      </w:pPr>
      <w:hyperlink w:anchor="b334" w:history="1">
        <w:r>
          <w:rPr>
            <w:b/>
            <w:color w:val="0A3A8C"/>
            <w:u w:val="single"/>
          </w:rPr>
          <w:t xml:space="preserve">Fünfter Abschnitt Steuerfahndung (Zollfahndung)</w:t>
        </w:r>
      </w:hyperlink>
    </w:p>
    <w:p>
      <w:pPr>
        <w:pStyle w:val="Übersicht"/>
        <w:ind w:left="680"/>
      </w:pPr>
      <w:hyperlink w:anchor="b335" w:history="1">
        <w:r>
          <w:rPr>
            <w:color w:val="0A3A8C"/>
            <w:u w:val="single"/>
          </w:rPr>
          <w:t xml:space="preserve">§ 208 Steuerfahndung (Zollfahndung)</w:t>
        </w:r>
      </w:hyperlink>
    </w:p>
    <w:p>
      <w:pPr>
        <w:pStyle w:val="Übersicht"/>
        <w:ind w:left="680"/>
      </w:pPr>
      <w:hyperlink w:anchor="b336" w:history="1">
        <w:r>
          <w:rPr>
            <w:color w:val="0A3A8C"/>
            <w:u w:val="single"/>
          </w:rPr>
          <w:t xml:space="preserve">§ 208a Steuerfahndung des Bundeszentralamts für Steuern</w:t>
        </w:r>
      </w:hyperlink>
    </w:p>
    <w:p>
      <w:pPr>
        <w:pStyle w:val="Übersicht"/>
        <w:ind w:left="340"/>
      </w:pPr>
      <w:hyperlink w:anchor="b337" w:history="1">
        <w:r>
          <w:rPr>
            <w:b/>
            <w:color w:val="0A3A8C"/>
            <w:u w:val="single"/>
          </w:rPr>
          <w:t xml:space="preserve">Sechster Abschnitt Steueraufsicht in besonderen Fällen</w:t>
        </w:r>
      </w:hyperlink>
    </w:p>
    <w:p>
      <w:pPr>
        <w:pStyle w:val="Übersicht"/>
        <w:ind w:left="680"/>
      </w:pPr>
      <w:hyperlink w:anchor="b338" w:history="1">
        <w:r>
          <w:rPr>
            <w:color w:val="0A3A8C"/>
            <w:u w:val="single"/>
          </w:rPr>
          <w:t xml:space="preserve">§ 209 Gegenstand der Steueraufsicht</w:t>
        </w:r>
      </w:hyperlink>
    </w:p>
    <w:p>
      <w:pPr>
        <w:pStyle w:val="Übersicht"/>
        <w:ind w:left="680"/>
      </w:pPr>
      <w:hyperlink w:anchor="b339" w:history="1">
        <w:r>
          <w:rPr>
            <w:color w:val="0A3A8C"/>
            <w:u w:val="single"/>
          </w:rPr>
          <w:t xml:space="preserve">§ 210 Befugnisse der Finanzbehörde</w:t>
        </w:r>
      </w:hyperlink>
    </w:p>
    <w:p>
      <w:pPr>
        <w:pStyle w:val="Übersicht"/>
        <w:ind w:left="680"/>
      </w:pPr>
      <w:hyperlink w:anchor="b340" w:history="1">
        <w:r>
          <w:rPr>
            <w:color w:val="0A3A8C"/>
            <w:u w:val="single"/>
          </w:rPr>
          <w:t xml:space="preserve">§ 211 Pflichten der betroffenen Person</w:t>
        </w:r>
      </w:hyperlink>
    </w:p>
    <w:p>
      <w:pPr>
        <w:pStyle w:val="Übersicht"/>
        <w:ind w:left="680"/>
      </w:pPr>
      <w:hyperlink w:anchor="b341" w:history="1">
        <w:r>
          <w:rPr>
            <w:color w:val="0A3A8C"/>
            <w:u w:val="single"/>
          </w:rPr>
          <w:t xml:space="preserve">§ 212 Durchführungsvorschriften</w:t>
        </w:r>
      </w:hyperlink>
    </w:p>
    <w:p>
      <w:pPr>
        <w:pStyle w:val="Übersicht"/>
        <w:ind w:left="680"/>
      </w:pPr>
      <w:hyperlink w:anchor="b342" w:history="1">
        <w:r>
          <w:rPr>
            <w:color w:val="0A3A8C"/>
            <w:u w:val="single"/>
          </w:rPr>
          <w:t xml:space="preserve">§ 213 Besondere Aufsichtsmaßnahmen</w:t>
        </w:r>
      </w:hyperlink>
    </w:p>
    <w:p>
      <w:pPr>
        <w:pStyle w:val="Übersicht"/>
        <w:ind w:left="680"/>
      </w:pPr>
      <w:hyperlink w:anchor="b343" w:history="1">
        <w:r>
          <w:rPr>
            <w:color w:val="0A3A8C"/>
            <w:u w:val="single"/>
          </w:rPr>
          <w:t xml:space="preserve">§ 214 Beauftragte</w:t>
        </w:r>
      </w:hyperlink>
    </w:p>
    <w:p>
      <w:pPr>
        <w:pStyle w:val="Übersicht"/>
        <w:ind w:left="680"/>
      </w:pPr>
      <w:hyperlink w:anchor="b344" w:history="1">
        <w:r>
          <w:rPr>
            <w:color w:val="0A3A8C"/>
            <w:u w:val="single"/>
          </w:rPr>
          <w:t xml:space="preserve">§ 215 Sicherstellung im Aufsichtsweg</w:t>
        </w:r>
      </w:hyperlink>
    </w:p>
    <w:p>
      <w:pPr>
        <w:pStyle w:val="Übersicht"/>
        <w:ind w:left="680"/>
      </w:pPr>
      <w:hyperlink w:anchor="b345" w:history="1">
        <w:r>
          <w:rPr>
            <w:color w:val="0A3A8C"/>
            <w:u w:val="single"/>
          </w:rPr>
          <w:t xml:space="preserve">§ 216 Überführung in das Eigentum des Bundes</w:t>
        </w:r>
      </w:hyperlink>
    </w:p>
    <w:p>
      <w:pPr>
        <w:pStyle w:val="Übersicht"/>
        <w:ind w:left="680"/>
      </w:pPr>
      <w:hyperlink w:anchor="b346" w:history="1">
        <w:r>
          <w:rPr>
            <w:color w:val="0A3A8C"/>
            <w:u w:val="single"/>
          </w:rPr>
          <w:t xml:space="preserve">§ 217 Steuerhilfspersonen</w:t>
        </w:r>
      </w:hyperlink>
    </w:p>
    <w:p>
      <w:pPr>
        <w:pStyle w:val="Übersicht"/>
        <w:ind w:left="0"/>
      </w:pPr>
      <w:hyperlink w:anchor="b347" w:history="1">
        <w:r>
          <w:rPr>
            <w:b/>
            <w:color w:val="0A3A8C"/>
            <w:u w:val="single"/>
          </w:rPr>
          <w:t xml:space="preserve">Fünfter Teil Erhebungsverfahren</w:t>
        </w:r>
      </w:hyperlink>
    </w:p>
    <w:p>
      <w:pPr>
        <w:pStyle w:val="Übersicht"/>
        <w:ind w:left="340"/>
      </w:pPr>
      <w:hyperlink w:anchor="b348" w:history="1">
        <w:r>
          <w:rPr>
            <w:b/>
            <w:color w:val="0A3A8C"/>
            <w:u w:val="single"/>
          </w:rPr>
          <w:t xml:space="preserve">Erster Abschnitt Verwirklichung, Fälligkeit und Erlöschen von Ansprüchen aus dem Steuerschuldverhältnis</w:t>
        </w:r>
      </w:hyperlink>
    </w:p>
    <w:p>
      <w:pPr>
        <w:pStyle w:val="Übersicht"/>
        <w:ind w:left="680"/>
      </w:pPr>
      <w:hyperlink w:anchor="b349" w:history="1">
        <w:r>
          <w:rPr>
            <w:b/>
            <w:color w:val="0A3A8C"/>
            <w:u w:val="single"/>
          </w:rPr>
          <w:t xml:space="preserve">1. Unterabschnitt Verwirklichung und Fälligkeit von Ansprüchen aus dem Steuerschuldverhältnis</w:t>
        </w:r>
      </w:hyperlink>
    </w:p>
    <w:p>
      <w:pPr>
        <w:pStyle w:val="Übersicht"/>
        <w:ind w:left="1020"/>
      </w:pPr>
      <w:hyperlink w:anchor="b350" w:history="1">
        <w:r>
          <w:rPr>
            <w:color w:val="0A3A8C"/>
            <w:u w:val="single"/>
          </w:rPr>
          <w:t xml:space="preserve">§ 218 Verwirklichung von Ansprüchen aus dem Steuerschuldverhältnis</w:t>
        </w:r>
      </w:hyperlink>
    </w:p>
    <w:p>
      <w:pPr>
        <w:pStyle w:val="Übersicht"/>
        <w:ind w:left="1020"/>
      </w:pPr>
      <w:hyperlink w:anchor="b351" w:history="1">
        <w:r>
          <w:rPr>
            <w:color w:val="0A3A8C"/>
            <w:u w:val="single"/>
          </w:rPr>
          <w:t xml:space="preserve">§ 219 Zahlungsaufforderung bei Haftungsbescheiden</w:t>
        </w:r>
      </w:hyperlink>
    </w:p>
    <w:p>
      <w:pPr>
        <w:pStyle w:val="Übersicht"/>
        <w:ind w:left="1020"/>
      </w:pPr>
      <w:hyperlink w:anchor="b352" w:history="1">
        <w:r>
          <w:rPr>
            <w:color w:val="0A3A8C"/>
            <w:u w:val="single"/>
          </w:rPr>
          <w:t xml:space="preserve">§ 220 Fälligkeit</w:t>
        </w:r>
      </w:hyperlink>
    </w:p>
    <w:p>
      <w:pPr>
        <w:pStyle w:val="Übersicht"/>
        <w:ind w:left="1020"/>
      </w:pPr>
      <w:hyperlink w:anchor="b353" w:history="1">
        <w:r>
          <w:rPr>
            <w:color w:val="0A3A8C"/>
            <w:u w:val="single"/>
          </w:rPr>
          <w:t xml:space="preserve">§ 221 Abweichende Fälligkeitsbestimmung</w:t>
        </w:r>
      </w:hyperlink>
    </w:p>
    <w:p>
      <w:pPr>
        <w:pStyle w:val="Übersicht"/>
        <w:ind w:left="1020"/>
      </w:pPr>
      <w:hyperlink w:anchor="b354" w:history="1">
        <w:r>
          <w:rPr>
            <w:color w:val="0A3A8C"/>
            <w:u w:val="single"/>
          </w:rPr>
          <w:t xml:space="preserve">§ 222 Stundung</w:t>
        </w:r>
      </w:hyperlink>
    </w:p>
    <w:p>
      <w:pPr>
        <w:pStyle w:val="Übersicht"/>
        <w:ind w:left="1020"/>
      </w:pPr>
      <w:hyperlink w:anchor="b355" w:history="1">
        <w:r>
          <w:rPr>
            <w:color w:val="0A3A8C"/>
            <w:u w:val="single"/>
          </w:rPr>
          <w:t xml:space="preserve">§ 223 (weggefallen)</w:t>
        </w:r>
      </w:hyperlink>
    </w:p>
    <w:p>
      <w:pPr>
        <w:pStyle w:val="Übersicht"/>
        <w:ind w:left="680"/>
      </w:pPr>
      <w:hyperlink w:anchor="b356" w:history="1">
        <w:r>
          <w:rPr>
            <w:b/>
            <w:color w:val="0A3A8C"/>
            <w:u w:val="single"/>
          </w:rPr>
          <w:t xml:space="preserve">2. Unterabschnitt Zahlung, Aufrechnung, Erlass</w:t>
        </w:r>
      </w:hyperlink>
    </w:p>
    <w:p>
      <w:pPr>
        <w:pStyle w:val="Übersicht"/>
        <w:ind w:left="1020"/>
      </w:pPr>
      <w:hyperlink w:anchor="b357" w:history="1">
        <w:r>
          <w:rPr>
            <w:color w:val="0A3A8C"/>
            <w:u w:val="single"/>
          </w:rPr>
          <w:t xml:space="preserve">§ 224 Leistungsort, Tag der Zahlung</w:t>
        </w:r>
      </w:hyperlink>
    </w:p>
    <w:p>
      <w:pPr>
        <w:pStyle w:val="Übersicht"/>
        <w:ind w:left="1020"/>
      </w:pPr>
      <w:hyperlink w:anchor="b358" w:history="1">
        <w:r>
          <w:rPr>
            <w:color w:val="0A3A8C"/>
            <w:u w:val="single"/>
          </w:rPr>
          <w:t xml:space="preserve">§ 224a Hingabe von Kunstgegenständen an Zahlungs statt</w:t>
        </w:r>
      </w:hyperlink>
    </w:p>
    <w:p>
      <w:pPr>
        <w:pStyle w:val="Übersicht"/>
        <w:ind w:left="1020"/>
      </w:pPr>
      <w:hyperlink w:anchor="b359" w:history="1">
        <w:r>
          <w:rPr>
            <w:color w:val="0A3A8C"/>
            <w:u w:val="single"/>
          </w:rPr>
          <w:t xml:space="preserve">§ 225 Reihenfolge der Tilgung</w:t>
        </w:r>
      </w:hyperlink>
    </w:p>
    <w:p>
      <w:pPr>
        <w:pStyle w:val="Übersicht"/>
        <w:ind w:left="1020"/>
      </w:pPr>
      <w:hyperlink w:anchor="b360" w:history="1">
        <w:r>
          <w:rPr>
            <w:color w:val="0A3A8C"/>
            <w:u w:val="single"/>
          </w:rPr>
          <w:t xml:space="preserve">§ 226 Aufrechnung</w:t>
        </w:r>
      </w:hyperlink>
    </w:p>
    <w:p>
      <w:pPr>
        <w:pStyle w:val="Übersicht"/>
        <w:ind w:left="1020"/>
      </w:pPr>
      <w:hyperlink w:anchor="b361" w:history="1">
        <w:r>
          <w:rPr>
            <w:color w:val="0A3A8C"/>
            <w:u w:val="single"/>
          </w:rPr>
          <w:t xml:space="preserve">§ 227 Erlass</w:t>
        </w:r>
      </w:hyperlink>
    </w:p>
    <w:p>
      <w:pPr>
        <w:pStyle w:val="Übersicht"/>
        <w:ind w:left="680"/>
      </w:pPr>
      <w:hyperlink w:anchor="b362" w:history="1">
        <w:r>
          <w:rPr>
            <w:b/>
            <w:color w:val="0A3A8C"/>
            <w:u w:val="single"/>
          </w:rPr>
          <w:t xml:space="preserve">3. Unterabschnitt Zahlungsverjährung</w:t>
        </w:r>
      </w:hyperlink>
    </w:p>
    <w:p>
      <w:pPr>
        <w:pStyle w:val="Übersicht"/>
        <w:ind w:left="1020"/>
      </w:pPr>
      <w:hyperlink w:anchor="b363" w:history="1">
        <w:r>
          <w:rPr>
            <w:color w:val="0A3A8C"/>
            <w:u w:val="single"/>
          </w:rPr>
          <w:t xml:space="preserve">§ 228 Gegenstand der Verjährung, Verjährungsfrist</w:t>
        </w:r>
      </w:hyperlink>
    </w:p>
    <w:p>
      <w:pPr>
        <w:pStyle w:val="Übersicht"/>
        <w:ind w:left="1020"/>
      </w:pPr>
      <w:hyperlink w:anchor="b364" w:history="1">
        <w:r>
          <w:rPr>
            <w:color w:val="0A3A8C"/>
            <w:u w:val="single"/>
          </w:rPr>
          <w:t xml:space="preserve">§ 229 Beginn der Verjährung</w:t>
        </w:r>
      </w:hyperlink>
    </w:p>
    <w:p>
      <w:pPr>
        <w:pStyle w:val="Übersicht"/>
        <w:ind w:left="1020"/>
      </w:pPr>
      <w:hyperlink w:anchor="b365" w:history="1">
        <w:r>
          <w:rPr>
            <w:color w:val="0A3A8C"/>
            <w:u w:val="single"/>
          </w:rPr>
          <w:t xml:space="preserve">§ 230 Hemmung der Verjährung</w:t>
        </w:r>
      </w:hyperlink>
    </w:p>
    <w:p>
      <w:pPr>
        <w:pStyle w:val="Übersicht"/>
        <w:ind w:left="1020"/>
      </w:pPr>
      <w:hyperlink w:anchor="b366" w:history="1">
        <w:r>
          <w:rPr>
            <w:color w:val="0A3A8C"/>
            <w:u w:val="single"/>
          </w:rPr>
          <w:t xml:space="preserve">§ 231 Unterbrechung der Verjährung</w:t>
        </w:r>
      </w:hyperlink>
    </w:p>
    <w:p>
      <w:pPr>
        <w:pStyle w:val="Übersicht"/>
        <w:ind w:left="1020"/>
      </w:pPr>
      <w:hyperlink w:anchor="b367" w:history="1">
        <w:r>
          <w:rPr>
            <w:color w:val="0A3A8C"/>
            <w:u w:val="single"/>
          </w:rPr>
          <w:t xml:space="preserve">§ 232 Wirkung der Verjährung</w:t>
        </w:r>
      </w:hyperlink>
    </w:p>
    <w:p>
      <w:pPr>
        <w:pStyle w:val="Übersicht"/>
        <w:ind w:left="340"/>
      </w:pPr>
      <w:hyperlink w:anchor="b368" w:history="1">
        <w:r>
          <w:rPr>
            <w:b/>
            <w:color w:val="0A3A8C"/>
            <w:u w:val="single"/>
          </w:rPr>
          <w:t xml:space="preserve">Zweiter Abschnitt Verzinsung, Säumniszuschläge</w:t>
        </w:r>
      </w:hyperlink>
    </w:p>
    <w:p>
      <w:pPr>
        <w:pStyle w:val="Übersicht"/>
        <w:ind w:left="680"/>
      </w:pPr>
      <w:hyperlink w:anchor="b369" w:history="1">
        <w:r>
          <w:rPr>
            <w:b/>
            <w:color w:val="0A3A8C"/>
            <w:u w:val="single"/>
          </w:rPr>
          <w:t xml:space="preserve">1. Unterabschnitt Verzinsung</w:t>
        </w:r>
      </w:hyperlink>
    </w:p>
    <w:p>
      <w:pPr>
        <w:pStyle w:val="Übersicht"/>
        <w:ind w:left="1020"/>
      </w:pPr>
      <w:hyperlink w:anchor="b370" w:history="1">
        <w:r>
          <w:rPr>
            <w:color w:val="0A3A8C"/>
            <w:u w:val="single"/>
          </w:rPr>
          <w:t xml:space="preserve">§ 233 Grundsatz</w:t>
        </w:r>
      </w:hyperlink>
    </w:p>
    <w:p>
      <w:pPr>
        <w:pStyle w:val="Übersicht"/>
        <w:ind w:left="1020"/>
      </w:pPr>
      <w:hyperlink w:anchor="b371" w:history="1">
        <w:r>
          <w:rPr>
            <w:color w:val="0A3A8C"/>
            <w:u w:val="single"/>
          </w:rPr>
          <w:t xml:space="preserve">§ 233a Verzinsung von Steuernachforderungen und Steuererstattungen</w:t>
        </w:r>
      </w:hyperlink>
    </w:p>
    <w:p>
      <w:pPr>
        <w:pStyle w:val="Übersicht"/>
        <w:ind w:left="1020"/>
      </w:pPr>
      <w:hyperlink w:anchor="b372" w:history="1">
        <w:r>
          <w:rPr>
            <w:color w:val="0A3A8C"/>
            <w:u w:val="single"/>
          </w:rPr>
          <w:t xml:space="preserve">§ 234 Stundungszinsen</w:t>
        </w:r>
      </w:hyperlink>
    </w:p>
    <w:p>
      <w:pPr>
        <w:pStyle w:val="Übersicht"/>
        <w:ind w:left="1020"/>
      </w:pPr>
      <w:hyperlink w:anchor="b373" w:history="1">
        <w:r>
          <w:rPr>
            <w:color w:val="0A3A8C"/>
            <w:u w:val="single"/>
          </w:rPr>
          <w:t xml:space="preserve">§ 235 Verzinsung von hinterzogenen Steuern</w:t>
        </w:r>
      </w:hyperlink>
    </w:p>
    <w:p>
      <w:pPr>
        <w:pStyle w:val="Übersicht"/>
        <w:ind w:left="1020"/>
      </w:pPr>
      <w:hyperlink w:anchor="b374" w:history="1">
        <w:r>
          <w:rPr>
            <w:color w:val="0A3A8C"/>
            <w:u w:val="single"/>
          </w:rPr>
          <w:t xml:space="preserve">§ 236 Prozesszinsen auf Erstattungsbeträge</w:t>
        </w:r>
      </w:hyperlink>
    </w:p>
    <w:p>
      <w:pPr>
        <w:pStyle w:val="Übersicht"/>
        <w:ind w:left="1020"/>
      </w:pPr>
      <w:hyperlink w:anchor="b375" w:history="1">
        <w:r>
          <w:rPr>
            <w:color w:val="0A3A8C"/>
            <w:u w:val="single"/>
          </w:rPr>
          <w:t xml:space="preserve">§ 237 Zinsen bei Aussetzung der Vollziehung</w:t>
        </w:r>
      </w:hyperlink>
    </w:p>
    <w:p>
      <w:pPr>
        <w:pStyle w:val="Übersicht"/>
        <w:ind w:left="1020"/>
      </w:pPr>
      <w:hyperlink w:anchor="b376" w:history="1">
        <w:r>
          <w:rPr>
            <w:color w:val="0A3A8C"/>
            <w:u w:val="single"/>
          </w:rPr>
          <w:t xml:space="preserve">§ 238 Höhe und Berechnung der Zinsen</w:t>
        </w:r>
      </w:hyperlink>
    </w:p>
    <w:p>
      <w:pPr>
        <w:pStyle w:val="Übersicht"/>
        <w:ind w:left="1020"/>
      </w:pPr>
      <w:hyperlink w:anchor="b377" w:history="1">
        <w:r>
          <w:rPr>
            <w:color w:val="0A3A8C"/>
            <w:u w:val="single"/>
          </w:rPr>
          <w:t xml:space="preserve">§ 239 Festsetzung der Zinsen</w:t>
        </w:r>
      </w:hyperlink>
    </w:p>
    <w:p>
      <w:pPr>
        <w:pStyle w:val="Übersicht"/>
        <w:ind w:left="680"/>
      </w:pPr>
      <w:hyperlink w:anchor="b378" w:history="1">
        <w:r>
          <w:rPr>
            <w:b/>
            <w:color w:val="0A3A8C"/>
            <w:u w:val="single"/>
          </w:rPr>
          <w:t xml:space="preserve">2. Unterabschnitt Säumniszuschläge</w:t>
        </w:r>
      </w:hyperlink>
    </w:p>
    <w:p>
      <w:pPr>
        <w:pStyle w:val="Übersicht"/>
        <w:ind w:left="1020"/>
      </w:pPr>
      <w:hyperlink w:anchor="b379" w:history="1">
        <w:r>
          <w:rPr>
            <w:color w:val="0A3A8C"/>
            <w:u w:val="single"/>
          </w:rPr>
          <w:t xml:space="preserve">§ 240 Säumniszuschläge</w:t>
        </w:r>
      </w:hyperlink>
    </w:p>
    <w:p>
      <w:pPr>
        <w:pStyle w:val="Übersicht"/>
        <w:ind w:left="340"/>
      </w:pPr>
      <w:hyperlink w:anchor="b380" w:history="1">
        <w:r>
          <w:rPr>
            <w:b/>
            <w:color w:val="0A3A8C"/>
            <w:u w:val="single"/>
          </w:rPr>
          <w:t xml:space="preserve">Dritter Abschnitt Sicherheitsleistung</w:t>
        </w:r>
      </w:hyperlink>
    </w:p>
    <w:p>
      <w:pPr>
        <w:pStyle w:val="Übersicht"/>
        <w:ind w:left="680"/>
      </w:pPr>
      <w:hyperlink w:anchor="b381" w:history="1">
        <w:r>
          <w:rPr>
            <w:color w:val="0A3A8C"/>
            <w:u w:val="single"/>
          </w:rPr>
          <w:t xml:space="preserve">§ 241 Art der Sicherheitsleistung</w:t>
        </w:r>
      </w:hyperlink>
    </w:p>
    <w:p>
      <w:pPr>
        <w:pStyle w:val="Übersicht"/>
        <w:ind w:left="680"/>
      </w:pPr>
      <w:hyperlink w:anchor="b382" w:history="1">
        <w:r>
          <w:rPr>
            <w:color w:val="0A3A8C"/>
            <w:u w:val="single"/>
          </w:rPr>
          <w:t xml:space="preserve">§ 242 Wirkung der Hinterlegung von Zahlungsmitteln</w:t>
        </w:r>
      </w:hyperlink>
    </w:p>
    <w:p>
      <w:pPr>
        <w:pStyle w:val="Übersicht"/>
        <w:ind w:left="680"/>
      </w:pPr>
      <w:hyperlink w:anchor="b383" w:history="1">
        <w:r>
          <w:rPr>
            <w:color w:val="0A3A8C"/>
            <w:u w:val="single"/>
          </w:rPr>
          <w:t xml:space="preserve">§ 243 Verpfändung von Wertpapieren</w:t>
        </w:r>
      </w:hyperlink>
    </w:p>
    <w:p>
      <w:pPr>
        <w:pStyle w:val="Übersicht"/>
        <w:ind w:left="680"/>
      </w:pPr>
      <w:hyperlink w:anchor="b384" w:history="1">
        <w:r>
          <w:rPr>
            <w:color w:val="0A3A8C"/>
            <w:u w:val="single"/>
          </w:rPr>
          <w:t xml:space="preserve">§ 244 Taugliche Steuerbürgen</w:t>
        </w:r>
      </w:hyperlink>
    </w:p>
    <w:p>
      <w:pPr>
        <w:pStyle w:val="Übersicht"/>
        <w:ind w:left="680"/>
      </w:pPr>
      <w:hyperlink w:anchor="b385" w:history="1">
        <w:r>
          <w:rPr>
            <w:color w:val="0A3A8C"/>
            <w:u w:val="single"/>
          </w:rPr>
          <w:t xml:space="preserve">§ 245 Sicherheitsleistung durch andere Werte</w:t>
        </w:r>
      </w:hyperlink>
    </w:p>
    <w:p>
      <w:pPr>
        <w:pStyle w:val="Übersicht"/>
        <w:ind w:left="680"/>
      </w:pPr>
      <w:hyperlink w:anchor="b386" w:history="1">
        <w:r>
          <w:rPr>
            <w:color w:val="0A3A8C"/>
            <w:u w:val="single"/>
          </w:rPr>
          <w:t xml:space="preserve">§ 246 Annahmewerte</w:t>
        </w:r>
      </w:hyperlink>
    </w:p>
    <w:p>
      <w:pPr>
        <w:pStyle w:val="Übersicht"/>
        <w:ind w:left="680"/>
      </w:pPr>
      <w:hyperlink w:anchor="b387" w:history="1">
        <w:r>
          <w:rPr>
            <w:color w:val="0A3A8C"/>
            <w:u w:val="single"/>
          </w:rPr>
          <w:t xml:space="preserve">§ 247 Austausch von Sicherheiten</w:t>
        </w:r>
      </w:hyperlink>
    </w:p>
    <w:p>
      <w:pPr>
        <w:pStyle w:val="Übersicht"/>
        <w:ind w:left="680"/>
      </w:pPr>
      <w:hyperlink w:anchor="b388" w:history="1">
        <w:r>
          <w:rPr>
            <w:color w:val="0A3A8C"/>
            <w:u w:val="single"/>
          </w:rPr>
          <w:t xml:space="preserve">§ 248 Nachschusspflicht</w:t>
        </w:r>
      </w:hyperlink>
    </w:p>
    <w:p>
      <w:pPr>
        <w:pStyle w:val="Übersicht"/>
        <w:ind w:left="0"/>
      </w:pPr>
      <w:hyperlink w:anchor="b389" w:history="1">
        <w:r>
          <w:rPr>
            <w:b/>
            <w:color w:val="0A3A8C"/>
            <w:u w:val="single"/>
          </w:rPr>
          <w:t xml:space="preserve">Sechster Teil Vollstreckung</w:t>
        </w:r>
      </w:hyperlink>
    </w:p>
    <w:p>
      <w:pPr>
        <w:pStyle w:val="Übersicht"/>
        <w:ind w:left="340"/>
      </w:pPr>
      <w:hyperlink w:anchor="b390" w:history="1">
        <w:r>
          <w:rPr>
            <w:b/>
            <w:color w:val="0A3A8C"/>
            <w:u w:val="single"/>
          </w:rPr>
          <w:t xml:space="preserve">Erster Abschnitt Allgemeine Vorschriften</w:t>
        </w:r>
      </w:hyperlink>
    </w:p>
    <w:p>
      <w:pPr>
        <w:pStyle w:val="Übersicht"/>
        <w:ind w:left="680"/>
      </w:pPr>
      <w:hyperlink w:anchor="b391" w:history="1">
        <w:r>
          <w:rPr>
            <w:color w:val="0A3A8C"/>
            <w:u w:val="single"/>
          </w:rPr>
          <w:t xml:space="preserve">§ 249 Vollstreckungsbehörden</w:t>
        </w:r>
      </w:hyperlink>
    </w:p>
    <w:p>
      <w:pPr>
        <w:pStyle w:val="Übersicht"/>
        <w:ind w:left="680"/>
      </w:pPr>
      <w:hyperlink w:anchor="b392" w:history="1">
        <w:r>
          <w:rPr>
            <w:color w:val="0A3A8C"/>
            <w:u w:val="single"/>
          </w:rPr>
          <w:t xml:space="preserve">§ 250 Vollstreckungsersuchen</w:t>
        </w:r>
      </w:hyperlink>
    </w:p>
    <w:p>
      <w:pPr>
        <w:pStyle w:val="Übersicht"/>
        <w:ind w:left="680"/>
      </w:pPr>
      <w:hyperlink w:anchor="b393" w:history="1">
        <w:r>
          <w:rPr>
            <w:color w:val="0A3A8C"/>
            <w:u w:val="single"/>
          </w:rPr>
          <w:t xml:space="preserve">§ 251 Vollstreckbare Verwaltungsakte</w:t>
        </w:r>
      </w:hyperlink>
    </w:p>
    <w:p>
      <w:pPr>
        <w:pStyle w:val="Übersicht"/>
        <w:ind w:left="680"/>
      </w:pPr>
      <w:hyperlink w:anchor="b394" w:history="1">
        <w:r>
          <w:rPr>
            <w:color w:val="0A3A8C"/>
            <w:u w:val="single"/>
          </w:rPr>
          <w:t xml:space="preserve">§ 252 Vollstreckungsgläubiger</w:t>
        </w:r>
      </w:hyperlink>
    </w:p>
    <w:p>
      <w:pPr>
        <w:pStyle w:val="Übersicht"/>
        <w:ind w:left="680"/>
      </w:pPr>
      <w:hyperlink w:anchor="b395" w:history="1">
        <w:r>
          <w:rPr>
            <w:color w:val="0A3A8C"/>
            <w:u w:val="single"/>
          </w:rPr>
          <w:t xml:space="preserve">§ 253 Vollstreckungsschuldner</w:t>
        </w:r>
      </w:hyperlink>
    </w:p>
    <w:p>
      <w:pPr>
        <w:pStyle w:val="Übersicht"/>
        <w:ind w:left="680"/>
      </w:pPr>
      <w:hyperlink w:anchor="b396" w:history="1">
        <w:r>
          <w:rPr>
            <w:color w:val="0A3A8C"/>
            <w:u w:val="single"/>
          </w:rPr>
          <w:t xml:space="preserve">§ 254 Voraussetzungen für den Beginn der Vollstreckung</w:t>
        </w:r>
      </w:hyperlink>
    </w:p>
    <w:p>
      <w:pPr>
        <w:pStyle w:val="Übersicht"/>
        <w:ind w:left="680"/>
      </w:pPr>
      <w:hyperlink w:anchor="b397" w:history="1">
        <w:r>
          <w:rPr>
            <w:color w:val="0A3A8C"/>
            <w:u w:val="single"/>
          </w:rPr>
          <w:t xml:space="preserve">§ 255 Vollstreckung gegen juristische Personen des öffentlichen Rechts</w:t>
        </w:r>
      </w:hyperlink>
    </w:p>
    <w:p>
      <w:pPr>
        <w:pStyle w:val="Übersicht"/>
        <w:ind w:left="680"/>
      </w:pPr>
      <w:hyperlink w:anchor="b398" w:history="1">
        <w:r>
          <w:rPr>
            <w:color w:val="0A3A8C"/>
            <w:u w:val="single"/>
          </w:rPr>
          <w:t xml:space="preserve">§ 256 Einwendungen gegen die Vollstreckung</w:t>
        </w:r>
      </w:hyperlink>
    </w:p>
    <w:p>
      <w:pPr>
        <w:pStyle w:val="Übersicht"/>
        <w:ind w:left="680"/>
      </w:pPr>
      <w:hyperlink w:anchor="b399" w:history="1">
        <w:r>
          <w:rPr>
            <w:color w:val="0A3A8C"/>
            <w:u w:val="single"/>
          </w:rPr>
          <w:t xml:space="preserve">§ 257 Einstellung und Beschränkung der Vollstreckung</w:t>
        </w:r>
      </w:hyperlink>
    </w:p>
    <w:p>
      <w:pPr>
        <w:pStyle w:val="Übersicht"/>
        <w:ind w:left="680"/>
      </w:pPr>
      <w:hyperlink w:anchor="b400" w:history="1">
        <w:r>
          <w:rPr>
            <w:color w:val="0A3A8C"/>
            <w:u w:val="single"/>
          </w:rPr>
          <w:t xml:space="preserve">§ 258 Einstweilige Einstellung oder Beschränkung der Vollstreckung</w:t>
        </w:r>
      </w:hyperlink>
    </w:p>
    <w:p>
      <w:pPr>
        <w:pStyle w:val="Übersicht"/>
        <w:ind w:left="340"/>
      </w:pPr>
      <w:hyperlink w:anchor="b401" w:history="1">
        <w:r>
          <w:rPr>
            <w:b/>
            <w:color w:val="0A3A8C"/>
            <w:u w:val="single"/>
          </w:rPr>
          <w:t xml:space="preserve">Zweiter Abschnitt Vollstreckung wegen Geldforderungen</w:t>
        </w:r>
      </w:hyperlink>
    </w:p>
    <w:p>
      <w:pPr>
        <w:pStyle w:val="Übersicht"/>
        <w:ind w:left="680"/>
      </w:pPr>
      <w:hyperlink w:anchor="b402" w:history="1">
        <w:r>
          <w:rPr>
            <w:b/>
            <w:color w:val="0A3A8C"/>
            <w:u w:val="single"/>
          </w:rPr>
          <w:t xml:space="preserve">1. Unterabschnitt Allgemeine Vorschriften</w:t>
        </w:r>
      </w:hyperlink>
    </w:p>
    <w:p>
      <w:pPr>
        <w:pStyle w:val="Übersicht"/>
        <w:ind w:left="1020"/>
      </w:pPr>
      <w:hyperlink w:anchor="b403" w:history="1">
        <w:r>
          <w:rPr>
            <w:color w:val="0A3A8C"/>
            <w:u w:val="single"/>
          </w:rPr>
          <w:t xml:space="preserve">§ 259 Mahnung</w:t>
        </w:r>
      </w:hyperlink>
    </w:p>
    <w:p>
      <w:pPr>
        <w:pStyle w:val="Übersicht"/>
        <w:ind w:left="1020"/>
      </w:pPr>
      <w:hyperlink w:anchor="b404" w:history="1">
        <w:r>
          <w:rPr>
            <w:color w:val="0A3A8C"/>
            <w:u w:val="single"/>
          </w:rPr>
          <w:t xml:space="preserve">§ 260 Angabe des Schuldgrundes</w:t>
        </w:r>
      </w:hyperlink>
    </w:p>
    <w:p>
      <w:pPr>
        <w:pStyle w:val="Übersicht"/>
        <w:ind w:left="1020"/>
      </w:pPr>
      <w:hyperlink w:anchor="b405" w:history="1">
        <w:r>
          <w:rPr>
            <w:color w:val="0A3A8C"/>
            <w:u w:val="single"/>
          </w:rPr>
          <w:t xml:space="preserve">§ 261 Niederschlagung</w:t>
        </w:r>
      </w:hyperlink>
    </w:p>
    <w:p>
      <w:pPr>
        <w:pStyle w:val="Übersicht"/>
        <w:ind w:left="1020"/>
      </w:pPr>
      <w:hyperlink w:anchor="b406" w:history="1">
        <w:r>
          <w:rPr>
            <w:color w:val="0A3A8C"/>
            <w:u w:val="single"/>
          </w:rPr>
          <w:t xml:space="preserve">§ 262 Rechte Dritter</w:t>
        </w:r>
      </w:hyperlink>
    </w:p>
    <w:p>
      <w:pPr>
        <w:pStyle w:val="Übersicht"/>
        <w:ind w:left="1020"/>
      </w:pPr>
      <w:hyperlink w:anchor="b407" w:history="1">
        <w:r>
          <w:rPr>
            <w:color w:val="0A3A8C"/>
            <w:u w:val="single"/>
          </w:rPr>
          <w:t xml:space="preserve">§ 263 Vollstreckung gegen Ehegatten oder Lebenspartner</w:t>
        </w:r>
      </w:hyperlink>
    </w:p>
    <w:p>
      <w:pPr>
        <w:pStyle w:val="Übersicht"/>
        <w:ind w:left="1020"/>
      </w:pPr>
      <w:hyperlink w:anchor="b408" w:history="1">
        <w:r>
          <w:rPr>
            <w:color w:val="0A3A8C"/>
            <w:u w:val="single"/>
          </w:rPr>
          <w:t xml:space="preserve">§ 264 Vollstreckung gegen Nießbraucher</w:t>
        </w:r>
      </w:hyperlink>
    </w:p>
    <w:p>
      <w:pPr>
        <w:pStyle w:val="Übersicht"/>
        <w:ind w:left="1020"/>
      </w:pPr>
      <w:hyperlink w:anchor="b409" w:history="1">
        <w:r>
          <w:rPr>
            <w:color w:val="0A3A8C"/>
            <w:u w:val="single"/>
          </w:rPr>
          <w:t xml:space="preserve">§ 265 Vollstreckung gegen Erben</w:t>
        </w:r>
      </w:hyperlink>
    </w:p>
    <w:p>
      <w:pPr>
        <w:pStyle w:val="Übersicht"/>
        <w:ind w:left="1020"/>
      </w:pPr>
      <w:hyperlink w:anchor="b410" w:history="1">
        <w:r>
          <w:rPr>
            <w:color w:val="0A3A8C"/>
            <w:u w:val="single"/>
          </w:rPr>
          <w:t xml:space="preserve">§ 266 Sonstige Fälle beschränkter Haftung</w:t>
        </w:r>
      </w:hyperlink>
    </w:p>
    <w:p>
      <w:pPr>
        <w:pStyle w:val="Übersicht"/>
        <w:ind w:left="1020"/>
      </w:pPr>
      <w:hyperlink w:anchor="b411" w:history="1">
        <w:r>
          <w:rPr>
            <w:color w:val="0A3A8C"/>
            <w:u w:val="single"/>
          </w:rPr>
          <w:t xml:space="preserve">§ 267 Vollstreckungsverfahren gegen Personenvereinigungen</w:t>
        </w:r>
      </w:hyperlink>
    </w:p>
    <w:p>
      <w:pPr>
        <w:pStyle w:val="Übersicht"/>
        <w:ind w:left="680"/>
      </w:pPr>
      <w:hyperlink w:anchor="b412" w:history="1">
        <w:r>
          <w:rPr>
            <w:b/>
            <w:color w:val="0A3A8C"/>
            <w:u w:val="single"/>
          </w:rPr>
          <w:t xml:space="preserve">2. Unterabschnitt Aufteilung einer Gesamtschuld</w:t>
        </w:r>
      </w:hyperlink>
    </w:p>
    <w:p>
      <w:pPr>
        <w:pStyle w:val="Übersicht"/>
        <w:ind w:left="1020"/>
      </w:pPr>
      <w:hyperlink w:anchor="b413" w:history="1">
        <w:r>
          <w:rPr>
            <w:color w:val="0A3A8C"/>
            <w:u w:val="single"/>
          </w:rPr>
          <w:t xml:space="preserve">§ 268 Grundsatz</w:t>
        </w:r>
      </w:hyperlink>
    </w:p>
    <w:p>
      <w:pPr>
        <w:pStyle w:val="Übersicht"/>
        <w:ind w:left="1020"/>
      </w:pPr>
      <w:hyperlink w:anchor="b414" w:history="1">
        <w:r>
          <w:rPr>
            <w:color w:val="0A3A8C"/>
            <w:u w:val="single"/>
          </w:rPr>
          <w:t xml:space="preserve">§ 269 Antrag</w:t>
        </w:r>
      </w:hyperlink>
    </w:p>
    <w:p>
      <w:pPr>
        <w:pStyle w:val="Übersicht"/>
        <w:ind w:left="1020"/>
      </w:pPr>
      <w:hyperlink w:anchor="b415" w:history="1">
        <w:r>
          <w:rPr>
            <w:color w:val="0A3A8C"/>
            <w:u w:val="single"/>
          </w:rPr>
          <w:t xml:space="preserve">§ 270 Allgemeiner Aufteilungsmaßstab</w:t>
        </w:r>
      </w:hyperlink>
    </w:p>
    <w:p>
      <w:pPr>
        <w:pStyle w:val="Übersicht"/>
        <w:ind w:left="1020"/>
      </w:pPr>
      <w:hyperlink w:anchor="b416" w:history="1">
        <w:r>
          <w:rPr>
            <w:color w:val="0A3A8C"/>
            <w:u w:val="single"/>
          </w:rPr>
          <w:t xml:space="preserve">§ 271 Aufteilungsmaßstab für die Vermögensteuer</w:t>
        </w:r>
      </w:hyperlink>
    </w:p>
    <w:p>
      <w:pPr>
        <w:pStyle w:val="Übersicht"/>
        <w:ind w:left="1020"/>
      </w:pPr>
      <w:hyperlink w:anchor="b417" w:history="1">
        <w:r>
          <w:rPr>
            <w:color w:val="0A3A8C"/>
            <w:u w:val="single"/>
          </w:rPr>
          <w:t xml:space="preserve">§ 272 Aufteilungsmaßstab für Vorauszahlungen</w:t>
        </w:r>
      </w:hyperlink>
    </w:p>
    <w:p>
      <w:pPr>
        <w:pStyle w:val="Übersicht"/>
        <w:ind w:left="1020"/>
      </w:pPr>
      <w:hyperlink w:anchor="b418" w:history="1">
        <w:r>
          <w:rPr>
            <w:color w:val="0A3A8C"/>
            <w:u w:val="single"/>
          </w:rPr>
          <w:t xml:space="preserve">§ 273 Aufteilungsmaßstab für Steuernachforderungen</w:t>
        </w:r>
      </w:hyperlink>
    </w:p>
    <w:p>
      <w:pPr>
        <w:pStyle w:val="Übersicht"/>
        <w:ind w:left="1020"/>
      </w:pPr>
      <w:hyperlink w:anchor="b419" w:history="1">
        <w:r>
          <w:rPr>
            <w:color w:val="0A3A8C"/>
            <w:u w:val="single"/>
          </w:rPr>
          <w:t xml:space="preserve">§ 274 Besonderer Aufteilungsmaßstab</w:t>
        </w:r>
      </w:hyperlink>
    </w:p>
    <w:p>
      <w:pPr>
        <w:pStyle w:val="Übersicht"/>
        <w:ind w:left="1020"/>
      </w:pPr>
      <w:hyperlink w:anchor="b420" w:history="1">
        <w:r>
          <w:rPr>
            <w:color w:val="0A3A8C"/>
            <w:u w:val="single"/>
          </w:rPr>
          <w:t xml:space="preserve">§ 275 (weggefallen)</w:t>
        </w:r>
      </w:hyperlink>
    </w:p>
    <w:p>
      <w:pPr>
        <w:pStyle w:val="Übersicht"/>
        <w:ind w:left="1020"/>
      </w:pPr>
      <w:hyperlink w:anchor="b421" w:history="1">
        <w:r>
          <w:rPr>
            <w:color w:val="0A3A8C"/>
            <w:u w:val="single"/>
          </w:rPr>
          <w:t xml:space="preserve">§ 276 Rückständige Steuer, Einleitung der Vollstreckung</w:t>
        </w:r>
      </w:hyperlink>
    </w:p>
    <w:p>
      <w:pPr>
        <w:pStyle w:val="Übersicht"/>
        <w:ind w:left="1020"/>
      </w:pPr>
      <w:hyperlink w:anchor="b422" w:history="1">
        <w:r>
          <w:rPr>
            <w:color w:val="0A3A8C"/>
            <w:u w:val="single"/>
          </w:rPr>
          <w:t xml:space="preserve">§ 277 Vollstreckung</w:t>
        </w:r>
      </w:hyperlink>
    </w:p>
    <w:p>
      <w:pPr>
        <w:pStyle w:val="Übersicht"/>
        <w:ind w:left="1020"/>
      </w:pPr>
      <w:hyperlink w:anchor="b423" w:history="1">
        <w:r>
          <w:rPr>
            <w:color w:val="0A3A8C"/>
            <w:u w:val="single"/>
          </w:rPr>
          <w:t xml:space="preserve">§ 278 Beschränkung der Vollstreckung</w:t>
        </w:r>
      </w:hyperlink>
    </w:p>
    <w:p>
      <w:pPr>
        <w:pStyle w:val="Übersicht"/>
        <w:ind w:left="1020"/>
      </w:pPr>
      <w:hyperlink w:anchor="b424" w:history="1">
        <w:r>
          <w:rPr>
            <w:color w:val="0A3A8C"/>
            <w:u w:val="single"/>
          </w:rPr>
          <w:t xml:space="preserve">§ 279 Form und Inhalt des Aufteilungsbescheids</w:t>
        </w:r>
      </w:hyperlink>
    </w:p>
    <w:p>
      <w:pPr>
        <w:pStyle w:val="Übersicht"/>
        <w:ind w:left="1020"/>
      </w:pPr>
      <w:hyperlink w:anchor="b425" w:history="1">
        <w:r>
          <w:rPr>
            <w:color w:val="0A3A8C"/>
            <w:u w:val="single"/>
          </w:rPr>
          <w:t xml:space="preserve">§ 280 Änderung des Aufteilungsbescheids</w:t>
        </w:r>
      </w:hyperlink>
    </w:p>
    <w:p>
      <w:pPr>
        <w:pStyle w:val="Übersicht"/>
        <w:ind w:left="680"/>
      </w:pPr>
      <w:hyperlink w:anchor="b426" w:history="1">
        <w:r>
          <w:rPr>
            <w:b/>
            <w:color w:val="0A3A8C"/>
            <w:u w:val="single"/>
          </w:rPr>
          <w:t xml:space="preserve">3. Unterabschnitt Vollstreckung in das bewegliche Vermögen</w:t>
        </w:r>
      </w:hyperlink>
    </w:p>
    <w:p>
      <w:pPr>
        <w:pStyle w:val="Übersicht"/>
        <w:ind w:left="1020"/>
      </w:pPr>
      <w:hyperlink w:anchor="b427" w:history="1">
        <w:r>
          <w:rPr>
            <w:b/>
            <w:color w:val="0A3A8C"/>
            <w:u w:val="single"/>
          </w:rPr>
          <w:t xml:space="preserve">I. Allgemeines</w:t>
        </w:r>
      </w:hyperlink>
    </w:p>
    <w:p>
      <w:pPr>
        <w:pStyle w:val="Übersicht"/>
        <w:ind w:left="1361"/>
      </w:pPr>
      <w:hyperlink w:anchor="b428" w:history="1">
        <w:r>
          <w:rPr>
            <w:color w:val="0A3A8C"/>
            <w:u w:val="single"/>
          </w:rPr>
          <w:t xml:space="preserve">§ 281 Pfändung</w:t>
        </w:r>
      </w:hyperlink>
    </w:p>
    <w:p>
      <w:pPr>
        <w:pStyle w:val="Übersicht"/>
        <w:ind w:left="1361"/>
      </w:pPr>
      <w:hyperlink w:anchor="b429" w:history="1">
        <w:r>
          <w:rPr>
            <w:color w:val="0A3A8C"/>
            <w:u w:val="single"/>
          </w:rPr>
          <w:t xml:space="preserve">§ 282 Wirkung der Pfändung</w:t>
        </w:r>
      </w:hyperlink>
    </w:p>
    <w:p>
      <w:pPr>
        <w:pStyle w:val="Übersicht"/>
        <w:ind w:left="1361"/>
      </w:pPr>
      <w:hyperlink w:anchor="b430" w:history="1">
        <w:r>
          <w:rPr>
            <w:color w:val="0A3A8C"/>
            <w:u w:val="single"/>
          </w:rPr>
          <w:t xml:space="preserve">§ 283 Ausschluss von Gewährleistungsansprüchen</w:t>
        </w:r>
      </w:hyperlink>
    </w:p>
    <w:p>
      <w:pPr>
        <w:pStyle w:val="Übersicht"/>
        <w:ind w:left="1361"/>
      </w:pPr>
      <w:hyperlink w:anchor="b431" w:history="1">
        <w:r>
          <w:rPr>
            <w:color w:val="0A3A8C"/>
            <w:u w:val="single"/>
          </w:rPr>
          <w:t xml:space="preserve">§ 284 Vermögensauskunft des Vollstreckungsschuldners</w:t>
        </w:r>
      </w:hyperlink>
    </w:p>
    <w:p>
      <w:pPr>
        <w:pStyle w:val="Übersicht"/>
        <w:ind w:left="1020"/>
      </w:pPr>
      <w:hyperlink w:anchor="b432" w:history="1">
        <w:r>
          <w:rPr>
            <w:b/>
            <w:color w:val="0A3A8C"/>
            <w:u w:val="single"/>
          </w:rPr>
          <w:t xml:space="preserve">II. Vollstreckung in Sachen</w:t>
        </w:r>
      </w:hyperlink>
    </w:p>
    <w:p>
      <w:pPr>
        <w:pStyle w:val="Übersicht"/>
        <w:ind w:left="1361"/>
      </w:pPr>
      <w:hyperlink w:anchor="b433" w:history="1">
        <w:r>
          <w:rPr>
            <w:color w:val="0A3A8C"/>
            <w:u w:val="single"/>
          </w:rPr>
          <w:t xml:space="preserve">§ 285 Vollziehungsbeamte</w:t>
        </w:r>
      </w:hyperlink>
    </w:p>
    <w:p>
      <w:pPr>
        <w:pStyle w:val="Übersicht"/>
        <w:ind w:left="1361"/>
      </w:pPr>
      <w:hyperlink w:anchor="b434" w:history="1">
        <w:r>
          <w:rPr>
            <w:color w:val="0A3A8C"/>
            <w:u w:val="single"/>
          </w:rPr>
          <w:t xml:space="preserve">§ 286 Vollstreckung in Sachen</w:t>
        </w:r>
      </w:hyperlink>
    </w:p>
    <w:p>
      <w:pPr>
        <w:pStyle w:val="Übersicht"/>
        <w:ind w:left="1361"/>
      </w:pPr>
      <w:hyperlink w:anchor="b435" w:history="1">
        <w:r>
          <w:rPr>
            <w:color w:val="0A3A8C"/>
            <w:u w:val="single"/>
          </w:rPr>
          <w:t xml:space="preserve">§ 287 Befugnisse des Vollziehungsbeamten</w:t>
        </w:r>
      </w:hyperlink>
    </w:p>
    <w:p>
      <w:pPr>
        <w:pStyle w:val="Übersicht"/>
        <w:ind w:left="1361"/>
      </w:pPr>
      <w:hyperlink w:anchor="b436" w:history="1">
        <w:r>
          <w:rPr>
            <w:color w:val="0A3A8C"/>
            <w:u w:val="single"/>
          </w:rPr>
          <w:t xml:space="preserve">§ 288 Zuziehung von Zeugen</w:t>
        </w:r>
      </w:hyperlink>
    </w:p>
    <w:p>
      <w:pPr>
        <w:pStyle w:val="Übersicht"/>
        <w:ind w:left="1361"/>
      </w:pPr>
      <w:hyperlink w:anchor="b437" w:history="1">
        <w:r>
          <w:rPr>
            <w:color w:val="0A3A8C"/>
            <w:u w:val="single"/>
          </w:rPr>
          <w:t xml:space="preserve">§ 289 Zeit der Vollstreckung</w:t>
        </w:r>
      </w:hyperlink>
    </w:p>
    <w:p>
      <w:pPr>
        <w:pStyle w:val="Übersicht"/>
        <w:ind w:left="1361"/>
      </w:pPr>
      <w:hyperlink w:anchor="b438" w:history="1">
        <w:r>
          <w:rPr>
            <w:color w:val="0A3A8C"/>
            <w:u w:val="single"/>
          </w:rPr>
          <w:t xml:space="preserve">§ 290 Aufforderungen und Mitteilungen des Vollziehungsbeamten</w:t>
        </w:r>
      </w:hyperlink>
    </w:p>
    <w:p>
      <w:pPr>
        <w:pStyle w:val="Übersicht"/>
        <w:ind w:left="1361"/>
      </w:pPr>
      <w:hyperlink w:anchor="b439" w:history="1">
        <w:r>
          <w:rPr>
            <w:color w:val="0A3A8C"/>
            <w:u w:val="single"/>
          </w:rPr>
          <w:t xml:space="preserve">§ 291 Niederschrift</w:t>
        </w:r>
      </w:hyperlink>
    </w:p>
    <w:p>
      <w:pPr>
        <w:pStyle w:val="Übersicht"/>
        <w:ind w:left="1361"/>
      </w:pPr>
      <w:hyperlink w:anchor="b440" w:history="1">
        <w:r>
          <w:rPr>
            <w:color w:val="0A3A8C"/>
            <w:u w:val="single"/>
          </w:rPr>
          <w:t xml:space="preserve">§ 292 Abwendung der Pfändung</w:t>
        </w:r>
      </w:hyperlink>
    </w:p>
    <w:p>
      <w:pPr>
        <w:pStyle w:val="Übersicht"/>
        <w:ind w:left="1361"/>
      </w:pPr>
      <w:hyperlink w:anchor="b441" w:history="1">
        <w:r>
          <w:rPr>
            <w:color w:val="0A3A8C"/>
            <w:u w:val="single"/>
          </w:rPr>
          <w:t xml:space="preserve">§ 293 Pfand- und Vorzugsrechte Dritter</w:t>
        </w:r>
      </w:hyperlink>
    </w:p>
    <w:p>
      <w:pPr>
        <w:pStyle w:val="Übersicht"/>
        <w:ind w:left="1361"/>
      </w:pPr>
      <w:hyperlink w:anchor="b442" w:history="1">
        <w:r>
          <w:rPr>
            <w:color w:val="0A3A8C"/>
            <w:u w:val="single"/>
          </w:rPr>
          <w:t xml:space="preserve">§ 294 Ungetrennte Früchte</w:t>
        </w:r>
      </w:hyperlink>
    </w:p>
    <w:p>
      <w:pPr>
        <w:pStyle w:val="Übersicht"/>
        <w:ind w:left="1361"/>
      </w:pPr>
      <w:hyperlink w:anchor="b443" w:history="1">
        <w:r>
          <w:rPr>
            <w:color w:val="0A3A8C"/>
            <w:u w:val="single"/>
          </w:rPr>
          <w:t xml:space="preserve">§ 295 Unpfändbarkeit von Sachen</w:t>
        </w:r>
      </w:hyperlink>
    </w:p>
    <w:p>
      <w:pPr>
        <w:pStyle w:val="Übersicht"/>
        <w:ind w:left="1361"/>
      </w:pPr>
      <w:hyperlink w:anchor="b444" w:history="1">
        <w:r>
          <w:rPr>
            <w:color w:val="0A3A8C"/>
            <w:u w:val="single"/>
          </w:rPr>
          <w:t xml:space="preserve">§ 296 Verwertung</w:t>
        </w:r>
      </w:hyperlink>
    </w:p>
    <w:p>
      <w:pPr>
        <w:pStyle w:val="Übersicht"/>
        <w:ind w:left="1361"/>
      </w:pPr>
      <w:hyperlink w:anchor="b445" w:history="1">
        <w:r>
          <w:rPr>
            <w:color w:val="0A3A8C"/>
            <w:u w:val="single"/>
          </w:rPr>
          <w:t xml:space="preserve">§ 297 Aussetzung der Verwertung</w:t>
        </w:r>
      </w:hyperlink>
    </w:p>
    <w:p>
      <w:pPr>
        <w:pStyle w:val="Übersicht"/>
        <w:ind w:left="1361"/>
      </w:pPr>
      <w:hyperlink w:anchor="b446" w:history="1">
        <w:r>
          <w:rPr>
            <w:color w:val="0A3A8C"/>
            <w:u w:val="single"/>
          </w:rPr>
          <w:t xml:space="preserve">§ 298 Versteigerung</w:t>
        </w:r>
      </w:hyperlink>
    </w:p>
    <w:p>
      <w:pPr>
        <w:pStyle w:val="Übersicht"/>
        <w:ind w:left="1361"/>
      </w:pPr>
      <w:hyperlink w:anchor="b447" w:history="1">
        <w:r>
          <w:rPr>
            <w:color w:val="0A3A8C"/>
            <w:u w:val="single"/>
          </w:rPr>
          <w:t xml:space="preserve">§ 299 Zuschlag</w:t>
        </w:r>
      </w:hyperlink>
    </w:p>
    <w:p>
      <w:pPr>
        <w:pStyle w:val="Übersicht"/>
        <w:ind w:left="1361"/>
      </w:pPr>
      <w:hyperlink w:anchor="b448" w:history="1">
        <w:r>
          <w:rPr>
            <w:color w:val="0A3A8C"/>
            <w:u w:val="single"/>
          </w:rPr>
          <w:t xml:space="preserve">§ 300 Mindestgebot</w:t>
        </w:r>
      </w:hyperlink>
    </w:p>
    <w:p>
      <w:pPr>
        <w:pStyle w:val="Übersicht"/>
        <w:ind w:left="1361"/>
      </w:pPr>
      <w:hyperlink w:anchor="b449" w:history="1">
        <w:r>
          <w:rPr>
            <w:color w:val="0A3A8C"/>
            <w:u w:val="single"/>
          </w:rPr>
          <w:t xml:space="preserve">§ 301 Einstellung der Versteigerung</w:t>
        </w:r>
      </w:hyperlink>
    </w:p>
    <w:p>
      <w:pPr>
        <w:pStyle w:val="Übersicht"/>
        <w:ind w:left="1361"/>
      </w:pPr>
      <w:hyperlink w:anchor="b450" w:history="1">
        <w:r>
          <w:rPr>
            <w:color w:val="0A3A8C"/>
            <w:u w:val="single"/>
          </w:rPr>
          <w:t xml:space="preserve">§ 302 Wertpapiere</w:t>
        </w:r>
      </w:hyperlink>
    </w:p>
    <w:p>
      <w:pPr>
        <w:pStyle w:val="Übersicht"/>
        <w:ind w:left="1361"/>
      </w:pPr>
      <w:hyperlink w:anchor="b451" w:history="1">
        <w:r>
          <w:rPr>
            <w:color w:val="0A3A8C"/>
            <w:u w:val="single"/>
          </w:rPr>
          <w:t xml:space="preserve">§ 303 Namenspapiere</w:t>
        </w:r>
      </w:hyperlink>
    </w:p>
    <w:p>
      <w:pPr>
        <w:pStyle w:val="Übersicht"/>
        <w:ind w:left="1361"/>
      </w:pPr>
      <w:hyperlink w:anchor="b452" w:history="1">
        <w:r>
          <w:rPr>
            <w:color w:val="0A3A8C"/>
            <w:u w:val="single"/>
          </w:rPr>
          <w:t xml:space="preserve">§ 304 Versteigerung ungetrennter Früchte</w:t>
        </w:r>
      </w:hyperlink>
    </w:p>
    <w:p>
      <w:pPr>
        <w:pStyle w:val="Übersicht"/>
        <w:ind w:left="1361"/>
      </w:pPr>
      <w:hyperlink w:anchor="b453" w:history="1">
        <w:r>
          <w:rPr>
            <w:color w:val="0A3A8C"/>
            <w:u w:val="single"/>
          </w:rPr>
          <w:t xml:space="preserve">§ 305 Besondere Verwertung</w:t>
        </w:r>
      </w:hyperlink>
    </w:p>
    <w:p>
      <w:pPr>
        <w:pStyle w:val="Übersicht"/>
        <w:ind w:left="1361"/>
      </w:pPr>
      <w:hyperlink w:anchor="b454" w:history="1">
        <w:r>
          <w:rPr>
            <w:color w:val="0A3A8C"/>
            <w:u w:val="single"/>
          </w:rPr>
          <w:t xml:space="preserve">§ 306 Vollstreckung in Ersatzteile von Luftfahrzeugen</w:t>
        </w:r>
      </w:hyperlink>
    </w:p>
    <w:p>
      <w:pPr>
        <w:pStyle w:val="Übersicht"/>
        <w:ind w:left="1361"/>
      </w:pPr>
      <w:hyperlink w:anchor="b455" w:history="1">
        <w:r>
          <w:rPr>
            <w:color w:val="0A3A8C"/>
            <w:u w:val="single"/>
          </w:rPr>
          <w:t xml:space="preserve">§ 307 Anschlusspfändung</w:t>
        </w:r>
      </w:hyperlink>
    </w:p>
    <w:p>
      <w:pPr>
        <w:pStyle w:val="Übersicht"/>
        <w:ind w:left="1361"/>
      </w:pPr>
      <w:hyperlink w:anchor="b456" w:history="1">
        <w:r>
          <w:rPr>
            <w:color w:val="0A3A8C"/>
            <w:u w:val="single"/>
          </w:rPr>
          <w:t xml:space="preserve">§ 308 Verwertung bei mehrfacher Pfändung</w:t>
        </w:r>
      </w:hyperlink>
    </w:p>
    <w:p>
      <w:pPr>
        <w:pStyle w:val="Übersicht"/>
        <w:ind w:left="1020"/>
      </w:pPr>
      <w:hyperlink w:anchor="b457" w:history="1">
        <w:r>
          <w:rPr>
            <w:b/>
            <w:color w:val="0A3A8C"/>
            <w:u w:val="single"/>
          </w:rPr>
          <w:t xml:space="preserve">III. Vollstreckung in Forderungen und andere Vermögensrechte</w:t>
        </w:r>
      </w:hyperlink>
    </w:p>
    <w:p>
      <w:pPr>
        <w:pStyle w:val="Übersicht"/>
        <w:ind w:left="1361"/>
      </w:pPr>
      <w:hyperlink w:anchor="b458" w:history="1">
        <w:r>
          <w:rPr>
            <w:color w:val="0A3A8C"/>
            <w:u w:val="single"/>
          </w:rPr>
          <w:t xml:space="preserve">§ 309 Pfändung einer Geldforderung</w:t>
        </w:r>
      </w:hyperlink>
    </w:p>
    <w:p>
      <w:pPr>
        <w:pStyle w:val="Übersicht"/>
        <w:ind w:left="1361"/>
      </w:pPr>
      <w:hyperlink w:anchor="b459" w:history="1">
        <w:r>
          <w:rPr>
            <w:color w:val="0A3A8C"/>
            <w:u w:val="single"/>
          </w:rPr>
          <w:t xml:space="preserve">§ 310 Pfändung einer durch Hypothek gesicherten Forderung</w:t>
        </w:r>
      </w:hyperlink>
    </w:p>
    <w:p>
      <w:pPr>
        <w:pStyle w:val="Übersicht"/>
        <w:ind w:left="1361"/>
      </w:pPr>
      <w:hyperlink w:anchor="b460" w:history="1">
        <w:r>
          <w:rPr>
            <w:color w:val="0A3A8C"/>
            <w:u w:val="single"/>
          </w:rPr>
          <w:t xml:space="preserve">§ 311 Pfändung einer durch Schiffshypothek oder Registerpfandrecht an einem Luftfahrzeug gesicherten Forderung</w:t>
        </w:r>
      </w:hyperlink>
    </w:p>
    <w:p>
      <w:pPr>
        <w:pStyle w:val="Übersicht"/>
        <w:ind w:left="1361"/>
      </w:pPr>
      <w:hyperlink w:anchor="b461" w:history="1">
        <w:r>
          <w:rPr>
            <w:color w:val="0A3A8C"/>
            <w:u w:val="single"/>
          </w:rPr>
          <w:t xml:space="preserve">§ 312 Pfändung einer Forderung aus indossablen Papieren</w:t>
        </w:r>
      </w:hyperlink>
    </w:p>
    <w:p>
      <w:pPr>
        <w:pStyle w:val="Übersicht"/>
        <w:ind w:left="1361"/>
      </w:pPr>
      <w:hyperlink w:anchor="b462" w:history="1">
        <w:r>
          <w:rPr>
            <w:color w:val="0A3A8C"/>
            <w:u w:val="single"/>
          </w:rPr>
          <w:t xml:space="preserve">§ 313 Pfändung fortlaufender Bezüge</w:t>
        </w:r>
      </w:hyperlink>
    </w:p>
    <w:p>
      <w:pPr>
        <w:pStyle w:val="Übersicht"/>
        <w:ind w:left="1361"/>
      </w:pPr>
      <w:hyperlink w:anchor="b463" w:history="1">
        <w:r>
          <w:rPr>
            <w:color w:val="0A3A8C"/>
            <w:u w:val="single"/>
          </w:rPr>
          <w:t xml:space="preserve">§ 314 Einziehungsverfügung</w:t>
        </w:r>
      </w:hyperlink>
    </w:p>
    <w:p>
      <w:pPr>
        <w:pStyle w:val="Übersicht"/>
        <w:ind w:left="1361"/>
      </w:pPr>
      <w:hyperlink w:anchor="b464" w:history="1">
        <w:r>
          <w:rPr>
            <w:color w:val="0A3A8C"/>
            <w:u w:val="single"/>
          </w:rPr>
          <w:t xml:space="preserve">§ 315 Wirkung der Einziehungsverfügung</w:t>
        </w:r>
      </w:hyperlink>
    </w:p>
    <w:p>
      <w:pPr>
        <w:pStyle w:val="Übersicht"/>
        <w:ind w:left="1361"/>
      </w:pPr>
      <w:hyperlink w:anchor="b465" w:history="1">
        <w:r>
          <w:rPr>
            <w:color w:val="0A3A8C"/>
            <w:u w:val="single"/>
          </w:rPr>
          <w:t xml:space="preserve">§ 316 Erklärungspflicht des Drittschuldners</w:t>
        </w:r>
      </w:hyperlink>
    </w:p>
    <w:p>
      <w:pPr>
        <w:pStyle w:val="Übersicht"/>
        <w:ind w:left="1361"/>
      </w:pPr>
      <w:hyperlink w:anchor="b466" w:history="1">
        <w:r>
          <w:rPr>
            <w:color w:val="0A3A8C"/>
            <w:u w:val="single"/>
          </w:rPr>
          <w:t xml:space="preserve">§ 317 Andere Art der Verwertung</w:t>
        </w:r>
      </w:hyperlink>
    </w:p>
    <w:p>
      <w:pPr>
        <w:pStyle w:val="Übersicht"/>
        <w:ind w:left="1361"/>
      </w:pPr>
      <w:hyperlink w:anchor="b467" w:history="1">
        <w:r>
          <w:rPr>
            <w:color w:val="0A3A8C"/>
            <w:u w:val="single"/>
          </w:rPr>
          <w:t xml:space="preserve">§ 318 Ansprüche auf Herausgabe oder Leistung von Sachen</w:t>
        </w:r>
      </w:hyperlink>
    </w:p>
    <w:p>
      <w:pPr>
        <w:pStyle w:val="Übersicht"/>
        <w:ind w:left="1361"/>
      </w:pPr>
      <w:hyperlink w:anchor="b468" w:history="1">
        <w:r>
          <w:rPr>
            <w:color w:val="0A3A8C"/>
            <w:u w:val="single"/>
          </w:rPr>
          <w:t xml:space="preserve">§ 319 Unpfändbarkeit von Forderungen</w:t>
        </w:r>
      </w:hyperlink>
    </w:p>
    <w:p>
      <w:pPr>
        <w:pStyle w:val="Übersicht"/>
        <w:ind w:left="1361"/>
      </w:pPr>
      <w:hyperlink w:anchor="b469" w:history="1">
        <w:r>
          <w:rPr>
            <w:color w:val="0A3A8C"/>
            <w:u w:val="single"/>
          </w:rPr>
          <w:t xml:space="preserve">§ 320 Mehrfache Pfändung einer Forderung</w:t>
        </w:r>
      </w:hyperlink>
    </w:p>
    <w:p>
      <w:pPr>
        <w:pStyle w:val="Übersicht"/>
        <w:ind w:left="1361"/>
      </w:pPr>
      <w:hyperlink w:anchor="b470" w:history="1">
        <w:r>
          <w:rPr>
            <w:color w:val="0A3A8C"/>
            <w:u w:val="single"/>
          </w:rPr>
          <w:t xml:space="preserve">§ 321 Vollstreckung in andere Vermögensrechte</w:t>
        </w:r>
      </w:hyperlink>
    </w:p>
    <w:p>
      <w:pPr>
        <w:pStyle w:val="Übersicht"/>
        <w:ind w:left="680"/>
      </w:pPr>
      <w:hyperlink w:anchor="b471" w:history="1">
        <w:r>
          <w:rPr>
            <w:b/>
            <w:color w:val="0A3A8C"/>
            <w:u w:val="single"/>
          </w:rPr>
          <w:t xml:space="preserve">4. Unterabschnitt Vollstreckung in das unbewegliche Vermögen</w:t>
        </w:r>
      </w:hyperlink>
    </w:p>
    <w:p>
      <w:pPr>
        <w:pStyle w:val="Übersicht"/>
        <w:ind w:left="1020"/>
      </w:pPr>
      <w:hyperlink w:anchor="b472" w:history="1">
        <w:r>
          <w:rPr>
            <w:color w:val="0A3A8C"/>
            <w:u w:val="single"/>
          </w:rPr>
          <w:t xml:space="preserve">§ 322 Verfahren</w:t>
        </w:r>
      </w:hyperlink>
    </w:p>
    <w:p>
      <w:pPr>
        <w:pStyle w:val="Übersicht"/>
        <w:ind w:left="1020"/>
      </w:pPr>
      <w:hyperlink w:anchor="b473" w:history="1">
        <w:r>
          <w:rPr>
            <w:color w:val="0A3A8C"/>
            <w:u w:val="single"/>
          </w:rPr>
          <w:t xml:space="preserve">§ 323 Vollstreckung gegen den Rechtsnachfolger</w:t>
        </w:r>
      </w:hyperlink>
    </w:p>
    <w:p>
      <w:pPr>
        <w:pStyle w:val="Übersicht"/>
        <w:ind w:left="680"/>
      </w:pPr>
      <w:hyperlink w:anchor="b474" w:history="1">
        <w:r>
          <w:rPr>
            <w:b/>
            <w:color w:val="0A3A8C"/>
            <w:u w:val="single"/>
          </w:rPr>
          <w:t xml:space="preserve">5. Unterabschnitt Arrest</w:t>
        </w:r>
      </w:hyperlink>
    </w:p>
    <w:p>
      <w:pPr>
        <w:pStyle w:val="Übersicht"/>
        <w:ind w:left="1020"/>
      </w:pPr>
      <w:hyperlink w:anchor="b475" w:history="1">
        <w:r>
          <w:rPr>
            <w:color w:val="0A3A8C"/>
            <w:u w:val="single"/>
          </w:rPr>
          <w:t xml:space="preserve">§ 324 Dinglicher Arrest</w:t>
        </w:r>
      </w:hyperlink>
    </w:p>
    <w:p>
      <w:pPr>
        <w:pStyle w:val="Übersicht"/>
        <w:ind w:left="1020"/>
      </w:pPr>
      <w:hyperlink w:anchor="b476" w:history="1">
        <w:r>
          <w:rPr>
            <w:color w:val="0A3A8C"/>
            <w:u w:val="single"/>
          </w:rPr>
          <w:t xml:space="preserve">§ 325 Aufhebung des dinglichen Arrestes</w:t>
        </w:r>
      </w:hyperlink>
    </w:p>
    <w:p>
      <w:pPr>
        <w:pStyle w:val="Übersicht"/>
        <w:ind w:left="1020"/>
      </w:pPr>
      <w:hyperlink w:anchor="b477" w:history="1">
        <w:r>
          <w:rPr>
            <w:color w:val="0A3A8C"/>
            <w:u w:val="single"/>
          </w:rPr>
          <w:t xml:space="preserve">§ 326 Persönlicher Sicherheitsarrest</w:t>
        </w:r>
      </w:hyperlink>
    </w:p>
    <w:p>
      <w:pPr>
        <w:pStyle w:val="Übersicht"/>
        <w:ind w:left="680"/>
      </w:pPr>
      <w:hyperlink w:anchor="b478" w:history="1">
        <w:r>
          <w:rPr>
            <w:b/>
            <w:color w:val="0A3A8C"/>
            <w:u w:val="single"/>
          </w:rPr>
          <w:t xml:space="preserve">6. Unterabschnitt Verwertung von Sicherheiten</w:t>
        </w:r>
      </w:hyperlink>
    </w:p>
    <w:p>
      <w:pPr>
        <w:pStyle w:val="Übersicht"/>
        <w:ind w:left="1020"/>
      </w:pPr>
      <w:hyperlink w:anchor="b479" w:history="1">
        <w:r>
          <w:rPr>
            <w:color w:val="0A3A8C"/>
            <w:u w:val="single"/>
          </w:rPr>
          <w:t xml:space="preserve">§ 327 Verwertung von Sicherheiten</w:t>
        </w:r>
      </w:hyperlink>
    </w:p>
    <w:p>
      <w:pPr>
        <w:pStyle w:val="Übersicht"/>
        <w:ind w:left="340"/>
      </w:pPr>
      <w:hyperlink w:anchor="b480" w:history="1">
        <w:r>
          <w:rPr>
            <w:b/>
            <w:color w:val="0A3A8C"/>
            <w:u w:val="single"/>
          </w:rPr>
          <w:t xml:space="preserve">Dritter Abschnitt Vollstreckung wegen anderer Leistungen als Geldforderungen</w:t>
        </w:r>
      </w:hyperlink>
    </w:p>
    <w:p>
      <w:pPr>
        <w:pStyle w:val="Übersicht"/>
        <w:ind w:left="680"/>
      </w:pPr>
      <w:hyperlink w:anchor="b481" w:history="1">
        <w:r>
          <w:rPr>
            <w:b/>
            <w:color w:val="0A3A8C"/>
            <w:u w:val="single"/>
          </w:rPr>
          <w:t xml:space="preserve">1. Unterabschnitt Vollstreckung wegen Handlungen, Duldungen oder Unterlassungen</w:t>
        </w:r>
      </w:hyperlink>
    </w:p>
    <w:p>
      <w:pPr>
        <w:pStyle w:val="Übersicht"/>
        <w:ind w:left="1020"/>
      </w:pPr>
      <w:hyperlink w:anchor="b482" w:history="1">
        <w:r>
          <w:rPr>
            <w:color w:val="0A3A8C"/>
            <w:u w:val="single"/>
          </w:rPr>
          <w:t xml:space="preserve">§ 328 Zwangsmittel</w:t>
        </w:r>
      </w:hyperlink>
    </w:p>
    <w:p>
      <w:pPr>
        <w:pStyle w:val="Übersicht"/>
        <w:ind w:left="1020"/>
      </w:pPr>
      <w:hyperlink w:anchor="b483" w:history="1">
        <w:r>
          <w:rPr>
            <w:color w:val="0A3A8C"/>
            <w:u w:val="single"/>
          </w:rPr>
          <w:t xml:space="preserve">§ 329 Zwangsgeld</w:t>
        </w:r>
      </w:hyperlink>
    </w:p>
    <w:p>
      <w:pPr>
        <w:pStyle w:val="Übersicht"/>
        <w:ind w:left="1020"/>
      </w:pPr>
      <w:hyperlink w:anchor="b484" w:history="1">
        <w:r>
          <w:rPr>
            <w:color w:val="0A3A8C"/>
            <w:u w:val="single"/>
          </w:rPr>
          <w:t xml:space="preserve">§ 330 Ersatzvornahme</w:t>
        </w:r>
      </w:hyperlink>
    </w:p>
    <w:p>
      <w:pPr>
        <w:pStyle w:val="Übersicht"/>
        <w:ind w:left="1020"/>
      </w:pPr>
      <w:hyperlink w:anchor="b485" w:history="1">
        <w:r>
          <w:rPr>
            <w:color w:val="0A3A8C"/>
            <w:u w:val="single"/>
          </w:rPr>
          <w:t xml:space="preserve">§ 331 Unmittelbarer Zwang</w:t>
        </w:r>
      </w:hyperlink>
    </w:p>
    <w:p>
      <w:pPr>
        <w:pStyle w:val="Übersicht"/>
        <w:ind w:left="1020"/>
      </w:pPr>
      <w:hyperlink w:anchor="b486" w:history="1">
        <w:r>
          <w:rPr>
            <w:color w:val="0A3A8C"/>
            <w:u w:val="single"/>
          </w:rPr>
          <w:t xml:space="preserve">§ 332 Androhung der Zwangsmittel</w:t>
        </w:r>
      </w:hyperlink>
    </w:p>
    <w:p>
      <w:pPr>
        <w:pStyle w:val="Übersicht"/>
        <w:ind w:left="1020"/>
      </w:pPr>
      <w:hyperlink w:anchor="b487" w:history="1">
        <w:r>
          <w:rPr>
            <w:color w:val="0A3A8C"/>
            <w:u w:val="single"/>
          </w:rPr>
          <w:t xml:space="preserve">§ 333 Festsetzung der Zwangsmittel</w:t>
        </w:r>
      </w:hyperlink>
    </w:p>
    <w:p>
      <w:pPr>
        <w:pStyle w:val="Übersicht"/>
        <w:ind w:left="1020"/>
      </w:pPr>
      <w:hyperlink w:anchor="b488" w:history="1">
        <w:r>
          <w:rPr>
            <w:color w:val="0A3A8C"/>
            <w:u w:val="single"/>
          </w:rPr>
          <w:t xml:space="preserve">§ 334 Ersatzzwangshaft</w:t>
        </w:r>
      </w:hyperlink>
    </w:p>
    <w:p>
      <w:pPr>
        <w:pStyle w:val="Übersicht"/>
        <w:ind w:left="1020"/>
      </w:pPr>
      <w:hyperlink w:anchor="b489" w:history="1">
        <w:r>
          <w:rPr>
            <w:color w:val="0A3A8C"/>
            <w:u w:val="single"/>
          </w:rPr>
          <w:t xml:space="preserve">§ 335 Beendigung des Zwangsverfahrens</w:t>
        </w:r>
      </w:hyperlink>
    </w:p>
    <w:p>
      <w:pPr>
        <w:pStyle w:val="Übersicht"/>
        <w:ind w:left="680"/>
      </w:pPr>
      <w:hyperlink w:anchor="b490" w:history="1">
        <w:r>
          <w:rPr>
            <w:b/>
            <w:color w:val="0A3A8C"/>
            <w:u w:val="single"/>
          </w:rPr>
          <w:t xml:space="preserve">2. Unterabschnitt Erzwingung von Sicherheiten</w:t>
        </w:r>
      </w:hyperlink>
    </w:p>
    <w:p>
      <w:pPr>
        <w:pStyle w:val="Übersicht"/>
        <w:ind w:left="1020"/>
      </w:pPr>
      <w:hyperlink w:anchor="b491" w:history="1">
        <w:r>
          <w:rPr>
            <w:color w:val="0A3A8C"/>
            <w:u w:val="single"/>
          </w:rPr>
          <w:t xml:space="preserve">§ 336 Erzwingung von Sicherheiten</w:t>
        </w:r>
      </w:hyperlink>
    </w:p>
    <w:p>
      <w:pPr>
        <w:pStyle w:val="Übersicht"/>
        <w:ind w:left="340"/>
      </w:pPr>
      <w:hyperlink w:anchor="b492" w:history="1">
        <w:r>
          <w:rPr>
            <w:b/>
            <w:color w:val="0A3A8C"/>
            <w:u w:val="single"/>
          </w:rPr>
          <w:t xml:space="preserve">Vierter Abschnitt Kosten</w:t>
        </w:r>
      </w:hyperlink>
    </w:p>
    <w:p>
      <w:pPr>
        <w:pStyle w:val="Übersicht"/>
        <w:ind w:left="680"/>
      </w:pPr>
      <w:hyperlink w:anchor="b493" w:history="1">
        <w:r>
          <w:rPr>
            <w:color w:val="0A3A8C"/>
            <w:u w:val="single"/>
          </w:rPr>
          <w:t xml:space="preserve">§ 337 Kosten der Vollstreckung</w:t>
        </w:r>
      </w:hyperlink>
    </w:p>
    <w:p>
      <w:pPr>
        <w:pStyle w:val="Übersicht"/>
        <w:ind w:left="680"/>
      </w:pPr>
      <w:hyperlink w:anchor="b494" w:history="1">
        <w:r>
          <w:rPr>
            <w:color w:val="0A3A8C"/>
            <w:u w:val="single"/>
          </w:rPr>
          <w:t xml:space="preserve">§ 338 Gebührenarten</w:t>
        </w:r>
      </w:hyperlink>
    </w:p>
    <w:p>
      <w:pPr>
        <w:pStyle w:val="Übersicht"/>
        <w:ind w:left="680"/>
      </w:pPr>
      <w:hyperlink w:anchor="b495" w:history="1">
        <w:r>
          <w:rPr>
            <w:color w:val="0A3A8C"/>
            <w:u w:val="single"/>
          </w:rPr>
          <w:t xml:space="preserve">§ 339 Pfändungsgebühr</w:t>
        </w:r>
      </w:hyperlink>
    </w:p>
    <w:p>
      <w:pPr>
        <w:pStyle w:val="Übersicht"/>
        <w:ind w:left="680"/>
      </w:pPr>
      <w:hyperlink w:anchor="b496" w:history="1">
        <w:r>
          <w:rPr>
            <w:color w:val="0A3A8C"/>
            <w:u w:val="single"/>
          </w:rPr>
          <w:t xml:space="preserve">§ 340 Wegnahmegebühr</w:t>
        </w:r>
      </w:hyperlink>
    </w:p>
    <w:p>
      <w:pPr>
        <w:pStyle w:val="Übersicht"/>
        <w:ind w:left="680"/>
      </w:pPr>
      <w:hyperlink w:anchor="b497" w:history="1">
        <w:r>
          <w:rPr>
            <w:color w:val="0A3A8C"/>
            <w:u w:val="single"/>
          </w:rPr>
          <w:t xml:space="preserve">§ 341 Verwertungsgebühr</w:t>
        </w:r>
      </w:hyperlink>
    </w:p>
    <w:p>
      <w:pPr>
        <w:pStyle w:val="Übersicht"/>
        <w:ind w:left="680"/>
      </w:pPr>
      <w:hyperlink w:anchor="b498" w:history="1">
        <w:r>
          <w:rPr>
            <w:color w:val="0A3A8C"/>
            <w:u w:val="single"/>
          </w:rPr>
          <w:t xml:space="preserve">§ 342 Mehrheit von Schuldnern</w:t>
        </w:r>
      </w:hyperlink>
    </w:p>
    <w:p>
      <w:pPr>
        <w:pStyle w:val="Übersicht"/>
        <w:ind w:left="680"/>
      </w:pPr>
      <w:hyperlink w:anchor="b499" w:history="1">
        <w:r>
          <w:rPr>
            <w:color w:val="0A3A8C"/>
            <w:u w:val="single"/>
          </w:rPr>
          <w:t xml:space="preserve">§ 343 (weggefallen)</w:t>
        </w:r>
      </w:hyperlink>
    </w:p>
    <w:p>
      <w:pPr>
        <w:pStyle w:val="Übersicht"/>
        <w:ind w:left="680"/>
      </w:pPr>
      <w:hyperlink w:anchor="b500" w:history="1">
        <w:r>
          <w:rPr>
            <w:color w:val="0A3A8C"/>
            <w:u w:val="single"/>
          </w:rPr>
          <w:t xml:space="preserve">§ 344 Auslagen</w:t>
        </w:r>
      </w:hyperlink>
    </w:p>
    <w:p>
      <w:pPr>
        <w:pStyle w:val="Übersicht"/>
        <w:ind w:left="680"/>
      </w:pPr>
      <w:hyperlink w:anchor="b501" w:history="1">
        <w:r>
          <w:rPr>
            <w:color w:val="0A3A8C"/>
            <w:u w:val="single"/>
          </w:rPr>
          <w:t xml:space="preserve">§ 345 Reisekosten und Aufwandsentschädigungen</w:t>
        </w:r>
      </w:hyperlink>
    </w:p>
    <w:p>
      <w:pPr>
        <w:pStyle w:val="Übersicht"/>
        <w:ind w:left="680"/>
      </w:pPr>
      <w:hyperlink w:anchor="b502" w:history="1">
        <w:r>
          <w:rPr>
            <w:color w:val="0A3A8C"/>
            <w:u w:val="single"/>
          </w:rPr>
          <w:t xml:space="preserve">§ 346 Unrichtige Sachbehandlung, Festsetzungsfrist</w:t>
        </w:r>
      </w:hyperlink>
    </w:p>
    <w:p>
      <w:pPr>
        <w:pStyle w:val="Übersicht"/>
        <w:ind w:left="0"/>
      </w:pPr>
      <w:hyperlink w:anchor="b503" w:history="1">
        <w:r>
          <w:rPr>
            <w:b/>
            <w:color w:val="0A3A8C"/>
            <w:u w:val="single"/>
          </w:rPr>
          <w:t xml:space="preserve">Siebenter Teil Außergerichtliches Rechtsbehelfsverfahren</w:t>
        </w:r>
      </w:hyperlink>
    </w:p>
    <w:p>
      <w:pPr>
        <w:pStyle w:val="Übersicht"/>
        <w:ind w:left="340"/>
      </w:pPr>
      <w:hyperlink w:anchor="b504" w:history="1">
        <w:r>
          <w:rPr>
            <w:b/>
            <w:color w:val="0A3A8C"/>
            <w:u w:val="single"/>
          </w:rPr>
          <w:t xml:space="preserve">Erster Abschnitt Zulässigkeit</w:t>
        </w:r>
      </w:hyperlink>
    </w:p>
    <w:p>
      <w:pPr>
        <w:pStyle w:val="Übersicht"/>
        <w:ind w:left="680"/>
      </w:pPr>
      <w:hyperlink w:anchor="b505" w:history="1">
        <w:r>
          <w:rPr>
            <w:color w:val="0A3A8C"/>
            <w:u w:val="single"/>
          </w:rPr>
          <w:t xml:space="preserve">§ 347 Statthaftigkeit des Einspruchs</w:t>
        </w:r>
      </w:hyperlink>
    </w:p>
    <w:p>
      <w:pPr>
        <w:pStyle w:val="Übersicht"/>
        <w:ind w:left="680"/>
      </w:pPr>
      <w:hyperlink w:anchor="b506" w:history="1">
        <w:r>
          <w:rPr>
            <w:color w:val="0A3A8C"/>
            <w:u w:val="single"/>
          </w:rPr>
          <w:t xml:space="preserve">§ 348 Ausschluss des Einspruchs</w:t>
        </w:r>
      </w:hyperlink>
    </w:p>
    <w:p>
      <w:pPr>
        <w:pStyle w:val="Übersicht"/>
        <w:ind w:left="680"/>
      </w:pPr>
      <w:hyperlink w:anchor="b507" w:history="1">
        <w:r>
          <w:rPr>
            <w:color w:val="0A3A8C"/>
            <w:u w:val="single"/>
          </w:rPr>
          <w:t xml:space="preserve">§ 349 (weggefallen)</w:t>
        </w:r>
      </w:hyperlink>
    </w:p>
    <w:p>
      <w:pPr>
        <w:pStyle w:val="Übersicht"/>
        <w:ind w:left="680"/>
      </w:pPr>
      <w:hyperlink w:anchor="b508" w:history="1">
        <w:r>
          <w:rPr>
            <w:color w:val="0A3A8C"/>
            <w:u w:val="single"/>
          </w:rPr>
          <w:t xml:space="preserve">§ 350 Beschwer</w:t>
        </w:r>
      </w:hyperlink>
    </w:p>
    <w:p>
      <w:pPr>
        <w:pStyle w:val="Übersicht"/>
        <w:ind w:left="680"/>
      </w:pPr>
      <w:hyperlink w:anchor="b509" w:history="1">
        <w:r>
          <w:rPr>
            <w:color w:val="0A3A8C"/>
            <w:u w:val="single"/>
          </w:rPr>
          <w:t xml:space="preserve">§ 351 Bindungswirkung anderer Verwaltungsakte</w:t>
        </w:r>
      </w:hyperlink>
    </w:p>
    <w:p>
      <w:pPr>
        <w:pStyle w:val="Übersicht"/>
        <w:ind w:left="680"/>
      </w:pPr>
      <w:hyperlink w:anchor="b510" w:history="1">
        <w:r>
          <w:rPr>
            <w:color w:val="0A3A8C"/>
            <w:u w:val="single"/>
          </w:rPr>
          <w:t xml:space="preserve">§ 352 Einspruchsbefugnis bei der gesonderten und einheitlichen Feststellung</w:t>
        </w:r>
      </w:hyperlink>
    </w:p>
    <w:p>
      <w:pPr>
        <w:pStyle w:val="Übersicht"/>
        <w:ind w:left="680"/>
      </w:pPr>
      <w:hyperlink w:anchor="b511" w:history="1">
        <w:r>
          <w:rPr>
            <w:color w:val="0A3A8C"/>
            <w:u w:val="single"/>
          </w:rPr>
          <w:t xml:space="preserve">§ 353 Einspruchsbefugnis des Rechtsnachfolgers</w:t>
        </w:r>
      </w:hyperlink>
    </w:p>
    <w:p>
      <w:pPr>
        <w:pStyle w:val="Übersicht"/>
        <w:ind w:left="680"/>
      </w:pPr>
      <w:hyperlink w:anchor="b512" w:history="1">
        <w:r>
          <w:rPr>
            <w:color w:val="0A3A8C"/>
            <w:u w:val="single"/>
          </w:rPr>
          <w:t xml:space="preserve">§ 354 Einspruchsverzicht</w:t>
        </w:r>
      </w:hyperlink>
    </w:p>
    <w:p>
      <w:pPr>
        <w:pStyle w:val="Übersicht"/>
        <w:ind w:left="340"/>
      </w:pPr>
      <w:hyperlink w:anchor="b513" w:history="1">
        <w:r>
          <w:rPr>
            <w:b/>
            <w:color w:val="0A3A8C"/>
            <w:u w:val="single"/>
          </w:rPr>
          <w:t xml:space="preserve">Zweiter Abschnitt Verfahrensvorschriften</w:t>
        </w:r>
      </w:hyperlink>
    </w:p>
    <w:p>
      <w:pPr>
        <w:pStyle w:val="Übersicht"/>
        <w:ind w:left="680"/>
      </w:pPr>
      <w:hyperlink w:anchor="b514" w:history="1">
        <w:r>
          <w:rPr>
            <w:color w:val="0A3A8C"/>
            <w:u w:val="single"/>
          </w:rPr>
          <w:t xml:space="preserve">§ 355 Einspruchsfrist</w:t>
        </w:r>
      </w:hyperlink>
    </w:p>
    <w:p>
      <w:pPr>
        <w:pStyle w:val="Übersicht"/>
        <w:ind w:left="680"/>
      </w:pPr>
      <w:hyperlink w:anchor="b515" w:history="1">
        <w:r>
          <w:rPr>
            <w:color w:val="0A3A8C"/>
            <w:u w:val="single"/>
          </w:rPr>
          <w:t xml:space="preserve">§ 356 Rechtsbehelfsbelehrung</w:t>
        </w:r>
      </w:hyperlink>
    </w:p>
    <w:p>
      <w:pPr>
        <w:pStyle w:val="Übersicht"/>
        <w:ind w:left="680"/>
      </w:pPr>
      <w:hyperlink w:anchor="b516" w:history="1">
        <w:r>
          <w:rPr>
            <w:color w:val="0A3A8C"/>
            <w:u w:val="single"/>
          </w:rPr>
          <w:t xml:space="preserve">§ 357 Einlegung des Einspruchs</w:t>
        </w:r>
      </w:hyperlink>
    </w:p>
    <w:p>
      <w:pPr>
        <w:pStyle w:val="Übersicht"/>
        <w:ind w:left="680"/>
      </w:pPr>
      <w:hyperlink w:anchor="b517" w:history="1">
        <w:r>
          <w:rPr>
            <w:color w:val="0A3A8C"/>
            <w:u w:val="single"/>
          </w:rPr>
          <w:t xml:space="preserve">§ 358 Prüfung der Zulässigkeitsvoraussetzungen</w:t>
        </w:r>
      </w:hyperlink>
    </w:p>
    <w:p>
      <w:pPr>
        <w:pStyle w:val="Übersicht"/>
        <w:ind w:left="680"/>
      </w:pPr>
      <w:hyperlink w:anchor="b518" w:history="1">
        <w:r>
          <w:rPr>
            <w:color w:val="0A3A8C"/>
            <w:u w:val="single"/>
          </w:rPr>
          <w:t xml:space="preserve">§ 359 Beteiligte</w:t>
        </w:r>
      </w:hyperlink>
    </w:p>
    <w:p>
      <w:pPr>
        <w:pStyle w:val="Übersicht"/>
        <w:ind w:left="680"/>
      </w:pPr>
      <w:hyperlink w:anchor="b519" w:history="1">
        <w:r>
          <w:rPr>
            <w:color w:val="0A3A8C"/>
            <w:u w:val="single"/>
          </w:rPr>
          <w:t xml:space="preserve">§ 360 Hinzuziehung zum Verfahren</w:t>
        </w:r>
      </w:hyperlink>
    </w:p>
    <w:p>
      <w:pPr>
        <w:pStyle w:val="Übersicht"/>
        <w:ind w:left="680"/>
      </w:pPr>
      <w:hyperlink w:anchor="b520" w:history="1">
        <w:r>
          <w:rPr>
            <w:color w:val="0A3A8C"/>
            <w:u w:val="single"/>
          </w:rPr>
          <w:t xml:space="preserve">§ 361 Aussetzung der Vollziehung</w:t>
        </w:r>
      </w:hyperlink>
    </w:p>
    <w:p>
      <w:pPr>
        <w:pStyle w:val="Übersicht"/>
        <w:ind w:left="680"/>
      </w:pPr>
      <w:hyperlink w:anchor="b521" w:history="1">
        <w:r>
          <w:rPr>
            <w:color w:val="0A3A8C"/>
            <w:u w:val="single"/>
          </w:rPr>
          <w:t xml:space="preserve">§ 362 Rücknahme des Einspruchs</w:t>
        </w:r>
      </w:hyperlink>
    </w:p>
    <w:p>
      <w:pPr>
        <w:pStyle w:val="Übersicht"/>
        <w:ind w:left="680"/>
      </w:pPr>
      <w:hyperlink w:anchor="b522" w:history="1">
        <w:r>
          <w:rPr>
            <w:color w:val="0A3A8C"/>
            <w:u w:val="single"/>
          </w:rPr>
          <w:t xml:space="preserve">§ 363 Aussetzung und Ruhen des Verfahrens</w:t>
        </w:r>
      </w:hyperlink>
    </w:p>
    <w:p>
      <w:pPr>
        <w:pStyle w:val="Übersicht"/>
        <w:ind w:left="680"/>
      </w:pPr>
      <w:hyperlink w:anchor="b523" w:history="1">
        <w:r>
          <w:rPr>
            <w:color w:val="0A3A8C"/>
            <w:u w:val="single"/>
          </w:rPr>
          <w:t xml:space="preserve">§ 364 Offenlegung der Besteuerungsunterlagen</w:t>
        </w:r>
      </w:hyperlink>
    </w:p>
    <w:p>
      <w:pPr>
        <w:pStyle w:val="Übersicht"/>
        <w:ind w:left="680"/>
      </w:pPr>
      <w:hyperlink w:anchor="b524" w:history="1">
        <w:r>
          <w:rPr>
            <w:color w:val="0A3A8C"/>
            <w:u w:val="single"/>
          </w:rPr>
          <w:t xml:space="preserve">§ 364a Erörterung des Sach- und Rechtsstands</w:t>
        </w:r>
      </w:hyperlink>
    </w:p>
    <w:p>
      <w:pPr>
        <w:pStyle w:val="Übersicht"/>
        <w:ind w:left="680"/>
      </w:pPr>
      <w:hyperlink w:anchor="b525" w:history="1">
        <w:r>
          <w:rPr>
            <w:color w:val="0A3A8C"/>
            <w:u w:val="single"/>
          </w:rPr>
          <w:t xml:space="preserve">§ 364b Fristsetzung</w:t>
        </w:r>
      </w:hyperlink>
    </w:p>
    <w:p>
      <w:pPr>
        <w:pStyle w:val="Übersicht"/>
        <w:ind w:left="680"/>
      </w:pPr>
      <w:hyperlink w:anchor="b526" w:history="1">
        <w:r>
          <w:rPr>
            <w:color w:val="0A3A8C"/>
            <w:u w:val="single"/>
          </w:rPr>
          <w:t xml:space="preserve">§ 365 Anwendung von Verfahrensvorschriften</w:t>
        </w:r>
      </w:hyperlink>
    </w:p>
    <w:p>
      <w:pPr>
        <w:pStyle w:val="Übersicht"/>
        <w:ind w:left="680"/>
      </w:pPr>
      <w:hyperlink w:anchor="b527" w:history="1">
        <w:r>
          <w:rPr>
            <w:color w:val="0A3A8C"/>
            <w:u w:val="single"/>
          </w:rPr>
          <w:t xml:space="preserve">§ 366 Form, Inhalt und Erteilung der Einspruchsentscheidung</w:t>
        </w:r>
      </w:hyperlink>
    </w:p>
    <w:p>
      <w:pPr>
        <w:pStyle w:val="Übersicht"/>
        <w:ind w:left="680"/>
      </w:pPr>
      <w:hyperlink w:anchor="b528" w:history="1">
        <w:r>
          <w:rPr>
            <w:color w:val="0A3A8C"/>
            <w:u w:val="single"/>
          </w:rPr>
          <w:t xml:space="preserve">§ 367 Entscheidung über den Einspruch</w:t>
        </w:r>
      </w:hyperlink>
    </w:p>
    <w:p>
      <w:pPr>
        <w:pStyle w:val="Übersicht"/>
        <w:ind w:left="680"/>
      </w:pPr>
      <w:hyperlink w:anchor="b529" w:history="1">
        <w:r>
          <w:rPr>
            <w:color w:val="0A3A8C"/>
            <w:u w:val="single"/>
          </w:rPr>
          <w:t xml:space="preserve">§ 368 (weggefallen)</w:t>
        </w:r>
      </w:hyperlink>
    </w:p>
    <w:p>
      <w:pPr>
        <w:pStyle w:val="Übersicht"/>
        <w:ind w:left="0"/>
      </w:pPr>
      <w:hyperlink w:anchor="b530" w:history="1">
        <w:r>
          <w:rPr>
            <w:b/>
            <w:color w:val="0A3A8C"/>
            <w:u w:val="single"/>
          </w:rPr>
          <w:t xml:space="preserve">Achter Teil Straf- und Bußgeldvorschriften, Straf- und Bußgeldverfahren</w:t>
        </w:r>
      </w:hyperlink>
    </w:p>
    <w:p>
      <w:pPr>
        <w:pStyle w:val="Übersicht"/>
        <w:ind w:left="340"/>
      </w:pPr>
      <w:hyperlink w:anchor="b531" w:history="1">
        <w:r>
          <w:rPr>
            <w:b/>
            <w:color w:val="0A3A8C"/>
            <w:u w:val="single"/>
          </w:rPr>
          <w:t xml:space="preserve">Erster Abschnitt Strafvorschriften</w:t>
        </w:r>
      </w:hyperlink>
    </w:p>
    <w:p>
      <w:pPr>
        <w:pStyle w:val="Übersicht"/>
        <w:ind w:left="680"/>
      </w:pPr>
      <w:hyperlink w:anchor="b532" w:history="1">
        <w:r>
          <w:rPr>
            <w:color w:val="0A3A8C"/>
            <w:u w:val="single"/>
          </w:rPr>
          <w:t xml:space="preserve">§ 369 Steuerstraftaten</w:t>
        </w:r>
      </w:hyperlink>
    </w:p>
    <w:p>
      <w:pPr>
        <w:pStyle w:val="Übersicht"/>
        <w:ind w:left="680"/>
      </w:pPr>
      <w:hyperlink w:anchor="b533" w:history="1">
        <w:r>
          <w:rPr>
            <w:color w:val="0A3A8C"/>
            <w:u w:val="single"/>
          </w:rPr>
          <w:t xml:space="preserve">§ 370 Steuerhinterziehung</w:t>
        </w:r>
      </w:hyperlink>
    </w:p>
    <w:p>
      <w:pPr>
        <w:pStyle w:val="Übersicht"/>
        <w:ind w:left="680"/>
      </w:pPr>
      <w:hyperlink w:anchor="b534" w:history="1">
        <w:r>
          <w:rPr>
            <w:color w:val="0A3A8C"/>
            <w:u w:val="single"/>
          </w:rPr>
          <w:t xml:space="preserve">§ 371 Selbstanzeige bei Steuerhinterziehung</w:t>
        </w:r>
      </w:hyperlink>
    </w:p>
    <w:p>
      <w:pPr>
        <w:pStyle w:val="Übersicht"/>
        <w:ind w:left="680"/>
      </w:pPr>
      <w:hyperlink w:anchor="b535" w:history="1">
        <w:r>
          <w:rPr>
            <w:color w:val="0A3A8C"/>
            <w:u w:val="single"/>
          </w:rPr>
          <w:t xml:space="preserve">§ 372 Bannbruch</w:t>
        </w:r>
      </w:hyperlink>
    </w:p>
    <w:p>
      <w:pPr>
        <w:pStyle w:val="Übersicht"/>
        <w:ind w:left="680"/>
      </w:pPr>
      <w:hyperlink w:anchor="b536" w:history="1">
        <w:r>
          <w:rPr>
            <w:color w:val="0A3A8C"/>
            <w:u w:val="single"/>
          </w:rPr>
          <w:t xml:space="preserve">§ 373 Gewerbsmäßiger, gewaltsamer und bandenmäßiger Schmuggel</w:t>
        </w:r>
      </w:hyperlink>
    </w:p>
    <w:p>
      <w:pPr>
        <w:pStyle w:val="Übersicht"/>
        <w:ind w:left="680"/>
      </w:pPr>
      <w:hyperlink w:anchor="b537" w:history="1">
        <w:r>
          <w:rPr>
            <w:color w:val="0A3A8C"/>
            <w:u w:val="single"/>
          </w:rPr>
          <w:t xml:space="preserve">§ 374 Steuerhehlerei</w:t>
        </w:r>
      </w:hyperlink>
    </w:p>
    <w:p>
      <w:pPr>
        <w:pStyle w:val="Übersicht"/>
        <w:ind w:left="680"/>
      </w:pPr>
      <w:hyperlink w:anchor="b538" w:history="1">
        <w:r>
          <w:rPr>
            <w:color w:val="0A3A8C"/>
            <w:u w:val="single"/>
          </w:rPr>
          <w:t xml:space="preserve">§ 375 Nebenfolgen</w:t>
        </w:r>
      </w:hyperlink>
    </w:p>
    <w:p>
      <w:pPr>
        <w:pStyle w:val="Übersicht"/>
        <w:ind w:left="680"/>
      </w:pPr>
      <w:hyperlink w:anchor="b539" w:history="1">
        <w:r>
          <w:rPr>
            <w:color w:val="0A3A8C"/>
            <w:u w:val="single"/>
          </w:rPr>
          <w:t xml:space="preserve">§ 376 Verfolgungsverjährung</w:t>
        </w:r>
      </w:hyperlink>
    </w:p>
    <w:p>
      <w:pPr>
        <w:pStyle w:val="Übersicht"/>
        <w:ind w:left="340"/>
      </w:pPr>
      <w:hyperlink w:anchor="b540" w:history="1">
        <w:r>
          <w:rPr>
            <w:b/>
            <w:color w:val="0A3A8C"/>
            <w:u w:val="single"/>
          </w:rPr>
          <w:t xml:space="preserve">Zweiter Abschnitt Bußgeldvorschriften</w:t>
        </w:r>
      </w:hyperlink>
    </w:p>
    <w:p>
      <w:pPr>
        <w:pStyle w:val="Übersicht"/>
        <w:ind w:left="680"/>
      </w:pPr>
      <w:hyperlink w:anchor="b541" w:history="1">
        <w:r>
          <w:rPr>
            <w:color w:val="0A3A8C"/>
            <w:u w:val="single"/>
          </w:rPr>
          <w:t xml:space="preserve">§ 377 Steuerordnungswidrigkeiten</w:t>
        </w:r>
      </w:hyperlink>
    </w:p>
    <w:p>
      <w:pPr>
        <w:pStyle w:val="Übersicht"/>
        <w:ind w:left="680"/>
      </w:pPr>
      <w:hyperlink w:anchor="b542" w:history="1">
        <w:r>
          <w:rPr>
            <w:color w:val="0A3A8C"/>
            <w:u w:val="single"/>
          </w:rPr>
          <w:t xml:space="preserve">§ 378 Leichtfertige Steuerverkürzung</w:t>
        </w:r>
      </w:hyperlink>
    </w:p>
    <w:p>
      <w:pPr>
        <w:pStyle w:val="Übersicht"/>
        <w:ind w:left="680"/>
      </w:pPr>
      <w:hyperlink w:anchor="b543" w:history="1">
        <w:r>
          <w:rPr>
            <w:color w:val="0A3A8C"/>
            <w:u w:val="single"/>
          </w:rPr>
          <w:t xml:space="preserve">§ 379 Steuergefährdung</w:t>
        </w:r>
      </w:hyperlink>
    </w:p>
    <w:p>
      <w:pPr>
        <w:pStyle w:val="Übersicht"/>
        <w:ind w:left="680"/>
      </w:pPr>
      <w:hyperlink w:anchor="b544" w:history="1">
        <w:r>
          <w:rPr>
            <w:color w:val="0A3A8C"/>
            <w:u w:val="single"/>
          </w:rPr>
          <w:t xml:space="preserve">§ 380 Gefährdung der Abzugsteuern</w:t>
        </w:r>
      </w:hyperlink>
    </w:p>
    <w:p>
      <w:pPr>
        <w:pStyle w:val="Übersicht"/>
        <w:ind w:left="680"/>
      </w:pPr>
      <w:hyperlink w:anchor="b545" w:history="1">
        <w:r>
          <w:rPr>
            <w:color w:val="0A3A8C"/>
            <w:u w:val="single"/>
          </w:rPr>
          <w:t xml:space="preserve">§ 381 Verbrauchsteuergefährdung</w:t>
        </w:r>
      </w:hyperlink>
    </w:p>
    <w:p>
      <w:pPr>
        <w:pStyle w:val="Übersicht"/>
        <w:ind w:left="680"/>
      </w:pPr>
      <w:hyperlink w:anchor="b546" w:history="1">
        <w:r>
          <w:rPr>
            <w:color w:val="0A3A8C"/>
            <w:u w:val="single"/>
          </w:rPr>
          <w:t xml:space="preserve">§ 382 Gefährdung der Einfuhr- und Ausfuhrabgaben</w:t>
        </w:r>
      </w:hyperlink>
    </w:p>
    <w:p>
      <w:pPr>
        <w:pStyle w:val="Übersicht"/>
        <w:ind w:left="680"/>
      </w:pPr>
      <w:hyperlink w:anchor="b547" w:history="1">
        <w:r>
          <w:rPr>
            <w:color w:val="0A3A8C"/>
            <w:u w:val="single"/>
          </w:rPr>
          <w:t xml:space="preserve">§ 383 Unzulässiger Erwerb von Steuererstattungs- und Vergütungsansprüchen</w:t>
        </w:r>
      </w:hyperlink>
    </w:p>
    <w:p>
      <w:pPr>
        <w:pStyle w:val="Übersicht"/>
        <w:ind w:left="680"/>
      </w:pPr>
      <w:hyperlink w:anchor="b548" w:history="1">
        <w:r>
          <w:rPr>
            <w:color w:val="0A3A8C"/>
            <w:u w:val="single"/>
          </w:rPr>
          <w:t xml:space="preserve">§ 383a Verstöße gegen innerstaatlich anwendbare völkerrechtliche Vereinbarungen zur Förderung der Steuerehrlichkeit</w:t>
        </w:r>
      </w:hyperlink>
    </w:p>
    <w:p>
      <w:pPr>
        <w:pStyle w:val="Übersicht"/>
        <w:ind w:left="680"/>
      </w:pPr>
      <w:hyperlink w:anchor="b549" w:history="1">
        <w:r>
          <w:rPr>
            <w:color w:val="0A3A8C"/>
            <w:u w:val="single"/>
          </w:rPr>
          <w:t xml:space="preserve">§ 383b Pflichtverletzung bei Übermittlung von Vollmachtsdaten</w:t>
        </w:r>
      </w:hyperlink>
    </w:p>
    <w:p>
      <w:pPr>
        <w:pStyle w:val="Übersicht"/>
        <w:ind w:left="680"/>
      </w:pPr>
      <w:hyperlink w:anchor="b550" w:history="1">
        <w:r>
          <w:rPr>
            <w:color w:val="0A3A8C"/>
            <w:u w:val="single"/>
          </w:rPr>
          <w:t xml:space="preserve">§ 384 Verfolgungsverjährung</w:t>
        </w:r>
      </w:hyperlink>
    </w:p>
    <w:p>
      <w:pPr>
        <w:pStyle w:val="Übersicht"/>
        <w:ind w:left="680"/>
      </w:pPr>
      <w:hyperlink w:anchor="b551" w:history="1">
        <w:r>
          <w:rPr>
            <w:color w:val="0A3A8C"/>
            <w:u w:val="single"/>
          </w:rPr>
          <w:t xml:space="preserve">§ 384a Verstöße nach Artikel 83 Absatz 4 bis 6 der Verordnung (EU) 2016/679</w:t>
        </w:r>
      </w:hyperlink>
    </w:p>
    <w:p>
      <w:pPr>
        <w:pStyle w:val="Übersicht"/>
        <w:ind w:left="340"/>
      </w:pPr>
      <w:hyperlink w:anchor="b552" w:history="1">
        <w:r>
          <w:rPr>
            <w:b/>
            <w:color w:val="0A3A8C"/>
            <w:u w:val="single"/>
          </w:rPr>
          <w:t xml:space="preserve">Dritter Abschnitt Strafverfahren</w:t>
        </w:r>
      </w:hyperlink>
    </w:p>
    <w:p>
      <w:pPr>
        <w:pStyle w:val="Übersicht"/>
        <w:ind w:left="680"/>
      </w:pPr>
      <w:hyperlink w:anchor="b553" w:history="1">
        <w:r>
          <w:rPr>
            <w:b/>
            <w:color w:val="0A3A8C"/>
            <w:u w:val="single"/>
          </w:rPr>
          <w:t xml:space="preserve">1. Unterabschnitt Allgemeine Vorschriften</w:t>
        </w:r>
      </w:hyperlink>
    </w:p>
    <w:p>
      <w:pPr>
        <w:pStyle w:val="Übersicht"/>
        <w:ind w:left="1020"/>
      </w:pPr>
      <w:hyperlink w:anchor="b554" w:history="1">
        <w:r>
          <w:rPr>
            <w:color w:val="0A3A8C"/>
            <w:u w:val="single"/>
          </w:rPr>
          <w:t xml:space="preserve">§ 385 Geltung von Verfahrensvorschriften</w:t>
        </w:r>
      </w:hyperlink>
    </w:p>
    <w:p>
      <w:pPr>
        <w:pStyle w:val="Übersicht"/>
        <w:ind w:left="1020"/>
      </w:pPr>
      <w:hyperlink w:anchor="b555" w:history="1">
        <w:r>
          <w:rPr>
            <w:color w:val="0A3A8C"/>
            <w:u w:val="single"/>
          </w:rPr>
          <w:t xml:space="preserve">§ 386 Zuständigkeit der Finanzbehörde bei Steuerstraftaten</w:t>
        </w:r>
      </w:hyperlink>
    </w:p>
    <w:p>
      <w:pPr>
        <w:pStyle w:val="Übersicht"/>
        <w:ind w:left="1020"/>
      </w:pPr>
      <w:hyperlink w:anchor="b556" w:history="1">
        <w:r>
          <w:rPr>
            <w:color w:val="0A3A8C"/>
            <w:u w:val="single"/>
          </w:rPr>
          <w:t xml:space="preserve">§ 387 Sachlich zuständige Finanzbehörde</w:t>
        </w:r>
      </w:hyperlink>
    </w:p>
    <w:p>
      <w:pPr>
        <w:pStyle w:val="Übersicht"/>
        <w:ind w:left="1020"/>
      </w:pPr>
      <w:hyperlink w:anchor="b557" w:history="1">
        <w:r>
          <w:rPr>
            <w:color w:val="0A3A8C"/>
            <w:u w:val="single"/>
          </w:rPr>
          <w:t xml:space="preserve">§ 388 Örtlich zuständige Finanzbehörde</w:t>
        </w:r>
      </w:hyperlink>
    </w:p>
    <w:p>
      <w:pPr>
        <w:pStyle w:val="Übersicht"/>
        <w:ind w:left="1020"/>
      </w:pPr>
      <w:hyperlink w:anchor="b558" w:history="1">
        <w:r>
          <w:rPr>
            <w:color w:val="0A3A8C"/>
            <w:u w:val="single"/>
          </w:rPr>
          <w:t xml:space="preserve">§ 389 Zusammenhängende Strafsachen</w:t>
        </w:r>
      </w:hyperlink>
    </w:p>
    <w:p>
      <w:pPr>
        <w:pStyle w:val="Übersicht"/>
        <w:ind w:left="1020"/>
      </w:pPr>
      <w:hyperlink w:anchor="b559" w:history="1">
        <w:r>
          <w:rPr>
            <w:color w:val="0A3A8C"/>
            <w:u w:val="single"/>
          </w:rPr>
          <w:t xml:space="preserve">§ 390 Mehrfache Zuständigkeit</w:t>
        </w:r>
      </w:hyperlink>
    </w:p>
    <w:p>
      <w:pPr>
        <w:pStyle w:val="Übersicht"/>
        <w:ind w:left="1020"/>
      </w:pPr>
      <w:hyperlink w:anchor="b560" w:history="1">
        <w:r>
          <w:rPr>
            <w:color w:val="0A3A8C"/>
            <w:u w:val="single"/>
          </w:rPr>
          <w:t xml:space="preserve">§ 391 Zuständiges Gericht</w:t>
        </w:r>
      </w:hyperlink>
    </w:p>
    <w:p>
      <w:pPr>
        <w:pStyle w:val="Übersicht"/>
        <w:ind w:left="1020"/>
      </w:pPr>
      <w:hyperlink w:anchor="b561" w:history="1">
        <w:r>
          <w:rPr>
            <w:color w:val="0A3A8C"/>
            <w:u w:val="single"/>
          </w:rPr>
          <w:t xml:space="preserve">§ 392 Verteidigung</w:t>
        </w:r>
      </w:hyperlink>
    </w:p>
    <w:p>
      <w:pPr>
        <w:pStyle w:val="Übersicht"/>
        <w:ind w:left="1020"/>
      </w:pPr>
      <w:hyperlink w:anchor="b562" w:history="1">
        <w:r>
          <w:rPr>
            <w:color w:val="0A3A8C"/>
            <w:u w:val="single"/>
          </w:rPr>
          <w:t xml:space="preserve">§ 393 Verhältnis des Strafverfahrens zum Besteuerungsverfahren</w:t>
        </w:r>
      </w:hyperlink>
    </w:p>
    <w:p>
      <w:pPr>
        <w:pStyle w:val="Übersicht"/>
        <w:ind w:left="1020"/>
      </w:pPr>
      <w:hyperlink w:anchor="b563" w:history="1">
        <w:r>
          <w:rPr>
            <w:color w:val="0A3A8C"/>
            <w:u w:val="single"/>
          </w:rPr>
          <w:t xml:space="preserve">§ 394 Übergang des Eigentums</w:t>
        </w:r>
      </w:hyperlink>
    </w:p>
    <w:p>
      <w:pPr>
        <w:pStyle w:val="Übersicht"/>
        <w:ind w:left="1020"/>
      </w:pPr>
      <w:hyperlink w:anchor="b564" w:history="1">
        <w:r>
          <w:rPr>
            <w:color w:val="0A3A8C"/>
            <w:u w:val="single"/>
          </w:rPr>
          <w:t xml:space="preserve">§ 395 Akteneinsicht der Finanzbehörde</w:t>
        </w:r>
      </w:hyperlink>
    </w:p>
    <w:p>
      <w:pPr>
        <w:pStyle w:val="Übersicht"/>
        <w:ind w:left="1020"/>
      </w:pPr>
      <w:hyperlink w:anchor="b565" w:history="1">
        <w:r>
          <w:rPr>
            <w:color w:val="0A3A8C"/>
            <w:u w:val="single"/>
          </w:rPr>
          <w:t xml:space="preserve">§ 396 Aussetzung des Verfahrens</w:t>
        </w:r>
      </w:hyperlink>
    </w:p>
    <w:p>
      <w:pPr>
        <w:pStyle w:val="Übersicht"/>
        <w:ind w:left="680"/>
      </w:pPr>
      <w:hyperlink w:anchor="b566" w:history="1">
        <w:r>
          <w:rPr>
            <w:b/>
            <w:color w:val="0A3A8C"/>
            <w:u w:val="single"/>
          </w:rPr>
          <w:t xml:space="preserve">2. Unterabschnitt Ermittlungsverfahren</w:t>
        </w:r>
      </w:hyperlink>
    </w:p>
    <w:p>
      <w:pPr>
        <w:pStyle w:val="Übersicht"/>
        <w:ind w:left="1020"/>
      </w:pPr>
      <w:hyperlink w:anchor="b567" w:history="1">
        <w:r>
          <w:rPr>
            <w:b/>
            <w:color w:val="0A3A8C"/>
            <w:u w:val="single"/>
          </w:rPr>
          <w:t xml:space="preserve">I. Allgemeines</w:t>
        </w:r>
      </w:hyperlink>
    </w:p>
    <w:p>
      <w:pPr>
        <w:pStyle w:val="Übersicht"/>
        <w:ind w:left="1361"/>
      </w:pPr>
      <w:hyperlink w:anchor="b568" w:history="1">
        <w:r>
          <w:rPr>
            <w:color w:val="0A3A8C"/>
            <w:u w:val="single"/>
          </w:rPr>
          <w:t xml:space="preserve">§ 397 Einleitung des Strafverfahrens</w:t>
        </w:r>
      </w:hyperlink>
    </w:p>
    <w:p>
      <w:pPr>
        <w:pStyle w:val="Übersicht"/>
        <w:ind w:left="1361"/>
      </w:pPr>
      <w:hyperlink w:anchor="b569" w:history="1">
        <w:r>
          <w:rPr>
            <w:color w:val="0A3A8C"/>
            <w:u w:val="single"/>
          </w:rPr>
          <w:t xml:space="preserve">§ 398 Einstellung wegen Geringfügigkeit</w:t>
        </w:r>
      </w:hyperlink>
    </w:p>
    <w:p>
      <w:pPr>
        <w:pStyle w:val="Übersicht"/>
        <w:ind w:left="1361"/>
      </w:pPr>
      <w:hyperlink w:anchor="b570" w:history="1">
        <w:r>
          <w:rPr>
            <w:color w:val="0A3A8C"/>
            <w:u w:val="single"/>
          </w:rPr>
          <w:t xml:space="preserve">§ 398a Absehen von Verfolgung in besonderen Fällen</w:t>
        </w:r>
      </w:hyperlink>
    </w:p>
    <w:p>
      <w:pPr>
        <w:pStyle w:val="Übersicht"/>
        <w:ind w:left="1020"/>
      </w:pPr>
      <w:hyperlink w:anchor="b571" w:history="1">
        <w:r>
          <w:rPr>
            <w:b/>
            <w:color w:val="0A3A8C"/>
            <w:u w:val="single"/>
          </w:rPr>
          <w:t xml:space="preserve">II. Verfahren der Finanzbehörde bei Steuerstraftaten</w:t>
        </w:r>
      </w:hyperlink>
    </w:p>
    <w:p>
      <w:pPr>
        <w:pStyle w:val="Übersicht"/>
        <w:ind w:left="1361"/>
      </w:pPr>
      <w:hyperlink w:anchor="b572" w:history="1">
        <w:r>
          <w:rPr>
            <w:color w:val="0A3A8C"/>
            <w:u w:val="single"/>
          </w:rPr>
          <w:t xml:space="preserve">§ 399 Rechte und Pflichten der Finanzbehörde</w:t>
        </w:r>
      </w:hyperlink>
    </w:p>
    <w:p>
      <w:pPr>
        <w:pStyle w:val="Übersicht"/>
        <w:ind w:left="1361"/>
      </w:pPr>
      <w:hyperlink w:anchor="b573" w:history="1">
        <w:r>
          <w:rPr>
            <w:color w:val="0A3A8C"/>
            <w:u w:val="single"/>
          </w:rPr>
          <w:t xml:space="preserve">§ 400 Antrag auf Erlass eines Strafbefehls</w:t>
        </w:r>
      </w:hyperlink>
    </w:p>
    <w:p>
      <w:pPr>
        <w:pStyle w:val="Übersicht"/>
        <w:ind w:left="1361"/>
      </w:pPr>
      <w:hyperlink w:anchor="b574" w:history="1">
        <w:r>
          <w:rPr>
            <w:color w:val="0A3A8C"/>
            <w:u w:val="single"/>
          </w:rPr>
          <w:t xml:space="preserve">§ 401 Antrag auf Anordnung von Nebenfolgen im selbständigen Verfahren</w:t>
        </w:r>
      </w:hyperlink>
    </w:p>
    <w:p>
      <w:pPr>
        <w:pStyle w:val="Übersicht"/>
        <w:ind w:left="1020"/>
      </w:pPr>
      <w:hyperlink w:anchor="b575" w:history="1">
        <w:r>
          <w:rPr>
            <w:b/>
            <w:color w:val="0A3A8C"/>
            <w:u w:val="single"/>
          </w:rPr>
          <w:t xml:space="preserve">III. Stellung der Finanzbehörde im Verfahren der Staatsanwaltschaft</w:t>
        </w:r>
      </w:hyperlink>
    </w:p>
    <w:p>
      <w:pPr>
        <w:pStyle w:val="Übersicht"/>
        <w:ind w:left="1361"/>
      </w:pPr>
      <w:hyperlink w:anchor="b576" w:history="1">
        <w:r>
          <w:rPr>
            <w:color w:val="0A3A8C"/>
            <w:u w:val="single"/>
          </w:rPr>
          <w:t xml:space="preserve">§ 402 Allgemeine Rechte und Pflichten der Finanzbehörde</w:t>
        </w:r>
      </w:hyperlink>
    </w:p>
    <w:p>
      <w:pPr>
        <w:pStyle w:val="Übersicht"/>
        <w:ind w:left="1361"/>
      </w:pPr>
      <w:hyperlink w:anchor="b577" w:history="1">
        <w:r>
          <w:rPr>
            <w:color w:val="0A3A8C"/>
            <w:u w:val="single"/>
          </w:rPr>
          <w:t xml:space="preserve">§ 403 Beteiligung der Finanzbehörde</w:t>
        </w:r>
      </w:hyperlink>
    </w:p>
    <w:p>
      <w:pPr>
        <w:pStyle w:val="Übersicht"/>
        <w:ind w:left="1020"/>
      </w:pPr>
      <w:hyperlink w:anchor="b578" w:history="1">
        <w:r>
          <w:rPr>
            <w:b/>
            <w:color w:val="0A3A8C"/>
            <w:u w:val="single"/>
          </w:rPr>
          <w:t xml:space="preserve">IV. Steuer- und Zollfahndung</w:t>
        </w:r>
      </w:hyperlink>
    </w:p>
    <w:p>
      <w:pPr>
        <w:pStyle w:val="Übersicht"/>
        <w:ind w:left="1361"/>
      </w:pPr>
      <w:hyperlink w:anchor="b579" w:history="1">
        <w:r>
          <w:rPr>
            <w:color w:val="0A3A8C"/>
            <w:u w:val="single"/>
          </w:rPr>
          <w:t xml:space="preserve">§ 404 Steuer- und Zollfahndung</w:t>
        </w:r>
      </w:hyperlink>
    </w:p>
    <w:p>
      <w:pPr>
        <w:pStyle w:val="Übersicht"/>
        <w:ind w:left="1020"/>
      </w:pPr>
      <w:hyperlink w:anchor="b580" w:history="1">
        <w:r>
          <w:rPr>
            <w:b/>
            <w:color w:val="0A3A8C"/>
            <w:u w:val="single"/>
          </w:rPr>
          <w:t xml:space="preserve">V. Entschädigung der Zeugen und der Sachverständigen</w:t>
        </w:r>
      </w:hyperlink>
    </w:p>
    <w:p>
      <w:pPr>
        <w:pStyle w:val="Übersicht"/>
        <w:ind w:left="1361"/>
      </w:pPr>
      <w:hyperlink w:anchor="b581" w:history="1">
        <w:r>
          <w:rPr>
            <w:color w:val="0A3A8C"/>
            <w:u w:val="single"/>
          </w:rPr>
          <w:t xml:space="preserve">§ 405 Entschädigung der Zeugen und der Sachverständigen</w:t>
        </w:r>
      </w:hyperlink>
    </w:p>
    <w:p>
      <w:pPr>
        <w:pStyle w:val="Übersicht"/>
        <w:ind w:left="680"/>
      </w:pPr>
      <w:hyperlink w:anchor="b582" w:history="1">
        <w:r>
          <w:rPr>
            <w:b/>
            <w:color w:val="0A3A8C"/>
            <w:u w:val="single"/>
          </w:rPr>
          <w:t xml:space="preserve">3. Unterabschnitt Gerichtliches Verfahren</w:t>
        </w:r>
      </w:hyperlink>
    </w:p>
    <w:p>
      <w:pPr>
        <w:pStyle w:val="Übersicht"/>
        <w:ind w:left="1020"/>
      </w:pPr>
      <w:hyperlink w:anchor="b583" w:history="1">
        <w:r>
          <w:rPr>
            <w:color w:val="0A3A8C"/>
            <w:u w:val="single"/>
          </w:rPr>
          <w:t xml:space="preserve">§ 406 Mitwirkung der Finanzbehörde im Strafbefehlsverfahren und im selbständigen Verfahren</w:t>
        </w:r>
      </w:hyperlink>
    </w:p>
    <w:p>
      <w:pPr>
        <w:pStyle w:val="Übersicht"/>
        <w:ind w:left="1020"/>
      </w:pPr>
      <w:hyperlink w:anchor="b584" w:history="1">
        <w:r>
          <w:rPr>
            <w:color w:val="0A3A8C"/>
            <w:u w:val="single"/>
          </w:rPr>
          <w:t xml:space="preserve">§ 407 Beteiligung der Finanzbehörde in sonstigen Fällen</w:t>
        </w:r>
      </w:hyperlink>
    </w:p>
    <w:p>
      <w:pPr>
        <w:pStyle w:val="Übersicht"/>
        <w:ind w:left="680"/>
      </w:pPr>
      <w:hyperlink w:anchor="b585" w:history="1">
        <w:r>
          <w:rPr>
            <w:b/>
            <w:color w:val="0A3A8C"/>
            <w:u w:val="single"/>
          </w:rPr>
          <w:t xml:space="preserve">4. Unterabschnitt Kosten des Verfahrens</w:t>
        </w:r>
      </w:hyperlink>
    </w:p>
    <w:p>
      <w:pPr>
        <w:pStyle w:val="Übersicht"/>
        <w:ind w:left="1020"/>
      </w:pPr>
      <w:hyperlink w:anchor="b586" w:history="1">
        <w:r>
          <w:rPr>
            <w:color w:val="0A3A8C"/>
            <w:u w:val="single"/>
          </w:rPr>
          <w:t xml:space="preserve">§ 408 Kosten des Verfahrens</w:t>
        </w:r>
      </w:hyperlink>
    </w:p>
    <w:p>
      <w:pPr>
        <w:pStyle w:val="Übersicht"/>
        <w:ind w:left="340"/>
      </w:pPr>
      <w:hyperlink w:anchor="b587" w:history="1">
        <w:r>
          <w:rPr>
            <w:b/>
            <w:color w:val="0A3A8C"/>
            <w:u w:val="single"/>
          </w:rPr>
          <w:t xml:space="preserve">Vierter Abschnitt Bußgeldverfahren</w:t>
        </w:r>
      </w:hyperlink>
    </w:p>
    <w:p>
      <w:pPr>
        <w:pStyle w:val="Übersicht"/>
        <w:ind w:left="680"/>
      </w:pPr>
      <w:hyperlink w:anchor="b588" w:history="1">
        <w:r>
          <w:rPr>
            <w:color w:val="0A3A8C"/>
            <w:u w:val="single"/>
          </w:rPr>
          <w:t xml:space="preserve">§ 409 Zuständige Verwaltungsbehörde</w:t>
        </w:r>
      </w:hyperlink>
    </w:p>
    <w:p>
      <w:pPr>
        <w:pStyle w:val="Übersicht"/>
        <w:ind w:left="680"/>
      </w:pPr>
      <w:hyperlink w:anchor="b589" w:history="1">
        <w:r>
          <w:rPr>
            <w:color w:val="0A3A8C"/>
            <w:u w:val="single"/>
          </w:rPr>
          <w:t xml:space="preserve">§ 410 Ergänzende Vorschriften für das Bußgeldverfahren</w:t>
        </w:r>
      </w:hyperlink>
    </w:p>
    <w:p>
      <w:pPr>
        <w:pStyle w:val="Übersicht"/>
        <w:ind w:left="680"/>
      </w:pPr>
      <w:hyperlink w:anchor="b590" w:history="1">
        <w:r>
          <w:rPr>
            <w:color w:val="0A3A8C"/>
            <w:u w:val="single"/>
          </w:rPr>
          <w:t xml:space="preserve">§ 411 Bußgeldverfahren gegen Rechtsanwälte, Steuerberater, Steuerbevollmächtigte, Wirtschaftsprüfer oder vereidigte Buchprüfer</w:t>
        </w:r>
      </w:hyperlink>
    </w:p>
    <w:p>
      <w:pPr>
        <w:pStyle w:val="Übersicht"/>
        <w:ind w:left="680"/>
      </w:pPr>
      <w:hyperlink w:anchor="b591" w:history="1">
        <w:r>
          <w:rPr>
            <w:color w:val="0A3A8C"/>
            <w:u w:val="single"/>
          </w:rPr>
          <w:t xml:space="preserve">§ 412 Zustellung, Vollstreckung, Kosten</w:t>
        </w:r>
      </w:hyperlink>
    </w:p>
    <w:p>
      <w:pPr>
        <w:pStyle w:val="Übersicht"/>
        <w:ind w:left="0"/>
      </w:pPr>
      <w:hyperlink w:anchor="b592" w:history="1">
        <w:r>
          <w:rPr>
            <w:b/>
            <w:color w:val="0A3A8C"/>
            <w:u w:val="single"/>
          </w:rPr>
          <w:t xml:space="preserve">Neunter Teil Schlussvorschriften</w:t>
        </w:r>
      </w:hyperlink>
    </w:p>
    <w:p>
      <w:pPr>
        <w:pStyle w:val="Übersicht"/>
        <w:ind w:left="340"/>
      </w:pPr>
      <w:hyperlink w:anchor="b593" w:history="1">
        <w:r>
          <w:rPr>
            <w:color w:val="0A3A8C"/>
            <w:u w:val="single"/>
          </w:rPr>
          <w:t xml:space="preserve">§ 413 Einschränkung von Grundrechten</w:t>
        </w:r>
      </w:hyperlink>
    </w:p>
    <w:p>
      <w:pPr>
        <w:pStyle w:val="Übersicht"/>
        <w:ind w:left="340"/>
      </w:pPr>
      <w:hyperlink w:anchor="b594" w:history="1">
        <w:r>
          <w:rPr>
            <w:color w:val="0A3A8C"/>
            <w:u w:val="single"/>
          </w:rPr>
          <w:t xml:space="preserve">§§ 414 bis 415</w:t>
        </w:r>
      </w:hyperlink>
    </w:p>
    <w:p>
      <w:pPr>
        <w:pStyle w:val="Übersicht"/>
        <w:ind w:left="340"/>
      </w:pPr>
      <w:hyperlink w:anchor="b596" w:history="1">
        <w:r>
          <w:rPr>
            <w:color w:val="0A3A8C"/>
            <w:u w:val="single"/>
          </w:rPr>
          <w:t xml:space="preserve">Anlage 1 (zu § 60)Mustersatzung für Vereine, Stiftungen, Betriebe gewerblicher Art von juristischen Personen des öffentlichen Rechts, geistliche Genossenschaften und Kapitalgesellschaften(nur aus steuerlichen Gründen notwendige Bestimmungen)</w:t>
        </w:r>
      </w:hyperlink>
    </w:p>
    <w:p>
      <w:pPr>
        <w:pStyle w:val="Heading1"/>
      </w:pPr>
      <w:bookmarkStart w:id="1" w:name="b0"/>
      <w:r>
        <w:t>Erster Teil Einleitende Vorschriften</w:t>
      </w:r>
      <w:bookmarkEnd w:id="1"/>
    </w:p>
    <w:p>
      <w:pPr>
        <w:pStyle w:val="Heading2"/>
      </w:pPr>
      <w:bookmarkStart w:id="2" w:name="b1"/>
      <w:r>
        <w:t>Erster Abschnitt Anwendungsbereich</w:t>
      </w:r>
      <w:bookmarkEnd w:id="2"/>
    </w:p>
    <w:p>
      <w:pPr>
        <w:pStyle w:val="Heading3"/>
      </w:pPr>
      <w:bookmarkStart w:id="3" w:name="b2"/>
      <w:r>
        <w:t>§ 1 Anwendungsbereich</w:t>
      </w:r>
      <w:r>
        <w:t xml:space="preserve"> </w:t>
      </w:r>
      <w:r>
        <w:rPr>
          <w:rStyle w:val="Suchmarke"/>
        </w:rPr>
        <w:t>#1#</w:t>
      </w:r>
      <w:bookmarkEnd w:id="3"/>
    </w:p>
    <w:p>
      <w:r>
        <w:t xml:space="preserve">(1) </w:t>
      </w:r>
      <w:r>
        <w:rPr>
          <w:rStyle w:val="Satznummer"/>
        </w:rPr>
        <w:t>1</w:t>
      </w:r>
      <w:r>
        <w:t xml:space="preserve">Dieses Gesetz gilt für alle Steuern einschließlich der Steuervergütungen, die durch Bundesrecht oder Recht der Europäischen Union geregelt sind, soweit sie durch Bundesfinanzbehörden oder durch Landesfinanzbehörden verwaltet werden. </w:t>
      </w:r>
      <w:r>
        <w:rPr>
          <w:rStyle w:val="Satznummer"/>
        </w:rPr>
        <w:t>2</w:t>
      </w:r>
      <w:r>
        <w:t>Es ist nur vorbehaltlich des Rechts der Europäischen Union anwendbar.</w:t>
      </w:r>
    </w:p>
    <w:p>
      <w:r>
        <w:t>(2) Für die Realsteuern gelten, soweit ihre Verwaltung den Gemeinden übertragen worden ist, die folgenden Vorschriften dieses Gesetzes entsprechend:</w:t>
      </w:r>
    </w:p>
    <w:p>
      <w:pPr>
        <w:tabs>
          <w:tab w:pos="567" w:val="left"/>
        </w:tabs>
        <w:ind w:left="567" w:hanging="567"/>
      </w:pPr>
      <w:r>
        <w:t>1.</w:t>
      </w:r>
      <w:r>
        <w:tab/>
      </w:r>
      <w:r>
        <w:t>die Vorschriften des Ersten, Zweiten, Vierten, Sechsten und Siebten Abschnitts des Ersten Teils (Anwendungsbereich; Steuerliche Begriffsbestimmungen; Datenverarbeitung und Steuergeheimnis; Betroffenenrechte; Datenschutzaufsicht, Gerichtlicher Rechtsschutz in datenschutzrechtlichen Angelegenheiten),</w:t>
      </w:r>
    </w:p>
    <w:p>
      <w:pPr>
        <w:tabs>
          <w:tab w:pos="567" w:val="left"/>
        </w:tabs>
        <w:ind w:left="567" w:hanging="567"/>
      </w:pPr>
      <w:r>
        <w:t>2.</w:t>
      </w:r>
      <w:r>
        <w:tab/>
      </w:r>
      <w:r>
        <w:t>die Vorschriften des Zweiten Teils (Steuerschuldrecht),</w:t>
      </w:r>
    </w:p>
    <w:p>
      <w:pPr>
        <w:tabs>
          <w:tab w:pos="567" w:val="left"/>
        </w:tabs>
        <w:ind w:left="567" w:hanging="567"/>
      </w:pPr>
      <w:r>
        <w:t>3.</w:t>
      </w:r>
      <w:r>
        <w:tab/>
      </w:r>
      <w:r>
        <w:t>die Vorschriften des Dritten Teils mit Ausnahme der §§ 82 bis 84 (Allgemeine Verfahrensvorschriften),</w:t>
      </w:r>
    </w:p>
    <w:p>
      <w:pPr>
        <w:tabs>
          <w:tab w:pos="567" w:val="left"/>
        </w:tabs>
        <w:ind w:left="567" w:hanging="567"/>
      </w:pPr>
      <w:r>
        <w:t>4.</w:t>
      </w:r>
      <w:r>
        <w:tab/>
      </w:r>
      <w:r>
        <w:t>die Vorschriften des Vierten Teils (Durchführung der Besteuerung),</w:t>
      </w:r>
    </w:p>
    <w:p>
      <w:pPr>
        <w:tabs>
          <w:tab w:pos="567" w:val="left"/>
        </w:tabs>
        <w:ind w:left="567" w:hanging="567"/>
      </w:pPr>
      <w:r>
        <w:t>5.</w:t>
      </w:r>
      <w:r>
        <w:tab/>
      </w:r>
      <w:r>
        <w:t>die Vorschriften des Fünften Teils (Erhebungsverfahren),</w:t>
      </w:r>
    </w:p>
    <w:p>
      <w:pPr>
        <w:tabs>
          <w:tab w:pos="567" w:val="left"/>
        </w:tabs>
        <w:ind w:left="567" w:hanging="567"/>
      </w:pPr>
      <w:r>
        <w:t>6.</w:t>
      </w:r>
      <w:r>
        <w:tab/>
      </w:r>
      <w:hyperlink w:anchor="b391" w:history="1">
        <w:r>
          <w:rPr>
            <w:color w:val="0A3A8C"/>
            <w:u w:val="single"/>
          </w:rPr>
          <w:t xml:space="preserve">§ 249</w:t>
        </w:r>
      </w:hyperlink>
      <w:r>
        <w:t xml:space="preserve"> Absatz 2 Satz 2,</w:t>
      </w:r>
    </w:p>
    <w:p>
      <w:pPr>
        <w:tabs>
          <w:tab w:pos="567" w:val="left"/>
        </w:tabs>
        <w:ind w:left="567" w:hanging="567"/>
      </w:pPr>
      <w:r>
        <w:t>7.</w:t>
      </w:r>
      <w:r>
        <w:tab/>
      </w:r>
      <w:r>
        <w:t xml:space="preserve">die </w:t>
      </w:r>
      <w:hyperlink w:anchor="b509" w:history="1">
        <w:r>
          <w:rPr>
            <w:color w:val="0A3A8C"/>
            <w:u w:val="single"/>
          </w:rPr>
          <w:t xml:space="preserve">§§ 351</w:t>
        </w:r>
      </w:hyperlink>
      <w:r>
        <w:t xml:space="preserve"> und </w:t>
      </w:r>
      <w:hyperlink w:anchor="b520" w:history="1">
        <w:r>
          <w:rPr>
            <w:color w:val="0A3A8C"/>
            <w:u w:val="single"/>
          </w:rPr>
          <w:t xml:space="preserve">361</w:t>
        </w:r>
      </w:hyperlink>
      <w:r>
        <w:t xml:space="preserve"> Absatz 1 Satz 2 und Absatz 3,</w:t>
      </w:r>
    </w:p>
    <w:p>
      <w:pPr>
        <w:tabs>
          <w:tab w:pos="567" w:val="left"/>
        </w:tabs>
        <w:ind w:left="567" w:hanging="567"/>
      </w:pPr>
      <w:r>
        <w:t>8.</w:t>
      </w:r>
      <w:r>
        <w:tab/>
      </w:r>
      <w:r>
        <w:t>die Vorschriften des Achten Teils (Straf- und Bußgeldvorschriften, Straf- und Bußgeldverfahren).</w:t>
      </w:r>
    </w:p>
    <w:p>
      <w:r>
        <w:t xml:space="preserve">(3) </w:t>
      </w:r>
      <w:r>
        <w:rPr>
          <w:rStyle w:val="Satznummer"/>
        </w:rPr>
        <w:t>1</w:t>
      </w:r>
      <w:r>
        <w:t xml:space="preserve">Auf steuerliche Nebenleistungen sind die Vorschriften dieses Gesetzes vorbehaltlich des Rechts der Europäischen Union sinngemäß anwendbar. </w:t>
      </w:r>
      <w:r>
        <w:rPr>
          <w:rStyle w:val="Satznummer"/>
        </w:rPr>
        <w:t>2</w:t>
      </w:r>
      <w:r>
        <w:t>Der Dritte bis Sechste Abschnitt des Vierten Teils gilt jedoch nur, soweit dies besonders bestimmt wird.</w:t>
      </w:r>
    </w:p>
    <w:p>
      <w:pPr>
        <w:pStyle w:val="Heading3"/>
      </w:pPr>
      <w:bookmarkStart w:id="4" w:name="b3"/>
      <w:r>
        <w:t>§ 2 Vorrang völkerrechtlicher Vereinbarungen</w:t>
      </w:r>
      <w:r>
        <w:t xml:space="preserve"> </w:t>
      </w:r>
      <w:r>
        <w:rPr>
          <w:rStyle w:val="Suchmarke"/>
        </w:rPr>
        <w:t>#2#</w:t>
      </w:r>
      <w:bookmarkEnd w:id="4"/>
    </w:p>
    <w:p>
      <w:r>
        <w:t>(1) Verträge mit anderen Staaten im Sinne des Artikels 59 Absatz 2 Satz 1 des Grundgesetzes über die Besteuerung gehen, soweit sie unmittelbar anwendbares innerstaatliches Recht geworden sind, den Steuergesetzen vor.</w:t>
      </w:r>
    </w:p>
    <w:p>
      <w:r>
        <w:t xml:space="preserve">(2) </w:t>
      </w:r>
      <w:r>
        <w:rPr>
          <w:rStyle w:val="Satznummer"/>
        </w:rPr>
        <w:t>1</w:t>
      </w:r>
      <w:r>
        <w:t xml:space="preserve">Das Bundesministerium der Finanzen wird ermächtigt, zur Sicherung der Gleichmäßigkeit der Besteuerung und zur Vermeidung einer Doppelbesteuerung oder doppelten Nichtbesteuerung mit Zustimmung des Bundesrates Rechtsverordnungen zur Umsetzung von Konsultationsvereinbarungen zu erlassen. </w:t>
      </w:r>
      <w:r>
        <w:rPr>
          <w:rStyle w:val="Satznummer"/>
        </w:rPr>
        <w:t>2</w:t>
      </w:r>
      <w:r>
        <w:t>Konsultationsvereinbarungen nach Satz 1 sind einvernehmliche Vereinbarungen der zuständigen Behörden der Vertragsstaaten eines Doppelbesteuerungsabkommens mit dem Ziel, Einzelheiten der Durchführung eines solchen Abkommens zu regeln, insbesondere Schwierigkeiten oder Zweifel, die bei der Auslegung oder Anwendung des jeweiligen Abkommens bestehen, zu beseitigen.</w:t>
      </w:r>
    </w:p>
    <w:p>
      <w:r>
        <w:t>(3) Das Bundesministerium der Finanzen wird ermächtigt, durch Rechtsverordnung mit Zustimmung des Bundesrates Vorschriften zu erlassen, die</w:t>
      </w:r>
    </w:p>
    <w:p>
      <w:pPr>
        <w:tabs>
          <w:tab w:pos="567" w:val="left"/>
        </w:tabs>
        <w:ind w:left="567" w:hanging="567"/>
      </w:pPr>
      <w:r>
        <w:t>1.</w:t>
      </w:r>
      <w:r>
        <w:tab/>
      </w:r>
      <w:r>
        <w:t>Einkünfte oder Vermögen oder Teile davon bestimmen, für die die Bundesrepublik Deutschland in Anwendung der Bestimmung eines Abkommens zur Vermeidung der Doppelbesteuerung auf Grund einer auf diplomatischem Weg erfolgten Notifizierung eine Steueranrechnung vornimmt, und</w:t>
      </w:r>
    </w:p>
    <w:p>
      <w:pPr>
        <w:tabs>
          <w:tab w:pos="567" w:val="left"/>
        </w:tabs>
        <w:ind w:left="567" w:hanging="567"/>
      </w:pPr>
      <w:r>
        <w:t>2.</w:t>
      </w:r>
      <w:r>
        <w:tab/>
      </w:r>
      <w:r>
        <w:t>in den Anwendungsbereich der Bestimmungen über den öffentlichen Dienst eines Abkommens zur Vermeidung der Doppelbesteuerung diejenigen Körperschaften und Einrichtungen einbeziehen, die auf Grund einer in diesem Abkommen vorgesehenen Vereinbarung zwischen den zuständigen Behörden bestimmt worden sind.</w:t>
      </w:r>
    </w:p>
    <w:p>
      <w:pPr>
        <w:pStyle w:val="Heading3"/>
      </w:pPr>
      <w:bookmarkStart w:id="5" w:name="b4"/>
      <w:r>
        <w:t>§ 2a Anwendungsbereich der Vorschriften über die Verarbeitung personenbezogener Daten</w:t>
      </w:r>
      <w:r>
        <w:t xml:space="preserve"> </w:t>
      </w:r>
      <w:r>
        <w:rPr>
          <w:rStyle w:val="Suchmarke"/>
        </w:rPr>
        <w:t>#2a#</w:t>
      </w:r>
      <w:bookmarkEnd w:id="5"/>
    </w:p>
    <w:p>
      <w:r>
        <w:t xml:space="preserve">(1) </w:t>
      </w:r>
      <w:r>
        <w:rPr>
          <w:rStyle w:val="Satznummer"/>
        </w:rPr>
        <w:t>1</w:t>
      </w:r>
      <w:r>
        <w:t>Die Vorschriften dieses Gesetzes und der Steuergesetze über die Verarbeitung personenbezogener Daten im Anwendungsbereich dieses Gesetzes gelten bei der Verarbeitung personenbezogener Daten durch Finanzbehörden (</w:t>
      </w:r>
      <w:hyperlink w:anchor="b9" w:history="1">
        <w:r>
          <w:rPr>
            <w:color w:val="0A3A8C"/>
            <w:u w:val="single"/>
          </w:rPr>
          <w:t xml:space="preserve">§ 6</w:t>
        </w:r>
      </w:hyperlink>
      <w:r>
        <w:t xml:space="preserve"> Absatz 2), andere öffentliche Stellen (</w:t>
      </w:r>
      <w:hyperlink w:anchor="b9" w:history="1">
        <w:r>
          <w:rPr>
            <w:color w:val="0A3A8C"/>
            <w:u w:val="single"/>
          </w:rPr>
          <w:t xml:space="preserve">§ 6</w:t>
        </w:r>
      </w:hyperlink>
      <w:r>
        <w:t xml:space="preserve"> Absatz 1a bis 1c) und nicht-öffentliche Stellen (</w:t>
      </w:r>
      <w:hyperlink w:anchor="b9" w:history="1">
        <w:r>
          <w:rPr>
            <w:color w:val="0A3A8C"/>
            <w:u w:val="single"/>
          </w:rPr>
          <w:t xml:space="preserve">§ 6</w:t>
        </w:r>
      </w:hyperlink>
      <w:r>
        <w:t xml:space="preserve"> Absatz 1d und 1e). </w:t>
      </w:r>
      <w:r>
        <w:rPr>
          <w:rStyle w:val="Satznummer"/>
        </w:rPr>
        <w:t>2</w:t>
      </w:r>
      <w:r>
        <w:t>Das Bundesdatenschutzgesetz oder andere Datenschutzvorschriften des Bundes sowie entsprechende Landesgesetze gelten für Finanzbehörden nur, soweit dies in diesem Gesetz oder den Steuergesetzen bestimmt ist.</w:t>
      </w:r>
    </w:p>
    <w:p>
      <w:r>
        <w:t xml:space="preserve">(2) </w:t>
      </w:r>
      <w:r>
        <w:rPr>
          <w:rStyle w:val="Satznummer"/>
        </w:rPr>
        <w:t>1</w:t>
      </w:r>
      <w:r>
        <w:t xml:space="preserve">Die datenschutzrechtlichen Regelungen dieses Gesetzes gelten auch für Daten, die die Finanzbehörden im Rahmen ihrer Aufgaben bei der Überwachung des grenzüberschreitenden Warenverkehrs verarbeiten. </w:t>
      </w:r>
      <w:r>
        <w:rPr>
          <w:rStyle w:val="Satznummer"/>
        </w:rPr>
        <w:t>2</w:t>
      </w:r>
      <w:r>
        <w:t>Die Daten gelten als im Rahmen eines Verfahrens in Steuersachen verarbeitet.</w:t>
      </w:r>
    </w:p>
    <w:p>
      <w:r>
        <w:t>(3) Die Vorschriften dieses Gesetzes und der Steuergesetze über die Verarbeitung personenbezogener Daten finden keine Anwendung, soweit das Recht der Europäischen Union, im Besonderen die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L 47 vom 4.3.2021, S. 35) in der jeweils geltenden Fassung unmittelbar oder nach Absatz 5 entsprechend gilt.</w:t>
      </w:r>
    </w:p>
    <w:p>
      <w:r>
        <w:t>(4) Für die Verarbeitung personenbezogener Daten zum Zweck der Verhütung, Ermittlung, Aufdeckung, Verfolgung oder Ahndung von Steuerstraftaten oder Steuerordnungswidrigkeiten gelten die Vorschriften des Ersten und des Dritten Teils des Bundesdatenschutzgesetzes, soweit gesetzlich nichts anderes bestimmt ist.</w:t>
      </w:r>
    </w:p>
    <w:p>
      <w:r>
        <w:t>(5) Soweit nichts anderes bestimmt ist, gelten die Vorschriften der Verordnung (EU) 2016/679, dieses Gesetzes und der Steuergesetze über die Verarbeitung personenbezogener Daten natürlicher Personen entsprechend für Informationen, die sich beziehen auf identifizierte oder identifizierbare</w:t>
      </w:r>
    </w:p>
    <w:p>
      <w:pPr>
        <w:tabs>
          <w:tab w:pos="567" w:val="left"/>
        </w:tabs>
        <w:ind w:left="567" w:hanging="567"/>
      </w:pPr>
      <w:r>
        <w:t>1.</w:t>
      </w:r>
      <w:r>
        <w:tab/>
      </w:r>
      <w:r>
        <w:t>verstorbene natürliche Personen oder</w:t>
      </w:r>
    </w:p>
    <w:p>
      <w:pPr>
        <w:tabs>
          <w:tab w:pos="567" w:val="left"/>
        </w:tabs>
        <w:ind w:left="567" w:hanging="567"/>
      </w:pPr>
      <w:r>
        <w:t>2.</w:t>
      </w:r>
      <w:r>
        <w:tab/>
      </w:r>
      <w:r>
        <w:t>Körperschaften, Personenvereinigungen (</w:t>
      </w:r>
      <w:hyperlink w:anchor="b18" w:history="1">
        <w:r>
          <w:rPr>
            <w:color w:val="0A3A8C"/>
            <w:u w:val="single"/>
          </w:rPr>
          <w:t xml:space="preserve">§ 14a</w:t>
        </w:r>
      </w:hyperlink>
      <w:r>
        <w:t>) oder Vermögensmassen.</w:t>
      </w:r>
    </w:p>
    <w:p>
      <w:pPr>
        <w:pStyle w:val="Heading2"/>
      </w:pPr>
      <w:bookmarkStart w:id="6" w:name="b5"/>
      <w:r>
        <w:t>Zweiter Abschnitt Steuerliche Begriffsbestimmungen</w:t>
      </w:r>
      <w:bookmarkEnd w:id="6"/>
    </w:p>
    <w:p>
      <w:pPr>
        <w:pStyle w:val="Heading3"/>
      </w:pPr>
      <w:bookmarkStart w:id="7" w:name="b6"/>
      <w:r>
        <w:t>§ 3 Steuern, steuerliche Nebenleistungen</w:t>
      </w:r>
      <w:r>
        <w:t xml:space="preserve"> </w:t>
      </w:r>
      <w:r>
        <w:rPr>
          <w:rStyle w:val="Suchmarke"/>
        </w:rPr>
        <w:t>#3#</w:t>
      </w:r>
      <w:bookmarkEnd w:id="7"/>
    </w:p>
    <w:p>
      <w:r>
        <w:t>(1) Steuern sind Geldleistungen, die nicht eine Gegenleistung für eine besondere Leistung darstellen und von einem öffentlich-rechtlichen Gemeinwesen zur Erzielung von Einnahmen allen auferlegt werden, bei denen der Tatbestand zutrifft, an den das Gesetz die Leistungspflicht knüpft; die Erzielung von Einnahmen kann Nebenzweck sein.</w:t>
      </w:r>
    </w:p>
    <w:p>
      <w:r>
        <w:t>(2) Realsteuern sind die Grundsteuer und die Gewerbesteuer.</w:t>
      </w:r>
    </w:p>
    <w:p>
      <w:r>
        <w:t xml:space="preserve">(3) </w:t>
      </w:r>
      <w:r>
        <w:rPr>
          <w:rStyle w:val="Satznummer"/>
        </w:rPr>
        <w:t>1</w:t>
      </w:r>
      <w:r>
        <w:t xml:space="preserve">Einfuhr- und Ausfuhrabgaben nach Artikel 5 Nummer 20 und 21 des Zollkodex der Union sind Steuern im Sinne dieses Gesetzes. </w:t>
      </w:r>
      <w:r>
        <w:rPr>
          <w:rStyle w:val="Satznummer"/>
        </w:rPr>
        <w:t>2</w:t>
      </w:r>
      <w:r>
        <w:t>Zollkodex der Union bezeichnet die Verordnung (EU) Nr. 952/2013 des Europäischen Parlaments und des Rates vom 9. Oktober 2013 zur Festlegung des Zollkodex der Union (ABl. L 269 vom 10.10.2013, S. 1, L 287, S. 90) in der jeweils geltenden Fassung.</w:t>
      </w:r>
    </w:p>
    <w:p>
      <w:r>
        <w:t>(4) Steuerliche Nebenleistungen sind</w:t>
      </w:r>
    </w:p>
    <w:p>
      <w:pPr>
        <w:tabs>
          <w:tab w:pos="567" w:val="left"/>
        </w:tabs>
        <w:ind w:left="567" w:hanging="567"/>
      </w:pPr>
      <w:r>
        <w:t>1.</w:t>
      </w:r>
      <w:r>
        <w:tab/>
      </w:r>
      <w:r>
        <w:t xml:space="preserve">Verzögerungsgelder nach </w:t>
      </w:r>
      <w:hyperlink w:anchor="b246" w:history="1">
        <w:r>
          <w:rPr>
            <w:color w:val="0A3A8C"/>
            <w:u w:val="single"/>
          </w:rPr>
          <w:t xml:space="preserve">§ 146</w:t>
        </w:r>
      </w:hyperlink>
      <w:r>
        <w:t xml:space="preserve"> Absatz 2c,</w:t>
      </w:r>
    </w:p>
    <w:p>
      <w:pPr>
        <w:tabs>
          <w:tab w:pos="567" w:val="left"/>
        </w:tabs>
        <w:ind w:left="567" w:hanging="567"/>
      </w:pPr>
      <w:r>
        <w:t>2.</w:t>
      </w:r>
      <w:r>
        <w:tab/>
      </w:r>
      <w:r>
        <w:t xml:space="preserve">Verspätungszuschläge nach </w:t>
      </w:r>
      <w:hyperlink w:anchor="b257" w:history="1">
        <w:r>
          <w:rPr>
            <w:color w:val="0A3A8C"/>
            <w:u w:val="single"/>
          </w:rPr>
          <w:t xml:space="preserve">§ 152</w:t>
        </w:r>
      </w:hyperlink>
      <w:r>
        <w:t>,</w:t>
      </w:r>
    </w:p>
    <w:p>
      <w:pPr>
        <w:tabs>
          <w:tab w:pos="567" w:val="left"/>
        </w:tabs>
        <w:ind w:left="567" w:hanging="567"/>
      </w:pPr>
      <w:r>
        <w:t>3.</w:t>
      </w:r>
      <w:r>
        <w:tab/>
      </w:r>
      <w:r>
        <w:t xml:space="preserve">Zuschläge nach </w:t>
      </w:r>
      <w:hyperlink w:anchor="b271" w:history="1">
        <w:r>
          <w:rPr>
            <w:color w:val="0A3A8C"/>
            <w:u w:val="single"/>
          </w:rPr>
          <w:t xml:space="preserve">§ 162</w:t>
        </w:r>
      </w:hyperlink>
      <w:r>
        <w:t xml:space="preserve"> Absatz 4 und 4a,</w:t>
      </w:r>
    </w:p>
    <w:p>
      <w:pPr>
        <w:tabs>
          <w:tab w:pos="567" w:val="left"/>
        </w:tabs>
        <w:ind w:left="567" w:hanging="567"/>
      </w:pPr>
      <w:r>
        <w:t>3a.</w:t>
      </w:r>
      <w:r>
        <w:tab/>
      </w:r>
      <w:r>
        <w:t xml:space="preserve">Mitwirkungsverzögerungsgelder nach </w:t>
      </w:r>
      <w:hyperlink w:anchor="b324" w:history="1">
        <w:r>
          <w:rPr>
            <w:color w:val="0A3A8C"/>
            <w:u w:val="single"/>
          </w:rPr>
          <w:t xml:space="preserve">§ 200a</w:t>
        </w:r>
      </w:hyperlink>
      <w:r>
        <w:t xml:space="preserve"> Absatz 2 und Zuschläge zum Mitwirkungsverzögerungsgeld nach </w:t>
      </w:r>
      <w:hyperlink w:anchor="b324" w:history="1">
        <w:r>
          <w:rPr>
            <w:color w:val="0A3A8C"/>
            <w:u w:val="single"/>
          </w:rPr>
          <w:t xml:space="preserve">§ 200a</w:t>
        </w:r>
      </w:hyperlink>
      <w:r>
        <w:t xml:space="preserve"> Absatz 3,</w:t>
      </w:r>
    </w:p>
    <w:p>
      <w:pPr>
        <w:tabs>
          <w:tab w:pos="567" w:val="left"/>
        </w:tabs>
        <w:ind w:left="567" w:hanging="567"/>
      </w:pPr>
      <w:r>
        <w:t>4.</w:t>
      </w:r>
      <w:r>
        <w:tab/>
      </w:r>
      <w:r>
        <w:t xml:space="preserve">Zinsen nach den </w:t>
      </w:r>
      <w:hyperlink w:anchor="b370" w:history="1">
        <w:r>
          <w:rPr>
            <w:color w:val="0A3A8C"/>
            <w:u w:val="single"/>
          </w:rPr>
          <w:t xml:space="preserve">§§ 233</w:t>
        </w:r>
      </w:hyperlink>
      <w:r>
        <w:t xml:space="preserve"> bis </w:t>
      </w:r>
      <w:hyperlink w:anchor="b375" w:history="1">
        <w:r>
          <w:rPr>
            <w:color w:val="0A3A8C"/>
            <w:u w:val="single"/>
          </w:rPr>
          <w:t xml:space="preserve">237</w:t>
        </w:r>
      </w:hyperlink>
      <w:r>
        <w:t xml:space="preserve"> sowie Zinsen nach den Steuergesetzen, auf die die </w:t>
      </w:r>
      <w:hyperlink w:anchor="b376" w:history="1">
        <w:r>
          <w:rPr>
            <w:color w:val="0A3A8C"/>
            <w:u w:val="single"/>
          </w:rPr>
          <w:t xml:space="preserve">§§ 238</w:t>
        </w:r>
      </w:hyperlink>
      <w:r>
        <w:t xml:space="preserve"> und </w:t>
      </w:r>
      <w:hyperlink w:anchor="b377" w:history="1">
        <w:r>
          <w:rPr>
            <w:color w:val="0A3A8C"/>
            <w:u w:val="single"/>
          </w:rPr>
          <w:t xml:space="preserve">239</w:t>
        </w:r>
      </w:hyperlink>
      <w:r>
        <w:t xml:space="preserve"> anzuwenden sind, sowie Zinsen, die über die </w:t>
      </w:r>
      <w:hyperlink w:anchor="b370" w:history="1">
        <w:r>
          <w:rPr>
            <w:color w:val="0A3A8C"/>
            <w:u w:val="single"/>
          </w:rPr>
          <w:t xml:space="preserve">§§ 233</w:t>
        </w:r>
      </w:hyperlink>
      <w:r>
        <w:t xml:space="preserve"> bis </w:t>
      </w:r>
      <w:hyperlink w:anchor="b375" w:history="1">
        <w:r>
          <w:rPr>
            <w:color w:val="0A3A8C"/>
            <w:u w:val="single"/>
          </w:rPr>
          <w:t xml:space="preserve">237</w:t>
        </w:r>
      </w:hyperlink>
      <w:r>
        <w:t xml:space="preserve"> und die Steuergesetze hinaus nach dem Recht der Europäischen Union auf zu erstattende Steuern zu leisten sind,</w:t>
      </w:r>
    </w:p>
    <w:p>
      <w:pPr>
        <w:tabs>
          <w:tab w:pos="567" w:val="left"/>
        </w:tabs>
        <w:ind w:left="567" w:hanging="567"/>
      </w:pPr>
      <w:r>
        <w:t>5.</w:t>
      </w:r>
      <w:r>
        <w:tab/>
      </w:r>
      <w:r>
        <w:t xml:space="preserve">Säumniszuschläge nach </w:t>
      </w:r>
      <w:hyperlink w:anchor="b379" w:history="1">
        <w:r>
          <w:rPr>
            <w:color w:val="0A3A8C"/>
            <w:u w:val="single"/>
          </w:rPr>
          <w:t xml:space="preserve">§ 240</w:t>
        </w:r>
      </w:hyperlink>
      <w:r>
        <w:t>,</w:t>
      </w:r>
    </w:p>
    <w:p>
      <w:pPr>
        <w:tabs>
          <w:tab w:pos="567" w:val="left"/>
        </w:tabs>
        <w:ind w:left="567" w:hanging="567"/>
      </w:pPr>
      <w:r>
        <w:t>6.</w:t>
      </w:r>
      <w:r>
        <w:tab/>
      </w:r>
      <w:r>
        <w:t xml:space="preserve">Zwangsgelder nach </w:t>
      </w:r>
      <w:hyperlink w:anchor="b483" w:history="1">
        <w:r>
          <w:rPr>
            <w:color w:val="0A3A8C"/>
            <w:u w:val="single"/>
          </w:rPr>
          <w:t xml:space="preserve">§ 329</w:t>
        </w:r>
      </w:hyperlink>
      <w:r>
        <w:t>,</w:t>
      </w:r>
    </w:p>
    <w:p>
      <w:pPr>
        <w:tabs>
          <w:tab w:pos="567" w:val="left"/>
        </w:tabs>
        <w:ind w:left="567" w:hanging="567"/>
      </w:pPr>
      <w:r>
        <w:t>7.</w:t>
      </w:r>
      <w:r>
        <w:tab/>
      </w:r>
      <w:r>
        <w:t xml:space="preserve">Kosten nach den </w:t>
      </w:r>
      <w:hyperlink w:anchor="b142" w:history="1">
        <w:r>
          <w:rPr>
            <w:color w:val="0A3A8C"/>
            <w:u w:val="single"/>
          </w:rPr>
          <w:t xml:space="preserve">§§ 89</w:t>
        </w:r>
      </w:hyperlink>
      <w:r>
        <w:t xml:space="preserve">, </w:t>
      </w:r>
      <w:hyperlink w:anchor="b143" w:history="1">
        <w:r>
          <w:rPr>
            <w:color w:val="0A3A8C"/>
            <w:u w:val="single"/>
          </w:rPr>
          <w:t xml:space="preserve">89a</w:t>
        </w:r>
      </w:hyperlink>
      <w:r>
        <w:t xml:space="preserve"> Absatz 7 sowie den </w:t>
      </w:r>
      <w:hyperlink w:anchor="b293" w:history="1">
        <w:r>
          <w:rPr>
            <w:color w:val="0A3A8C"/>
            <w:u w:val="single"/>
          </w:rPr>
          <w:t xml:space="preserve">§§ 178</w:t>
        </w:r>
      </w:hyperlink>
      <w:r>
        <w:t xml:space="preserve"> und </w:t>
      </w:r>
      <w:hyperlink w:anchor="b493" w:history="1">
        <w:r>
          <w:rPr>
            <w:color w:val="0A3A8C"/>
            <w:u w:val="single"/>
          </w:rPr>
          <w:t xml:space="preserve">337</w:t>
        </w:r>
      </w:hyperlink>
      <w:r>
        <w:t xml:space="preserve"> bis </w:t>
      </w:r>
      <w:hyperlink w:anchor="b501" w:history="1">
        <w:r>
          <w:rPr>
            <w:color w:val="0A3A8C"/>
            <w:u w:val="single"/>
          </w:rPr>
          <w:t xml:space="preserve">345</w:t>
        </w:r>
      </w:hyperlink>
      <w:r>
        <w:t>,</w:t>
      </w:r>
    </w:p>
    <w:p>
      <w:pPr>
        <w:tabs>
          <w:tab w:pos="567" w:val="left"/>
        </w:tabs>
        <w:ind w:left="567" w:hanging="567"/>
      </w:pPr>
      <w:r>
        <w:t>8.</w:t>
      </w:r>
      <w:r>
        <w:tab/>
      </w:r>
      <w:r>
        <w:t>Zinsen auf Einfuhr- und Ausfuhrabgaben nach Artikel 5 Nummer 20 und 21 des Zollkodex der Union,</w:t>
      </w:r>
    </w:p>
    <w:p>
      <w:pPr>
        <w:tabs>
          <w:tab w:pos="567" w:val="left"/>
        </w:tabs>
        <w:ind w:left="567" w:hanging="567"/>
      </w:pPr>
      <w:r>
        <w:t>9.</w:t>
      </w:r>
      <w:r>
        <w:tab/>
      </w:r>
      <w:r>
        <w:t>Verspätungsgelder nach § 22a Absatz 5 des Einkommensteuergesetzes und</w:t>
      </w:r>
    </w:p>
    <w:p>
      <w:pPr>
        <w:tabs>
          <w:tab w:pos="567" w:val="left"/>
        </w:tabs>
        <w:ind w:left="567" w:hanging="567"/>
      </w:pPr>
      <w:r>
        <w:t>10.</w:t>
      </w:r>
      <w:r>
        <w:tab/>
      </w:r>
      <w:r>
        <w:t>Kosten nach § 10 Absatz 5 und § 11 Absatz 7 des Plattformen-Steuertransparenzgesetzes.</w:t>
      </w:r>
    </w:p>
    <w:p>
      <w:r>
        <w:t xml:space="preserve">(5) </w:t>
      </w:r>
      <w:r>
        <w:rPr>
          <w:rStyle w:val="Satznummer"/>
        </w:rPr>
        <w:t>1</w:t>
      </w:r>
      <w:r>
        <w:t xml:space="preserve">Das Aufkommen der Zinsen auf Einfuhr- und Ausfuhrabgaben nach Artikel 5 Nummer 20 und 21 des Zollkodex der Union steht dem Bund zu. </w:t>
      </w:r>
      <w:r>
        <w:rPr>
          <w:rStyle w:val="Satznummer"/>
        </w:rPr>
        <w:t>2</w:t>
      </w:r>
      <w:r>
        <w:t xml:space="preserve">Das Aufkommen der übrigen Zinsen steht den jeweils steuerberechtigten Körperschaften zu. </w:t>
      </w:r>
      <w:r>
        <w:rPr>
          <w:rStyle w:val="Satznummer"/>
        </w:rPr>
        <w:t>3</w:t>
      </w:r>
      <w:r>
        <w:t xml:space="preserve">Das Aufkommen der Kosten im Sinne des </w:t>
      </w:r>
      <w:hyperlink w:anchor="b142" w:history="1">
        <w:r>
          <w:rPr>
            <w:color w:val="0A3A8C"/>
            <w:u w:val="single"/>
          </w:rPr>
          <w:t xml:space="preserve">§ 89</w:t>
        </w:r>
      </w:hyperlink>
      <w:r>
        <w:t xml:space="preserve"> steht jeweils der Körperschaft zu, deren Behörde für die Erteilung der verbindlichen Auskunft zuständig ist. </w:t>
      </w:r>
      <w:r>
        <w:rPr>
          <w:rStyle w:val="Satznummer"/>
        </w:rPr>
        <w:t>4</w:t>
      </w:r>
      <w:r>
        <w:t xml:space="preserve">Das Aufkommen der Kosten im Sinne des </w:t>
      </w:r>
      <w:hyperlink w:anchor="b143" w:history="1">
        <w:r>
          <w:rPr>
            <w:color w:val="0A3A8C"/>
            <w:u w:val="single"/>
          </w:rPr>
          <w:t xml:space="preserve">§ 89a</w:t>
        </w:r>
      </w:hyperlink>
      <w:r>
        <w:t xml:space="preserve"> Absatz 7 steht dem Bund und dem jeweils betroffenen Land je zur Hälfte zu. </w:t>
      </w:r>
      <w:r>
        <w:rPr>
          <w:rStyle w:val="Satznummer"/>
        </w:rPr>
        <w:t>5</w:t>
      </w:r>
      <w:r>
        <w:t xml:space="preserve">Das Aufkommen der Kosten nach § 10 Absatz 5 und § 11 Absatz 7 des Plattformen-Steuertransparenzgesetzes steht dem Bund zu. </w:t>
      </w:r>
      <w:r>
        <w:rPr>
          <w:rStyle w:val="Satznummer"/>
        </w:rPr>
        <w:t>6</w:t>
      </w:r>
      <w:r>
        <w:t>Die übrigen steuerlichen Nebenleistungen fließen den verwaltenden Körperschaften zu.</w:t>
      </w:r>
    </w:p>
    <w:p>
      <w:pPr>
        <w:pStyle w:val="Heading3"/>
      </w:pPr>
      <w:bookmarkStart w:id="8" w:name="b7"/>
      <w:r>
        <w:t>§ 4 Gesetz</w:t>
      </w:r>
      <w:r>
        <w:t xml:space="preserve"> </w:t>
      </w:r>
      <w:r>
        <w:rPr>
          <w:rStyle w:val="Suchmarke"/>
        </w:rPr>
        <w:t>#4#</w:t>
      </w:r>
      <w:bookmarkEnd w:id="8"/>
    </w:p>
    <w:p>
      <w:r>
        <w:t>Gesetz ist jede Rechtsnorm.</w:t>
      </w:r>
    </w:p>
    <w:p>
      <w:pPr>
        <w:pStyle w:val="Heading3"/>
      </w:pPr>
      <w:bookmarkStart w:id="9" w:name="b8"/>
      <w:r>
        <w:t>§ 5 Ermessen</w:t>
      </w:r>
      <w:r>
        <w:t xml:space="preserve"> </w:t>
      </w:r>
      <w:r>
        <w:rPr>
          <w:rStyle w:val="Suchmarke"/>
        </w:rPr>
        <w:t>#5#</w:t>
      </w:r>
      <w:bookmarkEnd w:id="9"/>
    </w:p>
    <w:p>
      <w:r>
        <w:t>Ist die Finanzbehörde ermächtigt, nach ihrem Ermessen zu handeln, hat sie ihr Ermessen entsprechend dem Zweck der Ermächtigung auszuüben und die gesetzlichen Grenzen des Ermessens einzuhalten.</w:t>
      </w:r>
    </w:p>
    <w:p>
      <w:pPr>
        <w:pStyle w:val="Heading3"/>
      </w:pPr>
      <w:bookmarkStart w:id="10" w:name="b9"/>
      <w:r>
        <w:t>§ 6 Behörden, öffentliche und nicht-öffentliche Stellen, Finanzbehörden</w:t>
      </w:r>
      <w:r>
        <w:t xml:space="preserve"> </w:t>
      </w:r>
      <w:r>
        <w:rPr>
          <w:rStyle w:val="Suchmarke"/>
        </w:rPr>
        <w:t>#6#</w:t>
      </w:r>
      <w:bookmarkEnd w:id="10"/>
    </w:p>
    <w:p>
      <w:r>
        <w:t>(1) Behörde ist jede öffentliche Stelle, die Aufgaben der öffentlichen Verwaltung wahrnimmt.</w:t>
      </w:r>
    </w:p>
    <w:p>
      <w:r>
        <w:t>(1a) Öffentliche Stellen des Bundes sind die Behörden, die Organe der Rechtspflege und andere öffentlich-rechtlich organisierte Einrichtungen des Bundes, der bundesunmittelbaren Körperschaften, der Anstalten und Stiftungen des öffentlichen Rechts sowie deren Vereinigungen ungeachtet ihrer Rechtsform.</w:t>
      </w:r>
    </w:p>
    <w:p>
      <w:r>
        <w:t>(1b) Öffentliche Stellen der Länder sind die Behörden, die Organe der Rechtspflege und andere öffentlich-rechtlich organisierte Einrichtungen eines Landes, einer Gemeinde, eines Gemeindeverbandes oder sonstiger der Aufsicht des Landes unterstehender juristischer Personen des öffentlichen Rechts sowie deren Vereinigungen ungeachtet ihrer Rechtsform.</w:t>
      </w:r>
    </w:p>
    <w:p>
      <w:r>
        <w:t xml:space="preserve">(1c) </w:t>
      </w:r>
      <w:r>
        <w:rPr>
          <w:rStyle w:val="Satznummer"/>
        </w:rPr>
        <w:t>1</w:t>
      </w:r>
      <w:r>
        <w:t>Vereinigungen des privaten Rechts von öffentlichen Stellen des Bundes und der Länder, die Aufgaben der öffentlichen Verwaltung wahrnehmen, gelten ungeachtet der Beteiligung nicht-öffentlicher Stellen als öffentliche Stellen des Bundes, wenn</w:t>
      </w:r>
    </w:p>
    <w:p>
      <w:pPr>
        <w:tabs>
          <w:tab w:pos="567" w:val="left"/>
        </w:tabs>
        <w:ind w:left="567" w:hanging="567"/>
      </w:pPr>
      <w:r>
        <w:t>1.</w:t>
      </w:r>
      <w:r>
        <w:tab/>
      </w:r>
      <w:r>
        <w:t>sie über den Bereich eines Landes hinaus tätig werden oder</w:t>
      </w:r>
    </w:p>
    <w:p>
      <w:pPr>
        <w:tabs>
          <w:tab w:pos="567" w:val="left"/>
        </w:tabs>
        <w:ind w:left="567" w:hanging="567"/>
      </w:pPr>
      <w:r>
        <w:t>2.</w:t>
      </w:r>
      <w:r>
        <w:tab/>
      </w:r>
      <w:r>
        <w:t>dem Bund die absolute Mehrheit der Anteile gehört oder die absolute Mehrheit der Stimmen zusteht.</w:t>
      </w:r>
    </w:p>
    <w:p>
      <w:r>
        <w:rPr>
          <w:rStyle w:val="Satznummer"/>
        </w:rPr>
        <w:t>2</w:t>
      </w:r>
      <w:r>
        <w:t>Anderenfalls gelten sie als öffentliche Stellen der Länder.</w:t>
      </w:r>
    </w:p>
    <w:p>
      <w:r>
        <w:t xml:space="preserve">(1d) </w:t>
      </w:r>
      <w:r>
        <w:rPr>
          <w:rStyle w:val="Satznummer"/>
        </w:rPr>
        <w:t>1</w:t>
      </w:r>
      <w:r>
        <w:t xml:space="preserve">Nicht-öffentliche Stellen sind natürliche und juristische Personen, Gesellschaften und andere Personenvereinigungen des privaten Rechts, soweit sie nicht unter die Absätze 1a bis 1c fallen. </w:t>
      </w:r>
      <w:r>
        <w:rPr>
          <w:rStyle w:val="Satznummer"/>
        </w:rPr>
        <w:t>2</w:t>
      </w:r>
      <w:r>
        <w:t>Nimmt eine nicht-öffentliche Stelle hoheitliche Aufgaben der öffentlichen Verwaltung wahr, ist sie insoweit öffentliche Stelle im Sinne dieses Gesetzes.</w:t>
      </w:r>
    </w:p>
    <w:p>
      <w:r>
        <w:t>(1e) Öffentliche Stellen des Bundes oder der Länder gelten als nicht-öffentliche Stellen im Sinne dieses Gesetzes, soweit sie als öffentlich-rechtliche Unternehmen am Wettbewerb teilnehmen.</w:t>
      </w:r>
    </w:p>
    <w:p>
      <w:r>
        <w:t>(2) Finanzbehörden im Sinne dieses Gesetzes sind die folgenden im Gesetz über die Finanzverwaltung genannten Bundes- und Landesfinanzbehörden:</w:t>
      </w:r>
    </w:p>
    <w:p>
      <w:pPr>
        <w:tabs>
          <w:tab w:pos="567" w:val="left"/>
        </w:tabs>
        <w:ind w:left="567" w:hanging="567"/>
      </w:pPr>
      <w:r>
        <w:t>1.</w:t>
      </w:r>
      <w:r>
        <w:tab/>
      </w:r>
      <w:r>
        <w:t>das Bundesministerium der Finanzen und die für die Finanzverwaltung zuständigen obersten Landesbehörden als oberste Behörden,</w:t>
      </w:r>
    </w:p>
    <w:p>
      <w:pPr>
        <w:tabs>
          <w:tab w:pos="567" w:val="left"/>
        </w:tabs>
        <w:ind w:left="567" w:hanging="567"/>
      </w:pPr>
      <w:r>
        <w:t>2.</w:t>
      </w:r>
      <w:r>
        <w:tab/>
      </w:r>
      <w:r>
        <w:t>das Bundeszentralamt für Steuern, das Informationstechnikzentrum Bund und die Generalzolldirektion als Bundesoberbehörden,</w:t>
      </w:r>
    </w:p>
    <w:p>
      <w:pPr>
        <w:tabs>
          <w:tab w:pos="567" w:val="left"/>
        </w:tabs>
        <w:ind w:left="567" w:hanging="567"/>
      </w:pPr>
      <w:r>
        <w:t>3.</w:t>
      </w:r>
      <w:r>
        <w:tab/>
      </w:r>
      <w:r>
        <w:t>Rechenzentren sowie Landesfinanzbehörden, denen durch eine Rechtsverordnung nach § 17 Absatz 2 Satz 3 Nummer 3 des Finanzverwaltungsgesetzes die landesweite Zuständigkeit für Kassengeschäfte und das Erhebungsverfahren einschließlich der Vollstreckung übertragen worden ist, als Landesoberbehörden,</w:t>
      </w:r>
    </w:p>
    <w:p>
      <w:pPr>
        <w:tabs>
          <w:tab w:pos="567" w:val="left"/>
        </w:tabs>
        <w:ind w:left="567" w:hanging="567"/>
      </w:pPr>
      <w:r>
        <w:t>4.</w:t>
      </w:r>
      <w:r>
        <w:tab/>
      </w:r>
      <w:r>
        <w:t>die Oberfinanzdirektionen als Mittelbehörden,</w:t>
      </w:r>
    </w:p>
    <w:p>
      <w:pPr>
        <w:tabs>
          <w:tab w:pos="567" w:val="left"/>
        </w:tabs>
        <w:ind w:left="567" w:hanging="567"/>
      </w:pPr>
      <w:r>
        <w:t>4a.</w:t>
      </w:r>
      <w:r>
        <w:tab/>
      </w:r>
      <w:r>
        <w:t>die nach dem Finanzverwaltungsgesetz oder nach Landesrecht an Stelle einer Oberfinanzdirektion eingerichteten Landesfinanzbehörden,</w:t>
      </w:r>
    </w:p>
    <w:p>
      <w:pPr>
        <w:tabs>
          <w:tab w:pos="567" w:val="left"/>
        </w:tabs>
        <w:ind w:left="567" w:hanging="567"/>
      </w:pPr>
      <w:r>
        <w:t>5.</w:t>
      </w:r>
      <w:r>
        <w:tab/>
      </w:r>
      <w:r>
        <w:t>die Hauptzollämter einschließlich ihrer Dienststellen, die Zollfahndungsämter, die Finanzämter und die besonderen Landesfinanzbehörden als örtliche Behörden,</w:t>
      </w:r>
    </w:p>
    <w:p>
      <w:pPr>
        <w:tabs>
          <w:tab w:pos="567" w:val="left"/>
        </w:tabs>
        <w:ind w:left="567" w:hanging="567"/>
      </w:pPr>
      <w:r>
        <w:t>6.</w:t>
      </w:r>
      <w:r>
        <w:tab/>
      </w:r>
      <w:r>
        <w:t>Familienkassen,</w:t>
      </w:r>
    </w:p>
    <w:p>
      <w:pPr>
        <w:tabs>
          <w:tab w:pos="567" w:val="left"/>
        </w:tabs>
        <w:ind w:left="567" w:hanging="567"/>
      </w:pPr>
      <w:r>
        <w:t>7.</w:t>
      </w:r>
      <w:r>
        <w:tab/>
      </w:r>
      <w:r>
        <w:t>die zentrale Stelle im Sinne des § 81 des Einkommensteuergesetzes und</w:t>
      </w:r>
    </w:p>
    <w:p>
      <w:pPr>
        <w:tabs>
          <w:tab w:pos="567" w:val="left"/>
        </w:tabs>
        <w:ind w:left="567" w:hanging="567"/>
      </w:pPr>
      <w:r>
        <w:t>8.</w:t>
      </w:r>
      <w:r>
        <w:tab/>
      </w:r>
      <w:r>
        <w:t>die Deutsche Rentenversicherung Knappschaft-Bahn-See (§ 40a Absatz 6 des Einkommensteuergesetzes).</w:t>
      </w:r>
    </w:p>
    <w:p>
      <w:pPr>
        <w:pStyle w:val="Heading3"/>
      </w:pPr>
      <w:bookmarkStart w:id="11" w:name="b10"/>
      <w:r>
        <w:t>§ 7 Amtsträger</w:t>
      </w:r>
      <w:r>
        <w:t xml:space="preserve"> </w:t>
      </w:r>
      <w:r>
        <w:rPr>
          <w:rStyle w:val="Suchmarke"/>
        </w:rPr>
        <w:t>#7#</w:t>
      </w:r>
      <w:bookmarkEnd w:id="11"/>
    </w:p>
    <w:p>
      <w:r>
        <w:t>Amtsträger ist, wer nach deutschem Recht</w:t>
      </w:r>
    </w:p>
    <w:p>
      <w:pPr>
        <w:tabs>
          <w:tab w:pos="567" w:val="left"/>
        </w:tabs>
        <w:ind w:left="567" w:hanging="567"/>
      </w:pPr>
      <w:r>
        <w:t>1.</w:t>
      </w:r>
      <w:r>
        <w:tab/>
      </w:r>
      <w:r>
        <w:t>Beamter oder Richter (§ 11 Absatz 1 Nummer 3 des Strafgesetzbuchs) ist,</w:t>
      </w:r>
    </w:p>
    <w:p>
      <w:pPr>
        <w:tabs>
          <w:tab w:pos="567" w:val="left"/>
        </w:tabs>
        <w:ind w:left="567" w:hanging="567"/>
      </w:pPr>
      <w:r>
        <w:t>2.</w:t>
      </w:r>
      <w:r>
        <w:tab/>
      </w:r>
      <w:r>
        <w:t>in einem sonstigen öffentlich-rechtlichen Amtsverhältnis steht oder</w:t>
      </w:r>
    </w:p>
    <w:p>
      <w:pPr>
        <w:tabs>
          <w:tab w:pos="567" w:val="left"/>
        </w:tabs>
        <w:ind w:left="567" w:hanging="567"/>
      </w:pPr>
      <w:r>
        <w:t>3.</w:t>
      </w:r>
      <w:r>
        <w:tab/>
      </w:r>
      <w:r>
        <w:t>sonst dazu bestellt ist, bei einer Behörde oder bei einer sonstigen öffentlichen Stelle oder in deren Auftrag Aufgaben der öffentlichen Verwaltung wahrzunehmen.</w:t>
      </w:r>
    </w:p>
    <w:p>
      <w:pPr>
        <w:pStyle w:val="Heading3"/>
      </w:pPr>
      <w:bookmarkStart w:id="12" w:name="b11"/>
      <w:r>
        <w:t>§ 8 Wohnsitz</w:t>
      </w:r>
      <w:r>
        <w:t xml:space="preserve"> </w:t>
      </w:r>
      <w:r>
        <w:rPr>
          <w:rStyle w:val="Suchmarke"/>
        </w:rPr>
        <w:t>#8#</w:t>
      </w:r>
      <w:bookmarkEnd w:id="12"/>
    </w:p>
    <w:p>
      <w:r>
        <w:t>Einen Wohnsitz hat jemand dort, wo er eine Wohnung unter Umständen innehat, die darauf schließen lassen, dass er die Wohnung beibehalten und benutzen wird.</w:t>
      </w:r>
    </w:p>
    <w:p>
      <w:pPr>
        <w:pStyle w:val="Heading3"/>
      </w:pPr>
      <w:bookmarkStart w:id="13" w:name="b12"/>
      <w:r>
        <w:t>§ 9 Gewöhnlicher Aufenthalt</w:t>
      </w:r>
      <w:r>
        <w:t xml:space="preserve"> </w:t>
      </w:r>
      <w:r>
        <w:rPr>
          <w:rStyle w:val="Suchmarke"/>
        </w:rPr>
        <w:t>#9#</w:t>
      </w:r>
      <w:bookmarkEnd w:id="13"/>
    </w:p>
    <w:p>
      <w:r>
        <w:rPr>
          <w:rStyle w:val="Satznummer"/>
        </w:rPr>
        <w:t>1</w:t>
      </w:r>
      <w:r>
        <w:t xml:space="preserve">Den gewöhnlichen Aufenthalt hat jemand dort, wo er sich unter Umständen aufhält, die erkennen lassen, dass er an diesem Ort oder in diesem Gebiet nicht nur vorübergehend verweilt. </w:t>
      </w:r>
      <w:r>
        <w:rPr>
          <w:rStyle w:val="Satznummer"/>
        </w:rPr>
        <w:t>2</w:t>
      </w:r>
      <w:r>
        <w:t xml:space="preserve">Als gewöhnlicher Aufenthalt im Geltungsbereich dieses Gesetzes ist stets und von Beginn an ein zeitlich zusammenhängender Aufenthalt von mehr als sechs Monaten Dauer anzusehen; kurzfristige Unterbrechungen bleiben unberücksichtigt. </w:t>
      </w:r>
      <w:r>
        <w:rPr>
          <w:rStyle w:val="Satznummer"/>
        </w:rPr>
        <w:t>3</w:t>
      </w:r>
      <w:r>
        <w:t>Satz 2 gilt nicht, wenn der Aufenthalt ausschließlich zu Besuchs-, Erholungs-, Kur- oder ähnlichen privaten Zwecken genommen wird und nicht länger als ein Jahr dauert.</w:t>
      </w:r>
    </w:p>
    <w:p>
      <w:pPr>
        <w:pStyle w:val="Heading3"/>
      </w:pPr>
      <w:bookmarkStart w:id="14" w:name="b13"/>
      <w:r>
        <w:t>§ 10 Geschäftsleitung</w:t>
      </w:r>
      <w:r>
        <w:t xml:space="preserve"> </w:t>
      </w:r>
      <w:r>
        <w:rPr>
          <w:rStyle w:val="Suchmarke"/>
        </w:rPr>
        <w:t>#10#</w:t>
      </w:r>
      <w:bookmarkEnd w:id="14"/>
    </w:p>
    <w:p>
      <w:r>
        <w:t>Geschäftsleitung ist der Mittelpunkt der geschäftlichen Oberleitung.</w:t>
      </w:r>
    </w:p>
    <w:p>
      <w:pPr>
        <w:pStyle w:val="Heading3"/>
      </w:pPr>
      <w:bookmarkStart w:id="15" w:name="b14"/>
      <w:r>
        <w:t>§ 11 Sitz</w:t>
      </w:r>
      <w:r>
        <w:t xml:space="preserve"> </w:t>
      </w:r>
      <w:r>
        <w:rPr>
          <w:rStyle w:val="Suchmarke"/>
        </w:rPr>
        <w:t>#11#</w:t>
      </w:r>
      <w:bookmarkEnd w:id="15"/>
    </w:p>
    <w:p>
      <w:r>
        <w:t>Den Sitz hat eine Körperschaft, Personenvereinigung oder Vermögensmasse an dem Ort, der durch Gesetz, Gesellschaftsvertrag, Satzung, Stiftungsgeschäft oder dergleichen bestimmt ist.</w:t>
      </w:r>
    </w:p>
    <w:p>
      <w:pPr>
        <w:pStyle w:val="Heading3"/>
      </w:pPr>
      <w:bookmarkStart w:id="16" w:name="b15"/>
      <w:r>
        <w:t>§ 12 Betriebstätte</w:t>
      </w:r>
      <w:r>
        <w:t xml:space="preserve"> </w:t>
      </w:r>
      <w:r>
        <w:rPr>
          <w:rStyle w:val="Suchmarke"/>
        </w:rPr>
        <w:t>#12#</w:t>
      </w:r>
      <w:bookmarkEnd w:id="16"/>
    </w:p>
    <w:p>
      <w:r>
        <w:rPr>
          <w:rStyle w:val="Satznummer"/>
        </w:rPr>
        <w:t>1</w:t>
      </w:r>
      <w:r>
        <w:t xml:space="preserve">Betriebstätte ist jede feste Geschäftseinrichtung oder Anlage, die der Tätigkeit eines Unternehmens dient. </w:t>
      </w:r>
      <w:r>
        <w:rPr>
          <w:rStyle w:val="Satznummer"/>
        </w:rPr>
        <w:t>2</w:t>
      </w:r>
      <w:r>
        <w:t>Als Betriebstätten sind insbesondere anzusehen:</w:t>
      </w:r>
    </w:p>
    <w:p>
      <w:pPr>
        <w:tabs>
          <w:tab w:pos="567" w:val="left"/>
        </w:tabs>
        <w:ind w:left="567" w:hanging="567"/>
      </w:pPr>
      <w:r>
        <w:t>1.</w:t>
      </w:r>
      <w:r>
        <w:tab/>
      </w:r>
      <w:r>
        <w:t>die Stätte der Geschäftsleitung,</w:t>
      </w:r>
    </w:p>
    <w:p>
      <w:pPr>
        <w:tabs>
          <w:tab w:pos="567" w:val="left"/>
        </w:tabs>
        <w:ind w:left="567" w:hanging="567"/>
      </w:pPr>
      <w:r>
        <w:t>2.</w:t>
      </w:r>
      <w:r>
        <w:tab/>
      </w:r>
      <w:r>
        <w:t>Zweigniederlassungen,</w:t>
      </w:r>
    </w:p>
    <w:p>
      <w:pPr>
        <w:tabs>
          <w:tab w:pos="567" w:val="left"/>
        </w:tabs>
        <w:ind w:left="567" w:hanging="567"/>
      </w:pPr>
      <w:r>
        <w:t>3.</w:t>
      </w:r>
      <w:r>
        <w:tab/>
      </w:r>
      <w:r>
        <w:t>Geschäftsstellen,</w:t>
      </w:r>
    </w:p>
    <w:p>
      <w:pPr>
        <w:tabs>
          <w:tab w:pos="567" w:val="left"/>
        </w:tabs>
        <w:ind w:left="567" w:hanging="567"/>
      </w:pPr>
      <w:r>
        <w:t>4.</w:t>
      </w:r>
      <w:r>
        <w:tab/>
      </w:r>
      <w:r>
        <w:t>Fabrikations- oder Werkstätten,</w:t>
      </w:r>
    </w:p>
    <w:p>
      <w:pPr>
        <w:tabs>
          <w:tab w:pos="567" w:val="left"/>
        </w:tabs>
        <w:ind w:left="567" w:hanging="567"/>
      </w:pPr>
      <w:r>
        <w:t>5.</w:t>
      </w:r>
      <w:r>
        <w:tab/>
      </w:r>
      <w:r>
        <w:t>Warenlager,</w:t>
      </w:r>
    </w:p>
    <w:p>
      <w:pPr>
        <w:tabs>
          <w:tab w:pos="567" w:val="left"/>
        </w:tabs>
        <w:ind w:left="567" w:hanging="567"/>
      </w:pPr>
      <w:r>
        <w:t>6.</w:t>
      </w:r>
      <w:r>
        <w:tab/>
      </w:r>
      <w:r>
        <w:t>Ein- oder Verkaufsstellen,</w:t>
      </w:r>
    </w:p>
    <w:p>
      <w:pPr>
        <w:tabs>
          <w:tab w:pos="567" w:val="left"/>
        </w:tabs>
        <w:ind w:left="567" w:hanging="567"/>
      </w:pPr>
      <w:r>
        <w:t>7.</w:t>
      </w:r>
      <w:r>
        <w:tab/>
      </w:r>
      <w:r>
        <w:t>Bergwerke, Steinbrüche oder andere stehende, örtlich fortschreitende oder schwimmende Stätten der Gewinnung von Bodenschätzen,</w:t>
      </w:r>
    </w:p>
    <w:p>
      <w:pPr>
        <w:tabs>
          <w:tab w:pos="567" w:val="left"/>
        </w:tabs>
        <w:ind w:left="567" w:hanging="567"/>
      </w:pPr>
      <w:r>
        <w:t>8.</w:t>
      </w:r>
      <w:r>
        <w:tab/>
      </w:r>
      <w:r>
        <w:t>Bauausführungen oder Montagen, auch örtlich fortschreitende oder schwimmende, wenn</w:t>
      </w:r>
    </w:p>
    <w:p>
      <w:pPr>
        <w:tabs>
          <w:tab w:pos="1134" w:val="left"/>
        </w:tabs>
        <w:ind w:left="1134" w:hanging="567"/>
      </w:pPr>
      <w:r>
        <w:t>a)</w:t>
      </w:r>
      <w:r>
        <w:tab/>
      </w:r>
      <w:r>
        <w:t>die einzelne Bauausführung oder Montage oder</w:t>
      </w:r>
    </w:p>
    <w:p>
      <w:pPr>
        <w:tabs>
          <w:tab w:pos="1134" w:val="left"/>
        </w:tabs>
        <w:ind w:left="1134" w:hanging="567"/>
      </w:pPr>
      <w:r>
        <w:t>b)</w:t>
      </w:r>
      <w:r>
        <w:tab/>
      </w:r>
      <w:r>
        <w:t>eine von mehreren zeitlich nebeneinander bestehenden Bauausführungen oder Montagen oder</w:t>
      </w:r>
    </w:p>
    <w:p>
      <w:pPr>
        <w:tabs>
          <w:tab w:pos="1134" w:val="left"/>
        </w:tabs>
        <w:ind w:left="1134" w:hanging="567"/>
      </w:pPr>
      <w:r>
        <w:t>c)</w:t>
      </w:r>
      <w:r>
        <w:tab/>
      </w:r>
      <w:r>
        <w:t>mehrere ohne Unterbrechung aufeinander folgende Bauausführungen oder Montagen</w:t>
      </w:r>
    </w:p>
    <w:p>
      <w:pPr>
        <w:ind w:left="567"/>
      </w:pPr>
      <w:r>
        <w:t>länger als sechs Monate dauern.</w:t>
      </w:r>
    </w:p>
    <w:p>
      <w:pPr>
        <w:pStyle w:val="Heading3"/>
      </w:pPr>
      <w:bookmarkStart w:id="17" w:name="b16"/>
      <w:r>
        <w:t>§ 13 Ständiger Vertreter</w:t>
      </w:r>
      <w:r>
        <w:t xml:space="preserve"> </w:t>
      </w:r>
      <w:r>
        <w:rPr>
          <w:rStyle w:val="Suchmarke"/>
        </w:rPr>
        <w:t>#13#</w:t>
      </w:r>
      <w:bookmarkEnd w:id="17"/>
    </w:p>
    <w:p>
      <w:r>
        <w:rPr>
          <w:rStyle w:val="Satznummer"/>
        </w:rPr>
        <w:t>1</w:t>
      </w:r>
      <w:r>
        <w:t xml:space="preserve">Ständiger Vertreter ist eine Person, die nachhaltig die Geschäfte eines Unternehmens besorgt und dabei dessen Sachweisungen unterliegt. </w:t>
      </w:r>
      <w:r>
        <w:rPr>
          <w:rStyle w:val="Satznummer"/>
        </w:rPr>
        <w:t>2</w:t>
      </w:r>
      <w:r>
        <w:t>Ständiger Vertreter ist insbesondere eine Person, die für ein Unternehmen nachhaltig</w:t>
      </w:r>
    </w:p>
    <w:p>
      <w:pPr>
        <w:tabs>
          <w:tab w:pos="567" w:val="left"/>
        </w:tabs>
        <w:ind w:left="567" w:hanging="567"/>
      </w:pPr>
      <w:r>
        <w:t>1.</w:t>
      </w:r>
      <w:r>
        <w:tab/>
      </w:r>
      <w:r>
        <w:t>Verträge abschließt oder vermittelt oder Aufträge einholt oder</w:t>
      </w:r>
    </w:p>
    <w:p>
      <w:pPr>
        <w:tabs>
          <w:tab w:pos="567" w:val="left"/>
        </w:tabs>
        <w:ind w:left="567" w:hanging="567"/>
      </w:pPr>
      <w:r>
        <w:t>2.</w:t>
      </w:r>
      <w:r>
        <w:tab/>
      </w:r>
      <w:r>
        <w:t>einen Bestand von Gütern oder Waren unterhält und davon Auslieferungen vornimmt.</w:t>
      </w:r>
    </w:p>
    <w:p>
      <w:pPr>
        <w:pStyle w:val="Heading3"/>
      </w:pPr>
      <w:bookmarkStart w:id="18" w:name="b17"/>
      <w:r>
        <w:t>§ 14 Wirtschaftlicher Geschäftsbetrieb</w:t>
      </w:r>
      <w:r>
        <w:t xml:space="preserve"> </w:t>
      </w:r>
      <w:r>
        <w:rPr>
          <w:rStyle w:val="Suchmarke"/>
        </w:rPr>
        <w:t>#14#</w:t>
      </w:r>
      <w:bookmarkEnd w:id="18"/>
    </w:p>
    <w:p>
      <w:r>
        <w:rPr>
          <w:rStyle w:val="Satznummer"/>
        </w:rPr>
        <w:t>1</w:t>
      </w:r>
      <w:r>
        <w:t xml:space="preserve">Ein wirtschaftlicher Geschäftsbetrieb ist eine selbständige nachhaltige Tätigkeit, durch die Einnahmen oder andere wirtschaftliche Vorteile erzielt werden und die über den Rahmen einer Vermögensverwaltung hinausgeht. </w:t>
      </w:r>
      <w:r>
        <w:rPr>
          <w:rStyle w:val="Satznummer"/>
        </w:rPr>
        <w:t>2</w:t>
      </w:r>
      <w:r>
        <w:t xml:space="preserve">Die Absicht, Gewinn zu erzielen, ist nicht erforderlich. </w:t>
      </w:r>
      <w:r>
        <w:rPr>
          <w:rStyle w:val="Satznummer"/>
        </w:rPr>
        <w:t>3</w:t>
      </w:r>
      <w:r>
        <w:t>Eine Vermögensverwaltung liegt in der Regel vor, wenn Vermögen genutzt, zum Beispiel Kapitalvermögen verzinslich angelegt oder unbewegliches Vermögen vermietet oder verpachtet wird.</w:t>
      </w:r>
    </w:p>
    <w:p>
      <w:pPr>
        <w:pStyle w:val="Heading3"/>
      </w:pPr>
      <w:bookmarkStart w:id="19" w:name="b18"/>
      <w:r>
        <w:t>§ 14a Personenvereinigungen</w:t>
      </w:r>
      <w:r>
        <w:t xml:space="preserve"> </w:t>
      </w:r>
      <w:r>
        <w:rPr>
          <w:rStyle w:val="Suchmarke"/>
        </w:rPr>
        <w:t>#14a#</w:t>
      </w:r>
      <w:bookmarkEnd w:id="19"/>
    </w:p>
    <w:p>
      <w:r>
        <w:t>(1) Personenvereinigungen im Sinne dieses Gesetzes und der Steuergesetze sind Personenzusammenschlüsse ohne Rechtspersönlichkeit zur Verfolgung eines gesetzlich zulässigen Zwecks.</w:t>
      </w:r>
    </w:p>
    <w:p>
      <w:r>
        <w:t>(2) Rechtsfähige Personenvereinigungen sind insbesondere</w:t>
      </w:r>
    </w:p>
    <w:p>
      <w:pPr>
        <w:tabs>
          <w:tab w:pos="567" w:val="left"/>
        </w:tabs>
        <w:ind w:left="567" w:hanging="567"/>
      </w:pPr>
      <w:r>
        <w:t>1.</w:t>
      </w:r>
      <w:r>
        <w:tab/>
      </w:r>
      <w:r>
        <w:t>Vereine ohne Rechtspersönlichkeit (§ 54 des Bürgerlichen Gesetzbuchs),</w:t>
      </w:r>
    </w:p>
    <w:p>
      <w:pPr>
        <w:tabs>
          <w:tab w:pos="567" w:val="left"/>
        </w:tabs>
        <w:ind w:left="567" w:hanging="567"/>
      </w:pPr>
      <w:r>
        <w:t>2.</w:t>
      </w:r>
      <w:r>
        <w:tab/>
      </w:r>
      <w:r>
        <w:t>rechtsfähige Personengesellschaften einschließlich Gesellschaften (§ 705 des Bürgerlichen Gesetzbuchs), Personenhandelsgesellschaften, Partnerschaftsgesellschaften, Partenreedereien und Europäische wirtschaftliche Interessenvereinigungen und</w:t>
      </w:r>
    </w:p>
    <w:p>
      <w:pPr>
        <w:tabs>
          <w:tab w:pos="567" w:val="left"/>
        </w:tabs>
        <w:ind w:left="567" w:hanging="567"/>
      </w:pPr>
      <w:r>
        <w:t>3.</w:t>
      </w:r>
      <w:r>
        <w:tab/>
      </w:r>
      <w:r>
        <w:t>Gemeinschaften der Wohnungseigentümer (§ 9a des Wohnungseigentumsgesetzes).</w:t>
      </w:r>
    </w:p>
    <w:p>
      <w:r>
        <w:t>(3) Nicht rechtsfähige Personenvereinigungen sind insbesondere</w:t>
      </w:r>
    </w:p>
    <w:p>
      <w:pPr>
        <w:tabs>
          <w:tab w:pos="567" w:val="left"/>
        </w:tabs>
        <w:ind w:left="567" w:hanging="567"/>
      </w:pPr>
      <w:r>
        <w:t>1.</w:t>
      </w:r>
      <w:r>
        <w:tab/>
      </w:r>
      <w:r>
        <w:t>Bruchteilsgemeinschaften (§ 741 des Bürgerlichen Gesetzbuchs),</w:t>
      </w:r>
    </w:p>
    <w:p>
      <w:pPr>
        <w:tabs>
          <w:tab w:pos="567" w:val="left"/>
        </w:tabs>
        <w:ind w:left="567" w:hanging="567"/>
      </w:pPr>
      <w:r>
        <w:t>2.</w:t>
      </w:r>
      <w:r>
        <w:tab/>
      </w:r>
      <w:r>
        <w:t>Gütergemeinschaften (§ 1415 des Bürgerlichen Gesetzbuchs) und</w:t>
      </w:r>
    </w:p>
    <w:p>
      <w:pPr>
        <w:tabs>
          <w:tab w:pos="567" w:val="left"/>
        </w:tabs>
        <w:ind w:left="567" w:hanging="567"/>
      </w:pPr>
      <w:r>
        <w:t>3.</w:t>
      </w:r>
      <w:r>
        <w:tab/>
      </w:r>
      <w:r>
        <w:t>Erbengemeinschaften (§ 2032 des Bürgerlichen Gesetzbuchs).</w:t>
      </w:r>
    </w:p>
    <w:p>
      <w:r>
        <w:t xml:space="preserve">(4) Auf nicht rechtsfähige Gesellschaften (§ 740 des Bürgerlichen Gesetzbuchs) sind die für nicht rechtsfähige Personenvereinigungen geltenden Vorschriften mit Ausnahme des </w:t>
      </w:r>
      <w:hyperlink w:anchor="b411" w:history="1">
        <w:r>
          <w:rPr>
            <w:color w:val="0A3A8C"/>
            <w:u w:val="single"/>
          </w:rPr>
          <w:t xml:space="preserve">§ 267</w:t>
        </w:r>
      </w:hyperlink>
      <w:r>
        <w:t xml:space="preserve"> Absatz 1 Satz 1 sinngemäß anzuwenden.</w:t>
      </w:r>
    </w:p>
    <w:p>
      <w:pPr>
        <w:pStyle w:val="Heading3"/>
      </w:pPr>
      <w:bookmarkStart w:id="20" w:name="b19"/>
      <w:r>
        <w:t>§ 14b Körperschaften mit Sitz im Ausland</w:t>
      </w:r>
      <w:r>
        <w:t xml:space="preserve"> </w:t>
      </w:r>
      <w:r>
        <w:rPr>
          <w:rStyle w:val="Suchmarke"/>
        </w:rPr>
        <w:t>#14b#</w:t>
      </w:r>
      <w:bookmarkEnd w:id="20"/>
    </w:p>
    <w:p>
      <w:r>
        <w:t xml:space="preserve">(1) </w:t>
      </w:r>
      <w:r>
        <w:rPr>
          <w:rStyle w:val="Satznummer"/>
        </w:rPr>
        <w:t>1</w:t>
      </w:r>
      <w:r>
        <w:t>Ist eine Körperschaft mit Sitz (</w:t>
      </w:r>
      <w:hyperlink w:anchor="b14" w:history="1">
        <w:r>
          <w:rPr>
            <w:color w:val="0A3A8C"/>
            <w:u w:val="single"/>
          </w:rPr>
          <w:t xml:space="preserve">§ 11</w:t>
        </w:r>
      </w:hyperlink>
      <w:r>
        <w:t>) im Ausland und Ort der Geschäftsleitung (</w:t>
      </w:r>
      <w:hyperlink w:anchor="b13" w:history="1">
        <w:r>
          <w:rPr>
            <w:color w:val="0A3A8C"/>
            <w:u w:val="single"/>
          </w:rPr>
          <w:t xml:space="preserve">§ 10</w:t>
        </w:r>
      </w:hyperlink>
      <w:r>
        <w:t xml:space="preserve">) im Geltungsbereich dieses Gesetzes nach dem Recht des Staates, in dem sie ihren Sitz hat, rechtsfähig, sind Verwaltungsakte an sie zu richten, soweit sie nach den Steuergesetzen Steuerpflichtiger ist. </w:t>
      </w:r>
      <w:r>
        <w:rPr>
          <w:rStyle w:val="Satznummer"/>
        </w:rPr>
        <w:t>2</w:t>
      </w:r>
      <w:r>
        <w:t>Dies gilt auch dann, wenn sie nach inländischem Gesellschaftsrecht mangels Rechtsfähigkeit nicht als juristische Person zu behandeln ist.</w:t>
      </w:r>
    </w:p>
    <w:p>
      <w:r>
        <w:t xml:space="preserve">(2) Auf Körperschaften im Sinne des Absatzes 1 Satz 2 sind die für juristische Personen geltenden Regelungen der </w:t>
      </w:r>
      <w:hyperlink w:anchor="b64" w:history="1">
        <w:r>
          <w:rPr>
            <w:color w:val="0A3A8C"/>
            <w:u w:val="single"/>
          </w:rPr>
          <w:t xml:space="preserve">§§ 34</w:t>
        </w:r>
      </w:hyperlink>
      <w:r>
        <w:t xml:space="preserve"> und </w:t>
      </w:r>
      <w:hyperlink w:anchor="b120" w:history="1">
        <w:r>
          <w:rPr>
            <w:color w:val="0A3A8C"/>
            <w:u w:val="single"/>
          </w:rPr>
          <w:t xml:space="preserve">79</w:t>
        </w:r>
      </w:hyperlink>
      <w:r>
        <w:t xml:space="preserve"> entsprechend anzuwenden.</w:t>
      </w:r>
    </w:p>
    <w:p>
      <w:r>
        <w:t>(3) Für die Vollstreckung in das Vermögen einer Körperschaft im Sinne des Absatzes 1 genügt ein an sie gerichteter vollstreckbarer Verwaltungsakt.</w:t>
      </w:r>
    </w:p>
    <w:p>
      <w:r>
        <w:t>(4) Die Anteilseigner einer Körperschaft im Sinne des Absatzes 1 Satz 2 haften für die von der Körperschaft geschuldeten Ansprüche aus dem Steuerschuldverhältnis unbeschränkt.</w:t>
      </w:r>
    </w:p>
    <w:p>
      <w:pPr>
        <w:pStyle w:val="Heading3"/>
      </w:pPr>
      <w:bookmarkStart w:id="21" w:name="b20"/>
      <w:r>
        <w:t>§ 15 Angehörige</w:t>
      </w:r>
      <w:r>
        <w:t xml:space="preserve"> </w:t>
      </w:r>
      <w:r>
        <w:rPr>
          <w:rStyle w:val="Suchmarke"/>
        </w:rPr>
        <w:t>#15#</w:t>
      </w:r>
      <w:bookmarkEnd w:id="21"/>
    </w:p>
    <w:p>
      <w:r>
        <w:t>(1) Angehörige sind:</w:t>
      </w:r>
    </w:p>
    <w:p>
      <w:pPr>
        <w:tabs>
          <w:tab w:pos="567" w:val="left"/>
        </w:tabs>
        <w:ind w:left="567" w:hanging="567"/>
      </w:pPr>
      <w:r>
        <w:t>1.</w:t>
      </w:r>
      <w:r>
        <w:tab/>
      </w:r>
      <w:r>
        <w:t>der Verlobte,</w:t>
      </w:r>
    </w:p>
    <w:p>
      <w:pPr>
        <w:tabs>
          <w:tab w:pos="567" w:val="left"/>
        </w:tabs>
        <w:ind w:left="567" w:hanging="567"/>
      </w:pPr>
      <w:r>
        <w:t>2.</w:t>
      </w:r>
      <w:r>
        <w:tab/>
      </w:r>
      <w:r>
        <w:t>der Ehegatte oder Lebenspartner,</w:t>
      </w:r>
    </w:p>
    <w:p>
      <w:pPr>
        <w:tabs>
          <w:tab w:pos="567" w:val="left"/>
        </w:tabs>
        <w:ind w:left="567" w:hanging="567"/>
      </w:pPr>
      <w:r>
        <w:t>3.</w:t>
      </w:r>
      <w:r>
        <w:tab/>
      </w:r>
      <w:r>
        <w:t>Verwandte und Verschwägerte gerader Linie,</w:t>
      </w:r>
    </w:p>
    <w:p>
      <w:pPr>
        <w:tabs>
          <w:tab w:pos="567" w:val="left"/>
        </w:tabs>
        <w:ind w:left="567" w:hanging="567"/>
      </w:pPr>
      <w:r>
        <w:t>4.</w:t>
      </w:r>
      <w:r>
        <w:tab/>
      </w:r>
      <w:r>
        <w:t>Geschwister,</w:t>
      </w:r>
    </w:p>
    <w:p>
      <w:pPr>
        <w:tabs>
          <w:tab w:pos="567" w:val="left"/>
        </w:tabs>
        <w:ind w:left="567" w:hanging="567"/>
      </w:pPr>
      <w:r>
        <w:t>5.</w:t>
      </w:r>
      <w:r>
        <w:tab/>
      </w:r>
      <w:r>
        <w:t>Kinder der Geschwister,</w:t>
      </w:r>
    </w:p>
    <w:p>
      <w:pPr>
        <w:tabs>
          <w:tab w:pos="567" w:val="left"/>
        </w:tabs>
        <w:ind w:left="567" w:hanging="567"/>
      </w:pPr>
      <w:r>
        <w:t>6.</w:t>
      </w:r>
      <w:r>
        <w:tab/>
      </w:r>
      <w:r>
        <w:t>Ehegatten oder Lebenspartner der Geschwister und Geschwister der Ehegatten oder Lebenspartner,</w:t>
      </w:r>
    </w:p>
    <w:p>
      <w:pPr>
        <w:tabs>
          <w:tab w:pos="567" w:val="left"/>
        </w:tabs>
        <w:ind w:left="567" w:hanging="567"/>
      </w:pPr>
      <w:r>
        <w:t>7.</w:t>
      </w:r>
      <w:r>
        <w:tab/>
      </w:r>
      <w:r>
        <w:t>Geschwister der Eltern,</w:t>
      </w:r>
    </w:p>
    <w:p>
      <w:pPr>
        <w:tabs>
          <w:tab w:pos="567" w:val="left"/>
        </w:tabs>
        <w:ind w:left="567" w:hanging="567"/>
      </w:pPr>
      <w:r>
        <w:t>8.</w:t>
      </w:r>
      <w:r>
        <w:tab/>
      </w:r>
      <w:r>
        <w:t>Personen, die durch ein auf längere Dauer angelegtes Pflegeverhältnis mit häuslicher Gemeinschaft wie Eltern und Kind miteinander verbunden sind (Pflegeeltern und Pflegekinder).</w:t>
      </w:r>
    </w:p>
    <w:p>
      <w:r>
        <w:t>(2) Angehörige sind die in Absatz 1 aufgeführten Personen auch dann, wenn</w:t>
      </w:r>
    </w:p>
    <w:p>
      <w:pPr>
        <w:tabs>
          <w:tab w:pos="567" w:val="left"/>
        </w:tabs>
        <w:ind w:left="567" w:hanging="567"/>
      </w:pPr>
      <w:r>
        <w:t>1.</w:t>
      </w:r>
      <w:r>
        <w:tab/>
      </w:r>
      <w:r>
        <w:t>in den Fällen der Nummern 2, 3 und 6 die die Beziehung begründende Ehe oder Lebenspartnerschaft nicht mehr besteht;</w:t>
      </w:r>
    </w:p>
    <w:p>
      <w:pPr>
        <w:tabs>
          <w:tab w:pos="567" w:val="left"/>
        </w:tabs>
        <w:ind w:left="567" w:hanging="567"/>
      </w:pPr>
      <w:r>
        <w:t>2.</w:t>
      </w:r>
      <w:r>
        <w:tab/>
      </w:r>
      <w:r>
        <w:t>in den Fällen der Nummern 3 bis 7 die Verwandtschaft oder Schwägerschaft durch Annahme als Kind erloschen ist;</w:t>
      </w:r>
    </w:p>
    <w:p>
      <w:pPr>
        <w:tabs>
          <w:tab w:pos="567" w:val="left"/>
        </w:tabs>
        <w:ind w:left="567" w:hanging="567"/>
      </w:pPr>
      <w:r>
        <w:t>3.</w:t>
      </w:r>
      <w:r>
        <w:tab/>
      </w:r>
      <w:r>
        <w:t>im Fall der Nummer 8 die häusliche Gemeinschaft nicht mehr besteht, sofern die Personen weiterhin wie Eltern und Kind miteinander verbunden sind.</w:t>
      </w:r>
    </w:p>
    <w:p>
      <w:pPr>
        <w:pStyle w:val="Heading2"/>
      </w:pPr>
      <w:bookmarkStart w:id="22" w:name="b21"/>
      <w:r>
        <w:t>Dritter Abschnitt Zuständigkeit der Finanzbehörden</w:t>
      </w:r>
      <w:bookmarkEnd w:id="22"/>
    </w:p>
    <w:p>
      <w:pPr>
        <w:pStyle w:val="Heading3"/>
      </w:pPr>
      <w:bookmarkStart w:id="23" w:name="b22"/>
      <w:r>
        <w:t>§ 16 Sachliche Zuständigkeit</w:t>
      </w:r>
      <w:r>
        <w:t xml:space="preserve"> </w:t>
      </w:r>
      <w:r>
        <w:rPr>
          <w:rStyle w:val="Suchmarke"/>
        </w:rPr>
        <w:t>#16#</w:t>
      </w:r>
      <w:bookmarkEnd w:id="23"/>
    </w:p>
    <w:p>
      <w:r>
        <w:t>Die sachliche Zuständigkeit der Finanzbehörden richtet sich, soweit nichts anderes bestimmt ist, nach dem Gesetz über die Finanzverwaltung.</w:t>
      </w:r>
    </w:p>
    <w:p>
      <w:pPr>
        <w:pStyle w:val="Heading3"/>
      </w:pPr>
      <w:bookmarkStart w:id="24" w:name="b23"/>
      <w:r>
        <w:t>§ 17 Örtliche Zuständigkeit</w:t>
      </w:r>
      <w:r>
        <w:t xml:space="preserve"> </w:t>
      </w:r>
      <w:r>
        <w:rPr>
          <w:rStyle w:val="Suchmarke"/>
        </w:rPr>
        <w:t>#17#</w:t>
      </w:r>
      <w:bookmarkEnd w:id="24"/>
    </w:p>
    <w:p>
      <w:r>
        <w:t>Die örtliche Zuständigkeit richtet sich, soweit nichts anderes bestimmt ist, nach den folgenden Vorschriften.</w:t>
      </w:r>
    </w:p>
    <w:p>
      <w:pPr>
        <w:pStyle w:val="Heading3"/>
      </w:pPr>
      <w:bookmarkStart w:id="25" w:name="b24"/>
      <w:r>
        <w:t>§ 18 Gesonderte Feststellungen</w:t>
      </w:r>
      <w:r>
        <w:t xml:space="preserve"> </w:t>
      </w:r>
      <w:r>
        <w:rPr>
          <w:rStyle w:val="Suchmarke"/>
        </w:rPr>
        <w:t>#18#</w:t>
      </w:r>
      <w:bookmarkEnd w:id="25"/>
    </w:p>
    <w:p>
      <w:r>
        <w:t xml:space="preserve">(1) Für die gesonderten Feststellungen nach </w:t>
      </w:r>
      <w:hyperlink w:anchor="b297" w:history="1">
        <w:r>
          <w:rPr>
            <w:color w:val="0A3A8C"/>
            <w:u w:val="single"/>
          </w:rPr>
          <w:t xml:space="preserve">§ 180</w:t>
        </w:r>
      </w:hyperlink>
      <w:r>
        <w:t xml:space="preserve"> ist örtlich zuständig:</w:t>
      </w:r>
    </w:p>
    <w:p>
      <w:pPr>
        <w:tabs>
          <w:tab w:pos="567" w:val="left"/>
        </w:tabs>
        <w:ind w:left="567" w:hanging="567"/>
      </w:pPr>
      <w:r>
        <w:t>1.</w:t>
      </w:r>
      <w:r>
        <w:tab/>
      </w:r>
      <w:r>
        <w:t>bei Betrieben der Land- und Forstwirtschaft, bei Grundstücken, Betriebsgrundstücken und Mineralgewinnungsrechten das Finanzamt, in dessen Bezirk der Betrieb, das Grundstück, das Betriebsgrundstück, das Mineralgewinnungsrecht oder, wenn sich der Betrieb, das Grundstück, das Betriebsgrundstück oder das Mineralgewinnungsrecht auf die Bezirke mehrerer Finanzämter erstreckt, der wertvollste Teil liegt (Lagefinanzamt),</w:t>
      </w:r>
    </w:p>
    <w:p>
      <w:pPr>
        <w:tabs>
          <w:tab w:pos="567" w:val="left"/>
        </w:tabs>
        <w:ind w:left="567" w:hanging="567"/>
      </w:pPr>
      <w:r>
        <w:t>2.</w:t>
      </w:r>
      <w:r>
        <w:tab/>
      </w:r>
      <w:r>
        <w:t>bei gewerblichen Betrieben mit Geschäftsleitung im Geltungsbereich dieses Gesetzes das Finanzamt, in dessen Bezirk sich die Geschäftsleitung befindet, bei gewerblichen Betrieben ohne Geschäftsleitung im Geltungsbereich dieses Gesetzes das Finanzamt, in dessen Bezirk eine Betriebstätte – bei mehreren Betriebstätten die wirtschaftlich bedeutendste – unterhalten wird (Betriebsfinanzamt),</w:t>
      </w:r>
    </w:p>
    <w:p>
      <w:pPr>
        <w:tabs>
          <w:tab w:pos="567" w:val="left"/>
        </w:tabs>
        <w:ind w:left="567" w:hanging="567"/>
      </w:pPr>
      <w:r>
        <w:t>3.</w:t>
      </w:r>
      <w:r>
        <w:tab/>
      </w:r>
      <w:r>
        <w:t>bei Einkünften aus selbständiger Arbeit das Finanzamt, von dessen Bezirk aus die Tätigkeit vorwiegend ausgeübt wird,</w:t>
      </w:r>
    </w:p>
    <w:p>
      <w:pPr>
        <w:tabs>
          <w:tab w:pos="567" w:val="left"/>
        </w:tabs>
        <w:ind w:left="567" w:hanging="567"/>
      </w:pPr>
      <w:r>
        <w:t>4.</w:t>
      </w:r>
      <w:r>
        <w:tab/>
      </w:r>
      <w:r>
        <w:t>bei einer Beteiligung mehrerer Personen an Einkünften, die keine Einkünfte aus Land- und Forstwirtschaft, aus Gewerbebetrieb oder aus selbständiger Arbeit sind und die nach § 180 Absatz 1 Satz 1 Nummer 2 Buchstabe a gesondert festgestellt werden,</w:t>
      </w:r>
    </w:p>
    <w:p>
      <w:pPr>
        <w:tabs>
          <w:tab w:pos="1134" w:val="left"/>
        </w:tabs>
        <w:ind w:left="1134" w:hanging="567"/>
      </w:pPr>
      <w:r>
        <w:t>a)</w:t>
      </w:r>
      <w:r>
        <w:tab/>
      </w:r>
      <w:r>
        <w:t>das Finanzamt, von dessen Bezirk die Verwaltung dieser Einkünfte ausgeht, oder</w:t>
      </w:r>
    </w:p>
    <w:p>
      <w:pPr>
        <w:tabs>
          <w:tab w:pos="1134" w:val="left"/>
        </w:tabs>
        <w:ind w:left="1134" w:hanging="567"/>
      </w:pPr>
      <w:r>
        <w:t>b)</w:t>
      </w:r>
      <w:r>
        <w:tab/>
      </w:r>
      <w:r>
        <w:t>das Finanzamt, in dessen Bezirk sich der wertvollste Teil des Vermögens, aus dem die gemeinsamen Einkünfte fließen, befindet, wenn die Verwaltung dieser Einkünfte im Geltungsbereich dieses Gesetzes nicht feststellbar ist.</w:t>
      </w:r>
    </w:p>
    <w:p>
      <w:pPr>
        <w:ind w:left="567"/>
      </w:pPr>
      <w:r>
        <w:rPr>
          <w:rStyle w:val="Satznummer"/>
        </w:rPr>
        <w:t>2</w:t>
      </w:r>
      <w:r>
        <w:t xml:space="preserve">Dies gilt entsprechend bei einer gesonderten Feststellung nach </w:t>
      </w:r>
      <w:hyperlink w:anchor="b297" w:history="1">
        <w:r>
          <w:rPr>
            <w:color w:val="0A3A8C"/>
            <w:u w:val="single"/>
          </w:rPr>
          <w:t xml:space="preserve">§ 180</w:t>
        </w:r>
      </w:hyperlink>
      <w:r>
        <w:t xml:space="preserve"> Absatz 1 Satz 1 Nummer 3 oder </w:t>
      </w:r>
      <w:hyperlink w:anchor="b297" w:history="1">
        <w:r>
          <w:rPr>
            <w:color w:val="0A3A8C"/>
            <w:u w:val="single"/>
          </w:rPr>
          <w:t xml:space="preserve">§ 180</w:t>
        </w:r>
      </w:hyperlink>
      <w:r>
        <w:t xml:space="preserve"> Absatz 2,</w:t>
      </w:r>
    </w:p>
    <w:p>
      <w:pPr>
        <w:tabs>
          <w:tab w:pos="567" w:val="left"/>
        </w:tabs>
        <w:ind w:left="567" w:hanging="567"/>
      </w:pPr>
      <w:r>
        <w:t>5.</w:t>
      </w:r>
      <w:r>
        <w:tab/>
      </w:r>
      <w:r>
        <w:t xml:space="preserve">in den Fällen des </w:t>
      </w:r>
      <w:hyperlink w:anchor="b297" w:history="1">
        <w:r>
          <w:rPr>
            <w:color w:val="0A3A8C"/>
            <w:u w:val="single"/>
          </w:rPr>
          <w:t xml:space="preserve">§ 180</w:t>
        </w:r>
      </w:hyperlink>
      <w:r>
        <w:t xml:space="preserve"> Absatz 1a das Finanzamt, das für den Bescheid örtlich zuständig ist, für den der Teilabschlussbescheid unmittelbar Bindungswirkung entfaltet.</w:t>
      </w:r>
    </w:p>
    <w:p>
      <w:r>
        <w:t xml:space="preserve">(2) </w:t>
      </w:r>
      <w:r>
        <w:rPr>
          <w:rStyle w:val="Satznummer"/>
        </w:rPr>
        <w:t>1</w:t>
      </w:r>
      <w:r>
        <w:t xml:space="preserve">Ist eine gesonderte Feststellung mehreren Steuerpflichtigen gegenüber vorzunehmen und lässt sich nach Absatz 1 die örtliche Zuständigkeit nicht bestimmen, so ist jedes Finanzamt örtlich zuständig, das nach den </w:t>
      </w:r>
      <w:hyperlink w:anchor="b25" w:history="1">
        <w:r>
          <w:rPr>
            <w:color w:val="0A3A8C"/>
            <w:u w:val="single"/>
          </w:rPr>
          <w:t xml:space="preserve">§§ 19</w:t>
        </w:r>
      </w:hyperlink>
      <w:r>
        <w:t xml:space="preserve"> oder </w:t>
      </w:r>
      <w:hyperlink w:anchor="b26" w:history="1">
        <w:r>
          <w:rPr>
            <w:color w:val="0A3A8C"/>
            <w:u w:val="single"/>
          </w:rPr>
          <w:t xml:space="preserve">20</w:t>
        </w:r>
      </w:hyperlink>
      <w:r>
        <w:t xml:space="preserve"> für die Steuern vom Einkommen und Vermögen eines Steuerpflichtigen zuständig ist, dem ein Anteil an dem Gegenstand der Feststellung zuzurechnen ist. </w:t>
      </w:r>
      <w:r>
        <w:rPr>
          <w:rStyle w:val="Satznummer"/>
        </w:rPr>
        <w:t>2</w:t>
      </w:r>
      <w:r>
        <w:t>Soweit dieses Finanzamt auf Grund einer Verordnung nach § 17 Absatz 2 Satz 3 und 4 des Finanzverwaltungsgesetzes sachlich nicht für die gesonderte Feststellung zuständig ist, tritt an seine Stelle das sachlich zuständige Finanzamt.</w:t>
      </w:r>
    </w:p>
    <w:p>
      <w:pPr>
        <w:pStyle w:val="Heading3"/>
      </w:pPr>
      <w:bookmarkStart w:id="26" w:name="b25"/>
      <w:r>
        <w:t>§ 19 Steuern vom Einkommen und Vermögen natürlicher Personen</w:t>
      </w:r>
      <w:r>
        <w:t xml:space="preserve"> </w:t>
      </w:r>
      <w:r>
        <w:rPr>
          <w:rStyle w:val="Suchmarke"/>
        </w:rPr>
        <w:t>#19#</w:t>
      </w:r>
      <w:bookmarkEnd w:id="26"/>
    </w:p>
    <w:p>
      <w:r>
        <w:t xml:space="preserve">(1) </w:t>
      </w:r>
      <w:r>
        <w:rPr>
          <w:rStyle w:val="Satznummer"/>
        </w:rPr>
        <w:t>1</w:t>
      </w:r>
      <w:r>
        <w:t xml:space="preserve">Für die Besteuerung natürlicher Personen nach dem Einkommen und Vermögen ist das Finanzamt örtlich zuständig, in dessen Bezirk der Steuerpflichtige seinen Wohnsitz oder in Ermangelung eines Wohnsitzes seinen gewöhnlichen Aufenthalt hat (Wohnsitzfinanzamt). </w:t>
      </w:r>
      <w:r>
        <w:rPr>
          <w:rStyle w:val="Satznummer"/>
        </w:rPr>
        <w:t>2</w:t>
      </w:r>
      <w:r>
        <w:t xml:space="preserve">Bei mehrfachem Wohnsitz im Geltungsbereich des Gesetzes ist der Wohnsitz maßgebend, an dem sich der Steuerpflichtige vorwiegend aufhält; bei mehrfachem Wohnsitz eines verheirateten oder in Lebenspartnerschaft lebenden Steuerpflichtigen, der von seinem Ehegatten oder Lebenspartner nicht dauernd getrennt lebt, ist der Wohnsitz maßgebend, an dem sich die Familie vorwiegend aufhält. </w:t>
      </w:r>
      <w:r>
        <w:rPr>
          <w:rStyle w:val="Satznummer"/>
        </w:rPr>
        <w:t>3</w:t>
      </w:r>
      <w:r>
        <w:t>Für die nach § 1 Absatz 2 des Einkommensteuergesetzes und nach § 1 Absatz 2 des Vermögensteuergesetzes unbeschränkt steuerpflichtigen Personen ist das Finanzamt örtlich zuständig, in dessen Bezirk sich die zahlende öffentliche Kasse befindet; das Gleiche gilt in den Fällen des § 1 Absatz 3 des Einkommensteuergesetzes bei Personen, die die Voraussetzungen des § 1 Absatz 2 Satz 1 Nummer 1 und 2 des Einkommensteuergesetzes erfüllen, und in den Fällen des § 1a Absatz 2 des Einkommensteuergesetzes.</w:t>
      </w:r>
    </w:p>
    <w:p>
      <w:r>
        <w:t xml:space="preserve">(2) </w:t>
      </w:r>
      <w:r>
        <w:rPr>
          <w:rStyle w:val="Satznummer"/>
        </w:rPr>
        <w:t>1</w:t>
      </w:r>
      <w:r>
        <w:t xml:space="preserve">Liegen die Voraussetzungen des Absatzes 1 nicht vor, so ist das Finanzamt örtlich zuständig, in dessen Bezirk sich das Vermögen des Steuerpflichtigen und, wenn dies für mehrere Finanzämter zutrifft, in dessen Bezirk sich der wertvollste Teil des Vermögens befindet. </w:t>
      </w:r>
      <w:r>
        <w:rPr>
          <w:rStyle w:val="Satznummer"/>
        </w:rPr>
        <w:t>2</w:t>
      </w:r>
      <w:r>
        <w:t xml:space="preserve">Hat der Steuerpflichtige kein Vermögen im Geltungsbereich des Gesetzes, so ist das Finanzamt örtlich zuständig, in dessen Bezirk die Tätigkeit im Geltungsbereich des Gesetzes vorwiegend ausgeübt oder verwertet wird oder worden ist. </w:t>
      </w:r>
      <w:r>
        <w:rPr>
          <w:rStyle w:val="Satznummer"/>
        </w:rPr>
        <w:t>3</w:t>
      </w:r>
      <w:r>
        <w:t>Hat ein Steuerpflichtiger seinen Wohnsitz oder gewöhnlichen Aufenthalt im Geltungsbereich des Gesetzes aufgegeben und erzielt er im Jahr des Wegzugs keine Einkünfte im Sinne des § 49 des Einkommensteuergesetzes, ist das Finanzamt örtlich zuständig, das nach den Verhältnissen vor dem Wegzug zuletzt örtlich zuständig war.</w:t>
      </w:r>
    </w:p>
    <w:p>
      <w:r>
        <w:t xml:space="preserve">(3) </w:t>
      </w:r>
      <w:r>
        <w:rPr>
          <w:rStyle w:val="Satznummer"/>
        </w:rPr>
        <w:t>1</w:t>
      </w:r>
      <w:r>
        <w:t xml:space="preserve">Gehören zum Bereich der Wohnsitzgemeinde mehrere Finanzämter und übt ein Steuerpflichtiger mit Einkünften aus Land- und Forstwirtschaft, Gewerbebetrieb oder freiberuflicher Tätigkeit diese Tätigkeit innerhalb der Wohnsitzgemeinde, aber im Bezirk eines anderen Finanzamts als dem des Wohnsitzfinanzamts aus, so ist abweichend von Absatz 1 jenes Finanzamt zuständig, wenn es nach </w:t>
      </w:r>
      <w:hyperlink w:anchor="b24" w:history="1">
        <w:r>
          <w:rPr>
            <w:color w:val="0A3A8C"/>
            <w:u w:val="single"/>
          </w:rPr>
          <w:t xml:space="preserve">§ 18</w:t>
        </w:r>
      </w:hyperlink>
      <w:r>
        <w:t xml:space="preserve"> Absatz 1 Nummer 1, 2 oder 3 für eine gesonderte Feststellung dieser Einkünfte zuständig wäre. </w:t>
      </w:r>
      <w:r>
        <w:rPr>
          <w:rStyle w:val="Satznummer"/>
        </w:rPr>
        <w:t>2</w:t>
      </w:r>
      <w:r>
        <w:t>Einkünfte aus Gewinnanteilen sind bei Anwendung des Satzes 1 nur dann zu berücksichtigen, wenn sie die einzigen Einkünfte des Steuerpflichtigen im Sinne des Satzes 1 sind.</w:t>
      </w:r>
    </w:p>
    <w:p>
      <w:r>
        <w:t>(4) Steuerpflichtige, die zusammen zu veranlagen sind oder zusammen veranlagt werden können, sind bei Anwendung des Absatzes 3 so zu behandeln, als seien ihre Einkünfte von einem Steuerpflichtigen bezogen worden.</w:t>
      </w:r>
    </w:p>
    <w:p>
      <w:r>
        <w:t xml:space="preserve">(5) </w:t>
      </w:r>
      <w:r>
        <w:rPr>
          <w:rStyle w:val="Satznummer"/>
        </w:rPr>
        <w:t>1</w:t>
      </w:r>
      <w:r>
        <w:t xml:space="preserve">Durch Rechtsverordnung der Landesregierung kann bestimmt werden, dass als Wohnsitzgemeinde im Sinne des Absatzes 3 ein Gebiet gilt, das mehrere Gemeinden umfasst, soweit dies mit Rücksicht auf die Wirtschafts- oder Verkehrsverhältnisse, den Aufbau der Verwaltungsbehörden oder andere örtliche Bedürfnisse zweckmäßig erscheint. </w:t>
      </w:r>
      <w:r>
        <w:rPr>
          <w:rStyle w:val="Satznummer"/>
        </w:rPr>
        <w:t>2</w:t>
      </w:r>
      <w:r>
        <w:t>Die Landesregierung kann die Ermächtigung auf die für die Finanzverwaltung zuständige oberste Landesbehörde übertragen.</w:t>
      </w:r>
    </w:p>
    <w:p>
      <w:r>
        <w:t xml:space="preserve">(6) </w:t>
      </w:r>
      <w:r>
        <w:rPr>
          <w:rStyle w:val="Satznummer"/>
        </w:rPr>
        <w:t>1</w:t>
      </w:r>
      <w:r>
        <w:t xml:space="preserve">Das Bundesministerium der Finanzen kann zur Sicherstellung der Besteuerung von Personen, die nach § 1 Absatz 4 des Einkommensteuergesetzes beschränkt steuerpflichtig sind und Einkünfte im Sinne von § 49 Absatz 1 Nummer 7 und 10 des Einkommensteuergesetzes beziehen, durch Rechtsverordnung mit Zustimmung des Bundesrates einer Finanzbehörde die örtliche Zuständigkeit für den Geltungsbereich des Gesetzes übertragen. </w:t>
      </w:r>
      <w:r>
        <w:rPr>
          <w:rStyle w:val="Satznummer"/>
        </w:rPr>
        <w:t>2</w:t>
      </w:r>
      <w:r>
        <w:t>Satz 1 gilt auch in den Fällen, in denen ein Antrag nach § 1 Absatz 3 des Einkommensteuergesetzes gestellt wird.</w:t>
      </w:r>
    </w:p>
    <w:p>
      <w:pPr>
        <w:pStyle w:val="Heading3"/>
      </w:pPr>
      <w:bookmarkStart w:id="27" w:name="b26"/>
      <w:r>
        <w:t>§ 20 Steuern vom Einkommen und Vermögen der Körperschaften, Personenvereinigungen, Vermögensmassen</w:t>
      </w:r>
      <w:r>
        <w:t xml:space="preserve"> </w:t>
      </w:r>
      <w:r>
        <w:rPr>
          <w:rStyle w:val="Suchmarke"/>
        </w:rPr>
        <w:t>#20#</w:t>
      </w:r>
      <w:bookmarkEnd w:id="27"/>
    </w:p>
    <w:p>
      <w:r>
        <w:t>(1) Für die Besteuerung von Körperschaften, Personenvereinigungen und Vermögensmassen nach dem Einkommen und Vermögen ist das Finanzamt örtlich zuständig, in dessen Bezirk sich die Geschäftsleitung befindet.</w:t>
      </w:r>
    </w:p>
    <w:p>
      <w:r>
        <w:t>(2) Befindet sich die Geschäftsleitung nicht im Geltungsbereich des Gesetzes oder lässt sich der Ort der Geschäftsleitung nicht feststellen, so ist das Finanzamt örtlich zuständig, in dessen Bezirk die Steuerpflichtige ihren Sitz hat.</w:t>
      </w:r>
    </w:p>
    <w:p>
      <w:r>
        <w:t>(3) Ist weder die Geschäftsleitung noch der Sitz im Geltungsbereich des Gesetzes, so ist das Finanzamt örtlich zuständig, in dessen Bezirk sich Vermögen der Steuerpflichtigen und, wenn dies für mehrere Finanzämter zutrifft, das Finanzamt, in dessen Bezirk sich der wertvollste Teil des Vermögens befindet.</w:t>
      </w:r>
    </w:p>
    <w:p>
      <w:r>
        <w:t>(4) Befindet sich weder die Geschäftsleitung noch der Sitz noch Vermögen der Steuerpflichtigen im Geltungsbereich des Gesetzes, so ist das Finanzamt örtlich zuständig, in dessen Bezirk die Tätigkeit im Geltungsbereich des Gesetzes vorwiegend ausgeübt oder verwertet wird oder worden ist.</w:t>
      </w:r>
    </w:p>
    <w:p>
      <w:pPr>
        <w:pStyle w:val="Heading3"/>
      </w:pPr>
      <w:bookmarkStart w:id="28" w:name="b27"/>
      <w:r>
        <w:t>§ 20a Steuern vom Einkommen bei Bauleistungen</w:t>
      </w:r>
      <w:r>
        <w:t xml:space="preserve"> </w:t>
      </w:r>
      <w:r>
        <w:rPr>
          <w:rStyle w:val="Suchmarke"/>
        </w:rPr>
        <w:t>#20a#</w:t>
      </w:r>
      <w:bookmarkEnd w:id="28"/>
    </w:p>
    <w:p>
      <w:r>
        <w:t xml:space="preserve">(1) </w:t>
      </w:r>
      <w:r>
        <w:rPr>
          <w:rStyle w:val="Satznummer"/>
        </w:rPr>
        <w:t>1</w:t>
      </w:r>
      <w:r>
        <w:t xml:space="preserve">Abweichend von den </w:t>
      </w:r>
      <w:hyperlink w:anchor="b25" w:history="1">
        <w:r>
          <w:rPr>
            <w:color w:val="0A3A8C"/>
            <w:u w:val="single"/>
          </w:rPr>
          <w:t xml:space="preserve">§§ 19</w:t>
        </w:r>
      </w:hyperlink>
      <w:r>
        <w:t xml:space="preserve"> und </w:t>
      </w:r>
      <w:hyperlink w:anchor="b26" w:history="1">
        <w:r>
          <w:rPr>
            <w:color w:val="0A3A8C"/>
            <w:u w:val="single"/>
          </w:rPr>
          <w:t xml:space="preserve">20</w:t>
        </w:r>
      </w:hyperlink>
      <w:r>
        <w:t xml:space="preserve"> ist für die Besteuerung von Unternehmen, die Bauleistungen im Sinne von § 48 Absatz 1 Satz 3 des Einkommensteuergesetzes erbringen, das Finanzamt zuständig, das für die Besteuerung der entsprechenden Umsätze nach </w:t>
      </w:r>
      <w:hyperlink w:anchor="b28" w:history="1">
        <w:r>
          <w:rPr>
            <w:color w:val="0A3A8C"/>
            <w:u w:val="single"/>
          </w:rPr>
          <w:t xml:space="preserve">§ 21</w:t>
        </w:r>
      </w:hyperlink>
      <w:r>
        <w:t xml:space="preserve"> Absatz 1 zuständig ist, wenn der Unternehmer seinen Wohnsitz oder das Unternehmen seine Geschäftsleitung oder seinen Sitz außerhalb des Geltungsbereiches des Gesetzes hat. </w:t>
      </w:r>
      <w:r>
        <w:rPr>
          <w:rStyle w:val="Satznummer"/>
        </w:rPr>
        <w:t>2</w:t>
      </w:r>
      <w:r>
        <w:t>Das gilt auch abweichend von den §§ 38 bis 42f des Einkommensteuergesetzes beim Steuerabzug vom Arbeitslohn.</w:t>
      </w:r>
    </w:p>
    <w:p>
      <w:r>
        <w:t xml:space="preserve">(2) </w:t>
      </w:r>
      <w:r>
        <w:rPr>
          <w:rStyle w:val="Satznummer"/>
        </w:rPr>
        <w:t>1</w:t>
      </w:r>
      <w:r>
        <w:t xml:space="preserve">Für die Verwaltung der Lohnsteuer in den Fällen der Arbeitnehmerüberlassung durch ausländische Verleiher nach § 38 Absatz 1 Satz 1 Nummer 2 des Einkommensteuergesetzes ist das Finanzamt zuständig, das für die Besteuerung der entsprechenden Umsätze nach </w:t>
      </w:r>
      <w:hyperlink w:anchor="b28" w:history="1">
        <w:r>
          <w:rPr>
            <w:color w:val="0A3A8C"/>
            <w:u w:val="single"/>
          </w:rPr>
          <w:t xml:space="preserve">§ 21</w:t>
        </w:r>
      </w:hyperlink>
      <w:r>
        <w:t xml:space="preserve"> Absatz 1 zuständig ist. </w:t>
      </w:r>
      <w:r>
        <w:rPr>
          <w:rStyle w:val="Satznummer"/>
        </w:rPr>
        <w:t>2</w:t>
      </w:r>
      <w:r>
        <w:t>Satz 1 gilt nur, wenn die überlassene Person im Baugewerbe eingesetzt ist.</w:t>
      </w:r>
    </w:p>
    <w:p>
      <w:r>
        <w:t xml:space="preserve">(3) Für die Besteuerung von Personen, die von Unternehmen im Sinne des Absatzes 1 oder 2 im Inland beschäftigt werden, kann abweichend von </w:t>
      </w:r>
      <w:hyperlink w:anchor="b25" w:history="1">
        <w:r>
          <w:rPr>
            <w:color w:val="0A3A8C"/>
            <w:u w:val="single"/>
          </w:rPr>
          <w:t xml:space="preserve">§ 19</w:t>
        </w:r>
      </w:hyperlink>
      <w:r>
        <w:t xml:space="preserve"> das Bundesministerium der Finanzen durch Rechtsverordnung mit Zustimmung des Bundesrates die örtliche Zuständigkeit einem Finanzamt für den Geltungsbereich des Gesetzes übertragen.</w:t>
      </w:r>
    </w:p>
    <w:p>
      <w:pPr>
        <w:pStyle w:val="Heading3"/>
      </w:pPr>
      <w:bookmarkStart w:id="29" w:name="b28"/>
      <w:r>
        <w:t>§ 21 Umsatzsteuer</w:t>
      </w:r>
      <w:r>
        <w:t xml:space="preserve"> </w:t>
      </w:r>
      <w:r>
        <w:rPr>
          <w:rStyle w:val="Suchmarke"/>
        </w:rPr>
        <w:t>#21#</w:t>
      </w:r>
      <w:bookmarkEnd w:id="29"/>
    </w:p>
    <w:p>
      <w:r>
        <w:t xml:space="preserve">(1) </w:t>
      </w:r>
      <w:r>
        <w:rPr>
          <w:rStyle w:val="Satznummer"/>
        </w:rPr>
        <w:t>1</w:t>
      </w:r>
      <w:r>
        <w:t xml:space="preserve">Für die Umsatzsteuer mit Ausnahme der Einfuhrumsatzsteuer ist das Finanzamt zuständig, von dessen Bezirk aus der Unternehmer sein Unternehmen im Geltungsbereich des Gesetzes ganz oder vorwiegend betreibt. </w:t>
      </w:r>
      <w:r>
        <w:rPr>
          <w:rStyle w:val="Satznummer"/>
        </w:rPr>
        <w:t>2</w:t>
      </w:r>
      <w:r>
        <w:t>Das Bundesministerium der Finanzen kann zur Sicherstellung der Besteuerung durch Rechtsverordnung mit Zustimmung des Bundesrates für Unternehmer, die Wohnsitz, Sitz oder Geschäftsleitung außerhalb des Geltungsbereiches dieses Gesetzes haben, die örtliche Zuständigkeit einer Finanzbehörde für den Geltungsbereich des Gesetzes übertragen.</w:t>
      </w:r>
    </w:p>
    <w:p>
      <w:r>
        <w:t xml:space="preserve">(2) Für die Umsatzsteuer von Personen, die keine Unternehmer sind, ist das Finanzamt zuständig, das nach </w:t>
      </w:r>
      <w:hyperlink w:anchor="b25" w:history="1">
        <w:r>
          <w:rPr>
            <w:color w:val="0A3A8C"/>
            <w:u w:val="single"/>
          </w:rPr>
          <w:t xml:space="preserve">§ 19</w:t>
        </w:r>
      </w:hyperlink>
      <w:r>
        <w:t xml:space="preserve"> oder </w:t>
      </w:r>
      <w:hyperlink w:anchor="b26" w:history="1">
        <w:r>
          <w:rPr>
            <w:color w:val="0A3A8C"/>
            <w:u w:val="single"/>
          </w:rPr>
          <w:t xml:space="preserve">§ 20</w:t>
        </w:r>
      </w:hyperlink>
      <w:r>
        <w:t xml:space="preserve"> auch für die Besteuerung nach dem Einkommen zuständig ist; in den Fällen des § 180 Absatz 1 Satz 1 Nummer 2 Buchstabe a ist das Finanzamt für die Umsatzsteuer zuständig, das nach </w:t>
      </w:r>
      <w:hyperlink w:anchor="b24" w:history="1">
        <w:r>
          <w:rPr>
            <w:color w:val="0A3A8C"/>
            <w:u w:val="single"/>
          </w:rPr>
          <w:t xml:space="preserve">§ 18</w:t>
        </w:r>
      </w:hyperlink>
      <w:r>
        <w:t xml:space="preserve"> auch für die gesonderte Feststellung zuständig ist.</w:t>
      </w:r>
    </w:p>
    <w:p>
      <w:pPr>
        <w:pStyle w:val="Heading3"/>
      </w:pPr>
      <w:bookmarkStart w:id="30" w:name="b29"/>
      <w:r>
        <w:t>§ 22 Realsteuern</w:t>
      </w:r>
      <w:r>
        <w:t xml:space="preserve"> </w:t>
      </w:r>
      <w:r>
        <w:rPr>
          <w:rStyle w:val="Suchmarke"/>
        </w:rPr>
        <w:t>#22#</w:t>
      </w:r>
      <w:bookmarkEnd w:id="30"/>
    </w:p>
    <w:p>
      <w:r>
        <w:t xml:space="preserve">(1) </w:t>
      </w:r>
      <w:r>
        <w:rPr>
          <w:rStyle w:val="Satznummer"/>
        </w:rPr>
        <w:t>1</w:t>
      </w:r>
      <w:r>
        <w:t>Für die Festsetzung und Zerlegung der Steuermessbeträge ist bei der Grundsteuer das Lagefinanzamt (</w:t>
      </w:r>
      <w:hyperlink w:anchor="b24" w:history="1">
        <w:r>
          <w:rPr>
            <w:color w:val="0A3A8C"/>
            <w:u w:val="single"/>
          </w:rPr>
          <w:t xml:space="preserve">§ 18</w:t>
        </w:r>
      </w:hyperlink>
      <w:r>
        <w:t xml:space="preserve"> Absatz 1 Nummer 1) und bei der Gewerbesteuer das Betriebsfinanzamt (</w:t>
      </w:r>
      <w:hyperlink w:anchor="b24" w:history="1">
        <w:r>
          <w:rPr>
            <w:color w:val="0A3A8C"/>
            <w:u w:val="single"/>
          </w:rPr>
          <w:t xml:space="preserve">§ 18</w:t>
        </w:r>
      </w:hyperlink>
      <w:r>
        <w:t xml:space="preserve"> Absatz 1 Nummer 2) örtlich zuständig. </w:t>
      </w:r>
      <w:r>
        <w:rPr>
          <w:rStyle w:val="Satznummer"/>
        </w:rPr>
        <w:t>2</w:t>
      </w:r>
      <w:r>
        <w:t xml:space="preserve">Abweichend von Satz 1 ist für die Festsetzung und Zerlegung der Gewerbesteuermessbeträge bei Unternehmen, die Bauleistungen im Sinne von § 48 Absatz 1 Satz 3 des Einkommensteuergesetzes erbringen, das Finanzamt zuständig, das für die Besteuerung der entsprechenden Umsätze nach </w:t>
      </w:r>
      <w:hyperlink w:anchor="b28" w:history="1">
        <w:r>
          <w:rPr>
            <w:color w:val="0A3A8C"/>
            <w:u w:val="single"/>
          </w:rPr>
          <w:t xml:space="preserve">§ 21</w:t>
        </w:r>
      </w:hyperlink>
      <w:r>
        <w:t xml:space="preserve"> Absatz 1 zuständig ist, wenn der Unternehmer seinen Wohnsitz oder das Unternehmen seine Geschäftsleitung oder seinen Sitz außerhalb des Geltungsbereiches des Gesetzes hat.</w:t>
      </w:r>
    </w:p>
    <w:p>
      <w:r>
        <w:t xml:space="preserve">(2) </w:t>
      </w:r>
      <w:r>
        <w:rPr>
          <w:rStyle w:val="Satznummer"/>
        </w:rPr>
        <w:t>1</w:t>
      </w:r>
      <w:r>
        <w:t xml:space="preserve">Soweit die Festsetzung, Erhebung und Beitreibung von Realsteuern den Finanzämtern obliegt, ist dafür das Finanzamt örtlich zuständig, zu dessen Bezirk die hebeberechtigte Gemeinde gehört. </w:t>
      </w:r>
      <w:r>
        <w:rPr>
          <w:rStyle w:val="Satznummer"/>
        </w:rPr>
        <w:t>2</w:t>
      </w:r>
      <w:r>
        <w:t>Gehört eine hebeberechtigte Gemeinde zu den Bezirken mehrerer Finanzämter, so ist von diesen Finanzämtern das Finanzamt örtlich zuständig, das nach Absatz 1 zuständig ist oder zuständig wäre, wenn im Geltungsbereich dieses Gesetzes nur die in der hebeberechtigten Gemeinde liegenden Teile des Betriebs, des Grundstücks oder des Betriebsgrundstücks vorhanden wären.</w:t>
      </w:r>
    </w:p>
    <w:p>
      <w:r>
        <w:t>(3) Absatz 2 gilt sinngemäß, soweit einem Land nach Artikel 106 Absatz 6 Satz 3 des Grundgesetzes das Aufkommen der Realsteuern zusteht.</w:t>
      </w:r>
    </w:p>
    <w:p>
      <w:pPr>
        <w:pStyle w:val="Heading3"/>
      </w:pPr>
      <w:bookmarkStart w:id="31" w:name="b30"/>
      <w:r>
        <w:t>§ 22a Zuständigkeit auf dem Festlandsockel oder an der ausschließlichen Wirtschaftszone</w:t>
      </w:r>
      <w:r>
        <w:t xml:space="preserve"> </w:t>
      </w:r>
      <w:r>
        <w:rPr>
          <w:rStyle w:val="Suchmarke"/>
        </w:rPr>
        <w:t>#22a#</w:t>
      </w:r>
      <w:bookmarkEnd w:id="31"/>
    </w:p>
    <w:p>
      <w:r>
        <w:t xml:space="preserve">Die Zuständigkeit der Finanzbehörden der Länder nach den </w:t>
      </w:r>
      <w:hyperlink w:anchor="b24" w:history="1">
        <w:r>
          <w:rPr>
            <w:color w:val="0A3A8C"/>
            <w:u w:val="single"/>
          </w:rPr>
          <w:t xml:space="preserve">§§ 18</w:t>
        </w:r>
      </w:hyperlink>
      <w:r>
        <w:t xml:space="preserve"> bis </w:t>
      </w:r>
      <w:hyperlink w:anchor="b29" w:history="1">
        <w:r>
          <w:rPr>
            <w:color w:val="0A3A8C"/>
            <w:u w:val="single"/>
          </w:rPr>
          <w:t xml:space="preserve">22</w:t>
        </w:r>
      </w:hyperlink>
      <w:r>
        <w:t xml:space="preserve"> oder nach den Steuergesetzen im Bereich des der Bundesrepublik Deutschland zustehenden Anteils an dem Festlandsockel und an der ausschließlichen Wirtschaftszone richtet sich nach dem Äquidistanzprinzip.</w:t>
      </w:r>
    </w:p>
    <w:p>
      <w:pPr>
        <w:pStyle w:val="Heading3"/>
      </w:pPr>
      <w:bookmarkStart w:id="32" w:name="b31"/>
      <w:r>
        <w:t>§ 23 Einfuhr- und Ausfuhrabgaben und Verbrauchsteuern</w:t>
      </w:r>
      <w:r>
        <w:t xml:space="preserve"> </w:t>
      </w:r>
      <w:r>
        <w:rPr>
          <w:rStyle w:val="Suchmarke"/>
        </w:rPr>
        <w:t>#23#</w:t>
      </w:r>
      <w:bookmarkEnd w:id="32"/>
    </w:p>
    <w:p>
      <w:r>
        <w:t>(1) Für die Einfuhr- und Ausfuhrabgaben nach Artikel 5 Nummer 20 und 21 des Zollkodex der Union und Verbrauchsteuern ist das Hauptzollamt örtlich zuständig, in dessen Bezirk der Tatbestand verwirklicht wird, an den das Gesetz die Steuer knüpft.</w:t>
      </w:r>
    </w:p>
    <w:p>
      <w:r>
        <w:t xml:space="preserve">(2) </w:t>
      </w:r>
      <w:r>
        <w:rPr>
          <w:rStyle w:val="Satznummer"/>
        </w:rPr>
        <w:t>1</w:t>
      </w:r>
      <w:r>
        <w:t xml:space="preserve">Örtlich zuständig ist ferner das Hauptzollamt, von dessen Bezirk aus der Steuerpflichtige sein Unternehmen betreibt. </w:t>
      </w:r>
      <w:r>
        <w:rPr>
          <w:rStyle w:val="Satznummer"/>
        </w:rPr>
        <w:t>2</w:t>
      </w:r>
      <w:r>
        <w:t>Wird das Unternehmen von einem nicht zum Geltungsbereich des Gesetzes gehörenden Ort aus betrieben, so ist das Hauptzollamt zuständig, in dessen Bezirk der Unternehmer seine Umsätze im Geltungsbereich des Gesetzes ganz oder vorwiegend bewirkt.</w:t>
      </w:r>
    </w:p>
    <w:p>
      <w:r>
        <w:t>(3) Werden Einfuhr- und Ausfuhrabgaben nach Artikel 5 Nummer 20 und 21 des Zollkodex der Union und Verbrauchsteuern im Zusammenhang mit einer Steuerstraftat oder einer Steuerordnungswidrigkeit geschuldet, so ist auch das Hauptzollamt örtlich zuständig, das für die Strafsache oder die Bußgeldsache zuständig ist.</w:t>
      </w:r>
    </w:p>
    <w:p>
      <w:pPr>
        <w:pStyle w:val="Heading3"/>
      </w:pPr>
      <w:bookmarkStart w:id="33" w:name="b32"/>
      <w:r>
        <w:t>§ 24 Ersatzzuständigkeit</w:t>
      </w:r>
      <w:r>
        <w:t xml:space="preserve"> </w:t>
      </w:r>
      <w:r>
        <w:rPr>
          <w:rStyle w:val="Suchmarke"/>
        </w:rPr>
        <w:t>#24#</w:t>
      </w:r>
      <w:bookmarkEnd w:id="33"/>
    </w:p>
    <w:p>
      <w:r>
        <w:t>Ergibt sich die örtliche Zuständigkeit nicht aus anderen Vorschriften, so ist die Finanzbehörde zuständig, in deren Bezirk der Anlass für die Amtshandlung hervortritt.</w:t>
      </w:r>
    </w:p>
    <w:p>
      <w:pPr>
        <w:pStyle w:val="Heading3"/>
      </w:pPr>
      <w:bookmarkStart w:id="34" w:name="b33"/>
      <w:r>
        <w:t>§ 25 Mehrfache örtliche Zuständigkeit</w:t>
      </w:r>
      <w:r>
        <w:t xml:space="preserve"> </w:t>
      </w:r>
      <w:r>
        <w:rPr>
          <w:rStyle w:val="Suchmarke"/>
        </w:rPr>
        <w:t>#25#</w:t>
      </w:r>
      <w:bookmarkEnd w:id="34"/>
    </w:p>
    <w:p>
      <w:r>
        <w:rPr>
          <w:rStyle w:val="Satznummer"/>
        </w:rPr>
        <w:t>1</w:t>
      </w:r>
      <w:r>
        <w:t xml:space="preserve">Sind mehrere Finanzbehörden zuständig, so entscheidet die Finanzbehörde, die zuerst mit der Sache befasst worden ist, es sei denn, die zuständigen Finanzbehörden einigen sich auf eine andere zuständige Finanzbehörde oder die gemeinsame fachlich zuständige Aufsichtsbehörde bestimmt, dass eine andere örtlich zuständige Finanzbehörde zu entscheiden hat. </w:t>
      </w:r>
      <w:r>
        <w:rPr>
          <w:rStyle w:val="Satznummer"/>
        </w:rPr>
        <w:t>2</w:t>
      </w:r>
      <w:r>
        <w:t>Fehlt eine gemeinsame Aufsichtsbehörde, so treffen die fachlich zuständigen Aufsichtsbehörden die Entscheidung gemeinsam.</w:t>
      </w:r>
    </w:p>
    <w:p>
      <w:pPr>
        <w:pStyle w:val="Heading3"/>
      </w:pPr>
      <w:bookmarkStart w:id="35" w:name="b34"/>
      <w:r>
        <w:t>§ 26 Zuständigkeitswechsel</w:t>
      </w:r>
      <w:r>
        <w:t xml:space="preserve"> </w:t>
      </w:r>
      <w:r>
        <w:rPr>
          <w:rStyle w:val="Suchmarke"/>
        </w:rPr>
        <w:t>#26#</w:t>
      </w:r>
      <w:bookmarkEnd w:id="35"/>
    </w:p>
    <w:p>
      <w:r>
        <w:rPr>
          <w:rStyle w:val="Satznummer"/>
        </w:rPr>
        <w:t>1</w:t>
      </w:r>
      <w:r>
        <w:t xml:space="preserve">Geht die örtliche Zuständigkeit durch eine Veränderung der sie begründenden Umstände von einer Finanzbehörde auf eine andere Finanzbehörde über, so tritt der Wechsel der Zuständigkeit in dem Zeitpunkt ein, in dem eine der beiden Finanzbehörden hiervon erfährt. </w:t>
      </w:r>
      <w:r>
        <w:rPr>
          <w:rStyle w:val="Satznummer"/>
        </w:rPr>
        <w:t>2</w:t>
      </w:r>
      <w:r>
        <w:t xml:space="preserve">Die bisher zuständige Finanzbehörde kann ein Verwaltungsverfahren fortführen, wenn dies unter Wahrung der Interessen der Beteiligten der einfachen und zweckmäßigen Durchführung des Verfahrens dient und die nunmehr zuständige Finanzbehörde zustimmt. </w:t>
      </w:r>
      <w:r>
        <w:rPr>
          <w:rStyle w:val="Satznummer"/>
        </w:rPr>
        <w:t>3</w:t>
      </w:r>
      <w:r>
        <w:t>Ein Zuständigkeitswechsel nach Satz 1 tritt so lange nicht ein, wie</w:t>
      </w:r>
    </w:p>
    <w:p>
      <w:pPr>
        <w:tabs>
          <w:tab w:pos="567" w:val="left"/>
        </w:tabs>
        <w:ind w:left="567" w:hanging="567"/>
      </w:pPr>
      <w:r>
        <w:t>1.</w:t>
      </w:r>
      <w:r>
        <w:tab/>
      </w:r>
      <w:r>
        <w:t>über einen Insolvenzantrag noch nicht entschieden wurde,</w:t>
      </w:r>
    </w:p>
    <w:p>
      <w:pPr>
        <w:tabs>
          <w:tab w:pos="567" w:val="left"/>
        </w:tabs>
        <w:ind w:left="567" w:hanging="567"/>
      </w:pPr>
      <w:r>
        <w:t>2.</w:t>
      </w:r>
      <w:r>
        <w:tab/>
      </w:r>
      <w:r>
        <w:t>ein eröffnetes Insolvenzverfahren noch nicht aufgehoben wurde oder</w:t>
      </w:r>
    </w:p>
    <w:p>
      <w:pPr>
        <w:tabs>
          <w:tab w:pos="567" w:val="left"/>
        </w:tabs>
        <w:ind w:left="567" w:hanging="567"/>
      </w:pPr>
      <w:r>
        <w:t>3.</w:t>
      </w:r>
      <w:r>
        <w:tab/>
      </w:r>
      <w:r>
        <w:t>sich eine Personengesellschaft oder eine juristische Person in Liquidation befindet.</w:t>
      </w:r>
    </w:p>
    <w:p>
      <w:pPr>
        <w:pStyle w:val="Heading3"/>
      </w:pPr>
      <w:bookmarkStart w:id="36" w:name="b35"/>
      <w:r>
        <w:t>§ 27 Zuständigkeitsvereinbarung</w:t>
      </w:r>
      <w:r>
        <w:t xml:space="preserve"> </w:t>
      </w:r>
      <w:r>
        <w:rPr>
          <w:rStyle w:val="Suchmarke"/>
        </w:rPr>
        <w:t>#27#</w:t>
      </w:r>
      <w:bookmarkEnd w:id="36"/>
    </w:p>
    <w:p>
      <w:r>
        <w:rPr>
          <w:rStyle w:val="Satznummer"/>
        </w:rPr>
        <w:t>1</w:t>
      </w:r>
      <w:r>
        <w:t xml:space="preserve">Im Einvernehmen mit der Finanzbehörde, die nach den Vorschriften der Steuergesetze örtlich zuständig ist, kann eine andere Finanzbehörde die Besteuerung übernehmen, wenn die betroffene Person zustimmt. </w:t>
      </w:r>
      <w:r>
        <w:rPr>
          <w:rStyle w:val="Satznummer"/>
        </w:rPr>
        <w:t>2</w:t>
      </w:r>
      <w:r>
        <w:t xml:space="preserve">Eine der Finanzbehörden nach Satz 1 kann die betroffene Person auffordern, innerhalb einer angemessenen Frist die Zustimmung zu erklären. </w:t>
      </w:r>
      <w:r>
        <w:rPr>
          <w:rStyle w:val="Satznummer"/>
        </w:rPr>
        <w:t>3</w:t>
      </w:r>
      <w:r>
        <w:t xml:space="preserve">Die Zustimmung gilt als erteilt, wenn die betroffene Person nicht innerhalb dieser Frist widerspricht. </w:t>
      </w:r>
      <w:r>
        <w:rPr>
          <w:rStyle w:val="Satznummer"/>
        </w:rPr>
        <w:t>4</w:t>
      </w:r>
      <w:r>
        <w:t>Die betroffene Person ist auf die Wirkung ihres Schweigens ausdrücklich hinzuweisen.</w:t>
      </w:r>
    </w:p>
    <w:p>
      <w:pPr>
        <w:pStyle w:val="Heading3"/>
      </w:pPr>
      <w:bookmarkStart w:id="37" w:name="b36"/>
      <w:r>
        <w:t>§ 28 Zuständigkeitsstreit</w:t>
      </w:r>
      <w:r>
        <w:t xml:space="preserve"> </w:t>
      </w:r>
      <w:r>
        <w:rPr>
          <w:rStyle w:val="Suchmarke"/>
        </w:rPr>
        <w:t>#28#</w:t>
      </w:r>
      <w:bookmarkEnd w:id="37"/>
    </w:p>
    <w:p>
      <w:r>
        <w:t xml:space="preserve">(1) </w:t>
      </w:r>
      <w:r>
        <w:rPr>
          <w:rStyle w:val="Satznummer"/>
        </w:rPr>
        <w:t>1</w:t>
      </w:r>
      <w:r>
        <w:t xml:space="preserve">Die gemeinsame fachlich zuständige Aufsichtsbehörde entscheidet über die örtliche Zuständigkeit, wenn sich mehrere Finanzbehörden für zuständig oder für unzuständig halten oder wenn die Zuständigkeit aus anderen Gründen zweifelhaft ist. </w:t>
      </w:r>
      <w:r>
        <w:rPr>
          <w:rStyle w:val="Satznummer"/>
        </w:rPr>
        <w:t>2</w:t>
      </w:r>
      <w:hyperlink w:anchor="b33" w:history="1">
        <w:r>
          <w:rPr>
            <w:color w:val="0A3A8C"/>
            <w:u w:val="single"/>
          </w:rPr>
          <w:t xml:space="preserve">§ 25</w:t>
        </w:r>
      </w:hyperlink>
      <w:r>
        <w:t xml:space="preserve"> Satz 2 gilt entsprechend.</w:t>
      </w:r>
    </w:p>
    <w:p>
      <w:r>
        <w:t>(2) § 5 Absatz 1 Nummer 7 des Gesetzes über die Finanzverwaltung bleibt unberührt.</w:t>
      </w:r>
    </w:p>
    <w:p>
      <w:pPr>
        <w:pStyle w:val="Heading3"/>
      </w:pPr>
      <w:bookmarkStart w:id="38" w:name="b37"/>
      <w:r>
        <w:t>§ 29 Gefahr im Verzug</w:t>
      </w:r>
      <w:r>
        <w:t xml:space="preserve"> </w:t>
      </w:r>
      <w:r>
        <w:rPr>
          <w:rStyle w:val="Suchmarke"/>
        </w:rPr>
        <w:t>#29#</w:t>
      </w:r>
      <w:bookmarkEnd w:id="38"/>
    </w:p>
    <w:p>
      <w:r>
        <w:rPr>
          <w:rStyle w:val="Satznummer"/>
        </w:rPr>
        <w:t>1</w:t>
      </w:r>
      <w:r>
        <w:t xml:space="preserve">Bei Gefahr im Verzug ist für unaufschiebbare Maßnahmen jede Finanzbehörde örtlich zuständig, in deren Bezirk der Anlass für die Amtshandlung hervortritt. </w:t>
      </w:r>
      <w:r>
        <w:rPr>
          <w:rStyle w:val="Satznummer"/>
        </w:rPr>
        <w:t>2</w:t>
      </w:r>
      <w:r>
        <w:t>Die sonst örtlich zuständige Behörde ist unverzüglich zu unterrichten.</w:t>
      </w:r>
    </w:p>
    <w:p>
      <w:pPr>
        <w:pStyle w:val="Heading3"/>
      </w:pPr>
      <w:bookmarkStart w:id="39" w:name="b38"/>
      <w:r>
        <w:t>§ 29a Unterstützung des örtlich zuständigen Finanzamts auf Anweisung der vorgesetzten Finanzbehörde</w:t>
      </w:r>
      <w:r>
        <w:t xml:space="preserve"> </w:t>
      </w:r>
      <w:r>
        <w:rPr>
          <w:rStyle w:val="Suchmarke"/>
        </w:rPr>
        <w:t>#29a#</w:t>
      </w:r>
      <w:bookmarkEnd w:id="39"/>
    </w:p>
    <w:p>
      <w:r>
        <w:rPr>
          <w:rStyle w:val="Satznummer"/>
        </w:rPr>
        <w:t>1</w:t>
      </w:r>
      <w:r>
        <w:t xml:space="preserve">Die oberste Landesfinanzbehörde oder die von ihr beauftragte Landesfinanzbehörde kann zur Gewährleistung eines zeitnahen und gleichmäßigen Vollzugs der Steuergesetze anordnen, dass das örtlich zuständige Finanzamt ganz oder teilweise bei der Erfüllung seiner Aufgaben in Besteuerungsverfahren durch ein anderes Finanzamt unterstützt wird. </w:t>
      </w:r>
      <w:r>
        <w:rPr>
          <w:rStyle w:val="Satznummer"/>
        </w:rPr>
        <w:t>2</w:t>
      </w:r>
      <w:r>
        <w:t>Das unterstützende Finanzamt handelt im Namen des örtlich zuständigen Finanzamts; das Verwaltungshandeln des unterstützenden Finanzamts ist dem örtlich zuständigen Finanzamt zuzurechnen.</w:t>
      </w:r>
    </w:p>
    <w:p>
      <w:pPr>
        <w:pStyle w:val="Heading2"/>
      </w:pPr>
      <w:bookmarkStart w:id="40" w:name="b39"/>
      <w:r>
        <w:t>Vierter Abschnitt Verarbeitung geschützter Daten und Steuergeheimnis</w:t>
      </w:r>
      <w:bookmarkEnd w:id="40"/>
    </w:p>
    <w:p>
      <w:pPr>
        <w:pStyle w:val="Heading3"/>
      </w:pPr>
      <w:bookmarkStart w:id="41" w:name="b40"/>
      <w:r>
        <w:t>§ 29b Verarbeitung personenbezogener Daten durch Finanzbehörden</w:t>
      </w:r>
      <w:r>
        <w:t xml:space="preserve"> </w:t>
      </w:r>
      <w:r>
        <w:rPr>
          <w:rStyle w:val="Suchmarke"/>
        </w:rPr>
        <w:t>#29b#</w:t>
      </w:r>
      <w:bookmarkEnd w:id="41"/>
    </w:p>
    <w:p>
      <w:r>
        <w:t>(1) Die Verarbeitung personenbezogener Daten durch eine Finanzbehörde ist zulässig, wenn sie zur Erfüllung der ihr obliegenden Aufgabe oder in Ausübung öffentlicher Gewalt, die ihr übertragen wurde, erforderlich ist.</w:t>
      </w:r>
    </w:p>
    <w:p>
      <w:r>
        <w:t xml:space="preserve">(2) </w:t>
      </w:r>
      <w:r>
        <w:rPr>
          <w:rStyle w:val="Satznummer"/>
        </w:rPr>
        <w:t>1</w:t>
      </w:r>
      <w:r>
        <w:t xml:space="preserve">Abweichend von Artikel 9 Absatz 1 der Verordnung (EU) 2016/679 ist die Verarbeitung besonderer Kategorien personenbezogener Daten im Sinne des Artikels 9 Absatz 1 der Verordnung (EU) 2016/679 durch eine Finanzbehörde zulässig, soweit die Verarbeitung aus Gründen eines erheblichen öffentlichen Interesses erforderlich ist und soweit die Interessen des Verantwortlichen an der Datenverarbeitung die Interessen der betroffenen Person überwiegen. </w:t>
      </w:r>
      <w:r>
        <w:rPr>
          <w:rStyle w:val="Satznummer"/>
        </w:rPr>
        <w:t>2</w:t>
      </w:r>
      <w:r>
        <w:t>Die Finanzbehörde hat in diesem Fall angemessene und spezifische Maßnahmen zur Wahrung der Interessen der betroffenen Person vorzusehen; § 22 Absatz 2 Satz 2 des Bundesdatenschutzgesetzes ist entsprechend anzuwenden.</w:t>
      </w:r>
    </w:p>
    <w:p>
      <w:pPr>
        <w:pStyle w:val="Heading3"/>
      </w:pPr>
      <w:bookmarkStart w:id="42" w:name="b41"/>
      <w:r>
        <w:t>§ 29c Verarbeitung personenbezogener Daten durch Finanzbehörden zu anderen Zwecken</w:t>
      </w:r>
      <w:r>
        <w:t xml:space="preserve"> </w:t>
      </w:r>
      <w:r>
        <w:rPr>
          <w:rStyle w:val="Suchmarke"/>
        </w:rPr>
        <w:t>#29c#</w:t>
      </w:r>
      <w:bookmarkEnd w:id="42"/>
    </w:p>
    <w:p>
      <w:r>
        <w:t xml:space="preserve">(1) </w:t>
      </w:r>
      <w:r>
        <w:rPr>
          <w:rStyle w:val="Satznummer"/>
        </w:rPr>
        <w:t>1</w:t>
      </w:r>
      <w:r>
        <w:t>Die Verarbeitung personenbezogener Daten zu einem anderen Zweck als zu demjenigen, zu dem die Daten von einer Finanzbehörde erhoben oder erfasst wurden (Weiterverarbeitung), durch Finanzbehörden im Rahmen ihrer Aufgabenerfüllung ist zulässig, wenn</w:t>
      </w:r>
    </w:p>
    <w:p>
      <w:pPr>
        <w:tabs>
          <w:tab w:pos="567" w:val="left"/>
        </w:tabs>
        <w:ind w:left="567" w:hanging="567"/>
      </w:pPr>
      <w:r>
        <w:t>1.</w:t>
      </w:r>
      <w:r>
        <w:tab/>
      </w:r>
      <w:r>
        <w:t>sie einem Verwaltungsverfahren, einem Rechnungsprüfungsverfahren oder einem gerichtlichen Verfahren in Steuersachen, einem Strafverfahren wegen einer Steuerstraftat oder einem Bußgeldverfahren wegen einer Steuerordnungswidrigkeit dient,</w:t>
      </w:r>
    </w:p>
    <w:p>
      <w:pPr>
        <w:tabs>
          <w:tab w:pos="567" w:val="left"/>
        </w:tabs>
        <w:ind w:left="567" w:hanging="567"/>
      </w:pPr>
      <w:r>
        <w:t>2.</w:t>
      </w:r>
      <w:r>
        <w:tab/>
      </w:r>
      <w:r>
        <w:t xml:space="preserve">die gesetzlichen Voraussetzungen vorliegen, die nach </w:t>
      </w:r>
      <w:hyperlink w:anchor="b42" w:history="1">
        <w:r>
          <w:rPr>
            <w:color w:val="0A3A8C"/>
            <w:u w:val="single"/>
          </w:rPr>
          <w:t xml:space="preserve">§ 30</w:t>
        </w:r>
      </w:hyperlink>
      <w:r>
        <w:t xml:space="preserve"> Absatz 4 oder 5 eine Offenbarung der Daten zulassen würden, oder zu prüfen ist, ob diese Voraussetzungen vorliegen,</w:t>
      </w:r>
    </w:p>
    <w:p>
      <w:pPr>
        <w:tabs>
          <w:tab w:pos="567" w:val="left"/>
        </w:tabs>
        <w:ind w:left="567" w:hanging="567"/>
      </w:pPr>
      <w:r>
        <w:t>3.</w:t>
      </w:r>
      <w:r>
        <w:tab/>
      </w:r>
      <w:r>
        <w:t>offensichtlich ist, dass die Weiterverarbeitung im Interesse der betroffenen Person liegt und kein Grund zu der Annahme besteht, dass sie in Kenntnis des anderen Zwecks ihre Einwilligung verweigern würde,</w:t>
      </w:r>
    </w:p>
    <w:p>
      <w:pPr>
        <w:tabs>
          <w:tab w:pos="567" w:val="left"/>
        </w:tabs>
        <w:ind w:left="567" w:hanging="567"/>
      </w:pPr>
      <w:r>
        <w:t>4.</w:t>
      </w:r>
      <w:r>
        <w:tab/>
      </w:r>
      <w:r>
        <w:t>sie für die Entwicklung, Überprüfung oder Änderung automatisierter Verfahren der Finanzbehörden erforderlich ist, weil</w:t>
      </w:r>
    </w:p>
    <w:p>
      <w:pPr>
        <w:tabs>
          <w:tab w:pos="1134" w:val="left"/>
        </w:tabs>
        <w:ind w:left="1134" w:hanging="567"/>
      </w:pPr>
      <w:r>
        <w:t>a)</w:t>
      </w:r>
      <w:r>
        <w:tab/>
      </w:r>
      <w:r>
        <w:t>unveränderte Daten benötigt werden oder</w:t>
      </w:r>
    </w:p>
    <w:p>
      <w:pPr>
        <w:tabs>
          <w:tab w:pos="1134" w:val="left"/>
        </w:tabs>
        <w:ind w:left="1134" w:hanging="567"/>
      </w:pPr>
      <w:r>
        <w:t>b)</w:t>
      </w:r>
      <w:r>
        <w:tab/>
      </w:r>
      <w:r>
        <w:t>eine Anonymisierung oder Pseudonymisierung der Daten nicht oder nur mit unverhältnismäßigem Aufwand möglich ist.</w:t>
      </w:r>
    </w:p>
    <w:p>
      <w:pPr>
        <w:ind w:left="567"/>
      </w:pPr>
      <w:r>
        <w:rPr>
          <w:rStyle w:val="Satznummer"/>
        </w:rPr>
        <w:t>2</w:t>
      </w:r>
      <w:r>
        <w:t>Die Nutzung personenbezogener Daten ist dabei insbesondere erforderlich, wenn personenbezogene Daten aus mehreren verschiedenen Dateisystemen eindeutig miteinander verknüpft werden sollen und die Schaffung geeigneter Testfälle nicht oder nur mit unverhältnismäßigem Aufwand möglich ist,</w:t>
      </w:r>
    </w:p>
    <w:p>
      <w:pPr>
        <w:tabs>
          <w:tab w:pos="567" w:val="left"/>
        </w:tabs>
        <w:ind w:left="567" w:hanging="567"/>
      </w:pPr>
      <w:r>
        <w:t>5.</w:t>
      </w:r>
      <w:r>
        <w:tab/>
      </w:r>
      <w:r>
        <w:t>sie für die Gesetzesfolgenabschätzung erforderlich ist, weil</w:t>
      </w:r>
    </w:p>
    <w:p>
      <w:pPr>
        <w:tabs>
          <w:tab w:pos="1134" w:val="left"/>
        </w:tabs>
        <w:ind w:left="1134" w:hanging="567"/>
      </w:pPr>
      <w:r>
        <w:t>a)</w:t>
      </w:r>
      <w:r>
        <w:tab/>
      </w:r>
      <w:r>
        <w:t>unveränderte Daten benötigt werden oder</w:t>
      </w:r>
    </w:p>
    <w:p>
      <w:pPr>
        <w:tabs>
          <w:tab w:pos="1134" w:val="left"/>
        </w:tabs>
        <w:ind w:left="1134" w:hanging="567"/>
      </w:pPr>
      <w:r>
        <w:t>b)</w:t>
      </w:r>
      <w:r>
        <w:tab/>
      </w:r>
      <w:r>
        <w:t>eine Anonymisierung oder Pseudonymisierung der Daten nicht oder nur mit unverhältnismäßigem Aufwand möglich ist,</w:t>
      </w:r>
    </w:p>
    <w:p>
      <w:pPr>
        <w:ind w:left="567"/>
      </w:pPr>
      <w:r>
        <w:t>oder</w:t>
      </w:r>
    </w:p>
    <w:p>
      <w:pPr>
        <w:tabs>
          <w:tab w:pos="567" w:val="left"/>
        </w:tabs>
        <w:ind w:left="567" w:hanging="567"/>
      </w:pPr>
      <w:r>
        <w:t>6.</w:t>
      </w:r>
      <w:r>
        <w:tab/>
      </w:r>
      <w:r>
        <w:t xml:space="preserve">sie für die Wahrnehmung von Aufsichts-, Steuerungs- und Disziplinarbefugnissen der Finanzbehörde erforderlich ist. </w:t>
      </w:r>
      <w:r>
        <w:rPr>
          <w:rStyle w:val="Satznummer"/>
        </w:rPr>
        <w:t>2</w:t>
      </w:r>
      <w:r>
        <w:t>Das gilt auch für die Veränderung oder Nutzung personenbezogener Daten zu Ausbildungs- und Prüfungszwecken durch die Finanzbehörde, soweit nicht überwiegende schutzwürdige Interessen der betroffenen Person entgegenstehen.</w:t>
      </w:r>
    </w:p>
    <w:p>
      <w:r>
        <w:rPr>
          <w:rStyle w:val="Satznummer"/>
        </w:rPr>
        <w:t>2</w:t>
      </w:r>
      <w:r>
        <w:t xml:space="preserve">In den Fällen von Satz 1 Nummer 4 dürfen die Daten ausschließlich für Zwecke der Entwicklung, Überprüfung oder Änderung automatisierter Verfahren verarbeitet werden und müssen innerhalb eines Jahres nach Beendigung dieser Maßnahmen gelöscht werden. </w:t>
      </w:r>
      <w:r>
        <w:rPr>
          <w:rStyle w:val="Satznummer"/>
        </w:rPr>
        <w:t>3</w:t>
      </w:r>
      <w:r>
        <w:t>In den Fällen von Satz 1 Nummer 6 dürfen die Daten nur durch Personen verarbeitet werden, die nach § 30 zur Wahrung des Steuergeheimnisses verpflichtet sind.</w:t>
      </w:r>
    </w:p>
    <w:p>
      <w:r>
        <w:t xml:space="preserve">(2) Die Weiterverarbeitung besonderer Kategorien personenbezogener Daten im Sinne des Artikels 9 Absatz 1 der Verordnung (EU) 2016/679 ist zulässig, wenn die Voraussetzungen des Absatzes 1 und ein Ausnahmetatbestand nach Artikel 9 Absatz 2 der Verordnung (EU) 2016/679 oder nach </w:t>
      </w:r>
      <w:hyperlink w:anchor="b40" w:history="1">
        <w:r>
          <w:rPr>
            <w:color w:val="0A3A8C"/>
            <w:u w:val="single"/>
          </w:rPr>
          <w:t xml:space="preserve">§ 29b</w:t>
        </w:r>
      </w:hyperlink>
      <w:r>
        <w:t xml:space="preserve"> Absatz 2 vorliegen.</w:t>
      </w:r>
    </w:p>
    <w:p>
      <w:pPr>
        <w:pStyle w:val="Heading3"/>
      </w:pPr>
      <w:bookmarkStart w:id="43" w:name="b42"/>
      <w:r>
        <w:t>§ 30 Steuergeheimnis</w:t>
      </w:r>
      <w:r>
        <w:t xml:space="preserve"> </w:t>
      </w:r>
      <w:r>
        <w:rPr>
          <w:rStyle w:val="Suchmarke"/>
        </w:rPr>
        <w:t>#30#</w:t>
      </w:r>
      <w:bookmarkEnd w:id="43"/>
    </w:p>
    <w:p>
      <w:r>
        <w:t>(1) Amtsträger haben das Steuergeheimnis zu wahren.</w:t>
      </w:r>
    </w:p>
    <w:p>
      <w:r>
        <w:t>(2) Ein Amtsträger verletzt das Steuergeheimnis, wenn er</w:t>
      </w:r>
    </w:p>
    <w:p>
      <w:pPr>
        <w:tabs>
          <w:tab w:pos="567" w:val="left"/>
        </w:tabs>
        <w:ind w:left="567" w:hanging="567"/>
      </w:pPr>
      <w:r>
        <w:t>1.</w:t>
      </w:r>
      <w:r>
        <w:tab/>
      </w:r>
      <w:r>
        <w:t>personenbezogene Daten eines anderen, die ihm</w:t>
      </w:r>
    </w:p>
    <w:p>
      <w:pPr>
        <w:tabs>
          <w:tab w:pos="1134" w:val="left"/>
        </w:tabs>
        <w:ind w:left="1134" w:hanging="567"/>
      </w:pPr>
      <w:r>
        <w:t>a)</w:t>
      </w:r>
      <w:r>
        <w:tab/>
      </w:r>
      <w:r>
        <w:t>in einem Verwaltungsverfahren, einem Rechnungsprüfungsverfahren oder einem gerichtlichen Verfahren in Steuersachen,</w:t>
      </w:r>
    </w:p>
    <w:p>
      <w:pPr>
        <w:tabs>
          <w:tab w:pos="1134" w:val="left"/>
        </w:tabs>
        <w:ind w:left="1134" w:hanging="567"/>
      </w:pPr>
      <w:r>
        <w:t>b)</w:t>
      </w:r>
      <w:r>
        <w:tab/>
      </w:r>
      <w:r>
        <w:t>in einem Strafverfahren wegen einer Steuerstraftat oder einem Bußgeldverfahren wegen einer Steuerordnungswidrigkeit,</w:t>
      </w:r>
    </w:p>
    <w:p>
      <w:pPr>
        <w:tabs>
          <w:tab w:pos="1134" w:val="left"/>
        </w:tabs>
        <w:ind w:left="1134" w:hanging="567"/>
      </w:pPr>
      <w:r>
        <w:t>c)</w:t>
      </w:r>
      <w:r>
        <w:tab/>
      </w:r>
      <w:r>
        <w:t xml:space="preserve">im Rahmen einer Weiterverarbeitung nach </w:t>
      </w:r>
      <w:hyperlink w:anchor="b41" w:history="1">
        <w:r>
          <w:rPr>
            <w:color w:val="0A3A8C"/>
            <w:u w:val="single"/>
          </w:rPr>
          <w:t xml:space="preserve">§ 29c</w:t>
        </w:r>
      </w:hyperlink>
      <w:r>
        <w:t xml:space="preserve"> Absatz 1 Satz 1 Nummer 4, 5 oder 6 oder aus anderem dienstlichen Anlass, insbesondere durch Mitteilung einer Finanzbehörde oder durch die gesetzlich vorgeschriebene Vorlage eines Steuerbescheids oder einer Bescheinigung über die bei der Besteuerung getroffenen Feststellungen,</w:t>
      </w:r>
    </w:p>
    <w:p>
      <w:pPr>
        <w:ind w:left="567"/>
      </w:pPr>
      <w:r>
        <w:t>bekannt geworden sind, oder</w:t>
      </w:r>
    </w:p>
    <w:p>
      <w:pPr>
        <w:tabs>
          <w:tab w:pos="567" w:val="left"/>
        </w:tabs>
        <w:ind w:left="567" w:hanging="567"/>
      </w:pPr>
      <w:r>
        <w:t>2.</w:t>
      </w:r>
      <w:r>
        <w:tab/>
      </w:r>
      <w:r>
        <w:t>ein fremdes Betriebs- oder Geschäftsgeheimnis, das ihm in einem der in Nummer 1 genannten Verfahren bekannt geworden ist,</w:t>
      </w:r>
    </w:p>
    <w:p>
      <w:r>
        <w:t>(geschützte Daten) unbefugt offenbart oder verwertet oder</w:t>
      </w:r>
    </w:p>
    <w:p>
      <w:pPr>
        <w:tabs>
          <w:tab w:pos="567" w:val="left"/>
        </w:tabs>
        <w:ind w:left="567" w:hanging="567"/>
      </w:pPr>
      <w:r>
        <w:t>3.</w:t>
      </w:r>
      <w:r>
        <w:tab/>
      </w:r>
      <w:r>
        <w:t>geschützte Daten im automatisierten Verfahren unbefugt abruft, wenn sie für eines der in Nummer 1 genannten Verfahren in einem automationsgestützten Dateisystem gespeichert sind.</w:t>
      </w:r>
    </w:p>
    <w:p>
      <w:r>
        <w:t>(3) Den Amtsträgern stehen gleich</w:t>
      </w:r>
    </w:p>
    <w:p>
      <w:pPr>
        <w:tabs>
          <w:tab w:pos="567" w:val="left"/>
        </w:tabs>
        <w:ind w:left="567" w:hanging="567"/>
      </w:pPr>
      <w:r>
        <w:t>1.</w:t>
      </w:r>
      <w:r>
        <w:tab/>
      </w:r>
      <w:r>
        <w:t>die für den öffentlichen Dienst besonders Verpflichteten (§ 11 Absatz 1 Nummer 4 des Strafgesetzbuchs),</w:t>
      </w:r>
    </w:p>
    <w:p>
      <w:pPr>
        <w:tabs>
          <w:tab w:pos="567" w:val="left"/>
        </w:tabs>
        <w:ind w:left="567" w:hanging="567"/>
      </w:pPr>
      <w:r>
        <w:t>1a.</w:t>
      </w:r>
      <w:r>
        <w:tab/>
      </w:r>
      <w:r>
        <w:t>die in § 193 Absatz 3 des Gerichtsverfassungsgesetzes genannten Personen,</w:t>
      </w:r>
    </w:p>
    <w:p>
      <w:pPr>
        <w:tabs>
          <w:tab w:pos="567" w:val="left"/>
        </w:tabs>
        <w:ind w:left="567" w:hanging="567"/>
      </w:pPr>
      <w:r>
        <w:t>2.</w:t>
      </w:r>
      <w:r>
        <w:tab/>
      </w:r>
      <w:r>
        <w:t>amtlich zugezogene Sachverständige,</w:t>
      </w:r>
    </w:p>
    <w:p>
      <w:pPr>
        <w:tabs>
          <w:tab w:pos="567" w:val="left"/>
        </w:tabs>
        <w:ind w:left="567" w:hanging="567"/>
      </w:pPr>
      <w:r>
        <w:t>3.</w:t>
      </w:r>
      <w:r>
        <w:tab/>
      </w:r>
      <w:r>
        <w:t>die Träger von Ämtern der Kirchen und anderen Religionsgemeinschaften, die Körperschaften des öffentlichen Rechts sind.</w:t>
      </w:r>
    </w:p>
    <w:p>
      <w:r>
        <w:t>(4) Die Offenbarung oder Verwertung geschützter Daten ist zulässig, soweit</w:t>
      </w:r>
    </w:p>
    <w:p>
      <w:pPr>
        <w:tabs>
          <w:tab w:pos="567" w:val="left"/>
        </w:tabs>
        <w:ind w:left="567" w:hanging="567"/>
      </w:pPr>
      <w:r>
        <w:t>1.</w:t>
      </w:r>
      <w:r>
        <w:tab/>
      </w:r>
      <w:r>
        <w:t>sie der Durchführung eines Verfahrens im Sinne des Absatzes 2 Nummer 1 Buchstaben a und b dient,</w:t>
      </w:r>
    </w:p>
    <w:p>
      <w:pPr>
        <w:tabs>
          <w:tab w:pos="567" w:val="left"/>
        </w:tabs>
        <w:ind w:left="567" w:hanging="567"/>
      </w:pPr>
      <w:r>
        <w:t>1a.</w:t>
      </w:r>
      <w:r>
        <w:tab/>
      </w:r>
      <w:r>
        <w:t xml:space="preserve">sie einer Verarbeitung durch Finanzbehörden nach Maßgabe des </w:t>
      </w:r>
      <w:hyperlink w:anchor="b41" w:history="1">
        <w:r>
          <w:rPr>
            <w:color w:val="0A3A8C"/>
            <w:u w:val="single"/>
          </w:rPr>
          <w:t xml:space="preserve">§ 29c</w:t>
        </w:r>
      </w:hyperlink>
      <w:r>
        <w:t xml:space="preserve"> Absatz 1 Satz 1 Nummer 4 oder 6 dient,</w:t>
      </w:r>
    </w:p>
    <w:p>
      <w:pPr>
        <w:tabs>
          <w:tab w:pos="567" w:val="left"/>
        </w:tabs>
        <w:ind w:left="567" w:hanging="567"/>
      </w:pPr>
      <w:r>
        <w:t>1b.</w:t>
      </w:r>
      <w:r>
        <w:tab/>
      </w:r>
      <w:r>
        <w:t>sie der Durchführung eines Bußgeldverfahrens nach Artikel 83 der Verordnung (EU) 2016/679 im Anwendungsbereich dieses Gesetzes dient,</w:t>
      </w:r>
    </w:p>
    <w:p>
      <w:pPr>
        <w:tabs>
          <w:tab w:pos="567" w:val="left"/>
        </w:tabs>
        <w:ind w:left="567" w:hanging="567"/>
      </w:pPr>
      <w:r>
        <w:t>2.</w:t>
      </w:r>
      <w:r>
        <w:tab/>
      </w:r>
      <w:r>
        <w:t>sie durch Bundesgesetz ausdrücklich zugelassen ist,</w:t>
      </w:r>
    </w:p>
    <w:p>
      <w:pPr>
        <w:tabs>
          <w:tab w:pos="567" w:val="left"/>
        </w:tabs>
        <w:ind w:left="567" w:hanging="567"/>
      </w:pPr>
      <w:r>
        <w:t>2a.</w:t>
      </w:r>
      <w:r>
        <w:tab/>
      </w:r>
      <w:r>
        <w:t>sie durch Recht der Europäischen Union vorgeschrieben oder zugelassen ist,</w:t>
      </w:r>
    </w:p>
    <w:p>
      <w:pPr>
        <w:tabs>
          <w:tab w:pos="567" w:val="left"/>
        </w:tabs>
        <w:ind w:left="567" w:hanging="567"/>
      </w:pPr>
      <w:r>
        <w:t>2b.</w:t>
      </w:r>
      <w:r>
        <w:tab/>
      </w:r>
      <w:r>
        <w:t>sie der Erfüllung der gesetzlichen Aufgaben des Statistischen Bundesamtes oder für die Erfüllung von Bundesgesetzen durch die Statistischen Landesämter dient,</w:t>
      </w:r>
    </w:p>
    <w:p>
      <w:pPr>
        <w:tabs>
          <w:tab w:pos="567" w:val="left"/>
        </w:tabs>
        <w:ind w:left="567" w:hanging="567"/>
      </w:pPr>
      <w:r>
        <w:t>2c.</w:t>
      </w:r>
      <w:r>
        <w:tab/>
      </w:r>
      <w:r>
        <w:t xml:space="preserve">sie der Gesetzesfolgenabschätzung dient und die Voraussetzungen für eine Weiterverarbeitung nach </w:t>
      </w:r>
      <w:hyperlink w:anchor="b41" w:history="1">
        <w:r>
          <w:rPr>
            <w:color w:val="0A3A8C"/>
            <w:u w:val="single"/>
          </w:rPr>
          <w:t xml:space="preserve">§ 29c</w:t>
        </w:r>
      </w:hyperlink>
      <w:r>
        <w:t xml:space="preserve"> Absatz 1 Satz 1 Nummer 5 vorliegen,</w:t>
      </w:r>
    </w:p>
    <w:p>
      <w:pPr>
        <w:tabs>
          <w:tab w:pos="567" w:val="left"/>
        </w:tabs>
        <w:ind w:left="567" w:hanging="567"/>
      </w:pPr>
      <w:r>
        <w:t>2d.</w:t>
      </w:r>
      <w:r>
        <w:tab/>
      </w:r>
      <w:r>
        <w:t>sie der Sicherung, Nutzung und wissenschaftlichen Verwertung von Archivgut der Finanzbehörden durch das Bundesarchiv nach Maßgabe des Bundesarchivgesetzes oder durch das zuständige Landes- oder Kommunalarchiv nach Maßgabe des einschlägigen Landesgesetzes oder der einschlägigen kommunalen Satzung dient, sofern die Beachtung der Vorgaben der §§ 6 und 10 bis 14 des Bundesarchivgesetzes im Landesrecht oder in der kommunalen Satzung sichergestellt ist,</w:t>
      </w:r>
    </w:p>
    <w:p>
      <w:pPr>
        <w:tabs>
          <w:tab w:pos="567" w:val="left"/>
        </w:tabs>
        <w:ind w:left="567" w:hanging="567"/>
      </w:pPr>
      <w:r>
        <w:t>3.</w:t>
      </w:r>
      <w:r>
        <w:tab/>
      </w:r>
      <w:r>
        <w:t>die betroffene Person zustimmt,</w:t>
      </w:r>
    </w:p>
    <w:p>
      <w:pPr>
        <w:tabs>
          <w:tab w:pos="567" w:val="left"/>
        </w:tabs>
        <w:ind w:left="567" w:hanging="567"/>
      </w:pPr>
      <w:r>
        <w:t>4.</w:t>
      </w:r>
      <w:r>
        <w:tab/>
      </w:r>
      <w:r>
        <w:t>sie der Durchführung eines Strafverfahrens wegen einer Tat dient, die keine Steuerstraftat ist, und die Kenntnisse</w:t>
      </w:r>
    </w:p>
    <w:p>
      <w:pPr>
        <w:tabs>
          <w:tab w:pos="1134" w:val="left"/>
        </w:tabs>
        <w:ind w:left="1134" w:hanging="567"/>
      </w:pPr>
      <w:r>
        <w:t>a)</w:t>
      </w:r>
      <w:r>
        <w:tab/>
      </w:r>
      <w:r>
        <w:t>in einem Verfahren wegen einer Steuerstraftat oder Steuerordnungswidrigkeit erlangt worden sind; dies gilt jedoch nicht für solche Tatsachen, die der Steuerpflichtige in Unkenntnis der Einleitung des Strafverfahrens oder des Bußgeldverfahrens offenbart hat oder die bereits vor Einleitung des Strafverfahrens oder des Bußgeldverfahrens im Besteuerungsverfahren bekannt geworden sind, oder</w:t>
      </w:r>
    </w:p>
    <w:p>
      <w:pPr>
        <w:tabs>
          <w:tab w:pos="1134" w:val="left"/>
        </w:tabs>
        <w:ind w:left="1134" w:hanging="567"/>
      </w:pPr>
      <w:r>
        <w:t>b)</w:t>
      </w:r>
      <w:r>
        <w:tab/>
      </w:r>
      <w:r>
        <w:t>ohne Bestehen einer steuerlichen Verpflichtung oder unter Verzicht auf ein Auskunftsverweigerungsrecht erlangt worden sind,</w:t>
      </w:r>
    </w:p>
    <w:p>
      <w:pPr>
        <w:tabs>
          <w:tab w:pos="567" w:val="left"/>
        </w:tabs>
        <w:ind w:left="567" w:hanging="567"/>
      </w:pPr>
      <w:r>
        <w:t>5.</w:t>
      </w:r>
      <w:r>
        <w:tab/>
      </w:r>
      <w:r>
        <w:t>für sie ein zwingendes öffentliches Interesse besteht; ein zwingendes öffentliches Interesse ist namentlich gegeben, wenn</w:t>
      </w:r>
    </w:p>
    <w:p>
      <w:pPr>
        <w:tabs>
          <w:tab w:pos="1134" w:val="left"/>
        </w:tabs>
        <w:ind w:left="1134" w:hanging="567"/>
      </w:pPr>
      <w:r>
        <w:t>a)</w:t>
      </w:r>
      <w:r>
        <w:tab/>
      </w:r>
      <w:r>
        <w:t>die Offenbarung erforderlich ist zur Abwehr erheblicher Nachteile für das Gemeinwohl oder einer Gefahr für die öffentliche Sicherheit, die Verteidigung oder die nationale Sicherheit oder zur Verhütung oder Verfolgung von Verbrechen und vorsätzlichen schweren Vergehen gegen Leib und Leben oder gegen den Staat und seine Einrichtungen,</w:t>
      </w:r>
    </w:p>
    <w:p>
      <w:pPr>
        <w:tabs>
          <w:tab w:pos="1134" w:val="left"/>
        </w:tabs>
        <w:ind w:left="1134" w:hanging="567"/>
      </w:pPr>
      <w:r>
        <w:t>b)</w:t>
      </w:r>
      <w:r>
        <w:tab/>
      </w:r>
      <w:r>
        <w:t>Wirtschaftsstraftaten verfolgt werden oder verfolgt werden sollen, die nach ihrer Begehungsweise oder wegen des Umfangs des durch sie verursachten Schadens geeignet sind, die wirtschaftliche Ordnung erheblich zu stören oder das Vertrauen der Allgemeinheit auf die Redlichkeit des geschäftlichen Verkehrs oder auf die ordnungsgemäße Arbeit der Behörden und der öffentlichen Einrichtungen erheblich zu erschüttern, oder</w:t>
      </w:r>
    </w:p>
    <w:p>
      <w:pPr>
        <w:tabs>
          <w:tab w:pos="1134" w:val="left"/>
        </w:tabs>
        <w:ind w:left="1134" w:hanging="567"/>
      </w:pPr>
      <w:r>
        <w:t>c)</w:t>
      </w:r>
      <w:r>
        <w:tab/>
      </w:r>
      <w:r>
        <w:t>die Offenbarung erforderlich ist zur Richtigstellung in der Öffentlichkeit verbreiteter unwahrer Tatsachen, die geeignet sind, das Vertrauen in die Verwaltung erheblich zu erschüttern; die Entscheidung trifft die zuständige oberste Finanzbehörde im Einvernehmen mit dem Bundesministerium der Finanzen; vor der Richtigstellung soll der Steuerpflichtige gehört werden.</w:t>
      </w:r>
    </w:p>
    <w:p>
      <w:r>
        <w:t>(5) Vorsätzlich falsche Angaben der betroffenen Person dürfen den Strafverfolgungsbehörden gegenüber offenbart werden.</w:t>
      </w:r>
    </w:p>
    <w:p>
      <w:r>
        <w:t xml:space="preserve">(6) </w:t>
      </w:r>
      <w:r>
        <w:rPr>
          <w:rStyle w:val="Satznummer"/>
        </w:rPr>
        <w:t>1</w:t>
      </w:r>
      <w:r>
        <w:t xml:space="preserve">Der Abruf geschützter Daten, die für eines der in Absatz 2 Nummer 1 genannten Verfahren in einem automationsgestützten Dateisystem gespeichert sind, ist nur zulässig, soweit er der Durchführung eines Verfahrens im Sinne des Absatzes 2 Nummer 1 Buchstabe a und b oder der zulässigen Übermittlung geschützter Daten durch eine Finanzbehörde an die betroffene Person oder Dritte dient. </w:t>
      </w:r>
      <w:r>
        <w:rPr>
          <w:rStyle w:val="Satznummer"/>
        </w:rPr>
        <w:t>2</w:t>
      </w:r>
      <w:r>
        <w:t xml:space="preserve">Zur Wahrung des Steuergeheimnisses kann das Bundesministerium der Finanzen durch Rechtsverordnung mit Zustimmung des Bundesrates bestimmen, welche technischen und organisatorischen Maßnahmen gegen den unbefugten Abruf von Daten zu treffen sind. </w:t>
      </w:r>
      <w:r>
        <w:rPr>
          <w:rStyle w:val="Satznummer"/>
        </w:rPr>
        <w:t>3</w:t>
      </w:r>
      <w:r>
        <w:t xml:space="preserve">Insbesondere kann es nähere Regelungen treffen über die Art der Daten, deren Abruf zulässig ist, sowie über den Kreis der Amtsträger, die zum Abruf solcher Daten berechtigt sind. </w:t>
      </w:r>
      <w:r>
        <w:rPr>
          <w:rStyle w:val="Satznummer"/>
        </w:rPr>
        <w:t>4</w:t>
      </w:r>
      <w:r>
        <w:t>Die Rechtsverordnung bedarf nicht der Zustimmung des Bundesrates, soweit sie die Kraftfahrzeugsteuer, die Luftverkehrsteuer, die Versicherungsteuer sowie Einfuhr- und Ausfuhrabgaben und Verbrauchsteuern, mit Ausnahme der Biersteuer, betrifft.</w:t>
      </w:r>
    </w:p>
    <w:p>
      <w:r>
        <w:t>(7) (weggefallen)</w:t>
      </w:r>
    </w:p>
    <w:p>
      <w:r>
        <w:t>(8) Die Einrichtung eines automatisierten Verfahrens, das den Abgleich geschützter Daten innerhalb einer Finanzbehörde oder zwischen verschiedenen Finanzbehörden ermöglicht, ist zulässig, soweit die Weiterverarbeitung oder Offenbarung dieser Daten zulässig und dieses Verfahren unter Berücksichtigung der schutzwürdigen Interessen der betroffenen Person und der Aufgaben der beteiligten Finanzbehörden angemessen ist.</w:t>
      </w:r>
    </w:p>
    <w:p>
      <w:r>
        <w:t>(9) Die Finanzbehörden dürfen sich bei der Verarbeitung geschützter Daten nur dann eines Auftragsverarbeiters im Sinne von Artikel 4 Nummer 8 der Verordnung (EU) 2016/679 bedienen, wenn diese Daten ausschließlich durch Personen verarbeitet werden, die zur Wahrung des Steuergeheimnisses verpflichtet sind.</w:t>
      </w:r>
    </w:p>
    <w:p>
      <w:r>
        <w:t xml:space="preserve">(10) Die Offenbarung besonderer Kategorien personenbezogener Daten im Sinne des Artikels 9 Absatz 1 der Verordnung (EU) 2016/679 durch Finanzbehörden an öffentliche oder nicht-öffentliche Stellen ist zulässig, wenn die Voraussetzungen der Absätze 4 oder 5 und ein Ausnahmetatbestand nach Artikel 9 Absatz 2 der Verordnung (EU) 2016/679 oder nach </w:t>
      </w:r>
      <w:hyperlink w:anchor="b46" w:history="1">
        <w:r>
          <w:rPr>
            <w:color w:val="0A3A8C"/>
            <w:u w:val="single"/>
          </w:rPr>
          <w:t xml:space="preserve">§ 31c</w:t>
        </w:r>
      </w:hyperlink>
      <w:r>
        <w:t xml:space="preserve"> vorliegen.</w:t>
      </w:r>
    </w:p>
    <w:p>
      <w:r>
        <w:t xml:space="preserve">(11) </w:t>
      </w:r>
      <w:r>
        <w:rPr>
          <w:rStyle w:val="Satznummer"/>
        </w:rPr>
        <w:t>1</w:t>
      </w:r>
      <w:r>
        <w:t>Wurden geschützte Daten</w:t>
      </w:r>
    </w:p>
    <w:p>
      <w:pPr>
        <w:tabs>
          <w:tab w:pos="567" w:val="left"/>
        </w:tabs>
        <w:ind w:left="567" w:hanging="567"/>
      </w:pPr>
      <w:r>
        <w:t>1.</w:t>
      </w:r>
      <w:r>
        <w:tab/>
      </w:r>
      <w:r>
        <w:t>einer Person, die nicht zur Wahrung des Steuergeheimnisses verpflichtet ist,</w:t>
      </w:r>
    </w:p>
    <w:p>
      <w:pPr>
        <w:tabs>
          <w:tab w:pos="567" w:val="left"/>
        </w:tabs>
        <w:ind w:left="567" w:hanging="567"/>
      </w:pPr>
      <w:r>
        <w:t>2.</w:t>
      </w:r>
      <w:r>
        <w:tab/>
      </w:r>
      <w:r>
        <w:t>einer öffentlichen Stelle, die keine Finanzbehörde ist, oder</w:t>
      </w:r>
    </w:p>
    <w:p>
      <w:pPr>
        <w:tabs>
          <w:tab w:pos="567" w:val="left"/>
        </w:tabs>
        <w:ind w:left="567" w:hanging="567"/>
      </w:pPr>
      <w:r>
        <w:t>3.</w:t>
      </w:r>
      <w:r>
        <w:tab/>
      </w:r>
      <w:r>
        <w:t>einer nicht-öffentlichen Stelle</w:t>
      </w:r>
    </w:p>
    <w:p>
      <w:r>
        <w:t xml:space="preserve">nach den Absätzen 4 oder 5 offenbart, darf der Empfänger diese Daten nur zu dem Zweck speichern, verändern, nutzen oder übermitteln, zu dem sie ihm offenbart worden sind. </w:t>
      </w:r>
      <w:r>
        <w:rPr>
          <w:rStyle w:val="Satznummer"/>
        </w:rPr>
        <w:t>2</w:t>
      </w:r>
      <w:r>
        <w:t>Die Pflicht eines Amtsträgers oder einer ihm nach Absatz 3 gleichgestellten Person, dem oder der die geschützten Daten durch die Offenbarung bekannt geworden sind, zur Wahrung des Steuergeheimnisses bleibt unberührt.</w:t>
      </w:r>
    </w:p>
    <w:p>
      <w:pPr>
        <w:pStyle w:val="Heading3"/>
      </w:pPr>
      <w:bookmarkStart w:id="44" w:name="b43"/>
      <w:r>
        <w:t>§ 31 Mitteilung von Besteuerungsgrundlagen</w:t>
      </w:r>
      <w:r>
        <w:t xml:space="preserve"> </w:t>
      </w:r>
      <w:r>
        <w:rPr>
          <w:rStyle w:val="Suchmarke"/>
        </w:rPr>
        <w:t>#31#</w:t>
      </w:r>
      <w:bookmarkEnd w:id="44"/>
    </w:p>
    <w:p>
      <w:r>
        <w:t xml:space="preserve">(1) </w:t>
      </w:r>
      <w:r>
        <w:rPr>
          <w:rStyle w:val="Satznummer"/>
        </w:rPr>
        <w:t>1</w:t>
      </w:r>
      <w:r>
        <w:t xml:space="preserve">Die Finanzbehörden sind verpflichtet, Besteuerungsgrundlagen, Steuermessbeträge und Steuerbeträge an Körperschaften des öffentlichen Rechts einschließlich der Religionsgemeinschaften, die Körperschaften des öffentlichen Rechts sind, zur Festsetzung von solchen Abgaben mitzuteilen, die an diese Besteuerungsgrundlagen, Steuermessbeträge oder Steuerbeträge anknüpfen. </w:t>
      </w:r>
      <w:r>
        <w:rPr>
          <w:rStyle w:val="Satznummer"/>
        </w:rPr>
        <w:t>2</w:t>
      </w:r>
      <w:r>
        <w:t xml:space="preserve">Die Mitteilungspflicht besteht nicht, soweit deren Erfüllung mit einem unverhältnismäßigen Aufwand verbunden wäre. </w:t>
      </w:r>
      <w:r>
        <w:rPr>
          <w:rStyle w:val="Satznummer"/>
        </w:rPr>
        <w:t>3</w:t>
      </w:r>
      <w:r>
        <w:t>Die Finanzbehörden dürfen Körperschaften des öffentlichen Rechts auf Ersuchen Namen und Anschriften ihrer Mitglieder, die dem Grunde nach zur Entrichtung von Abgaben im Sinne des Satzes 1 verpflichtet sind, sowie die von der Finanzbehörde für die Körperschaft festgesetzten Abgaben übermitteln, soweit die Kenntnis dieser Daten zur Erfüllung von in der Zuständigkeit der Körperschaft liegenden öffentlichen Aufgaben erforderlich ist und überwiegende schutzwürdige Interessen der betroffenen Person nicht entgegenstehen.</w:t>
      </w:r>
    </w:p>
    <w:p>
      <w:r>
        <w:t xml:space="preserve">(2) </w:t>
      </w:r>
      <w:r>
        <w:rPr>
          <w:rStyle w:val="Satznummer"/>
        </w:rPr>
        <w:t>1</w:t>
      </w:r>
      <w:r>
        <w:t xml:space="preserve">Die Finanzbehörden sind verpflichtet, die nach </w:t>
      </w:r>
      <w:hyperlink w:anchor="b42" w:history="1">
        <w:r>
          <w:rPr>
            <w:color w:val="0A3A8C"/>
            <w:u w:val="single"/>
          </w:rPr>
          <w:t xml:space="preserve">§ 30</w:t>
        </w:r>
      </w:hyperlink>
      <w:r>
        <w:t xml:space="preserve"> Absatz 2 Nummer 1 geschützten personenbezogenen Daten der betroffenen Person den Trägern der gesetzlichen Sozialversicherung, der Bundesagentur für Arbeit und der Künstlersozialkasse mitzuteilen, soweit die Kenntnis dieser Daten für die Feststellung der Versicherungspflicht oder die Festsetzung von Beiträgen einschließlich der Künstlersozialabgabe erforderlich ist oder die betroffene Person einen Antrag auf Mitteilung stellt. </w:t>
      </w:r>
      <w:r>
        <w:rPr>
          <w:rStyle w:val="Satznummer"/>
        </w:rPr>
        <w:t>2</w:t>
      </w:r>
      <w:r>
        <w:t>Die Mitteilungspflicht besteht nicht, soweit deren Erfüllung mit einem unverhältnismäßigen Aufwand verbunden wäre.</w:t>
      </w:r>
    </w:p>
    <w:p>
      <w:r>
        <w:t xml:space="preserve">(3) Die für die Verwaltung der Grundsteuer zuständigen Behörden sind berechtigt, die nach </w:t>
      </w:r>
      <w:hyperlink w:anchor="b42" w:history="1">
        <w:r>
          <w:rPr>
            <w:color w:val="0A3A8C"/>
            <w:u w:val="single"/>
          </w:rPr>
          <w:t xml:space="preserve">§ 30</w:t>
        </w:r>
      </w:hyperlink>
      <w:r>
        <w:t xml:space="preserve"> geschützten Namen und Anschriften von Grundstückseigentümern, die bei der Verwaltung der Grundsteuer bekannt geworden sind, zur Verwaltung anderer Abgaben sowie zur Erfüllung sonstiger öffentlicher Aufgaben zu verwenden oder den hierfür zuständigen Gerichten, Behörden oder juristischen Personen des öffentlichen Rechts auf Ersuchen mitzuteilen, soweit nicht überwiegende schutzwürdige Interessen der betroffenen Person entgegenstehen.</w:t>
      </w:r>
    </w:p>
    <w:p>
      <w:pPr>
        <w:pStyle w:val="Heading3"/>
      </w:pPr>
      <w:bookmarkStart w:id="45" w:name="b44"/>
      <w:r>
        <w:t>§ 31a Mitteilungen zur Bekämpfung der illegalen Beschäftigung und des Leistungsmissbrauchs</w:t>
      </w:r>
      <w:r>
        <w:t xml:space="preserve"> </w:t>
      </w:r>
      <w:r>
        <w:rPr>
          <w:rStyle w:val="Suchmarke"/>
        </w:rPr>
        <w:t>#31a#</w:t>
      </w:r>
      <w:bookmarkEnd w:id="45"/>
    </w:p>
    <w:p>
      <w:r>
        <w:t xml:space="preserve">(1) </w:t>
      </w:r>
      <w:r>
        <w:rPr>
          <w:rStyle w:val="Satznummer"/>
        </w:rPr>
        <w:t>1</w:t>
      </w:r>
      <w:r>
        <w:t xml:space="preserve">Die Offenbarung der nach </w:t>
      </w:r>
      <w:hyperlink w:anchor="b42" w:history="1">
        <w:r>
          <w:rPr>
            <w:color w:val="0A3A8C"/>
            <w:u w:val="single"/>
          </w:rPr>
          <w:t xml:space="preserve">§ 30</w:t>
        </w:r>
      </w:hyperlink>
      <w:r>
        <w:t xml:space="preserve"> geschützten Daten der betroffenen Person ist zulässig, soweit sie erforderlich sind</w:t>
      </w:r>
    </w:p>
    <w:p>
      <w:pPr>
        <w:tabs>
          <w:tab w:pos="567" w:val="left"/>
        </w:tabs>
        <w:ind w:left="567" w:hanging="567"/>
      </w:pPr>
      <w:r>
        <w:t>1.</w:t>
      </w:r>
      <w:r>
        <w:tab/>
      </w:r>
      <w:r>
        <w:t>für die Durchführung eines Strafverfahrens, eines Bußgeldverfahrens oder eines anderen gerichtlichen oder Verwaltungsverfahrens mit dem Ziel</w:t>
      </w:r>
    </w:p>
    <w:p>
      <w:pPr>
        <w:tabs>
          <w:tab w:pos="1134" w:val="left"/>
        </w:tabs>
        <w:ind w:left="1134" w:hanging="567"/>
      </w:pPr>
      <w:r>
        <w:t>a)</w:t>
      </w:r>
      <w:r>
        <w:tab/>
      </w:r>
      <w:r>
        <w:t>der Bekämpfung von illegaler Beschäftigung oder Schwarzarbeit oder</w:t>
      </w:r>
    </w:p>
    <w:p>
      <w:pPr>
        <w:tabs>
          <w:tab w:pos="1134" w:val="left"/>
        </w:tabs>
        <w:ind w:left="1134" w:hanging="567"/>
      </w:pPr>
      <w:r>
        <w:t>b)</w:t>
      </w:r>
      <w:r>
        <w:tab/>
      </w:r>
      <w:r>
        <w:t>der Entscheidung</w:t>
      </w:r>
    </w:p>
    <w:p>
      <w:pPr>
        <w:tabs>
          <w:tab w:pos="1701" w:val="left"/>
        </w:tabs>
        <w:ind w:left="1701" w:hanging="567"/>
      </w:pPr>
      <w:r>
        <w:t>aa)</w:t>
      </w:r>
      <w:r>
        <w:tab/>
      </w:r>
      <w:r>
        <w:t>über Erteilung, Rücknahme oder Widerruf einer Erlaubnis nach dem Arbeitnehmerüberlassungsgesetz oder</w:t>
      </w:r>
    </w:p>
    <w:p>
      <w:pPr>
        <w:tabs>
          <w:tab w:pos="1701" w:val="left"/>
        </w:tabs>
        <w:ind w:left="1701" w:hanging="567"/>
      </w:pPr>
      <w:r>
        <w:t>bb)</w:t>
      </w:r>
      <w:r>
        <w:tab/>
      </w:r>
      <w:r>
        <w:t>über Bewilligung, Gewährung, Rückforderung, Erstattung, Weitergewährung oder Belassen einer Leistung aus öffentlichen Mitteln,</w:t>
      </w:r>
    </w:p>
    <w:p>
      <w:pPr>
        <w:tabs>
          <w:tab w:pos="567" w:val="left"/>
        </w:tabs>
        <w:ind w:left="567" w:hanging="567"/>
      </w:pPr>
      <w:r>
        <w:t>2.</w:t>
      </w:r>
      <w:r>
        <w:tab/>
      </w:r>
      <w:r>
        <w:t>für die Prüfung des Vorliegens oder die Geltendmachung eines Anspruchs auf Rückgewähr einer Leistung aus öffentlichen Mitteln,</w:t>
      </w:r>
    </w:p>
    <w:p>
      <w:pPr>
        <w:tabs>
          <w:tab w:pos="567" w:val="left"/>
        </w:tabs>
        <w:ind w:left="567" w:hanging="567"/>
      </w:pPr>
      <w:r>
        <w:t>3.</w:t>
      </w:r>
      <w:r>
        <w:tab/>
      </w:r>
      <w:r>
        <w:t>für die Prüfung des Vorliegens oder die Geltendmachung eines gesetzlichen Anspruchs auf Schadensersatz aus einer vorsätzlich begangenen unerlaubten Handlung, auf Grund derer eine Leistung aus öffentlichen Mitteln gewährt wurde oder</w:t>
      </w:r>
    </w:p>
    <w:p>
      <w:pPr>
        <w:tabs>
          <w:tab w:pos="567" w:val="left"/>
        </w:tabs>
        <w:ind w:left="567" w:hanging="567"/>
      </w:pPr>
      <w:r>
        <w:t>4.</w:t>
      </w:r>
      <w:r>
        <w:tab/>
      </w:r>
      <w:r>
        <w:t>für die automationsgestützte Analyse und Bewertung nach § 26 Absatz 1 des Schwarzarbeitsbekämpfungsgesetzes.</w:t>
      </w:r>
    </w:p>
    <w:p>
      <w:r>
        <w:rPr>
          <w:rStyle w:val="Satznummer"/>
        </w:rPr>
        <w:t>2</w:t>
      </w:r>
      <w:r>
        <w:t xml:space="preserve">In den Fällen von Satz 1 Nummer 1 Buchstabe b Doppelbuchstabe bb oder Nummer 2 ist die Offenbarung auf Ersuchen der zuständigen Stellen auch zulässig, soweit sie für die Durchführung eines Strafverfahrens wegen einer zu Unrecht erlangten Leistung aus öffentlichen Mitteln erforderlich ist. </w:t>
      </w:r>
      <w:r>
        <w:rPr>
          <w:rStyle w:val="Satznummer"/>
        </w:rPr>
        <w:t>3</w:t>
      </w:r>
      <w:r>
        <w:t xml:space="preserve">Die für die Verwaltung einer Leistung aus öffentlichen Mitteln zuständige öffentliche Stelle darf die ihr von Finanzbehörden nach Satz 1 übermittelten Informationen abweichend von </w:t>
      </w:r>
      <w:hyperlink w:anchor="b42" w:history="1">
        <w:r>
          <w:rPr>
            <w:color w:val="0A3A8C"/>
            <w:u w:val="single"/>
          </w:rPr>
          <w:t xml:space="preserve">§ 30</w:t>
        </w:r>
      </w:hyperlink>
      <w:r>
        <w:t xml:space="preserve"> Absatz 11 an die für die Verfolgung einer Straftat hinsichtlich der von ihr bewilligten Leistung zuständige Stelle weiterleiten, wenn dies auch nach den für sie geltenden Vorschriften über die Verarbeitung personenbezogener Daten zu anderen Zwecken zulässig ist.</w:t>
      </w:r>
    </w:p>
    <w:p>
      <w:r>
        <w:t xml:space="preserve">(2) </w:t>
      </w:r>
      <w:r>
        <w:rPr>
          <w:rStyle w:val="Satznummer"/>
        </w:rPr>
        <w:t>1</w:t>
      </w:r>
      <w:r>
        <w:t xml:space="preserve">Die Finanzbehörden sind in den Fällen des Absatzes 1 verpflichtet, der zuständigen Stelle die jeweils benötigten Tatsachen mitzuteilen. </w:t>
      </w:r>
      <w:r>
        <w:rPr>
          <w:rStyle w:val="Satznummer"/>
        </w:rPr>
        <w:t>2</w:t>
      </w:r>
      <w:r>
        <w:t xml:space="preserve">In den Fällen des Absatzes 1 Satz 1 Nummer 1 Buchstabe b und Nummer 2 erfolgt die Mitteilung auch auf Antrag der betroffenen Person. </w:t>
      </w:r>
      <w:r>
        <w:rPr>
          <w:rStyle w:val="Satznummer"/>
        </w:rPr>
        <w:t>3</w:t>
      </w:r>
      <w:r>
        <w:t>Die Mitteilungspflicht nach den Sätzen 1 und 2 besteht nicht, soweit deren Erfüllung mit einem unverhältnismäßigen Aufwand verbunden wäre.</w:t>
      </w:r>
    </w:p>
    <w:p>
      <w:pPr>
        <w:pStyle w:val="Heading3"/>
      </w:pPr>
      <w:bookmarkStart w:id="46" w:name="b45"/>
      <w:r>
        <w:t>§ 31b Mitteilungen zur Bekämpfung der Geldwäsche und der Terrorismusfinanzierung</w:t>
      </w:r>
      <w:r>
        <w:t xml:space="preserve"> </w:t>
      </w:r>
      <w:r>
        <w:rPr>
          <w:rStyle w:val="Suchmarke"/>
        </w:rPr>
        <w:t>#31b#</w:t>
      </w:r>
      <w:bookmarkEnd w:id="46"/>
    </w:p>
    <w:p>
      <w:r>
        <w:t xml:space="preserve">(1) Die Offenbarung der nach </w:t>
      </w:r>
      <w:hyperlink w:anchor="b42" w:history="1">
        <w:r>
          <w:rPr>
            <w:color w:val="0A3A8C"/>
            <w:u w:val="single"/>
          </w:rPr>
          <w:t xml:space="preserve">§ 30</w:t>
        </w:r>
      </w:hyperlink>
      <w:r>
        <w:t xml:space="preserve"> geschützten Daten der betroffenen Person an die jeweils zuständige Stelle ist auch ohne Ersuchen zulässig, soweit sie einem der folgenden Zwecke dient:</w:t>
      </w:r>
    </w:p>
    <w:p>
      <w:pPr>
        <w:tabs>
          <w:tab w:pos="567" w:val="left"/>
        </w:tabs>
        <w:ind w:left="567" w:hanging="567"/>
      </w:pPr>
      <w:r>
        <w:t>1.</w:t>
      </w:r>
      <w:r>
        <w:tab/>
      </w:r>
      <w:r>
        <w:t>der Durchführung eines Strafverfahrens wegen Geldwäsche oder Terrorismusfinanzierung nach § 1 Absatz 1 und 2 des Geldwäschegesetzes,</w:t>
      </w:r>
    </w:p>
    <w:p>
      <w:pPr>
        <w:tabs>
          <w:tab w:pos="567" w:val="left"/>
        </w:tabs>
        <w:ind w:left="567" w:hanging="567"/>
      </w:pPr>
      <w:r>
        <w:t>2.</w:t>
      </w:r>
      <w:r>
        <w:tab/>
      </w:r>
      <w:r>
        <w:t>der Verhinderung, Aufdeckung und Bekämpfung von Geldwäsche oder Terrorismusfinanzierung nach § 1 Absatz 1 und 2 des Geldwäschegesetzes,</w:t>
      </w:r>
    </w:p>
    <w:p>
      <w:pPr>
        <w:tabs>
          <w:tab w:pos="567" w:val="left"/>
        </w:tabs>
        <w:ind w:left="567" w:hanging="567"/>
      </w:pPr>
      <w:r>
        <w:t>3.</w:t>
      </w:r>
      <w:r>
        <w:tab/>
      </w:r>
      <w:r>
        <w:t>der Durchführung eines Bußgeldverfahrens nach § 56 des Geldwäschegesetzes gegen Verpflichtete nach § 2 Absatz 1 Nummer 13 bis 16 des Geldwäschegesetzes,</w:t>
      </w:r>
    </w:p>
    <w:p>
      <w:pPr>
        <w:tabs>
          <w:tab w:pos="567" w:val="left"/>
        </w:tabs>
        <w:ind w:left="567" w:hanging="567"/>
      </w:pPr>
      <w:r>
        <w:t>4.</w:t>
      </w:r>
      <w:r>
        <w:tab/>
      </w:r>
      <w:r>
        <w:t>dem Treffen von Maßnahmen und Anordnungen nach § 51 Absatz 2 des Geldwäschegesetzes gegenüber Verpflichteten nach § 2 Absatz 1 Nummer 13 bis 16 des Geldwäschegesetzes oder</w:t>
      </w:r>
    </w:p>
    <w:p>
      <w:pPr>
        <w:tabs>
          <w:tab w:pos="567" w:val="left"/>
        </w:tabs>
        <w:ind w:left="567" w:hanging="567"/>
      </w:pPr>
      <w:r>
        <w:t>5.</w:t>
      </w:r>
      <w:r>
        <w:tab/>
      </w:r>
      <w:r>
        <w:t>der Wahrnehmung von Aufgaben nach § 28 Absatz 1 des Geldwäschegesetzes durch die Zentralstelle für Finanztransaktionsuntersuchungen.</w:t>
      </w:r>
    </w:p>
    <w:p>
      <w:r>
        <w:t xml:space="preserve">(2) </w:t>
      </w:r>
      <w:r>
        <w:rPr>
          <w:rStyle w:val="Satznummer"/>
        </w:rPr>
        <w:t>1</w:t>
      </w:r>
      <w:r>
        <w:t>Die Finanzbehörden haben der Zentralstelle für Finanztransaktionsuntersuchungen unverzüglich Sachverhalte unabhängig von deren Höhe mitzuteilen, wenn Tatsachen vorliegen, die darauf hindeuten, dass</w:t>
      </w:r>
    </w:p>
    <w:p>
      <w:pPr>
        <w:tabs>
          <w:tab w:pos="567" w:val="left"/>
        </w:tabs>
        <w:ind w:left="567" w:hanging="567"/>
      </w:pPr>
      <w:r>
        <w:t>1.</w:t>
      </w:r>
      <w:r>
        <w:tab/>
      </w:r>
      <w:r>
        <w:t>es sich bei Vermögensgegenständen, die mit dem mitzuteilenden Sachverhalt im Zusammenhang stehen, um den Gegenstand einer Straftat nach § 261 des Strafgesetzbuchs handelt oder</w:t>
      </w:r>
    </w:p>
    <w:p>
      <w:pPr>
        <w:tabs>
          <w:tab w:pos="567" w:val="left"/>
        </w:tabs>
        <w:ind w:left="567" w:hanging="567"/>
      </w:pPr>
      <w:r>
        <w:t>2.</w:t>
      </w:r>
      <w:r>
        <w:tab/>
      </w:r>
      <w:r>
        <w:t>die Vermögensgegenstände im Zusammenhang mit Terrorismusfinanzierung stehen.</w:t>
      </w:r>
    </w:p>
    <w:p>
      <w:r>
        <w:rPr>
          <w:rStyle w:val="Satznummer"/>
        </w:rPr>
        <w:t>2</w:t>
      </w:r>
      <w:r>
        <w:t xml:space="preserve">Mitteilungen an die Zentralstelle für Finanztransaktionsuntersuchungen sind durch elektronische Datenübermittlung zu erstatten; hierbei ist ein sicheres Verfahren zu verwenden, das die Vertraulichkeit und Integrität des Datensatzes gewährleistet. </w:t>
      </w:r>
      <w:r>
        <w:rPr>
          <w:rStyle w:val="Satznummer"/>
        </w:rPr>
        <w:t>3</w:t>
      </w:r>
      <w:r>
        <w:t xml:space="preserve">Im Fall einer Störung der Datenübertragung ist ausnahmsweise eine Mitteilung auf dem Postweg möglich. </w:t>
      </w:r>
      <w:r>
        <w:rPr>
          <w:rStyle w:val="Satznummer"/>
        </w:rPr>
        <w:t>4</w:t>
      </w:r>
      <w:r>
        <w:t>§ 45 Absatz 3 und 4 des Geldwäschegesetzes gilt entsprechend.</w:t>
      </w:r>
    </w:p>
    <w:p>
      <w:r>
        <w:t>(2a) Die Finanzbehörden übermitteln der Zentralstelle für Finanztransaktionsuntersuchungen folgende Daten nach Maßgabe des § 31 Absatz 5 des Geldwäschegesetzes im automatisierten Verfahren, soweit dies zur Wahrnehmung der Aufgaben der Zentralstelle für Finanztransaktionsuntersuchungen nach § 28 Absatz 1 Satz 2 Nummer 2 des Geldwäschegesetzes erforderlich ist:</w:t>
      </w:r>
    </w:p>
    <w:p>
      <w:pPr>
        <w:tabs>
          <w:tab w:pos="567" w:val="left"/>
        </w:tabs>
        <w:ind w:left="567" w:hanging="567"/>
      </w:pPr>
      <w:r>
        <w:t>1.</w:t>
      </w:r>
      <w:r>
        <w:tab/>
      </w:r>
      <w:r>
        <w:t>beim Bundeszentralamt für Steuern die nach § 5 Absatz 1 Nummer 13 des Finanzverwaltungsgesetzes vorgehaltenen Daten,</w:t>
      </w:r>
    </w:p>
    <w:p>
      <w:pPr>
        <w:tabs>
          <w:tab w:pos="567" w:val="left"/>
        </w:tabs>
        <w:ind w:left="567" w:hanging="567"/>
      </w:pPr>
      <w:r>
        <w:t>2.</w:t>
      </w:r>
      <w:r>
        <w:tab/>
      </w:r>
      <w:r>
        <w:t>bei den Landesfinanzbehörden die zu einem Steuerpflichtigen gespeicherten Grundinformationen, die die Steuernummer, die Gewerbekennzahl, die Grund- und Zusatzkennbuchstaben, die Bankverbindung, die vergebene Umsatzsteuer-Identifikationsnummer sowie das zuständige Finanzamt umfassen.</w:t>
      </w:r>
    </w:p>
    <w:p>
      <w:r>
        <w:t>(2b) (weggefallen)</w:t>
      </w:r>
    </w:p>
    <w:p>
      <w:r>
        <w:t>(3) Die Finanzbehörden haben der zuständigen Verwaltungsbehörde unverzüglich solche Tatsachen mitzuteilen, die darauf schließen lassen, dass</w:t>
      </w:r>
    </w:p>
    <w:p>
      <w:pPr>
        <w:tabs>
          <w:tab w:pos="567" w:val="left"/>
        </w:tabs>
        <w:ind w:left="567" w:hanging="567"/>
      </w:pPr>
      <w:r>
        <w:t>1.</w:t>
      </w:r>
      <w:r>
        <w:tab/>
      </w:r>
      <w:r>
        <w:t>ein Verpflichteter nach § 2 Absatz 1 Nummer 13 bis 16 des Geldwäschegesetzes eine Ordnungswidrigkeit nach § 56 des Geldwäschegesetzes begangen hat oder begeht oder</w:t>
      </w:r>
    </w:p>
    <w:p>
      <w:pPr>
        <w:tabs>
          <w:tab w:pos="567" w:val="left"/>
        </w:tabs>
        <w:ind w:left="567" w:hanging="567"/>
      </w:pPr>
      <w:r>
        <w:t>2.</w:t>
      </w:r>
      <w:r>
        <w:tab/>
      </w:r>
      <w:r>
        <w:t>die Voraussetzungen für das Treffen von Maßnahmen und Anordnungen nach § 51 Absatz 2 des Geldwäschegesetzes gegenüber Verpflichteten nach § 2 Absatz 1 Nummer 13 bis 16 des Geldwäschegesetzes gegeben sind.</w:t>
      </w:r>
    </w:p>
    <w:p>
      <w:r>
        <w:t xml:space="preserve">(3a) </w:t>
      </w:r>
      <w:r>
        <w:rPr>
          <w:rStyle w:val="Satznummer"/>
        </w:rPr>
        <w:t>1</w:t>
      </w:r>
      <w:r>
        <w:t xml:space="preserve">Die Finanzbehörden übermitteln einer Koordinierenden Stelle eines Landes nach § 50c des Geldwäschegesetzes auf Ersuchen Name und Anschrift der bei ihnen geführten Steuerpflichtigen im Sinne des § 2 Absatz 1 Nummer 13, 14 oder Nummer 16 des Geldwäschegesetzes nach Maßgabe des § 55 Absatz 3b des Geldwäschegesetzes, geordnet nach Wirtschaftszweigen und Betriebsgrößenklassen. </w:t>
      </w:r>
      <w:r>
        <w:rPr>
          <w:rStyle w:val="Satznummer"/>
        </w:rPr>
        <w:t>2</w:t>
      </w:r>
      <w:r>
        <w:t xml:space="preserve">Sammelersuchen sind zulässig. </w:t>
      </w:r>
      <w:r>
        <w:rPr>
          <w:rStyle w:val="Satznummer"/>
        </w:rPr>
        <w:t>3</w:t>
      </w:r>
      <w:r>
        <w:t>Die von den Finanzbehörden an die zuständigen Koordinierenden Stellen nach § 50c des Geldwäschegesetzes übermittelten Daten können von diesen an die zuständigen Aufsichtsbehörden nach § 50 Nummer 9 des Geldwäschegesetzes zur Erfüllung ihrer Aufgaben nach dem Geldwäschegesetz weitergegeben werden.</w:t>
      </w:r>
    </w:p>
    <w:p>
      <w:r>
        <w:t>(4) § 47 Absatz 3 des Geldwäschegesetzes gilt entsprechend.</w:t>
      </w:r>
    </w:p>
    <w:p>
      <w:pPr>
        <w:pStyle w:val="Heading3"/>
      </w:pPr>
      <w:bookmarkStart w:id="47" w:name="b46"/>
      <w:r>
        <w:t>§ 31c Verarbeitung besonderer Kategorien personenbezogener Daten durch Finanzbehörden zu statistischen Zwecken</w:t>
      </w:r>
      <w:r>
        <w:t xml:space="preserve"> </w:t>
      </w:r>
      <w:r>
        <w:rPr>
          <w:rStyle w:val="Suchmarke"/>
        </w:rPr>
        <w:t>#31c#</w:t>
      </w:r>
      <w:bookmarkEnd w:id="47"/>
    </w:p>
    <w:p>
      <w:r>
        <w:t xml:space="preserve">(1) </w:t>
      </w:r>
      <w:r>
        <w:rPr>
          <w:rStyle w:val="Satznummer"/>
        </w:rPr>
        <w:t>1</w:t>
      </w:r>
      <w:r>
        <w:t xml:space="preserve">Abweichend von Artikel 9 Absatz 1 der Verordnung (EU) 2016/679 ist die Verarbeitung besonderer Kategorien personenbezogener Daten im Sinne des Artikels 9 Absatz 1 der Verordnung (EU) 2016/679 durch Finanzbehörden auch ohne Einwilligung der betroffenen Person für statistische Zwecke zulässig, wenn die Verarbeitung zu diesen Zwecken erforderlich ist und die Interessen des Verantwortlichen an der Verarbeitung die Interessen der betroffenen Person an einem Ausschluss der Verarbeitung erheblich überwiegen. </w:t>
      </w:r>
      <w:r>
        <w:rPr>
          <w:rStyle w:val="Satznummer"/>
        </w:rPr>
        <w:t>2</w:t>
      </w:r>
      <w:r>
        <w:t>Der Verantwortliche sieht angemessene und spezifische Maßnahmen zur Wahrung der Interessen der betroffenen Person vor; § 22 Absatz 2 Satz 2 des Bundesdatenschutzgesetzes gilt entsprechend.</w:t>
      </w:r>
    </w:p>
    <w:p>
      <w:r>
        <w:t>(2) Die in den Artikeln 15, 16, 18 und 21 der Verordnung (EU) 2016/679 vorgesehenen Rechte der betroffenen Person sind insoweit beschränkt, als diese Rechte voraussichtlich die Verwirklichung der Statistikzwecke unmöglich machen oder ernsthaft beinträchtigen und die Beschränkung für die Erfüllung der Statistikzwecke notwendig ist.</w:t>
      </w:r>
    </w:p>
    <w:p>
      <w:r>
        <w:t xml:space="preserve">(3) </w:t>
      </w:r>
      <w:r>
        <w:rPr>
          <w:rStyle w:val="Satznummer"/>
        </w:rPr>
        <w:t>1</w:t>
      </w:r>
      <w:r>
        <w:t xml:space="preserve">Ergänzend zu den in § 22 Absatz 2 Satz 2 des Bundesdatenschutzgesetzes genannten Maßnahmen sind zu statistischen Zwecken verarbeitete besondere Kategorien personenbezogener Daten im Sinne des Artikels 9 Absatz 1 der Verordnung (EU) 2016/679 zu pseudonymisieren oder anonymisieren, sobald dies nach dem Statistikzweck möglich ist, es sei denn, berechtigte Interessen der betroffenen Person stehen dem entgegen. </w:t>
      </w:r>
      <w:r>
        <w:rPr>
          <w:rStyle w:val="Satznummer"/>
        </w:rPr>
        <w:t>2</w:t>
      </w:r>
      <w:r>
        <w:t xml:space="preserve">Bis dahin sind die Merkmale gesondert zu speichern, mit denen Einzelangaben über persönliche oder sachliche Verhältnisse einer bestimmten oder bestimmbaren Person zugeordnet werden können. </w:t>
      </w:r>
      <w:r>
        <w:rPr>
          <w:rStyle w:val="Satznummer"/>
        </w:rPr>
        <w:t>3</w:t>
      </w:r>
      <w:r>
        <w:t>Sie dürfen mit den Einzelangaben nur zusammengeführt werden, soweit der Statistikzweck dies erfordert.</w:t>
      </w:r>
    </w:p>
    <w:p>
      <w:pPr>
        <w:pStyle w:val="Heading2"/>
      </w:pPr>
      <w:bookmarkStart w:id="48" w:name="b47"/>
      <w:r>
        <w:t>Fünfter Abschnitt Haftungsbeschränkung für Amtsträger</w:t>
      </w:r>
      <w:bookmarkEnd w:id="48"/>
    </w:p>
    <w:p>
      <w:pPr>
        <w:pStyle w:val="Heading3"/>
      </w:pPr>
      <w:bookmarkStart w:id="49" w:name="b48"/>
      <w:r>
        <w:t>§ 32 Haftungsbeschränkung für Amtsträger</w:t>
      </w:r>
      <w:r>
        <w:t xml:space="preserve"> </w:t>
      </w:r>
      <w:r>
        <w:rPr>
          <w:rStyle w:val="Suchmarke"/>
        </w:rPr>
        <w:t>#32#</w:t>
      </w:r>
      <w:bookmarkEnd w:id="49"/>
    </w:p>
    <w:p>
      <w:r>
        <w:t>Wird infolge der Amts- oder Dienstpflichtverletzung eines Amtsträgers</w:t>
      </w:r>
    </w:p>
    <w:p>
      <w:pPr>
        <w:tabs>
          <w:tab w:pos="567" w:val="left"/>
        </w:tabs>
        <w:ind w:left="567" w:hanging="567"/>
      </w:pPr>
      <w:r>
        <w:t>1.</w:t>
      </w:r>
      <w:r>
        <w:tab/>
      </w:r>
      <w:r>
        <w:t>eine Steuer oder eine steuerliche Nebenleistung nicht, zu niedrig oder zu spät festgesetzt, erhoben oder beigetrieben oder</w:t>
      </w:r>
    </w:p>
    <w:p>
      <w:pPr>
        <w:tabs>
          <w:tab w:pos="567" w:val="left"/>
        </w:tabs>
        <w:ind w:left="567" w:hanging="567"/>
      </w:pPr>
      <w:r>
        <w:t>2.</w:t>
      </w:r>
      <w:r>
        <w:tab/>
      </w:r>
      <w:r>
        <w:t>eine Steuererstattung oder Steuervergütung zu Unrecht gewährt oder</w:t>
      </w:r>
    </w:p>
    <w:p>
      <w:pPr>
        <w:tabs>
          <w:tab w:pos="567" w:val="left"/>
        </w:tabs>
        <w:ind w:left="567" w:hanging="567"/>
      </w:pPr>
      <w:r>
        <w:t>3.</w:t>
      </w:r>
      <w:r>
        <w:tab/>
      </w:r>
      <w:r>
        <w:t>eine Besteuerungsgrundlage oder eine Steuerbeteiligung nicht, zu niedrig oder zu spät festgesetzt,</w:t>
      </w:r>
    </w:p>
    <w:p>
      <w:r>
        <w:t>so kann er nur in Anspruch genommen werden, wenn die Amts- oder Dienstpflichtverletzung mit einer Strafe bedroht ist.</w:t>
      </w:r>
    </w:p>
    <w:p>
      <w:pPr>
        <w:pStyle w:val="Heading2"/>
      </w:pPr>
      <w:bookmarkStart w:id="50" w:name="b49"/>
      <w:r>
        <w:t>Sechster Abschnitt Rechte der betroffenen Person</w:t>
      </w:r>
      <w:bookmarkEnd w:id="50"/>
    </w:p>
    <w:p>
      <w:pPr>
        <w:pStyle w:val="Heading3"/>
      </w:pPr>
      <w:bookmarkStart w:id="51" w:name="b50"/>
      <w:r>
        <w:t>§ 32a Informationspflicht der Finanzbehörde bei Erhebung personenbezogener Daten bei betroffenen Personen</w:t>
      </w:r>
      <w:r>
        <w:t xml:space="preserve"> </w:t>
      </w:r>
      <w:r>
        <w:rPr>
          <w:rStyle w:val="Suchmarke"/>
        </w:rPr>
        <w:t>#32a#</w:t>
      </w:r>
      <w:bookmarkEnd w:id="51"/>
    </w:p>
    <w:p>
      <w:r>
        <w:t>(1) Die Pflicht der Finanzbehörde zur Information der betroffenen Person gemäß Artikel 13 Absatz 3 der Verordnung (EU) 2016/679 besteht ergänzend zu der in Artikel 13 Absatz 4 der Verordnung (EU) 2016/679 genannten Ausnahme dann nicht, wenn die Erteilung der Information über die beabsichtigte Weiterverarbeitung oder Offenbarung</w:t>
      </w:r>
    </w:p>
    <w:p>
      <w:pPr>
        <w:tabs>
          <w:tab w:pos="567" w:val="left"/>
        </w:tabs>
        <w:ind w:left="567" w:hanging="567"/>
      </w:pPr>
      <w:r>
        <w:t>1.</w:t>
      </w:r>
      <w:r>
        <w:tab/>
      </w:r>
      <w:r>
        <w:t>die ordnungsgemäße Erfüllung der in der Zuständigkeit der Finanzbehörden liegenden Aufgaben im Sinne des Artikels 23 Absatz 1 Buchstabe d bis h der Verordnung (EU) 2016/679 gefährden würde und die Interessen der Finanzbehörden an der Nichterteilung der Information die Interessen der betroffenen Person überwiegen,</w:t>
      </w:r>
    </w:p>
    <w:p>
      <w:pPr>
        <w:tabs>
          <w:tab w:pos="567" w:val="left"/>
        </w:tabs>
        <w:ind w:left="567" w:hanging="567"/>
      </w:pPr>
      <w:r>
        <w:t>2.</w:t>
      </w:r>
      <w:r>
        <w:tab/>
      </w:r>
      <w:r>
        <w:t>die öffentliche Sicherheit oder Ordnung gefährden oder sonst dem Wohl des Bundes oder eines Landes Nachteile bereiten würde und die Interessen der Finanzbehörde an der Nichterteilung der Information die Interessen der betroffenen Person überwiegen,</w:t>
      </w:r>
    </w:p>
    <w:p>
      <w:pPr>
        <w:tabs>
          <w:tab w:pos="567" w:val="left"/>
        </w:tabs>
        <w:ind w:left="567" w:hanging="567"/>
      </w:pPr>
      <w:r>
        <w:t>3.</w:t>
      </w:r>
      <w:r>
        <w:tab/>
      </w:r>
      <w:r>
        <w:t>den Rechtsträger der Finanzbehörde in der Geltendmachung, Ausübung oder Verteidigung zivilrechtlicher Ansprüche oder in der der Verteidigung gegen ihn geltend gemachter zivilrechtlicher Ansprüche im Sinne des Artikels 23 Absatz 1 Buchstabe j der Verordnung (EU) 2016/679 beeinträchtigen würde und die Finanzbehörde nach dem Zivilrecht nicht zur Information verpflichtet ist, oder</w:t>
      </w:r>
    </w:p>
    <w:p>
      <w:pPr>
        <w:tabs>
          <w:tab w:pos="567" w:val="left"/>
        </w:tabs>
        <w:ind w:left="567" w:hanging="567"/>
      </w:pPr>
      <w:r>
        <w:t>4.</w:t>
      </w:r>
      <w:r>
        <w:tab/>
      </w:r>
      <w:r>
        <w:t>eine vertrauliche Offenbarung geschützter Daten gegenüber öffentlichen Stellen gefährden würde.</w:t>
      </w:r>
    </w:p>
    <w:p>
      <w:r>
        <w:t>(2) Die ordnungsgemäße Erfüllung der in der Zuständigkeit der Finanzbehörden liegenden Aufgaben im Sinne des Artikels 23 Absatz 1 Buchstabe d bis h der Verordnung (EU) 2016/679 wird insbesondere gefährdet, wenn die Erteilung der Information</w:t>
      </w:r>
    </w:p>
    <w:p>
      <w:pPr>
        <w:tabs>
          <w:tab w:pos="567" w:val="left"/>
        </w:tabs>
        <w:ind w:left="567" w:hanging="567"/>
      </w:pPr>
      <w:r>
        <w:t>1.</w:t>
      </w:r>
      <w:r>
        <w:tab/>
      </w:r>
      <w:r>
        <w:t>die betroffene Person oder Dritte in die Lage versetzen könnte,</w:t>
      </w:r>
    </w:p>
    <w:p>
      <w:pPr>
        <w:tabs>
          <w:tab w:pos="1134" w:val="left"/>
        </w:tabs>
        <w:ind w:left="1134" w:hanging="567"/>
      </w:pPr>
      <w:r>
        <w:t>a)</w:t>
      </w:r>
      <w:r>
        <w:tab/>
      </w:r>
      <w:r>
        <w:t>steuerlich bedeutsame Sachverhalte zu verschleiern,</w:t>
      </w:r>
    </w:p>
    <w:p>
      <w:pPr>
        <w:tabs>
          <w:tab w:pos="1134" w:val="left"/>
        </w:tabs>
        <w:ind w:left="1134" w:hanging="567"/>
      </w:pPr>
      <w:r>
        <w:t>b)</w:t>
      </w:r>
      <w:r>
        <w:tab/>
      </w:r>
      <w:r>
        <w:t>steuerlich bedeutsame Spuren zu verwischen oder</w:t>
      </w:r>
    </w:p>
    <w:p>
      <w:pPr>
        <w:tabs>
          <w:tab w:pos="1134" w:val="left"/>
        </w:tabs>
        <w:ind w:left="1134" w:hanging="567"/>
      </w:pPr>
      <w:r>
        <w:t>c)</w:t>
      </w:r>
      <w:r>
        <w:tab/>
      </w:r>
      <w:r>
        <w:t>Art und Umfang der Erfüllung steuerlicher Mitwirkungspflichten auf den Kenntnisstand der Finanzbehörden einzustellen,</w:t>
      </w:r>
    </w:p>
    <w:p>
      <w:r>
        <w:t>oder</w:t>
      </w:r>
    </w:p>
    <w:p>
      <w:pPr>
        <w:tabs>
          <w:tab w:pos="567" w:val="left"/>
        </w:tabs>
        <w:ind w:left="567" w:hanging="567"/>
      </w:pPr>
      <w:r>
        <w:t>2.</w:t>
      </w:r>
      <w:r>
        <w:tab/>
      </w:r>
      <w:r>
        <w:t>Rückschlüsse auf die Ausgestaltung automationsgestützter Risikomanagementsysteme oder geplante Kontroll- oder Prüfungsmaßnahmen zulassen</w:t>
      </w:r>
    </w:p>
    <w:p>
      <w:r>
        <w:t>und damit die Aufdeckung steuerlich bedeutsamer Sachverhalte wesentlich erschwert würde.</w:t>
      </w:r>
    </w:p>
    <w:p>
      <w:r>
        <w:t>(3) Unterbleibt eine Information der betroffenen Person nach Maßgabe von Absatz 1, ergreift die Finanzbehörde geeignete Maßnahmen zum Schutz der berechtigten Interessen der betroffenen Person.</w:t>
      </w:r>
    </w:p>
    <w:p>
      <w:r>
        <w:t>(4) Unterbleibt die Benachrichtigung in den Fällen des Absatzes 1 wegen eines vorübergehenden Hinderungsgrundes, kommt die Finanzbehörde der Informationspflicht unter Berücksichtigung der spezifischen Umstände der Verarbeitung innerhalb einer angemessenen Frist nach Fortfall des Hinderungsgrundes, spätestens jedoch innerhalb von zwei Wochen, nach.</w:t>
      </w:r>
    </w:p>
    <w:p>
      <w:r>
        <w:t>(5) Bezieht sich die Informationserteilung auf die Übermittlung personenbezogener Daten durch Finanzbehörden an Verfassungsschutzbehörden, den Bundesnachrichtendienst, den Militärischen Abschirmdienst und, soweit die Sicherheit des Bundes berührt wird, andere Behörden des Bundesministeriums der Verteidigung, ist sie nur mit Zustimmung dieser Stellen zulässig.</w:t>
      </w:r>
    </w:p>
    <w:p>
      <w:pPr>
        <w:pStyle w:val="Heading3"/>
      </w:pPr>
      <w:bookmarkStart w:id="52" w:name="b51"/>
      <w:r>
        <w:t>§ 32b Informationspflicht der Finanzbehörde, wenn personenbezogene Daten nicht bei der betroffenen Person erhoben wurden</w:t>
      </w:r>
      <w:r>
        <w:t xml:space="preserve"> </w:t>
      </w:r>
      <w:r>
        <w:rPr>
          <w:rStyle w:val="Suchmarke"/>
        </w:rPr>
        <w:t>#32b#</w:t>
      </w:r>
      <w:bookmarkEnd w:id="52"/>
    </w:p>
    <w:p>
      <w:r>
        <w:t xml:space="preserve">(1) </w:t>
      </w:r>
      <w:r>
        <w:rPr>
          <w:rStyle w:val="Satznummer"/>
        </w:rPr>
        <w:t>1</w:t>
      </w:r>
      <w:r>
        <w:t xml:space="preserve">Die Pflicht der Finanzbehörde zur Information der betroffenen Person gemäß Artikel 14 Absatz 1, 2 und 4 der Verordnung (EU) 2016/679 besteht ergänzend zu den in Artikel 14 Absatz 5 der Verordnung (EU) 2016/679 und </w:t>
      </w:r>
      <w:hyperlink w:anchor="b46" w:history="1">
        <w:r>
          <w:rPr>
            <w:color w:val="0A3A8C"/>
            <w:u w:val="single"/>
          </w:rPr>
          <w:t xml:space="preserve">§ 31c</w:t>
        </w:r>
      </w:hyperlink>
      <w:r>
        <w:t xml:space="preserve"> Absatz 2 genannten Ausnahmen nicht,</w:t>
      </w:r>
    </w:p>
    <w:p>
      <w:pPr>
        <w:tabs>
          <w:tab w:pos="567" w:val="left"/>
        </w:tabs>
        <w:ind w:left="567" w:hanging="567"/>
      </w:pPr>
      <w:r>
        <w:t>1.</w:t>
      </w:r>
      <w:r>
        <w:tab/>
      </w:r>
      <w:r>
        <w:t>soweit die Erteilung der Information</w:t>
      </w:r>
    </w:p>
    <w:p>
      <w:pPr>
        <w:tabs>
          <w:tab w:pos="1134" w:val="left"/>
        </w:tabs>
        <w:ind w:left="1134" w:hanging="567"/>
      </w:pPr>
      <w:r>
        <w:t>a)</w:t>
      </w:r>
      <w:r>
        <w:tab/>
      </w:r>
      <w:r>
        <w:t>die ordnungsgemäße Erfüllung der in der Zuständigkeit der Finanzbehörden oder anderer öffentlicher Stellen liegenden Aufgaben im Sinne des Artikel 23 Absatz 1 Buchstabe d bis h der Verordnung (EU) 2016/679 gefährden würde oder</w:t>
      </w:r>
    </w:p>
    <w:p>
      <w:pPr>
        <w:tabs>
          <w:tab w:pos="1134" w:val="left"/>
        </w:tabs>
        <w:ind w:left="1134" w:hanging="567"/>
      </w:pPr>
      <w:r>
        <w:t>b)</w:t>
      </w:r>
      <w:r>
        <w:tab/>
      </w:r>
      <w:r>
        <w:t>die öffentliche Sicherheit oder Ordnung gefährden oder sonst dem Wohl des Bundes oder eines Landes Nachteile bereiten würde</w:t>
      </w:r>
    </w:p>
    <w:p>
      <w:r>
        <w:t>oder</w:t>
      </w:r>
    </w:p>
    <w:p>
      <w:pPr>
        <w:tabs>
          <w:tab w:pos="567" w:val="left"/>
        </w:tabs>
        <w:ind w:left="567" w:hanging="567"/>
      </w:pPr>
      <w:r>
        <w:t>2.</w:t>
      </w:r>
      <w:r>
        <w:tab/>
      </w:r>
      <w:r>
        <w:t xml:space="preserve">wenn die Daten, ihre Herkunft, ihre Empfänger oder die Tatsache ihrer Verarbeitung nach </w:t>
      </w:r>
      <w:hyperlink w:anchor="b42" w:history="1">
        <w:r>
          <w:rPr>
            <w:color w:val="0A3A8C"/>
            <w:u w:val="single"/>
          </w:rPr>
          <w:t xml:space="preserve">§ 30</w:t>
        </w:r>
      </w:hyperlink>
      <w:r>
        <w:t xml:space="preserve"> oder einer anderen Rechtsvorschrift oder ihrem Wesen nach, insbesondere wegen überwiegender berechtigter Interessen eines Dritten im Sinne des Artikel 23 Absatz 1 Buchstabe i der Verordnung (EU) 2016/679</w:t>
      </w:r>
      <w:hyperlink w:anchor="f51_1" w:history="1">
        <w:r>
          <w:rPr>
            <w:rStyle w:val="Fussnotenmarke"/>
            <w:u w:val="single"/>
            <w:color w:val="0A3A8C"/>
          </w:rPr>
          <w:t>1</w:t>
        </w:r>
      </w:hyperlink>
      <w:r>
        <w:t>, geheim gehalten werden müssen</w:t>
      </w:r>
    </w:p>
    <w:p>
      <w:r>
        <w:t xml:space="preserve">und deswegen das Interesse der betroffenen Person an der Informationserteilung zurücktreten muss. </w:t>
      </w:r>
      <w:r>
        <w:rPr>
          <w:rStyle w:val="Satznummer"/>
        </w:rPr>
        <w:t>2</w:t>
      </w:r>
      <w:hyperlink w:anchor="b50" w:history="1">
        <w:r>
          <w:rPr>
            <w:color w:val="0A3A8C"/>
            <w:u w:val="single"/>
          </w:rPr>
          <w:t xml:space="preserve">§ 32a</w:t>
        </w:r>
      </w:hyperlink>
      <w:r>
        <w:t xml:space="preserve"> Absatz 2 gilt entsprechend.</w:t>
      </w:r>
    </w:p>
    <w:p>
      <w:r>
        <w:t>(2) Bezieht sich die Informationserteilung auf die Übermittlung personenbezogener Daten durch Finanzbehörden an Verfassungsschutzbehörden, den Bundesnachrichtendienst, den Militärischen Abschirmdienst und, soweit die Sicherheit des Bundes berührt wird, andere Behörden des Bundesministeriums der Verteidigung, ist sie nur mit Zustimmung dieser Stellen zulässig.</w:t>
      </w:r>
    </w:p>
    <w:p>
      <w:r>
        <w:t>(3) Unterbleibt eine Information der betroffenen Person nach Maßgabe der Absätze 1 oder 2, ergreift die Finanzbehörde geeignete Maßnahmen zum Schutz der berechtigten Interessen der betroffenen Person.</w:t>
      </w:r>
    </w:p>
    <w:p>
      <w:pPr>
        <w:pStyle w:val="Fußnote"/>
      </w:pPr>
      <w:bookmarkStart w:id="53" w:name="f51_1"/>
      <w:r>
        <w:rPr>
          <w:rStyle w:val="Zusatz"/>
          <w:b/>
        </w:rPr>
        <w:t xml:space="preserve">Fußnote 1: </w:t>
      </w:r>
      <w:r>
        <w:t xml:space="preserve">Gemäß Artikel 19 des Gesetzes vom 2. Dezember 2024 (BGBl. 2024 I Nr. 387) werden in </w:t>
      </w:r>
      <w:hyperlink w:anchor="b51" w:history="1">
        <w:r>
          <w:rPr>
            <w:color w:val="0A3A8C"/>
            <w:u w:val="single"/>
          </w:rPr>
          <w:t xml:space="preserve">§ 32b</w:t>
        </w:r>
      </w:hyperlink>
      <w:r>
        <w:t xml:space="preserve"> Absatz 1 Satz 1 Nummer 2 nach den Wörtern „eines Dritten im Sinne des Artikels 23 Absatz 1 Buchstabe i der Verordnung (EU) 2016/679“ die Wörter „oder der Finanzbehörden im Sinne des Artikels 23 Absatz 1 Buchstabe e der Verordnung (EU) 2016/679“ eingefügt. Diese Rechtsänderung tritt nach Artikel 56 Absatz 9 des Gesetzes vom 2. Dezember 2024, BGBl. 2024 I Nr. 387, an dem Tag in Kraft, an dem das Erste Gesetz zur Änderung des Bundesdatenschutzgesetzes in Kraft tritt. Das Bundesministerium der Finanzen gibt den Tag des Inkrafttretens gesondert im Bundesgesetzblatt bekannt.</w:t>
      </w:r>
      <w:bookmarkEnd w:id="53"/>
    </w:p>
    <w:p>
      <w:pPr>
        <w:pStyle w:val="Heading3"/>
      </w:pPr>
      <w:bookmarkStart w:id="54" w:name="b52"/>
      <w:r>
        <w:t>§ 32c Auskunftsrecht der betroffenen Person</w:t>
      </w:r>
      <w:r>
        <w:t xml:space="preserve"> </w:t>
      </w:r>
      <w:r>
        <w:rPr>
          <w:rStyle w:val="Suchmarke"/>
        </w:rPr>
        <w:t>#32c#</w:t>
      </w:r>
      <w:bookmarkEnd w:id="54"/>
    </w:p>
    <w:p>
      <w:r>
        <w:t>(1) Das Recht auf Auskunft der betroffenen Person gegenüber einer Finanzbehörde gemäß Artikel 15 der Verordnung (EU) 2016/679 besteht nicht, soweit</w:t>
      </w:r>
    </w:p>
    <w:p>
      <w:pPr>
        <w:tabs>
          <w:tab w:pos="567" w:val="left"/>
        </w:tabs>
        <w:ind w:left="567" w:hanging="567"/>
      </w:pPr>
      <w:r>
        <w:t>1.</w:t>
      </w:r>
      <w:r>
        <w:tab/>
      </w:r>
      <w:r>
        <w:t xml:space="preserve">die betroffene Person nach </w:t>
      </w:r>
      <w:hyperlink w:anchor="b50" w:history="1">
        <w:r>
          <w:rPr>
            <w:color w:val="0A3A8C"/>
            <w:u w:val="single"/>
          </w:rPr>
          <w:t xml:space="preserve">§ 32a</w:t>
        </w:r>
      </w:hyperlink>
      <w:r>
        <w:t xml:space="preserve"> Absatz 1 oder nach </w:t>
      </w:r>
      <w:hyperlink w:anchor="b51" w:history="1">
        <w:r>
          <w:rPr>
            <w:color w:val="0A3A8C"/>
            <w:u w:val="single"/>
          </w:rPr>
          <w:t xml:space="preserve">§ 32b</w:t>
        </w:r>
      </w:hyperlink>
      <w:r>
        <w:t xml:space="preserve"> Absatz 1 oder 2 nicht zu informieren ist,</w:t>
      </w:r>
    </w:p>
    <w:p>
      <w:pPr>
        <w:tabs>
          <w:tab w:pos="567" w:val="left"/>
        </w:tabs>
        <w:ind w:left="567" w:hanging="567"/>
      </w:pPr>
      <w:r>
        <w:t>2.</w:t>
      </w:r>
      <w:r>
        <w:tab/>
      </w:r>
      <w:r>
        <w:t>die Auskunftserteilung den Rechtsträger der Finanzbehörde in der Geltendmachung, Ausübung oder Verteidigung zivilrechtlicher Ansprüche oder in der Verteidigung gegen ihn geltend gemachter zivilrechtlicher Ansprüche im Sinne des Artikels 23 Absatz 1 Buchstabe j der Verordnung (EU) 2016/679 beeinträchtigen würde; Auskunftspflichten der Finanzbehörde nach dem Zivilrecht bleiben unberührt,</w:t>
      </w:r>
    </w:p>
    <w:p>
      <w:pPr>
        <w:tabs>
          <w:tab w:pos="567" w:val="left"/>
        </w:tabs>
        <w:ind w:left="567" w:hanging="567"/>
      </w:pPr>
      <w:r>
        <w:t>3.</w:t>
      </w:r>
      <w:r>
        <w:tab/>
      </w:r>
      <w:r>
        <w:t>die personenbezogenen Daten</w:t>
      </w:r>
    </w:p>
    <w:p>
      <w:pPr>
        <w:tabs>
          <w:tab w:pos="1134" w:val="left"/>
        </w:tabs>
        <w:ind w:left="1134" w:hanging="567"/>
      </w:pPr>
      <w:r>
        <w:t>a)</w:t>
      </w:r>
      <w:r>
        <w:tab/>
      </w:r>
      <w:r>
        <w:t>nur deshalb gespeichert sind, weil sie auf Grund gesetzlicher Aufbewahrungsvorschriften nicht gelöscht werden dürfen, oder</w:t>
      </w:r>
    </w:p>
    <w:p>
      <w:pPr>
        <w:tabs>
          <w:tab w:pos="1134" w:val="left"/>
        </w:tabs>
        <w:ind w:left="1134" w:hanging="567"/>
      </w:pPr>
      <w:r>
        <w:t>b)</w:t>
      </w:r>
      <w:r>
        <w:tab/>
      </w:r>
      <w:r>
        <w:t>ausschließlich Zwecken der Datensicherung oder der Datenschutzkontrolle dienen</w:t>
      </w:r>
    </w:p>
    <w:p>
      <w:pPr>
        <w:ind w:left="567"/>
      </w:pPr>
      <w:r>
        <w:t>und die Auskunftserteilung einen unverhältnismäßigen Aufwand erfordern würde sowie eine Verarbeitung zu anderen Zwecken durch geeignete technische und organisatorische Maßnahmen ausgeschlossen ist.</w:t>
      </w:r>
    </w:p>
    <w:p>
      <w:r>
        <w:t>(2) Die betroffene Person soll in dem Antrag auf Auskunft gemäß Artikel 15 der Verordnung (EU) 2016/679 die Art der personenbezogenen Daten, über die Auskunft erteilt werden soll, näher bezeichnen.</w:t>
      </w:r>
    </w:p>
    <w:p>
      <w:r>
        <w:t>(3) Sind die personenbezogenen Daten weder automatisiert noch in nicht automatisierten Dateisystemen gespeichert, wird die Auskunft nur erteilt, soweit die betroffene Person Angaben macht, die das Auffinden der Daten ermöglichen, und der für die Erteilung der Auskunft erforderliche Aufwand nicht außer Verhältnis zu dem von der betroffenen Person geltend gemachten Informationsinteresse steht.</w:t>
      </w:r>
    </w:p>
    <w:p>
      <w:r>
        <w:t xml:space="preserve">(4) </w:t>
      </w:r>
      <w:r>
        <w:rPr>
          <w:rStyle w:val="Satznummer"/>
        </w:rPr>
        <w:t>1</w:t>
      </w:r>
      <w:r>
        <w:t xml:space="preserve">Die Ablehnung der Auskunftserteilung ist gegenüber der betroffenen Person zu begründen, soweit nicht durch die Mitteilung der tatsächlichen und rechtlichen Gründe, auf die die Entscheidung gestützt wird, der mit der Auskunftsverweigerung verfolgte Zweck gefährdet würde. </w:t>
      </w:r>
      <w:r>
        <w:rPr>
          <w:rStyle w:val="Satznummer"/>
        </w:rPr>
        <w:t>2</w:t>
      </w:r>
      <w:r>
        <w:t>Die zum Zweck der Auskunftserteilung an die betroffene Person und zu deren Vorbereitung gespeicherten Daten dürfen nur für diesen Zweck sowie für Zwecke der Datenschutzkontrolle verarbeitet werden; für andere Zwecke ist die Verarbeitung nach Maßgabe des Artikels 18 der Verordnung (EU) 2016/679 einzuschränken.</w:t>
      </w:r>
    </w:p>
    <w:p>
      <w:r>
        <w:t xml:space="preserve">(5) </w:t>
      </w:r>
      <w:r>
        <w:rPr>
          <w:rStyle w:val="Satznummer"/>
        </w:rPr>
        <w:t>1</w:t>
      </w:r>
      <w:r>
        <w:t xml:space="preserve">Soweit der betroffenen Person durch eine Finanzbehörde keine Auskunft erteilt wird, ist sie auf Verlangen der betroffenen Person der oder dem Bundesbeauftragten für den Datenschutz und die Informationsfreiheit zu erteilen, soweit nicht die jeweils zuständige oberste Finanzbehörde im Einzelfall feststellt, dass dadurch die Sicherheit des Bundes oder eines Landes gefährdet würde. </w:t>
      </w:r>
      <w:r>
        <w:rPr>
          <w:rStyle w:val="Satznummer"/>
        </w:rPr>
        <w:t>2</w:t>
      </w:r>
      <w:r>
        <w:t>Die Mitteilung der oder des Bundesbeauftragten für den Datenschutz und die Informationsfreiheit an die betroffene Person über das Ergebnis der datenschutzrechtlichen Prüfung darf keine Rückschlüsse auf den Erkenntnisstand der Finanzbehörde zulassen, sofern diese nicht einer weitergehenden Auskunft zustimmt.</w:t>
      </w:r>
    </w:p>
    <w:p>
      <w:pPr>
        <w:pStyle w:val="Heading3"/>
      </w:pPr>
      <w:bookmarkStart w:id="55" w:name="b53"/>
      <w:r>
        <w:t>§ 32d Form der Information oder Auskunftserteilung</w:t>
      </w:r>
      <w:r>
        <w:t xml:space="preserve"> </w:t>
      </w:r>
      <w:r>
        <w:rPr>
          <w:rStyle w:val="Suchmarke"/>
        </w:rPr>
        <w:t>#32d#</w:t>
      </w:r>
      <w:bookmarkEnd w:id="55"/>
    </w:p>
    <w:p>
      <w:r>
        <w:t>(1) Soweit Artikel 12 bis 15 der Verordnung (EU) 2016/679 keine Regelungen enthalten, bestimmt die Finanzbehörde das Verfahren, insbesondere die Form der Information oder der Auskunftserteilung, nach pflichtgemäßem Ermessen.</w:t>
      </w:r>
    </w:p>
    <w:p>
      <w:r>
        <w:t>(2) Die Finanzbehörde kann ihre Pflicht zur Information der betroffenen Person gemäß Artikel 13 oder 14 der Verordnung (EU) 2016/679 auch durch Bereitstellung der Informationen in der Öffentlichkeit erfüllen, soweit dadurch keine personenbezogenen Daten veröffentlicht werden.</w:t>
      </w:r>
    </w:p>
    <w:p>
      <w:r>
        <w:t xml:space="preserve">(3) Übermittelt die Finanzbehörde der betroffenen Person die Informationen über die Erhebung oder Verarbeitung personenbezogener Daten nach Artikel 13 oder 14 der Verordnung (EU) 2016/679 elektronisch oder erteilt sie der betroffenen Person die Auskunft nach Artikel 15 der Verordnung (EU) 2016/679 elektronisch, ist </w:t>
      </w:r>
      <w:hyperlink w:anchor="b133" w:history="1">
        <w:r>
          <w:rPr>
            <w:color w:val="0A3A8C"/>
            <w:u w:val="single"/>
          </w:rPr>
          <w:t xml:space="preserve">§ 87a</w:t>
        </w:r>
      </w:hyperlink>
      <w:r>
        <w:t xml:space="preserve"> Absatz 7 oder 8 entsprechend anzuwenden.</w:t>
      </w:r>
    </w:p>
    <w:p>
      <w:pPr>
        <w:pStyle w:val="Heading3"/>
      </w:pPr>
      <w:bookmarkStart w:id="56" w:name="b54"/>
      <w:r>
        <w:t>§ 32e Verhältnis zu anderen Auskunfts- und Informationszugangsansprüchen</w:t>
      </w:r>
      <w:r>
        <w:t xml:space="preserve"> </w:t>
      </w:r>
      <w:r>
        <w:rPr>
          <w:rStyle w:val="Suchmarke"/>
        </w:rPr>
        <w:t>#32e#</w:t>
      </w:r>
      <w:bookmarkEnd w:id="56"/>
    </w:p>
    <w:p>
      <w:r>
        <w:rPr>
          <w:rStyle w:val="Satznummer"/>
        </w:rPr>
        <w:t>1</w:t>
      </w:r>
      <w:r>
        <w:t xml:space="preserve">Soweit die betroffene Person oder ein Dritter nach dem Informationsfreiheitsgesetz vom 5. September 2005 (BGBl. I S. 2722) in der jeweils geltenden Fassung oder nach entsprechenden Gesetzen der Länder gegenüber der Finanzbehörde ein Anspruch auf Informationszugang hat, gelten die Artikel 12 bis 15 der Verordnung (EU) 2016/679 in Verbindung mit den </w:t>
      </w:r>
      <w:hyperlink w:anchor="b50" w:history="1">
        <w:r>
          <w:rPr>
            <w:color w:val="0A3A8C"/>
            <w:u w:val="single"/>
          </w:rPr>
          <w:t xml:space="preserve">§§ 32a</w:t>
        </w:r>
      </w:hyperlink>
      <w:r>
        <w:t xml:space="preserve"> bis </w:t>
      </w:r>
      <w:hyperlink w:anchor="b53" w:history="1">
        <w:r>
          <w:rPr>
            <w:color w:val="0A3A8C"/>
            <w:u w:val="single"/>
          </w:rPr>
          <w:t xml:space="preserve">32d</w:t>
        </w:r>
      </w:hyperlink>
      <w:r>
        <w:t xml:space="preserve"> entsprechend. </w:t>
      </w:r>
      <w:r>
        <w:rPr>
          <w:rStyle w:val="Satznummer"/>
        </w:rPr>
        <w:t>2</w:t>
      </w:r>
      <w:r>
        <w:t xml:space="preserve">Weitergehende Informationsansprüche über steuerliche Daten sind insoweit ausgeschlossen. </w:t>
      </w:r>
      <w:r>
        <w:rPr>
          <w:rStyle w:val="Satznummer"/>
        </w:rPr>
        <w:t>3</w:t>
      </w:r>
      <w:hyperlink w:anchor="b42" w:history="1">
        <w:r>
          <w:rPr>
            <w:color w:val="0A3A8C"/>
            <w:u w:val="single"/>
          </w:rPr>
          <w:t xml:space="preserve">§ 30</w:t>
        </w:r>
      </w:hyperlink>
      <w:r>
        <w:t xml:space="preserve"> Absatz 4 Nummer 2 ist insoweit nicht anzuwenden.</w:t>
      </w:r>
    </w:p>
    <w:p>
      <w:pPr>
        <w:pStyle w:val="Heading3"/>
      </w:pPr>
      <w:bookmarkStart w:id="57" w:name="b55"/>
      <w:r>
        <w:t>§ 32f Recht auf Berichtigung und Löschung, Widerspruchsrecht</w:t>
      </w:r>
      <w:r>
        <w:t xml:space="preserve"> </w:t>
      </w:r>
      <w:r>
        <w:rPr>
          <w:rStyle w:val="Suchmarke"/>
        </w:rPr>
        <w:t>#32f#</w:t>
      </w:r>
      <w:bookmarkEnd w:id="57"/>
    </w:p>
    <w:p>
      <w:r>
        <w:t xml:space="preserve">(1) </w:t>
      </w:r>
      <w:r>
        <w:rPr>
          <w:rStyle w:val="Satznummer"/>
        </w:rPr>
        <w:t>1</w:t>
      </w:r>
      <w:r>
        <w:t xml:space="preserve">Wird die Richtigkeit personenbezogener Daten von der betroffenen Person bestritten und lässt sich weder die Richtigkeit noch die Unrichtigkeit der Daten feststellen, gilt ergänzend zu Artikel 18 Absatz 1 Buchstabe a der Verordnung (EU) 2016/679, dass dies keine Einschränkung der Verarbeitung bewirkt, soweit die Daten einem Verwaltungsakt zugrunde liegen, der nicht mehr aufgehoben, geändert oder berichtigt werden kann. </w:t>
      </w:r>
      <w:r>
        <w:rPr>
          <w:rStyle w:val="Satznummer"/>
        </w:rPr>
        <w:t>2</w:t>
      </w:r>
      <w:r>
        <w:t xml:space="preserve">Die ungeklärte Sachlage ist in geeigneter Weise festzuhalten. </w:t>
      </w:r>
      <w:r>
        <w:rPr>
          <w:rStyle w:val="Satznummer"/>
        </w:rPr>
        <w:t>3</w:t>
      </w:r>
      <w:r>
        <w:t>Die bestrittenen Daten dürfen nur mit einem Hinweis hierauf verarbeitet werden.</w:t>
      </w:r>
    </w:p>
    <w:p>
      <w:r>
        <w:t xml:space="preserve">(2) </w:t>
      </w:r>
      <w:r>
        <w:rPr>
          <w:rStyle w:val="Satznummer"/>
        </w:rPr>
        <w:t>1</w:t>
      </w:r>
      <w:r>
        <w:t xml:space="preserve">Ist eine Löschung im Falle nicht automatisierter Datenverarbeitung wegen der besonderen Art der Speicherung nicht oder nur mit unverhältnismäßig hohem Aufwand möglich und ist das Interesse der betroffenen Person an der Löschung als gering anzusehen, besteht das Recht der betroffenen Person auf und die Pflicht der Finanzbehörde zur Löschung personenbezogener Daten gemäß Artikel 17 Absatz 1 der Verordnung (EU) 2016/679 ergänzend zu den in Artikel 17 Absatz 3 der Verordnung (EU) 2016/679 genannten Ausnahmen nicht. </w:t>
      </w:r>
      <w:r>
        <w:rPr>
          <w:rStyle w:val="Satznummer"/>
        </w:rPr>
        <w:t>2</w:t>
      </w:r>
      <w:r>
        <w:t xml:space="preserve">In diesem Fall tritt an die Stelle einer Löschung die Einschränkung der Verarbeitung gemäß Artikel 18 der Verordnung (EU) 2016/679. </w:t>
      </w:r>
      <w:r>
        <w:rPr>
          <w:rStyle w:val="Satznummer"/>
        </w:rPr>
        <w:t>3</w:t>
      </w:r>
      <w:r>
        <w:t>Die Sätze 1 und 2 finden keine Anwendung, wenn die personenbezogenen Daten unrechtmäßig verarbeitet wurden.</w:t>
      </w:r>
    </w:p>
    <w:p>
      <w:r>
        <w:t xml:space="preserve">(3) </w:t>
      </w:r>
      <w:r>
        <w:rPr>
          <w:rStyle w:val="Satznummer"/>
        </w:rPr>
        <w:t>1</w:t>
      </w:r>
      <w:r>
        <w:t xml:space="preserve">Ergänzend zu Artikel 18 Absatz 1 Buchstabe b und c der Verordnung (EU) 2016/679 gilt Absatz 2 Satz 1 und 2 entsprechend im Fall des Artikels 17 Absatz 1 Buchstabe a und d der Verordnung (EU) 2016/679, solange und soweit die Finanzbehörde Grund zu der Annahme hat, dass durch eine Löschung schutzwürdige Interessen der betroffenen Person beeinträchtigt würden. </w:t>
      </w:r>
      <w:r>
        <w:rPr>
          <w:rStyle w:val="Satznummer"/>
        </w:rPr>
        <w:t>2</w:t>
      </w:r>
      <w:r>
        <w:t>Die Finanzbehörde unterrichtet die betroffene Person über die Einschränkung der Verarbeitung, sofern sich die Unterrichtung nicht als unmöglich erweist oder einen unverhältnismäßigen Aufwand erfordern würde.</w:t>
      </w:r>
    </w:p>
    <w:p>
      <w:r>
        <w:t>(4) Ergänzend zu Artikel 17 Absatz 3 Buchstabe b der Verordnung (EU) 2016/679 gilt Absatz 2 entsprechend im Fall des Artikels 17 Absatz 1 Buchstabe a der Verordnung (EU) 2016/679, wenn einer Löschung vertragliche Aufbewahrungsfristen entgegenstehen.</w:t>
      </w:r>
    </w:p>
    <w:p>
      <w:r>
        <w:t>(5) Das Recht auf Widerspruch gemäß Artikel 21 Absatz 1 der Verordnung (EU) 2016/679 gegenüber einer Finanzbehörde besteht nicht, soweit an der Verarbeitung ein zwingendes öffentliches Interesse besteht, das die Interessen der betroffenen Person überwiegt, oder eine Rechtsvorschrift zur Verarbeitung verpflichtet.</w:t>
      </w:r>
    </w:p>
    <w:p>
      <w:pPr>
        <w:pStyle w:val="Heading2"/>
      </w:pPr>
      <w:bookmarkStart w:id="58" w:name="b56"/>
      <w:r>
        <w:t>Siebter Abschnitt Datenschutzaufsicht, Gerichtlicher Rechtsschutz in datenschutzrechtlichen Angelegenheiten</w:t>
      </w:r>
      <w:bookmarkEnd w:id="58"/>
    </w:p>
    <w:p>
      <w:pPr>
        <w:pStyle w:val="Heading3"/>
      </w:pPr>
      <w:bookmarkStart w:id="59" w:name="b57"/>
      <w:r>
        <w:t>§ 32g Datenschutzbeauftragte der Finanzbehörden</w:t>
      </w:r>
      <w:r>
        <w:t xml:space="preserve"> </w:t>
      </w:r>
      <w:r>
        <w:rPr>
          <w:rStyle w:val="Suchmarke"/>
        </w:rPr>
        <w:t>#32g#</w:t>
      </w:r>
      <w:bookmarkEnd w:id="59"/>
    </w:p>
    <w:p>
      <w:r>
        <w:t xml:space="preserve">Für die von Finanzbehörden gemäß Artikel 37 der Verordnung (EU) 2016/679 zu benennenden Datenschutzbeauftragten gelten </w:t>
      </w:r>
      <w:hyperlink w:anchor="b8" w:history="1">
        <w:r>
          <w:rPr>
            <w:color w:val="0A3A8C"/>
            <w:u w:val="single"/>
          </w:rPr>
          <w:t xml:space="preserve">§ 5</w:t>
        </w:r>
      </w:hyperlink>
      <w:r>
        <w:t xml:space="preserve"> Absatz 2 bis 5 sowie die §§ 6 und 7 des Bundesdatenschutzgesetzes entsprechend.</w:t>
      </w:r>
    </w:p>
    <w:p>
      <w:pPr>
        <w:pStyle w:val="Heading3"/>
      </w:pPr>
      <w:bookmarkStart w:id="60" w:name="b58"/>
      <w:r>
        <w:t>§ 32h Datenschutzrechtliche Aufsicht, Datenschutz-Folgenabschätzung</w:t>
      </w:r>
      <w:r>
        <w:t xml:space="preserve"> </w:t>
      </w:r>
      <w:r>
        <w:rPr>
          <w:rStyle w:val="Suchmarke"/>
        </w:rPr>
        <w:t>#32h#</w:t>
      </w:r>
      <w:bookmarkEnd w:id="60"/>
    </w:p>
    <w:p>
      <w:r>
        <w:t xml:space="preserve">(1) </w:t>
      </w:r>
      <w:r>
        <w:rPr>
          <w:rStyle w:val="Satznummer"/>
        </w:rPr>
        <w:t>1</w:t>
      </w:r>
      <w:r>
        <w:t xml:space="preserve">Die oder der Bundesbeauftragte für den Datenschutz und die Informationsfreiheit nach § 8 des Bundesdatenschutzgesetzes ist zuständig für die Aufsicht über die Finanzbehörden hinsichtlich der Verarbeitung personenbezogener Daten im Anwendungsbereich dieses Gesetzes. </w:t>
      </w:r>
      <w:r>
        <w:rPr>
          <w:rStyle w:val="Satznummer"/>
        </w:rPr>
        <w:t>2</w:t>
      </w:r>
      <w:r>
        <w:t>Die §§ 13 bis 16 des Bundesdatenschutzgesetzes gelten entsprechend.</w:t>
      </w:r>
    </w:p>
    <w:p>
      <w:r>
        <w:t xml:space="preserve">(2) </w:t>
      </w:r>
      <w:r>
        <w:rPr>
          <w:rStyle w:val="Satznummer"/>
        </w:rPr>
        <w:t>1</w:t>
      </w:r>
      <w:r>
        <w:t xml:space="preserve">Entwickelt eine Finanzbehörde automatisierte Verfahren zur Verarbeitung personenbezogener Daten im Anwendungsbereich dieses Gesetzes für Finanzbehörden anderer Länder oder des Bundes, obliegt ihr zugleich die Datenschutz-Folgenabschätzung nach Artikel 35 der Verordnung (EU) 2016/679. </w:t>
      </w:r>
      <w:r>
        <w:rPr>
          <w:rStyle w:val="Satznummer"/>
        </w:rPr>
        <w:t>2</w:t>
      </w:r>
      <w:r>
        <w:t>Soweit die Verfahren von den Finanzbehörden der Länder und des Bundes im Hinblick auf die datenschutzrelevanten Funktionen unverändert übernommen werden, gilt die Datenschutz-Folgenabschätzung auch für die übernehmenden Finanzbehörden.</w:t>
      </w:r>
    </w:p>
    <w:p>
      <w:r>
        <w:t>(3) Durch Landesgesetz kann bestimmt werden, dass die oder der Bundesbeauftragte für den Datenschutz und die Informationsfreiheit für die Aufsicht über die Verarbeitung personenbezogener Daten im Rahmen landesrechtlicher oder kommunaler Steuergesetze zuständig ist, soweit die Datenverarbeitung auf bundesgesetzlich geregelten Besteuerungsgrundlagen oder auf bundeseinheitlichen Festlegungen beruht und die mit der Aufgabenübertragung verbundenen Verwaltungskosten der oder des Bundesbeauftragten für den Datenschutz und die Informationsfreiheit vom jeweiligen Land getragen werden.</w:t>
      </w:r>
    </w:p>
    <w:p>
      <w:pPr>
        <w:pStyle w:val="Heading3"/>
      </w:pPr>
      <w:bookmarkStart w:id="61" w:name="b59"/>
      <w:r>
        <w:t>§ 32i Gerichtlicher Rechtsschutz</w:t>
      </w:r>
      <w:r>
        <w:t xml:space="preserve"> </w:t>
      </w:r>
      <w:r>
        <w:rPr>
          <w:rStyle w:val="Suchmarke"/>
        </w:rPr>
        <w:t>#32i#</w:t>
      </w:r>
      <w:bookmarkEnd w:id="61"/>
    </w:p>
    <w:p>
      <w:r>
        <w:t xml:space="preserve">(1) </w:t>
      </w:r>
      <w:r>
        <w:rPr>
          <w:rStyle w:val="Satznummer"/>
        </w:rPr>
        <w:t>1</w:t>
      </w:r>
      <w:r>
        <w:t xml:space="preserve">Für Streitigkeiten über Rechte gemäß Artikel 78 Absatz 1 und 2 der Verordnung (EU) 2016/679 hinsichtlich der Verarbeitung nach </w:t>
      </w:r>
      <w:hyperlink w:anchor="b42" w:history="1">
        <w:r>
          <w:rPr>
            <w:color w:val="0A3A8C"/>
            <w:u w:val="single"/>
          </w:rPr>
          <w:t xml:space="preserve">§ 30</w:t>
        </w:r>
      </w:hyperlink>
      <w:r>
        <w:t xml:space="preserve"> geschützter Daten zwischen einer betroffenen öffentlichen Stelle gemäß </w:t>
      </w:r>
      <w:hyperlink w:anchor="b9" w:history="1">
        <w:r>
          <w:rPr>
            <w:color w:val="0A3A8C"/>
            <w:u w:val="single"/>
          </w:rPr>
          <w:t xml:space="preserve">§ 6</w:t>
        </w:r>
      </w:hyperlink>
      <w:r>
        <w:t xml:space="preserve"> Absatz 1 bis 1c und Absatz 2 oder ihres Rechtsträgers, einer betroffenen nicht-öffentlichen Stelle gemäß </w:t>
      </w:r>
      <w:hyperlink w:anchor="b9" w:history="1">
        <w:r>
          <w:rPr>
            <w:color w:val="0A3A8C"/>
            <w:u w:val="single"/>
          </w:rPr>
          <w:t xml:space="preserve">§ 6</w:t>
        </w:r>
      </w:hyperlink>
      <w:r>
        <w:t xml:space="preserve"> Absatz 1d und 1e oder einer betroffenen Person und der zuständigen Aufsichtsbehörde des Bundes oder eines Landes ist der Finanzrechtsweg gegeben. </w:t>
      </w:r>
      <w:r>
        <w:rPr>
          <w:rStyle w:val="Satznummer"/>
        </w:rPr>
        <w:t>2</w:t>
      </w:r>
      <w:r>
        <w:t xml:space="preserve">Satz 1 gilt nicht in den Fällen des </w:t>
      </w:r>
      <w:hyperlink w:anchor="b4" w:history="1">
        <w:r>
          <w:rPr>
            <w:color w:val="0A3A8C"/>
            <w:u w:val="single"/>
          </w:rPr>
          <w:t xml:space="preserve">§ 2a</w:t>
        </w:r>
      </w:hyperlink>
      <w:r>
        <w:t xml:space="preserve"> Absatz 4.</w:t>
      </w:r>
    </w:p>
    <w:p>
      <w:r>
        <w:t xml:space="preserve">(2) </w:t>
      </w:r>
      <w:r>
        <w:rPr>
          <w:rStyle w:val="Satznummer"/>
        </w:rPr>
        <w:t>1</w:t>
      </w:r>
      <w:r>
        <w:t xml:space="preserve">Für Klagen der betroffenen Person hinsichtlich der Verarbeitung personenbezogener Daten gegen Finanzbehörden oder gegen deren Auftragsverarbeiter wegen eines Verstoßes gegen datenschutzrechtliche Bestimmungen im Anwendungsbereich der Verordnung (EU) 2016/679 oder der darin enthaltenen Rechte der betroffenen Person ist der Finanzrechtsweg gegeben. </w:t>
      </w:r>
      <w:r>
        <w:rPr>
          <w:rStyle w:val="Satznummer"/>
        </w:rPr>
        <w:t>2</w:t>
      </w:r>
      <w:r>
        <w:t xml:space="preserve">Der Finanzrechtsweg ist auch gegeben für Auskunfts- und Informationszugangsansprüche, deren Umfang nach </w:t>
      </w:r>
      <w:hyperlink w:anchor="b54" w:history="1">
        <w:r>
          <w:rPr>
            <w:color w:val="0A3A8C"/>
            <w:u w:val="single"/>
          </w:rPr>
          <w:t xml:space="preserve">§ 32e</w:t>
        </w:r>
      </w:hyperlink>
      <w:r>
        <w:t xml:space="preserve"> begrenzt wird.</w:t>
      </w:r>
    </w:p>
    <w:p>
      <w:r>
        <w:t xml:space="preserve">(3) </w:t>
      </w:r>
      <w:r>
        <w:rPr>
          <w:rStyle w:val="Satznummer"/>
        </w:rPr>
        <w:t>1</w:t>
      </w:r>
      <w:r>
        <w:t xml:space="preserve">Hat die nach dem Bundesdatenschutzgesetz oder nach dem Landesrecht für die Aufsicht über andere öffentliche Stellen oder nicht-öffentliche Stellen zuständige Aufsichtsbehörde einen rechtsverbindlichen Beschluss erlassen, der eine Mitwirkungspflicht einer anderen öffentlichen Stelle oder einer nicht-öffentlichen Stelle gegenüber Finanzbehörden nach diesem Gesetz oder den Steuergesetzen ganz oder teilweise verneint, kann die zuständige Finanzbehörde auf Feststellung des Bestehens einer Mitwirkungspflicht klagen. </w:t>
      </w:r>
      <w:r>
        <w:rPr>
          <w:rStyle w:val="Satznummer"/>
        </w:rPr>
        <w:t>2</w:t>
      </w:r>
      <w:r>
        <w:t>Die Stelle, deren Pflicht zur Mitwirkung die Finanzbehörde geltend macht, ist beizuladen.</w:t>
      </w:r>
    </w:p>
    <w:p>
      <w:r>
        <w:t>(4) Die Finanzgerichtsordnung ist in den Fällen der Absätze 1 bis 3 nach Maßgabe der Absätze 5 bis 10 anzuwenden.</w:t>
      </w:r>
    </w:p>
    <w:p>
      <w:r>
        <w:t xml:space="preserve">(5) </w:t>
      </w:r>
      <w:r>
        <w:rPr>
          <w:rStyle w:val="Satznummer"/>
        </w:rPr>
        <w:t>1</w:t>
      </w:r>
      <w:r>
        <w:t xml:space="preserve">Für Verfahren nach Absatz 1 Satz 1 und Absatz 3 ist das Finanzgericht örtlich zuständig, in dessen Bezirk die jeweils zuständige Aufsichtsbehörde ihren Sitz hat. </w:t>
      </w:r>
      <w:r>
        <w:rPr>
          <w:rStyle w:val="Satznummer"/>
        </w:rPr>
        <w:t>2</w:t>
      </w:r>
      <w:r>
        <w:t>Für Verfahren nach Absatz 2 ist das Finanzgericht örtlich zuständig, in dessen Bezirk die beklagte Finanzbehörde ihren Sitz oder der beklagte Auftragsverarbeiter seinen Sitz hat; § 38 Absatz 3 der Finanzgerichtsordnung gilt entsprechend.</w:t>
      </w:r>
    </w:p>
    <w:p>
      <w:r>
        <w:t>(6) Beteiligte eines Verfahrens nach Absatz 1 Satz 1 sind</w:t>
      </w:r>
    </w:p>
    <w:p>
      <w:pPr>
        <w:tabs>
          <w:tab w:pos="567" w:val="left"/>
        </w:tabs>
        <w:ind w:left="567" w:hanging="567"/>
      </w:pPr>
      <w:r>
        <w:t>1.</w:t>
      </w:r>
      <w:r>
        <w:tab/>
      </w:r>
      <w:r>
        <w:t>die öffentliche oder nicht-öffentliche Stelle oder die betroffene Person als Klägerin oder Antragstellerin,</w:t>
      </w:r>
    </w:p>
    <w:p>
      <w:pPr>
        <w:tabs>
          <w:tab w:pos="567" w:val="left"/>
        </w:tabs>
        <w:ind w:left="567" w:hanging="567"/>
      </w:pPr>
      <w:r>
        <w:t>2.</w:t>
      </w:r>
      <w:r>
        <w:tab/>
      </w:r>
      <w:r>
        <w:t>die zuständige Aufsichtsbehörde des Bundes oder eines Landes als Beklagte oder Antragsgegnerin,</w:t>
      </w:r>
    </w:p>
    <w:p>
      <w:pPr>
        <w:tabs>
          <w:tab w:pos="567" w:val="left"/>
        </w:tabs>
        <w:ind w:left="567" w:hanging="567"/>
      </w:pPr>
      <w:r>
        <w:t>3.</w:t>
      </w:r>
      <w:r>
        <w:tab/>
      </w:r>
      <w:r>
        <w:t>der nach § 60 der Finanzgerichtsordnung Beigeladene sowie</w:t>
      </w:r>
    </w:p>
    <w:p>
      <w:pPr>
        <w:tabs>
          <w:tab w:pos="567" w:val="left"/>
        </w:tabs>
        <w:ind w:left="567" w:hanging="567"/>
      </w:pPr>
      <w:r>
        <w:t>4.</w:t>
      </w:r>
      <w:r>
        <w:tab/>
      </w:r>
      <w:r>
        <w:t>die oberste Bundes- oder Landesfinanzbehörde, die dem Verfahren nach § 122 Absatz 2 der Finanzgerichtsordnung beigetreten ist.</w:t>
      </w:r>
    </w:p>
    <w:p>
      <w:r>
        <w:t>(7) Beteiligte eines Verfahrens nach Absatz 2 sind</w:t>
      </w:r>
    </w:p>
    <w:p>
      <w:pPr>
        <w:tabs>
          <w:tab w:pos="567" w:val="left"/>
        </w:tabs>
        <w:ind w:left="567" w:hanging="567"/>
      </w:pPr>
      <w:r>
        <w:t>1.</w:t>
      </w:r>
      <w:r>
        <w:tab/>
      </w:r>
      <w:r>
        <w:t>die betroffene Person oder die um Auskunft oder Informationszugang ersuchende Person als Klägerin oder Antragstellerin,</w:t>
      </w:r>
    </w:p>
    <w:p>
      <w:pPr>
        <w:tabs>
          <w:tab w:pos="567" w:val="left"/>
        </w:tabs>
        <w:ind w:left="567" w:hanging="567"/>
      </w:pPr>
      <w:r>
        <w:t>2.</w:t>
      </w:r>
      <w:r>
        <w:tab/>
      </w:r>
      <w:r>
        <w:t>die Finanzbehörde oder der Auftragsverarbeiter als Beklagte oder Antragsgegnerin,</w:t>
      </w:r>
    </w:p>
    <w:p>
      <w:pPr>
        <w:tabs>
          <w:tab w:pos="567" w:val="left"/>
        </w:tabs>
        <w:ind w:left="567" w:hanging="567"/>
      </w:pPr>
      <w:r>
        <w:t>3.</w:t>
      </w:r>
      <w:r>
        <w:tab/>
      </w:r>
      <w:r>
        <w:t>der nach § 60 der Finanzgerichtsordnung Beigeladene sowie</w:t>
      </w:r>
    </w:p>
    <w:p>
      <w:pPr>
        <w:tabs>
          <w:tab w:pos="567" w:val="left"/>
        </w:tabs>
        <w:ind w:left="567" w:hanging="567"/>
      </w:pPr>
      <w:r>
        <w:t>4.</w:t>
      </w:r>
      <w:r>
        <w:tab/>
      </w:r>
      <w:r>
        <w:t>die oberste Bundes- oder Landesfinanzbehörde, die dem Verfahren nach § 122 Absatz 2 der Finanzgerichtsordnung beigetreten ist.</w:t>
      </w:r>
    </w:p>
    <w:p>
      <w:r>
        <w:t>(8) Beteiligte eines Verfahrens nach Absatz 3 sind</w:t>
      </w:r>
    </w:p>
    <w:p>
      <w:pPr>
        <w:tabs>
          <w:tab w:pos="567" w:val="left"/>
        </w:tabs>
        <w:ind w:left="567" w:hanging="567"/>
      </w:pPr>
      <w:r>
        <w:t>1.</w:t>
      </w:r>
      <w:r>
        <w:tab/>
      </w:r>
      <w:r>
        <w:t>die zuständige Finanzbehörde als Klägerin oder Antragstellerin,</w:t>
      </w:r>
    </w:p>
    <w:p>
      <w:pPr>
        <w:tabs>
          <w:tab w:pos="567" w:val="left"/>
        </w:tabs>
        <w:ind w:left="567" w:hanging="567"/>
      </w:pPr>
      <w:r>
        <w:t>2.</w:t>
      </w:r>
      <w:r>
        <w:tab/>
      </w:r>
      <w:r>
        <w:t>die Aufsichtsbehörde des Bundes oder eines Landes, die den rechtsverbindlichen Beschluss erlassen hat, als Beklagte oder Antragsgegnerin,</w:t>
      </w:r>
    </w:p>
    <w:p>
      <w:pPr>
        <w:tabs>
          <w:tab w:pos="567" w:val="left"/>
        </w:tabs>
        <w:ind w:left="567" w:hanging="567"/>
      </w:pPr>
      <w:r>
        <w:t>3.</w:t>
      </w:r>
      <w:r>
        <w:tab/>
      </w:r>
      <w:r>
        <w:t>die Stelle, deren Pflicht zur Mitwirkung die Finanzbehörde geltend macht, als Beigeladene und</w:t>
      </w:r>
    </w:p>
    <w:p>
      <w:pPr>
        <w:tabs>
          <w:tab w:pos="567" w:val="left"/>
        </w:tabs>
        <w:ind w:left="567" w:hanging="567"/>
      </w:pPr>
      <w:r>
        <w:t>4.</w:t>
      </w:r>
      <w:r>
        <w:tab/>
      </w:r>
      <w:r>
        <w:t>die oberste Bundes- oder Landesfinanzbehörde, die dem Verfahren nach § 122 Absatz 2 der Finanzgerichtsordnung beigetreten ist.</w:t>
      </w:r>
    </w:p>
    <w:p>
      <w:r>
        <w:t xml:space="preserve">(9) </w:t>
      </w:r>
      <w:r>
        <w:rPr>
          <w:rStyle w:val="Satznummer"/>
        </w:rPr>
        <w:t>1</w:t>
      </w:r>
      <w:r>
        <w:t xml:space="preserve">Ein Vorverfahren findet nicht statt. </w:t>
      </w:r>
      <w:r>
        <w:rPr>
          <w:rStyle w:val="Satznummer"/>
        </w:rPr>
        <w:t>2</w:t>
      </w:r>
      <w:r>
        <w:t>Dies gilt nicht für Verfahren nach Absatz 2 Satz 2.</w:t>
      </w:r>
    </w:p>
    <w:p>
      <w:r>
        <w:t xml:space="preserve">(10) </w:t>
      </w:r>
      <w:r>
        <w:rPr>
          <w:rStyle w:val="Satznummer"/>
        </w:rPr>
        <w:t>1</w:t>
      </w:r>
      <w:r>
        <w:t xml:space="preserve">In Verfahren nach Absatz 1 Satz 1 haben eine Klage oder ein Antrag aufschiebende Wirkung. </w:t>
      </w:r>
      <w:r>
        <w:rPr>
          <w:rStyle w:val="Satznummer"/>
        </w:rPr>
        <w:t>2</w:t>
      </w:r>
      <w:r>
        <w:t>Die zuständige Aufsichtsbehörde darf gegenüber einer Finanzbehörde, deren Rechtsträger oder deren Auftragsverarbeiter nicht die sofortige Vollziehung anordnen.</w:t>
      </w:r>
    </w:p>
    <w:p>
      <w:pPr>
        <w:pStyle w:val="Heading3"/>
      </w:pPr>
      <w:bookmarkStart w:id="62" w:name="b60"/>
      <w:r>
        <w:t>§ 32j Antrag auf gerichtliche Entscheidung bei angenommener Rechtswidrigkeit eines Angemessenheitsbeschlusses der Europäischen Kommission</w:t>
      </w:r>
      <w:r>
        <w:t xml:space="preserve"> </w:t>
      </w:r>
      <w:r>
        <w:rPr>
          <w:rStyle w:val="Suchmarke"/>
        </w:rPr>
        <w:t>#32j#</w:t>
      </w:r>
      <w:bookmarkEnd w:id="62"/>
    </w:p>
    <w:p>
      <w:r>
        <w:t>Hält der oder die Bundesbeauftragte für den Datenschutz und die Informationsfreiheit oder eine nach Landesrecht für die Kontrolle des Datenschutzes zuständige Stelle einen Angemessenheitsbeschluss der Europäischen Kommission, auf dessen Gültigkeit es bei der Entscheidung über die Beschwerde einer betroffenen Person hinsichtlich der Verarbeitung personenbezogener Daten ankommt, für rechtswidrig, so gilt § 21 des Bundesdatenschutzgesetzes.</w:t>
      </w:r>
    </w:p>
    <w:p>
      <w:pPr>
        <w:pStyle w:val="Heading1"/>
      </w:pPr>
      <w:bookmarkStart w:id="63" w:name="b61"/>
      <w:r>
        <w:t>Zweiter Teil Steuerschuldrecht</w:t>
      </w:r>
      <w:bookmarkEnd w:id="63"/>
    </w:p>
    <w:p>
      <w:pPr>
        <w:pStyle w:val="Heading2"/>
      </w:pPr>
      <w:bookmarkStart w:id="64" w:name="b62"/>
      <w:r>
        <w:t>Erster Abschnitt Steuerpflichtiger</w:t>
      </w:r>
      <w:bookmarkEnd w:id="64"/>
    </w:p>
    <w:p>
      <w:pPr>
        <w:pStyle w:val="Heading3"/>
      </w:pPr>
      <w:bookmarkStart w:id="65" w:name="b63"/>
      <w:r>
        <w:t>§ 33 Steuerpflichtiger</w:t>
      </w:r>
      <w:r>
        <w:t xml:space="preserve"> </w:t>
      </w:r>
      <w:r>
        <w:rPr>
          <w:rStyle w:val="Suchmarke"/>
        </w:rPr>
        <w:t>#33#</w:t>
      </w:r>
      <w:bookmarkEnd w:id="65"/>
    </w:p>
    <w:p>
      <w:r>
        <w:t>(1) Steuerpflichtiger ist, wer eine Steuer schuldet, für eine Steuer haftet, eine Steuer für Rechnung eines Dritten einzubehalten und abzuführen hat, wer eine Steuererklärung abzugeben, Sicherheit zu leisten, Bücher und Aufzeichnungen zu führen oder andere ihm durch die Steuergesetze auferlegte Verpflichtungen zu erfüllen hat.</w:t>
      </w:r>
    </w:p>
    <w:p>
      <w:r>
        <w:t>(2) Steuerpflichtiger ist nicht, wer in einer fremden Steuersache Auskunft zu erteilen, Urkunden vorzulegen, ein Sachverständigengutachten zu erstatten oder das Betreten von Grundstücken, Geschäfts- und Betriebsräumen zu gestatten hat.</w:t>
      </w:r>
    </w:p>
    <w:p>
      <w:pPr>
        <w:pStyle w:val="Heading3"/>
      </w:pPr>
      <w:bookmarkStart w:id="66" w:name="b64"/>
      <w:r>
        <w:t>§ 34 Pflichten der gesetzlichen Vertreter und der Vermögensverwalter</w:t>
      </w:r>
      <w:r>
        <w:t xml:space="preserve"> </w:t>
      </w:r>
      <w:r>
        <w:rPr>
          <w:rStyle w:val="Suchmarke"/>
        </w:rPr>
        <w:t>#34#</w:t>
      </w:r>
      <w:bookmarkEnd w:id="66"/>
    </w:p>
    <w:p>
      <w:r>
        <w:t xml:space="preserve">(1) </w:t>
      </w:r>
      <w:r>
        <w:rPr>
          <w:rStyle w:val="Satznummer"/>
        </w:rPr>
        <w:t>1</w:t>
      </w:r>
      <w:r>
        <w:t xml:space="preserve">Die gesetzlichen Vertreter natürlicher und juristischer Personen sowie rechtsfähiger Personenvereinigungen und die Geschäftsführer von Vermögensmassen haben deren steuerliche Pflichten zu erfüllen. </w:t>
      </w:r>
      <w:r>
        <w:rPr>
          <w:rStyle w:val="Satznummer"/>
        </w:rPr>
        <w:t>2</w:t>
      </w:r>
      <w:r>
        <w:t xml:space="preserve">Sie haben insbesondere dafür zu sorgen, dass die Steuern aus den Mitteln entrichtet werden, die sie verwalten. </w:t>
      </w:r>
      <w:r>
        <w:rPr>
          <w:rStyle w:val="Satznummer"/>
        </w:rPr>
        <w:t>3</w:t>
      </w:r>
      <w:r>
        <w:t>Die Finanzbehörde kann sich an jeden von ihnen wenden.</w:t>
      </w:r>
    </w:p>
    <w:p>
      <w:r>
        <w:t xml:space="preserve">(2) </w:t>
      </w:r>
      <w:r>
        <w:rPr>
          <w:rStyle w:val="Satznummer"/>
        </w:rPr>
        <w:t>1</w:t>
      </w:r>
      <w:r>
        <w:t xml:space="preserve">Bei nicht rechtsfähigen Personenvereinigungen haben die Mitglieder, Gesellschafter oder Gemeinschafter die Pflichten im Sinne des Absatzes 1 zu erfüllen. </w:t>
      </w:r>
      <w:r>
        <w:rPr>
          <w:rStyle w:val="Satznummer"/>
        </w:rPr>
        <w:t>2</w:t>
      </w:r>
      <w:r>
        <w:t xml:space="preserve">Die Finanzbehörde kann sich an jedes von ihnen halten. </w:t>
      </w:r>
      <w:r>
        <w:rPr>
          <w:rStyle w:val="Satznummer"/>
        </w:rPr>
        <w:t>3</w:t>
      </w:r>
      <w:r>
        <w:t>Für nicht rechtsfähige Vermögensmassen gelten die Sätze 1 und 2 mit der Maßgabe, dass diejenigen, denen das Vermögen zusteht, die steuerlichen Pflichten zu erfüllen haben.</w:t>
      </w:r>
    </w:p>
    <w:p>
      <w:r>
        <w:t>(3) Steht eine Vermögensverwaltung anderen Personen als den Eigentümern des Vermögens oder deren gesetzlichen Vertretern zu, so haben die Vermögensverwalter die in Absatz 1 bezeichneten Pflichten, soweit ihre Verwaltung reicht.</w:t>
      </w:r>
    </w:p>
    <w:p>
      <w:pPr>
        <w:pStyle w:val="Heading3"/>
      </w:pPr>
      <w:bookmarkStart w:id="67" w:name="b65"/>
      <w:r>
        <w:t>§ 35 Pflichten des Verfügungsberechtigten</w:t>
      </w:r>
      <w:r>
        <w:t xml:space="preserve"> </w:t>
      </w:r>
      <w:r>
        <w:rPr>
          <w:rStyle w:val="Suchmarke"/>
        </w:rPr>
        <w:t>#35#</w:t>
      </w:r>
      <w:bookmarkEnd w:id="67"/>
    </w:p>
    <w:p>
      <w:r>
        <w:t>Wer als Verfügungsberechtigter im eigenen oder fremden Namen auftritt, hat die Pflichten eines gesetzlichen Vertreters (</w:t>
      </w:r>
      <w:hyperlink w:anchor="b64" w:history="1">
        <w:r>
          <w:rPr>
            <w:color w:val="0A3A8C"/>
            <w:u w:val="single"/>
          </w:rPr>
          <w:t xml:space="preserve">§ 34</w:t>
        </w:r>
      </w:hyperlink>
      <w:r>
        <w:t xml:space="preserve"> Absatz 1), soweit er sie rechtlich und tatsächlich erfüllen kann.</w:t>
      </w:r>
    </w:p>
    <w:p>
      <w:pPr>
        <w:pStyle w:val="Heading3"/>
      </w:pPr>
      <w:bookmarkStart w:id="68" w:name="b66"/>
      <w:r>
        <w:t>§ 36 Erlöschen der Vertretungsmacht</w:t>
      </w:r>
      <w:r>
        <w:t xml:space="preserve"> </w:t>
      </w:r>
      <w:r>
        <w:rPr>
          <w:rStyle w:val="Suchmarke"/>
        </w:rPr>
        <w:t>#36#</w:t>
      </w:r>
      <w:bookmarkEnd w:id="68"/>
    </w:p>
    <w:p>
      <w:r>
        <w:t xml:space="preserve">Das Erlöschen der Vertretungsmacht oder der Verfügungsmacht lässt die nach den </w:t>
      </w:r>
      <w:hyperlink w:anchor="b64" w:history="1">
        <w:r>
          <w:rPr>
            <w:color w:val="0A3A8C"/>
            <w:u w:val="single"/>
          </w:rPr>
          <w:t xml:space="preserve">§§ 34</w:t>
        </w:r>
      </w:hyperlink>
      <w:r>
        <w:t xml:space="preserve"> und </w:t>
      </w:r>
      <w:hyperlink w:anchor="b65" w:history="1">
        <w:r>
          <w:rPr>
            <w:color w:val="0A3A8C"/>
            <w:u w:val="single"/>
          </w:rPr>
          <w:t xml:space="preserve">35</w:t>
        </w:r>
      </w:hyperlink>
      <w:r>
        <w:t xml:space="preserve"> entstandenen Pflichten unberührt, soweit diese den Zeitraum betreffen, in dem die Vertretungsmacht oder Verfügungsmacht bestanden hat und soweit der Verpflichtete sie erfüllen kann.</w:t>
      </w:r>
    </w:p>
    <w:p>
      <w:pPr>
        <w:pStyle w:val="Heading2"/>
      </w:pPr>
      <w:bookmarkStart w:id="69" w:name="b67"/>
      <w:r>
        <w:t>Zweiter Abschnitt Steuerschuldverhältnis</w:t>
      </w:r>
      <w:bookmarkEnd w:id="69"/>
    </w:p>
    <w:p>
      <w:pPr>
        <w:pStyle w:val="Heading3"/>
      </w:pPr>
      <w:bookmarkStart w:id="70" w:name="b68"/>
      <w:r>
        <w:t>§ 37 Ansprüche aus dem Steuerschuldverhältnis</w:t>
      </w:r>
      <w:r>
        <w:t xml:space="preserve"> </w:t>
      </w:r>
      <w:r>
        <w:rPr>
          <w:rStyle w:val="Suchmarke"/>
        </w:rPr>
        <w:t>#37#</w:t>
      </w:r>
      <w:bookmarkEnd w:id="70"/>
    </w:p>
    <w:p>
      <w:r>
        <w:t>(1) Ansprüche aus dem Steuerschuldverhältnis sind der Steueranspruch, der Steuervergütungsanspruch, der Haftungsanspruch, der Anspruch auf eine steuerliche Nebenleistung, der Erstattungsanspruch nach Absatz 2 sowie die in Einzelsteuergesetzen geregelten Steuererstattungsansprüche.</w:t>
      </w:r>
    </w:p>
    <w:p>
      <w:r>
        <w:t xml:space="preserve">(2) </w:t>
      </w:r>
      <w:r>
        <w:rPr>
          <w:rStyle w:val="Satznummer"/>
        </w:rPr>
        <w:t>1</w:t>
      </w:r>
      <w:r>
        <w:t xml:space="preserve">Ist eine Steuer, eine Steuervergütung, ein Haftungsbetrag oder eine steuerliche Nebenleistung ohne rechtlichen Grund gezahlt oder zurückgezahlt worden, so hat derjenige, auf dessen Rechnung die Zahlung bewirkt worden ist, an den Leistungsempfänger einen Anspruch auf Erstattung des gezahlten oder zurückgezahlten Betrags. </w:t>
      </w:r>
      <w:r>
        <w:rPr>
          <w:rStyle w:val="Satznummer"/>
        </w:rPr>
        <w:t>2</w:t>
      </w:r>
      <w:r>
        <w:t xml:space="preserve">Dies gilt auch dann, wenn der rechtliche Grund für die Zahlung oder Rückzahlung später wegfällt. </w:t>
      </w:r>
      <w:r>
        <w:rPr>
          <w:rStyle w:val="Satznummer"/>
        </w:rPr>
        <w:t>3</w:t>
      </w:r>
      <w:r>
        <w:t>Im Fall der Abtretung, Verpfändung oder Pfändung richtet sich der Anspruch auch gegen den Abtretenden, Verpfänder oder Pfändungsschuldner.</w:t>
      </w:r>
    </w:p>
    <w:p>
      <w:pPr>
        <w:pStyle w:val="Heading3"/>
      </w:pPr>
      <w:bookmarkStart w:id="71" w:name="b69"/>
      <w:r>
        <w:t>§ 38 Entstehung der Ansprüche aus dem Steuerschuldverhältnis</w:t>
      </w:r>
      <w:r>
        <w:t xml:space="preserve"> </w:t>
      </w:r>
      <w:r>
        <w:rPr>
          <w:rStyle w:val="Suchmarke"/>
        </w:rPr>
        <w:t>#38#</w:t>
      </w:r>
      <w:bookmarkEnd w:id="71"/>
    </w:p>
    <w:p>
      <w:r>
        <w:t>Die Ansprüche aus dem Steuerschuldverhältnis entstehen, sobald der Tatbestand verwirklicht ist, an den das Gesetz die Leistungspflicht knüpft.</w:t>
      </w:r>
    </w:p>
    <w:p>
      <w:pPr>
        <w:pStyle w:val="Heading3"/>
      </w:pPr>
      <w:bookmarkStart w:id="72" w:name="b70"/>
      <w:r>
        <w:t>§ 39 Zurechnung</w:t>
      </w:r>
      <w:r>
        <w:t xml:space="preserve"> </w:t>
      </w:r>
      <w:r>
        <w:rPr>
          <w:rStyle w:val="Suchmarke"/>
        </w:rPr>
        <w:t>#39#</w:t>
      </w:r>
      <w:bookmarkEnd w:id="72"/>
    </w:p>
    <w:p>
      <w:r>
        <w:t>(1) Wirtschaftsgüter sind dem Eigentümer zuzurechnen.</w:t>
      </w:r>
    </w:p>
    <w:p>
      <w:r>
        <w:t>(2) Abweichend von Absatz 1 gelten die folgenden Vorschriften:</w:t>
      </w:r>
    </w:p>
    <w:p>
      <w:pPr>
        <w:tabs>
          <w:tab w:pos="567" w:val="left"/>
        </w:tabs>
        <w:ind w:left="567" w:hanging="567"/>
      </w:pPr>
      <w:r>
        <w:t>1.</w:t>
      </w:r>
      <w:r>
        <w:tab/>
      </w:r>
      <w:r>
        <w:t xml:space="preserve">Übt ein anderer als der Eigentümer die tatsächliche Herrschaft über ein Wirtschaftsgut in der Weise aus, dass er den Eigentümer im Regelfall für die gewöhnliche Nutzungsdauer von der Einwirkung auf das Wirtschaftsgut wirtschaftlich ausschließen kann, so ist ihm das Wirtschaftsgut zuzurechnen. </w:t>
      </w:r>
      <w:r>
        <w:rPr>
          <w:rStyle w:val="Satznummer"/>
        </w:rPr>
        <w:t>2</w:t>
      </w:r>
      <w:r>
        <w:t>Bei Treuhandverhältnissen sind die Wirtschaftsgüter dem Treugeber, beim Sicherungseigentum dem Sicherungsgeber und beim Eigenbesitz dem Eigenbesitzer zuzurechnen.</w:t>
      </w:r>
    </w:p>
    <w:p>
      <w:pPr>
        <w:tabs>
          <w:tab w:pos="567" w:val="left"/>
        </w:tabs>
        <w:ind w:left="567" w:hanging="567"/>
      </w:pPr>
      <w:r>
        <w:t>2.</w:t>
      </w:r>
      <w:r>
        <w:tab/>
      </w:r>
      <w:r>
        <w:t xml:space="preserve">Wirtschaftsgüter, die mehreren zur gesamten Hand oder einer rechtsfähigen Personengesellschaft zustehen, werden den Beteiligten oder Gesellschaftern anteilig zugerechnet, soweit eine getrennte Zurechnung für die Besteuerung erforderlich ist. </w:t>
      </w:r>
      <w:r>
        <w:rPr>
          <w:rStyle w:val="Satznummer"/>
        </w:rPr>
        <w:t>2</w:t>
      </w:r>
      <w:r>
        <w:t>Rechtsfähige Personengesellschaften gelten für Zwecke der Ertragsbesteuerung als Gesamthand und deren Vermögen als Gesamthandsvermögen.</w:t>
      </w:r>
    </w:p>
    <w:p>
      <w:pPr>
        <w:pStyle w:val="Heading3"/>
      </w:pPr>
      <w:bookmarkStart w:id="73" w:name="b71"/>
      <w:r>
        <w:t>§ 40 Gesetz- oder sittenwidriges Handeln</w:t>
      </w:r>
      <w:r>
        <w:t xml:space="preserve"> </w:t>
      </w:r>
      <w:r>
        <w:rPr>
          <w:rStyle w:val="Suchmarke"/>
        </w:rPr>
        <w:t>#40#</w:t>
      </w:r>
      <w:bookmarkEnd w:id="73"/>
    </w:p>
    <w:p>
      <w:r>
        <w:t>Für die Besteuerung ist es unerheblich, ob ein Verhalten, das den Tatbestand eines Steuergesetzes ganz oder zum Teil erfüllt, gegen ein gesetzliches Gebot oder Verbot oder gegen die guten Sitten verstößt.</w:t>
      </w:r>
    </w:p>
    <w:p>
      <w:pPr>
        <w:pStyle w:val="Heading3"/>
      </w:pPr>
      <w:bookmarkStart w:id="74" w:name="b72"/>
      <w:r>
        <w:t>§ 41 Unwirksame Rechtsgeschäfte</w:t>
      </w:r>
      <w:r>
        <w:t xml:space="preserve"> </w:t>
      </w:r>
      <w:r>
        <w:rPr>
          <w:rStyle w:val="Suchmarke"/>
        </w:rPr>
        <w:t>#41#</w:t>
      </w:r>
      <w:bookmarkEnd w:id="74"/>
    </w:p>
    <w:p>
      <w:r>
        <w:t xml:space="preserve">(1) </w:t>
      </w:r>
      <w:r>
        <w:rPr>
          <w:rStyle w:val="Satznummer"/>
        </w:rPr>
        <w:t>1</w:t>
      </w:r>
      <w:r>
        <w:t xml:space="preserve">Ist ein Rechtsgeschäft unwirksam oder wird es unwirksam, so ist dies für die Besteuerung unerheblich, soweit und solange die Beteiligten das wirtschaftliche Ergebnis dieses Rechtsgeschäfts gleichwohl eintreten und bestehen lassen. </w:t>
      </w:r>
      <w:r>
        <w:rPr>
          <w:rStyle w:val="Satznummer"/>
        </w:rPr>
        <w:t>2</w:t>
      </w:r>
      <w:r>
        <w:t>Dies gilt nicht, soweit sich aus den Steuergesetzen etwas anderes ergibt.</w:t>
      </w:r>
    </w:p>
    <w:p>
      <w:r>
        <w:t xml:space="preserve">(2) </w:t>
      </w:r>
      <w:r>
        <w:rPr>
          <w:rStyle w:val="Satznummer"/>
        </w:rPr>
        <w:t>1</w:t>
      </w:r>
      <w:r>
        <w:t xml:space="preserve">Scheingeschäfte und Scheinhandlungen sind für die Besteuerung unerheblich. </w:t>
      </w:r>
      <w:r>
        <w:rPr>
          <w:rStyle w:val="Satznummer"/>
        </w:rPr>
        <w:t>2</w:t>
      </w:r>
      <w:r>
        <w:t>Wird durch ein Scheingeschäft ein anderes Rechtsgeschäft verdeckt, so ist das verdeckte Rechtsgeschäft für die Besteuerung maßgebend.</w:t>
      </w:r>
    </w:p>
    <w:p>
      <w:pPr>
        <w:pStyle w:val="Heading3"/>
      </w:pPr>
      <w:bookmarkStart w:id="75" w:name="b73"/>
      <w:r>
        <w:t>§ 42 Missbrauch von rechtlichen Gestaltungsmöglichkeiten</w:t>
      </w:r>
      <w:r>
        <w:t xml:space="preserve"> </w:t>
      </w:r>
      <w:r>
        <w:rPr>
          <w:rStyle w:val="Suchmarke"/>
        </w:rPr>
        <w:t>#42#</w:t>
      </w:r>
      <w:bookmarkEnd w:id="75"/>
    </w:p>
    <w:p>
      <w:r>
        <w:t xml:space="preserve">(1) </w:t>
      </w:r>
      <w:r>
        <w:rPr>
          <w:rStyle w:val="Satznummer"/>
        </w:rPr>
        <w:t>1</w:t>
      </w:r>
      <w:r>
        <w:t xml:space="preserve">Durch Missbrauch von Gestaltungsmöglichkeiten des Rechts kann das Steuergesetz nicht umgangen werden. </w:t>
      </w:r>
      <w:r>
        <w:rPr>
          <w:rStyle w:val="Satznummer"/>
        </w:rPr>
        <w:t>2</w:t>
      </w:r>
      <w:r>
        <w:t xml:space="preserve">Ist der Tatbestand einer Regelung in einem Einzelsteuergesetz erfüllt, die der Verhinderung von Steuerumgehungen dient, so bestimmen sich die Rechtsfolgen nach jener Vorschrift. </w:t>
      </w:r>
      <w:r>
        <w:rPr>
          <w:rStyle w:val="Satznummer"/>
        </w:rPr>
        <w:t>3</w:t>
      </w:r>
      <w:r>
        <w:t>Anderenfalls entsteht der Steueranspruch beim Vorliegen eines Missbrauchs im Sinne des Absatzes 2 so, wie er bei einer den wirtschaftlichen Vorgängen angemessenen rechtlichen Gestaltung entsteht.</w:t>
      </w:r>
    </w:p>
    <w:p>
      <w:r>
        <w:t xml:space="preserve">(2) </w:t>
      </w:r>
      <w:r>
        <w:rPr>
          <w:rStyle w:val="Satznummer"/>
        </w:rPr>
        <w:t>1</w:t>
      </w:r>
      <w:r>
        <w:t xml:space="preserve">Ein Missbrauch liegt vor, wenn eine unangemessene rechtliche Gestaltung gewählt wird, die beim Steuerpflichtigen oder einem Dritten im Vergleich zu einer angemessenen Gestaltung zu einem gesetzlich nicht vorgesehenen Steuervorteil führt. </w:t>
      </w:r>
      <w:r>
        <w:rPr>
          <w:rStyle w:val="Satznummer"/>
        </w:rPr>
        <w:t>2</w:t>
      </w:r>
      <w:r>
        <w:t>Dies gilt nicht, wenn der Steuerpflichtige für die gewählte Gestaltung außersteuerliche Gründe nachweist, die nach dem Gesamtbild der Verhältnisse beachtlich sind.</w:t>
      </w:r>
    </w:p>
    <w:p>
      <w:pPr>
        <w:pStyle w:val="Heading3"/>
      </w:pPr>
      <w:bookmarkStart w:id="76" w:name="b74"/>
      <w:r>
        <w:t>§ 43 Steuerschuldner, Steuervergütungsgläubiger</w:t>
      </w:r>
      <w:r>
        <w:t xml:space="preserve"> </w:t>
      </w:r>
      <w:r>
        <w:rPr>
          <w:rStyle w:val="Suchmarke"/>
        </w:rPr>
        <w:t>#43#</w:t>
      </w:r>
      <w:bookmarkEnd w:id="76"/>
    </w:p>
    <w:p>
      <w:r>
        <w:rPr>
          <w:rStyle w:val="Satznummer"/>
        </w:rPr>
        <w:t>1</w:t>
      </w:r>
      <w:r>
        <w:t xml:space="preserve">Die Steuergesetze bestimmen, wer Steuerschuldner oder Gläubiger einer Steuervergütung ist. </w:t>
      </w:r>
      <w:r>
        <w:rPr>
          <w:rStyle w:val="Satznummer"/>
        </w:rPr>
        <w:t>2</w:t>
      </w:r>
      <w:r>
        <w:t>Sie bestimmen auch, ob ein Dritter die Steuer für Rechnung des Steuerschuldners zu entrichten hat.</w:t>
      </w:r>
    </w:p>
    <w:p>
      <w:pPr>
        <w:pStyle w:val="Heading3"/>
      </w:pPr>
      <w:bookmarkStart w:id="77" w:name="b75"/>
      <w:r>
        <w:t>§ 44 Gesamtschuldner</w:t>
      </w:r>
      <w:r>
        <w:t xml:space="preserve"> </w:t>
      </w:r>
      <w:r>
        <w:rPr>
          <w:rStyle w:val="Suchmarke"/>
        </w:rPr>
        <w:t>#44#</w:t>
      </w:r>
      <w:bookmarkEnd w:id="77"/>
    </w:p>
    <w:p>
      <w:r>
        <w:t xml:space="preserve">(1) </w:t>
      </w:r>
      <w:r>
        <w:rPr>
          <w:rStyle w:val="Satznummer"/>
        </w:rPr>
        <w:t>1</w:t>
      </w:r>
      <w:r>
        <w:t xml:space="preserve">Personen, die nebeneinander dieselbe Leistung aus dem Steuerschuldverhältnis schulden oder für sie haften oder die zusammen zu einer Steuer zu veranlagen sind, sind Gesamtschuldner. </w:t>
      </w:r>
      <w:r>
        <w:rPr>
          <w:rStyle w:val="Satznummer"/>
        </w:rPr>
        <w:t>2</w:t>
      </w:r>
      <w:r>
        <w:t>Soweit nichts anderes bestimmt ist, schuldet jeder Gesamtschuldner die gesamte Leistung.</w:t>
      </w:r>
    </w:p>
    <w:p>
      <w:r>
        <w:t xml:space="preserve">(2) </w:t>
      </w:r>
      <w:r>
        <w:rPr>
          <w:rStyle w:val="Satznummer"/>
        </w:rPr>
        <w:t>1</w:t>
      </w:r>
      <w:r>
        <w:t xml:space="preserve">Die Erfüllung durch einen Gesamtschuldner wirkt auch für die übrigen Schuldner. </w:t>
      </w:r>
      <w:r>
        <w:rPr>
          <w:rStyle w:val="Satznummer"/>
        </w:rPr>
        <w:t>2</w:t>
      </w:r>
      <w:r>
        <w:t xml:space="preserve">Das Gleiche gilt für die Aufrechnung und für eine geleistete Sicherheit. </w:t>
      </w:r>
      <w:r>
        <w:rPr>
          <w:rStyle w:val="Satznummer"/>
        </w:rPr>
        <w:t>3</w:t>
      </w:r>
      <w:r>
        <w:t xml:space="preserve">Andere Tatsachen wirken nur für und gegen den Gesamtschuldner, in dessen Person sie eintreten. </w:t>
      </w:r>
      <w:r>
        <w:rPr>
          <w:rStyle w:val="Satznummer"/>
        </w:rPr>
        <w:t>4</w:t>
      </w:r>
      <w:r>
        <w:t xml:space="preserve">Die Vorschriften der </w:t>
      </w:r>
      <w:hyperlink w:anchor="b413" w:history="1">
        <w:r>
          <w:rPr>
            <w:color w:val="0A3A8C"/>
            <w:u w:val="single"/>
          </w:rPr>
          <w:t xml:space="preserve">§§ 268</w:t>
        </w:r>
      </w:hyperlink>
      <w:r>
        <w:t xml:space="preserve"> bis </w:t>
      </w:r>
      <w:hyperlink w:anchor="b425" w:history="1">
        <w:r>
          <w:rPr>
            <w:color w:val="0A3A8C"/>
            <w:u w:val="single"/>
          </w:rPr>
          <w:t xml:space="preserve">280</w:t>
        </w:r>
      </w:hyperlink>
      <w:r>
        <w:t xml:space="preserve"> über die Beschränkung der Vollstreckung in den Fällen der Zusammenveranlagung bleiben unberührt.</w:t>
      </w:r>
    </w:p>
    <w:p>
      <w:pPr>
        <w:pStyle w:val="Heading3"/>
      </w:pPr>
      <w:bookmarkStart w:id="78" w:name="b76"/>
      <w:r>
        <w:t>§ 45 Gesamtrechtsnachfolge</w:t>
      </w:r>
      <w:r>
        <w:t xml:space="preserve"> </w:t>
      </w:r>
      <w:r>
        <w:rPr>
          <w:rStyle w:val="Suchmarke"/>
        </w:rPr>
        <w:t>#45#</w:t>
      </w:r>
      <w:bookmarkEnd w:id="78"/>
    </w:p>
    <w:p>
      <w:r>
        <w:t xml:space="preserve">(1) </w:t>
      </w:r>
      <w:r>
        <w:rPr>
          <w:rStyle w:val="Satznummer"/>
        </w:rPr>
        <w:t>1</w:t>
      </w:r>
      <w:r>
        <w:t xml:space="preserve">Bei Gesamtrechtsnachfolge gehen die Forderungen und Schulden aus dem Steuerschuldverhältnis auf den Rechtsnachfolger über. </w:t>
      </w:r>
      <w:r>
        <w:rPr>
          <w:rStyle w:val="Satznummer"/>
        </w:rPr>
        <w:t>2</w:t>
      </w:r>
      <w:r>
        <w:t>Dies gilt jedoch bei der Erbfolge nicht für Zwangsgelder.</w:t>
      </w:r>
    </w:p>
    <w:p>
      <w:r>
        <w:t xml:space="preserve">(2) </w:t>
      </w:r>
      <w:r>
        <w:rPr>
          <w:rStyle w:val="Satznummer"/>
        </w:rPr>
        <w:t>1</w:t>
      </w:r>
      <w:r>
        <w:t xml:space="preserve">Erben haben für die aus dem Nachlass zu entrichtenden Schulden nach den Vorschriften des bürgerlichen Rechts über die Haftung des Erben für Nachlassverbindlichkeiten einzustehen. </w:t>
      </w:r>
      <w:r>
        <w:rPr>
          <w:rStyle w:val="Satznummer"/>
        </w:rPr>
        <w:t>2</w:t>
      </w:r>
      <w:r>
        <w:t>Vorschriften, durch die eine steuerrechtliche Haftung der Erben begründet wird, bleiben unberührt.</w:t>
      </w:r>
    </w:p>
    <w:p>
      <w:pPr>
        <w:pStyle w:val="Heading3"/>
      </w:pPr>
      <w:bookmarkStart w:id="79" w:name="b77"/>
      <w:r>
        <w:t>§ 46 Abtretung, Verpfändung, Pfändung</w:t>
      </w:r>
      <w:r>
        <w:t xml:space="preserve"> </w:t>
      </w:r>
      <w:r>
        <w:rPr>
          <w:rStyle w:val="Suchmarke"/>
        </w:rPr>
        <w:t>#46#</w:t>
      </w:r>
      <w:bookmarkEnd w:id="79"/>
    </w:p>
    <w:p>
      <w:r>
        <w:t>(1) Ansprüche auf Erstattung von Steuern, Haftungsbeträgen, steuerlichen Nebenleistungen und auf Steuervergütungen können abgetreten, verpfändet und gepfändet werden.</w:t>
      </w:r>
    </w:p>
    <w:p>
      <w:r>
        <w:t>(2) Die Abtretung wird jedoch erst wirksam, wenn sie der Gläubiger in der nach Absatz 3 vorgeschriebenen Form der zuständigen Finanzbehörde nach Entstehung des Anspruchs anzeigt.</w:t>
      </w:r>
    </w:p>
    <w:p>
      <w:r>
        <w:t xml:space="preserve">(3) </w:t>
      </w:r>
      <w:r>
        <w:rPr>
          <w:rStyle w:val="Satznummer"/>
        </w:rPr>
        <w:t>1</w:t>
      </w:r>
      <w:r>
        <w:t xml:space="preserve">Die Abtretung ist der zuständigen Finanzbehörde unter Angabe des Abtretenden, des Abtretungsempfängers sowie der Art und Höhe des abgetretenen Anspruchs und des Abtretungsgrundes auf einem amtlich vorgeschriebenen Vordruck anzuzeigen. </w:t>
      </w:r>
      <w:r>
        <w:rPr>
          <w:rStyle w:val="Satznummer"/>
        </w:rPr>
        <w:t>2</w:t>
      </w:r>
      <w:r>
        <w:t>Die Anzeige ist vom Abtretenden und vom Abtretungsempfänger zu unterschreiben.</w:t>
      </w:r>
    </w:p>
    <w:p>
      <w:r>
        <w:t xml:space="preserve">(4) </w:t>
      </w:r>
      <w:r>
        <w:rPr>
          <w:rStyle w:val="Satznummer"/>
        </w:rPr>
        <w:t>1</w:t>
      </w:r>
      <w:r>
        <w:t xml:space="preserve">Der geschäftsmäßige Erwerb von Erstattungs- oder Vergütungsansprüchen zum Zweck der Einziehung oder sonstigen Verwertung auf eigene Rechnung ist nicht zulässig. </w:t>
      </w:r>
      <w:r>
        <w:rPr>
          <w:rStyle w:val="Satznummer"/>
        </w:rPr>
        <w:t>2</w:t>
      </w:r>
      <w:r>
        <w:t xml:space="preserve">Dies gilt nicht für die Fälle der Sicherungsabtretung. </w:t>
      </w:r>
      <w:r>
        <w:rPr>
          <w:rStyle w:val="Satznummer"/>
        </w:rPr>
        <w:t>3</w:t>
      </w:r>
      <w:r>
        <w:t>Zum geschäftsmäßigen Erwerb und zur geschäftsmäßigen Einziehung der zur Sicherung abgetretenen Ansprüche sind nur Unternehmen befugt, denen das Betreiben von Bankgeschäften erlaubt ist.</w:t>
      </w:r>
    </w:p>
    <w:p>
      <w:r>
        <w:t>(5) Wird der Finanzbehörde die Abtretung angezeigt, so müssen Abtretender und Abtretungsempfänger der Finanzbehörde gegenüber die angezeigte Abtretung gegen sich gelten lassen, auch wenn sie nicht erfolgt oder nicht wirksam oder wegen Verstoßes gegen Absatz 4 nichtig ist.</w:t>
      </w:r>
    </w:p>
    <w:p>
      <w:r>
        <w:t xml:space="preserve">(6) </w:t>
      </w:r>
      <w:r>
        <w:rPr>
          <w:rStyle w:val="Satznummer"/>
        </w:rPr>
        <w:t>1</w:t>
      </w:r>
      <w:r>
        <w:t xml:space="preserve">Ein Pfändungs- und Überweisungsbeschluss oder eine Pfändungs- und Einziehungsverfügung dürfen nicht erlassen werden, bevor der Anspruch entstanden ist. </w:t>
      </w:r>
      <w:r>
        <w:rPr>
          <w:rStyle w:val="Satznummer"/>
        </w:rPr>
        <w:t>2</w:t>
      </w:r>
      <w:r>
        <w:t xml:space="preserve">Ein entgegen diesem Verbot erwirkter Pfändungs- und Überweisungsbeschluss oder erwirkte Pfändungs- und Einziehungsverfügung sind nichtig. </w:t>
      </w:r>
      <w:r>
        <w:rPr>
          <w:rStyle w:val="Satznummer"/>
        </w:rPr>
        <w:t>3</w:t>
      </w:r>
      <w:r>
        <w:t>Die Vorschriften der Absätze 2 bis 5 sind auf die Verpfändung sinngemäß anzuwenden.</w:t>
      </w:r>
    </w:p>
    <w:p>
      <w:r>
        <w:t>(7) Bei Pfändung eines Erstattungs- oder Vergütungsanspruchs gilt die Finanzbehörde, die über den Anspruch entschieden oder zu entscheiden hat, als Drittschuldner im Sinne der §§ 829, 845 der Zivilprozessordnung.</w:t>
      </w:r>
    </w:p>
    <w:p>
      <w:pPr>
        <w:pStyle w:val="Heading3"/>
      </w:pPr>
      <w:bookmarkStart w:id="80" w:name="b78"/>
      <w:r>
        <w:t>§ 47 Erlöschen</w:t>
      </w:r>
      <w:r>
        <w:t xml:space="preserve"> </w:t>
      </w:r>
      <w:r>
        <w:rPr>
          <w:rStyle w:val="Suchmarke"/>
        </w:rPr>
        <w:t>#47#</w:t>
      </w:r>
      <w:bookmarkEnd w:id="80"/>
    </w:p>
    <w:p>
      <w:r>
        <w:t>Ansprüche aus dem Steuerschuldverhältnis erlöschen insbesondere durch Zahlung (</w:t>
      </w:r>
      <w:hyperlink w:anchor="b357" w:history="1">
        <w:r>
          <w:rPr>
            <w:color w:val="0A3A8C"/>
            <w:u w:val="single"/>
          </w:rPr>
          <w:t xml:space="preserve">§§ 224</w:t>
        </w:r>
      </w:hyperlink>
      <w:r>
        <w:t xml:space="preserve">, </w:t>
      </w:r>
      <w:hyperlink w:anchor="b358" w:history="1">
        <w:r>
          <w:rPr>
            <w:color w:val="0A3A8C"/>
            <w:u w:val="single"/>
          </w:rPr>
          <w:t xml:space="preserve">224a</w:t>
        </w:r>
      </w:hyperlink>
      <w:r>
        <w:t xml:space="preserve">, </w:t>
      </w:r>
      <w:hyperlink w:anchor="b359" w:history="1">
        <w:r>
          <w:rPr>
            <w:color w:val="0A3A8C"/>
            <w:u w:val="single"/>
          </w:rPr>
          <w:t xml:space="preserve">225</w:t>
        </w:r>
      </w:hyperlink>
      <w:r>
        <w:t>), Aufrechnung (</w:t>
      </w:r>
      <w:hyperlink w:anchor="b360" w:history="1">
        <w:r>
          <w:rPr>
            <w:color w:val="0A3A8C"/>
            <w:u w:val="single"/>
          </w:rPr>
          <w:t xml:space="preserve">§ 226</w:t>
        </w:r>
      </w:hyperlink>
      <w:r>
        <w:t>), Erlass (</w:t>
      </w:r>
      <w:hyperlink w:anchor="b272" w:history="1">
        <w:r>
          <w:rPr>
            <w:color w:val="0A3A8C"/>
            <w:u w:val="single"/>
          </w:rPr>
          <w:t xml:space="preserve">§§ 163</w:t>
        </w:r>
      </w:hyperlink>
      <w:r>
        <w:t xml:space="preserve">, </w:t>
      </w:r>
      <w:hyperlink w:anchor="b361" w:history="1">
        <w:r>
          <w:rPr>
            <w:color w:val="0A3A8C"/>
            <w:u w:val="single"/>
          </w:rPr>
          <w:t xml:space="preserve">227</w:t>
        </w:r>
      </w:hyperlink>
      <w:r>
        <w:t>), Verjährung (</w:t>
      </w:r>
      <w:hyperlink w:anchor="b279" w:history="1">
        <w:r>
          <w:rPr>
            <w:color w:val="0A3A8C"/>
            <w:u w:val="single"/>
          </w:rPr>
          <w:t xml:space="preserve">§§ 169</w:t>
        </w:r>
      </w:hyperlink>
      <w:r>
        <w:t xml:space="preserve"> bis </w:t>
      </w:r>
      <w:hyperlink w:anchor="b281" w:history="1">
        <w:r>
          <w:rPr>
            <w:color w:val="0A3A8C"/>
            <w:u w:val="single"/>
          </w:rPr>
          <w:t xml:space="preserve">171</w:t>
        </w:r>
      </w:hyperlink>
      <w:r>
        <w:t xml:space="preserve">, </w:t>
      </w:r>
      <w:hyperlink w:anchor="b363" w:history="1">
        <w:r>
          <w:rPr>
            <w:color w:val="0A3A8C"/>
            <w:u w:val="single"/>
          </w:rPr>
          <w:t xml:space="preserve">§§ 228</w:t>
        </w:r>
      </w:hyperlink>
      <w:r>
        <w:t xml:space="preserve"> bis </w:t>
      </w:r>
      <w:hyperlink w:anchor="b367" w:history="1">
        <w:r>
          <w:rPr>
            <w:color w:val="0A3A8C"/>
            <w:u w:val="single"/>
          </w:rPr>
          <w:t xml:space="preserve">232</w:t>
        </w:r>
      </w:hyperlink>
      <w:r>
        <w:t>), ferner durch Eintritt der Bedingung bei auflösend bedingten Ansprüchen.</w:t>
      </w:r>
    </w:p>
    <w:p>
      <w:pPr>
        <w:pStyle w:val="Heading3"/>
      </w:pPr>
      <w:bookmarkStart w:id="81" w:name="b79"/>
      <w:r>
        <w:t>§ 48 Leistung durch Dritte, Haftung Dritter</w:t>
      </w:r>
      <w:r>
        <w:t xml:space="preserve"> </w:t>
      </w:r>
      <w:r>
        <w:rPr>
          <w:rStyle w:val="Suchmarke"/>
        </w:rPr>
        <w:t>#48#</w:t>
      </w:r>
      <w:bookmarkEnd w:id="81"/>
    </w:p>
    <w:p>
      <w:r>
        <w:t>(1) Leistungen aus dem Steuerschuldverhältnis gegenüber der Finanzbehörde können auch durch Dritte bewirkt werden.</w:t>
      </w:r>
    </w:p>
    <w:p>
      <w:r>
        <w:t>(2) Dritte können sich vertraglich verpflichten, für Leistungen im Sinne des Absatzes 1 einzustehen.</w:t>
      </w:r>
    </w:p>
    <w:p>
      <w:pPr>
        <w:pStyle w:val="Heading3"/>
      </w:pPr>
      <w:bookmarkStart w:id="82" w:name="b80"/>
      <w:r>
        <w:t>§ 49 Verschollenheit</w:t>
      </w:r>
      <w:r>
        <w:t xml:space="preserve"> </w:t>
      </w:r>
      <w:r>
        <w:rPr>
          <w:rStyle w:val="Suchmarke"/>
        </w:rPr>
        <w:t>#49#</w:t>
      </w:r>
      <w:bookmarkEnd w:id="82"/>
    </w:p>
    <w:p>
      <w:r>
        <w:t>Bei Verschollenheit gilt für die Besteuerung der Tag als Todestag, mit dessen Ablauf der Beschluss über die Todeserklärung des Verschollenen rechtskräftig wird.</w:t>
      </w:r>
    </w:p>
    <w:p>
      <w:pPr>
        <w:pStyle w:val="Heading3"/>
      </w:pPr>
      <w:bookmarkStart w:id="83" w:name="b81"/>
      <w:r>
        <w:t>§ 50 Erlöschen und Unbedingtwerden der Verbrauchsteuer, Übergang der bedingten Verbrauchsteuerschuld</w:t>
      </w:r>
      <w:r>
        <w:t xml:space="preserve"> </w:t>
      </w:r>
      <w:r>
        <w:rPr>
          <w:rStyle w:val="Suchmarke"/>
        </w:rPr>
        <w:t>#50#</w:t>
      </w:r>
      <w:bookmarkEnd w:id="83"/>
    </w:p>
    <w:p>
      <w:r>
        <w:t>(1) Werden nach den Verbrauchsteuergesetzen Steuervergünstigungen unter der Bedingung gewährt, dass verbrauchsteuerpflichtige Waren einer besonderen Zweckbestimmung zugeführt werden, so erlischt die Steuer nach Maßgabe der Vergünstigung ganz oder teilweise, wenn die Bedingung eintritt oder wenn die Waren untergehen, ohne dass vorher die Steuer unbedingt geworden ist.</w:t>
      </w:r>
    </w:p>
    <w:p>
      <w:r>
        <w:t>(2) Die bedingte Steuerschuld geht jeweils auf den berechtigten Erwerber über, wenn die Waren vom Steuerschuldner vor Eintritt der Bedingung im Rahmen der vorgesehenen Zweckbestimmung an ihn weitergegeben werden.</w:t>
      </w:r>
    </w:p>
    <w:p>
      <w:r>
        <w:t>(3) Die Steuer wird unbedingt,</w:t>
      </w:r>
    </w:p>
    <w:p>
      <w:pPr>
        <w:tabs>
          <w:tab w:pos="567" w:val="left"/>
        </w:tabs>
        <w:ind w:left="567" w:hanging="567"/>
      </w:pPr>
      <w:r>
        <w:t>1.</w:t>
      </w:r>
      <w:r>
        <w:tab/>
      </w:r>
      <w:r>
        <w:t xml:space="preserve">wenn die Waren entgegen der vorgesehenen Zweckbestimmung verwendet werden oder ihr nicht mehr zugeführt werden können. </w:t>
      </w:r>
      <w:r>
        <w:rPr>
          <w:rStyle w:val="Satznummer"/>
        </w:rPr>
        <w:t>2</w:t>
      </w:r>
      <w:r>
        <w:t>Kann der Verbleib der Waren nicht festgestellt werden, so gelten sie als nicht der vorgesehenen Zweckbestimmung zugeführt, wenn der Begünstigte nicht nachweist, dass sie ihr zugeführt worden sind,</w:t>
      </w:r>
    </w:p>
    <w:p>
      <w:pPr>
        <w:tabs>
          <w:tab w:pos="567" w:val="left"/>
        </w:tabs>
        <w:ind w:left="567" w:hanging="567"/>
      </w:pPr>
      <w:r>
        <w:t>2.</w:t>
      </w:r>
      <w:r>
        <w:tab/>
      </w:r>
      <w:r>
        <w:t>in sonstigen gesetzlich bestimmten Fällen.</w:t>
      </w:r>
    </w:p>
    <w:p>
      <w:pPr>
        <w:pStyle w:val="Heading2"/>
      </w:pPr>
      <w:bookmarkStart w:id="84" w:name="b82"/>
      <w:r>
        <w:t>Dritter Abschnitt Steuerbegünstigte Zwecke</w:t>
      </w:r>
      <w:bookmarkEnd w:id="84"/>
    </w:p>
    <w:p>
      <w:pPr>
        <w:pStyle w:val="Heading3"/>
      </w:pPr>
      <w:bookmarkStart w:id="85" w:name="b83"/>
      <w:r>
        <w:t>§ 51 Allgemeines</w:t>
      </w:r>
      <w:r>
        <w:t xml:space="preserve"> </w:t>
      </w:r>
      <w:r>
        <w:rPr>
          <w:rStyle w:val="Suchmarke"/>
        </w:rPr>
        <w:t>#51#</w:t>
      </w:r>
      <w:bookmarkEnd w:id="85"/>
    </w:p>
    <w:p>
      <w:r>
        <w:t xml:space="preserve">(1) </w:t>
      </w:r>
      <w:r>
        <w:rPr>
          <w:rStyle w:val="Satznummer"/>
        </w:rPr>
        <w:t>1</w:t>
      </w:r>
      <w:r>
        <w:t xml:space="preserve">Gewährt das Gesetz eine Steuervergünstigung, weil eine Körperschaft ausschließlich und unmittelbar gemeinnützige, mildtätige oder kirchliche Zwecke (steuerbegünstigte Zwecke) verfolgt, so gelten die folgenden Vorschriften. </w:t>
      </w:r>
      <w:r>
        <w:rPr>
          <w:rStyle w:val="Satznummer"/>
        </w:rPr>
        <w:t>2</w:t>
      </w:r>
      <w:r>
        <w:t xml:space="preserve">Unter Körperschaften sind die Körperschaften, Personenvereinigungen und Vermögensmassen im Sinne des Körperschaftsteuergesetzes zu verstehen. </w:t>
      </w:r>
      <w:r>
        <w:rPr>
          <w:rStyle w:val="Satznummer"/>
        </w:rPr>
        <w:t>3</w:t>
      </w:r>
      <w:r>
        <w:t>Funktionale Untergliederungen (Abteilungen) von Körperschaften gelten nicht als selbstständige Steuersubjekte.</w:t>
      </w:r>
    </w:p>
    <w:p>
      <w:r>
        <w:t>(2) Werden die steuerbegünstigten Zwecke im Ausland verwirklicht, setzt die Steuervergünstigung voraus, dass natürliche Personen, die ihren Wohnsitz oder ihren gewöhnlichen Aufenthalt im Geltungsbereich dieses Gesetzes haben, gefördert werden oder die Tätigkeit der Körperschaft neben der Verwirklichung der steuerbegünstigten Zwecke auch zum Ansehen der Bundesrepublik Deutschland im Ausland beitragen kann.</w:t>
      </w:r>
    </w:p>
    <w:p>
      <w:r>
        <w:t xml:space="preserve">(3) </w:t>
      </w:r>
      <w:r>
        <w:rPr>
          <w:rStyle w:val="Satznummer"/>
        </w:rPr>
        <w:t>1</w:t>
      </w:r>
      <w:r>
        <w:t xml:space="preserve">Eine Steuervergünstigung setzt zudem voraus, dass die Körperschaft nach ihrer Satzung und bei ihrer tatsächlichen Geschäftsführung keine Bestrebungen im Sinne des § 4 des Bundesverfassungsschutzgesetzes fördert und dem Gedanken der Völkerverständigung nicht zuwiderhandelt. </w:t>
      </w:r>
      <w:r>
        <w:rPr>
          <w:rStyle w:val="Satznummer"/>
        </w:rPr>
        <w:t>2</w:t>
      </w:r>
      <w:r>
        <w:t xml:space="preserve">Bei Körperschaften, die im Verfassungsschutzbericht des Bundes oder eines Landes als extremistische Organisation aufgeführt sind, ist widerlegbar davon auszugehen, dass die Voraussetzungen des Satzes 1 nicht erfüllt sind. </w:t>
      </w:r>
      <w:r>
        <w:rPr>
          <w:rStyle w:val="Satznummer"/>
        </w:rPr>
        <w:t>3</w:t>
      </w:r>
      <w:r>
        <w:t>Die Finanzbehörde teilt Tatsachen, die den Verdacht von Bestrebungen im Sinne des § 4 des Bundesverfassungsschutzgesetzes oder des Zuwiderhandelns gegen den Gedanken der Völkerverständigung begründen, der Verfassungsschutzbehörde mit.</w:t>
      </w:r>
    </w:p>
    <w:p>
      <w:pPr>
        <w:pStyle w:val="Heading3"/>
      </w:pPr>
      <w:bookmarkStart w:id="86" w:name="b84"/>
      <w:r>
        <w:t>§ 52 Gemeinnützige Zwecke</w:t>
      </w:r>
      <w:r>
        <w:t xml:space="preserve"> </w:t>
      </w:r>
      <w:r>
        <w:rPr>
          <w:rStyle w:val="Suchmarke"/>
        </w:rPr>
        <w:t>#52#</w:t>
      </w:r>
      <w:bookmarkEnd w:id="86"/>
    </w:p>
    <w:p>
      <w:r>
        <w:t xml:space="preserve">(1) </w:t>
      </w:r>
      <w:r>
        <w:rPr>
          <w:rStyle w:val="Satznummer"/>
        </w:rPr>
        <w:t>1</w:t>
      </w:r>
      <w:r>
        <w:t xml:space="preserve">Eine Körperschaft verfolgt gemeinnützige Zwecke, wenn ihre Tätigkeit darauf gerichtet ist, die Allgemeinheit auf materiellem, geistigem oder sittlichem Gebiet selbstlos zu fördern. </w:t>
      </w:r>
      <w:r>
        <w:rPr>
          <w:rStyle w:val="Satznummer"/>
        </w:rPr>
        <w:t>2</w:t>
      </w:r>
      <w:r>
        <w:t xml:space="preserve">Eine Förderung der Allgemeinheit ist nicht gegeben, wenn der Kreis der Personen, dem die Förderung zugute kommt, fest abgeschlossen ist, zum Beispiel Zugehörigkeit zu einer Familie oder zur Belegschaft eines Unternehmens, oder infolge seiner Abgrenzung, insbesondere nach räumlichen oder beruflichen Merkmalen, dauernd nur klein sein kann. </w:t>
      </w:r>
      <w:r>
        <w:rPr>
          <w:rStyle w:val="Satznummer"/>
        </w:rPr>
        <w:t>3</w:t>
      </w:r>
      <w:r>
        <w:t>Eine Förderung der Allgemeinheit liegt nicht allein deswegen vor, weil eine Körperschaft ihre Mittel einer Körperschaft des öffentlichen Rechts zuführt.</w:t>
      </w:r>
    </w:p>
    <w:p>
      <w:r>
        <w:t xml:space="preserve">(2) </w:t>
      </w:r>
      <w:r>
        <w:rPr>
          <w:rStyle w:val="Satznummer"/>
        </w:rPr>
        <w:t>1</w:t>
      </w:r>
      <w:r>
        <w:t>Unter den Voraussetzungen des Absatzes 1 sind als Förderung der Allgemeinheit anzuerkennen:</w:t>
      </w:r>
    </w:p>
    <w:p>
      <w:pPr>
        <w:tabs>
          <w:tab w:pos="567" w:val="left"/>
        </w:tabs>
        <w:ind w:left="567" w:hanging="567"/>
      </w:pPr>
      <w:r>
        <w:t>1.</w:t>
      </w:r>
      <w:r>
        <w:tab/>
      </w:r>
      <w:r>
        <w:t>die Förderung von Wissenschaft und Forschung;</w:t>
      </w:r>
    </w:p>
    <w:p>
      <w:pPr>
        <w:tabs>
          <w:tab w:pos="567" w:val="left"/>
        </w:tabs>
        <w:ind w:left="567" w:hanging="567"/>
      </w:pPr>
      <w:r>
        <w:t>2.</w:t>
      </w:r>
      <w:r>
        <w:tab/>
      </w:r>
      <w:r>
        <w:t>die Förderung der Religion;</w:t>
      </w:r>
    </w:p>
    <w:p>
      <w:pPr>
        <w:tabs>
          <w:tab w:pos="567" w:val="left"/>
        </w:tabs>
        <w:ind w:left="567" w:hanging="567"/>
      </w:pPr>
      <w:r>
        <w:t>3.</w:t>
      </w:r>
      <w:r>
        <w:tab/>
      </w:r>
      <w:r>
        <w:t xml:space="preserve">die Förderung des öffentlichen Gesundheitswesens und der öffentlichen Gesundheitspflege, insbesondere die Verhütung und Bekämpfung von übertragbaren Krankheiten, auch durch Krankenhäuser im Sinne des </w:t>
      </w:r>
      <w:hyperlink w:anchor="b102" w:history="1">
        <w:r>
          <w:rPr>
            <w:color w:val="0A3A8C"/>
            <w:u w:val="single"/>
          </w:rPr>
          <w:t xml:space="preserve">§ 67</w:t>
        </w:r>
      </w:hyperlink>
      <w:r>
        <w:t>, und von Tierseuchen;</w:t>
      </w:r>
    </w:p>
    <w:p>
      <w:pPr>
        <w:tabs>
          <w:tab w:pos="567" w:val="left"/>
        </w:tabs>
        <w:ind w:left="567" w:hanging="567"/>
      </w:pPr>
      <w:r>
        <w:t>4.</w:t>
      </w:r>
      <w:r>
        <w:tab/>
      </w:r>
      <w:r>
        <w:t>die Förderung der Jugend- und Altenhilfe;</w:t>
      </w:r>
    </w:p>
    <w:p>
      <w:pPr>
        <w:tabs>
          <w:tab w:pos="567" w:val="left"/>
        </w:tabs>
        <w:ind w:left="567" w:hanging="567"/>
      </w:pPr>
      <w:r>
        <w:t>5.</w:t>
      </w:r>
      <w:r>
        <w:tab/>
      </w:r>
      <w:r>
        <w:t>die Förderung von Kunst und Kultur;</w:t>
      </w:r>
    </w:p>
    <w:p>
      <w:pPr>
        <w:tabs>
          <w:tab w:pos="567" w:val="left"/>
        </w:tabs>
        <w:ind w:left="567" w:hanging="567"/>
      </w:pPr>
      <w:r>
        <w:t>6.</w:t>
      </w:r>
      <w:r>
        <w:tab/>
      </w:r>
      <w:r>
        <w:t>die Förderung des Denkmalschutzes und der Denkmalpflege;</w:t>
      </w:r>
    </w:p>
    <w:p>
      <w:pPr>
        <w:tabs>
          <w:tab w:pos="567" w:val="left"/>
        </w:tabs>
        <w:ind w:left="567" w:hanging="567"/>
      </w:pPr>
      <w:r>
        <w:t>7.</w:t>
      </w:r>
      <w:r>
        <w:tab/>
      </w:r>
      <w:r>
        <w:t>die Förderung der Erziehung, Volks- und Berufsbildung einschließlich der Studentenhilfe;</w:t>
      </w:r>
    </w:p>
    <w:p>
      <w:pPr>
        <w:tabs>
          <w:tab w:pos="567" w:val="left"/>
        </w:tabs>
        <w:ind w:left="567" w:hanging="567"/>
      </w:pPr>
      <w:r>
        <w:t>8.</w:t>
      </w:r>
      <w:r>
        <w:tab/>
      </w:r>
      <w:r>
        <w:t>die Förderung des Naturschutzes und der Landschaftspflege im Sinne des Bundesnaturschutzgesetzes und der Naturschutzgesetze der Länder, des Umweltschutzes, einschließlich des Klimaschutzes, des Küstenschutzes und des Hochwasserschutzes;</w:t>
      </w:r>
    </w:p>
    <w:p>
      <w:pPr>
        <w:tabs>
          <w:tab w:pos="567" w:val="left"/>
        </w:tabs>
        <w:ind w:left="567" w:hanging="567"/>
      </w:pPr>
      <w:r>
        <w:t>9.</w:t>
      </w:r>
      <w:r>
        <w:tab/>
      </w:r>
      <w:r>
        <w:t>die Förderung des Wohlfahrtswesens, insbesondere der Zwecke der amtlich anerkannten Verbände der freien Wohlfahrtspflege (§ 23 der Umsatzsteuer-Durchführungsverordnung), ihrer Unterverbände und ihrer angeschlossenen Einrichtungen und Anstalten;</w:t>
      </w:r>
    </w:p>
    <w:p>
      <w:pPr>
        <w:tabs>
          <w:tab w:pos="567" w:val="left"/>
        </w:tabs>
        <w:ind w:left="567" w:hanging="567"/>
      </w:pPr>
      <w:r>
        <w:t>10.</w:t>
      </w:r>
      <w:r>
        <w:tab/>
      </w:r>
      <w:r>
        <w:t>die Förderung der Hilfe für politisch, rassistisch oder religiös Verfolgte, für Flüchtlinge, Vertriebene, Aussiedler, Spätaussiedler, Kriegsopfer, Kriegshinterbliebene, Kriegsbeschädigte und Kriegsgefangene, Zivilbeschädigte und Behinderte sowie Hilfe für Opfer von Straftaten; Förderung des Andenkens an Verfolgte, Kriegs- und Katastrophenopfer; Förderung des Suchdienstes für Vermisste, Förderung der Hilfe für Menschen, die auf Grund ihrer geschlechtlichen Identität oder ihrer geschlechtlichen Orientierung diskriminiert werden;</w:t>
      </w:r>
    </w:p>
    <w:p>
      <w:pPr>
        <w:tabs>
          <w:tab w:pos="567" w:val="left"/>
        </w:tabs>
        <w:ind w:left="567" w:hanging="567"/>
      </w:pPr>
      <w:r>
        <w:t>11.</w:t>
      </w:r>
      <w:r>
        <w:tab/>
      </w:r>
      <w:r>
        <w:t>die Förderung der Rettung aus Lebensgefahr;</w:t>
      </w:r>
    </w:p>
    <w:p>
      <w:pPr>
        <w:tabs>
          <w:tab w:pos="567" w:val="left"/>
        </w:tabs>
        <w:ind w:left="567" w:hanging="567"/>
      </w:pPr>
      <w:r>
        <w:t>12.</w:t>
      </w:r>
      <w:r>
        <w:tab/>
      </w:r>
      <w:r>
        <w:t>die Förderung des Feuer-, Arbeits-, Katastrophen- und Zivilschutzes sowie der Unfallverhütung;</w:t>
      </w:r>
    </w:p>
    <w:p>
      <w:pPr>
        <w:tabs>
          <w:tab w:pos="567" w:val="left"/>
        </w:tabs>
        <w:ind w:left="567" w:hanging="567"/>
      </w:pPr>
      <w:r>
        <w:t>13.</w:t>
      </w:r>
      <w:r>
        <w:tab/>
      </w:r>
      <w:r>
        <w:t>die Förderung internationaler Gesinnung, der Toleranz auf allen Gebieten der Kultur und des Völkerverständigungsgedankens;</w:t>
      </w:r>
    </w:p>
    <w:p>
      <w:pPr>
        <w:tabs>
          <w:tab w:pos="567" w:val="left"/>
        </w:tabs>
        <w:ind w:left="567" w:hanging="567"/>
      </w:pPr>
      <w:r>
        <w:t>14.</w:t>
      </w:r>
      <w:r>
        <w:tab/>
      </w:r>
      <w:r>
        <w:t>die Förderung des Tierschutzes;</w:t>
      </w:r>
    </w:p>
    <w:p>
      <w:pPr>
        <w:tabs>
          <w:tab w:pos="567" w:val="left"/>
        </w:tabs>
        <w:ind w:left="567" w:hanging="567"/>
      </w:pPr>
      <w:r>
        <w:t>15.</w:t>
      </w:r>
      <w:r>
        <w:tab/>
      </w:r>
      <w:r>
        <w:t>die Förderung der Entwicklungszusammenarbeit;</w:t>
      </w:r>
    </w:p>
    <w:p>
      <w:pPr>
        <w:tabs>
          <w:tab w:pos="567" w:val="left"/>
        </w:tabs>
        <w:ind w:left="567" w:hanging="567"/>
      </w:pPr>
      <w:r>
        <w:t>16.</w:t>
      </w:r>
      <w:r>
        <w:tab/>
      </w:r>
      <w:r>
        <w:t>die Förderung von Verbraucherberatung und Verbraucherschutz;</w:t>
      </w:r>
    </w:p>
    <w:p>
      <w:pPr>
        <w:tabs>
          <w:tab w:pos="567" w:val="left"/>
        </w:tabs>
        <w:ind w:left="567" w:hanging="567"/>
      </w:pPr>
      <w:r>
        <w:t>17.</w:t>
      </w:r>
      <w:r>
        <w:tab/>
      </w:r>
      <w:r>
        <w:t>die Förderung der Fürsorge für Strafgefangene und ehemalige Strafgefangene;</w:t>
      </w:r>
    </w:p>
    <w:p>
      <w:pPr>
        <w:tabs>
          <w:tab w:pos="567" w:val="left"/>
        </w:tabs>
        <w:ind w:left="567" w:hanging="567"/>
      </w:pPr>
      <w:r>
        <w:t>18.</w:t>
      </w:r>
      <w:r>
        <w:tab/>
      </w:r>
      <w:r>
        <w:t>die Förderung der Gleichberechtigung von Frauen und Männern;</w:t>
      </w:r>
    </w:p>
    <w:p>
      <w:pPr>
        <w:tabs>
          <w:tab w:pos="567" w:val="left"/>
        </w:tabs>
        <w:ind w:left="567" w:hanging="567"/>
      </w:pPr>
      <w:r>
        <w:t>19.</w:t>
      </w:r>
      <w:r>
        <w:tab/>
      </w:r>
      <w:r>
        <w:t>die Förderung des Schutzes von Ehe und Familie;</w:t>
      </w:r>
    </w:p>
    <w:p>
      <w:pPr>
        <w:tabs>
          <w:tab w:pos="567" w:val="left"/>
        </w:tabs>
        <w:ind w:left="567" w:hanging="567"/>
      </w:pPr>
      <w:r>
        <w:t>20.</w:t>
      </w:r>
      <w:r>
        <w:tab/>
      </w:r>
      <w:r>
        <w:t>die Förderung der Kriminalprävention;</w:t>
      </w:r>
    </w:p>
    <w:p>
      <w:pPr>
        <w:tabs>
          <w:tab w:pos="567" w:val="left"/>
        </w:tabs>
        <w:ind w:left="567" w:hanging="567"/>
      </w:pPr>
      <w:r>
        <w:t>21.</w:t>
      </w:r>
      <w:r>
        <w:tab/>
      </w:r>
      <w:r>
        <w:t>die Förderung des Sports (Schach und E-Sport gelten als Sport);</w:t>
      </w:r>
    </w:p>
    <w:p>
      <w:pPr>
        <w:tabs>
          <w:tab w:pos="567" w:val="left"/>
        </w:tabs>
        <w:ind w:left="567" w:hanging="567"/>
      </w:pPr>
      <w:r>
        <w:t>22.</w:t>
      </w:r>
      <w:r>
        <w:tab/>
      </w:r>
      <w:r>
        <w:t>die Förderung der Heimatpflege, Heimatkunde und der Ortsverschönerung;</w:t>
      </w:r>
    </w:p>
    <w:p>
      <w:pPr>
        <w:tabs>
          <w:tab w:pos="567" w:val="left"/>
        </w:tabs>
        <w:ind w:left="567" w:hanging="567"/>
      </w:pPr>
      <w:r>
        <w:t>23.</w:t>
      </w:r>
      <w:r>
        <w:tab/>
      </w:r>
      <w:r>
        <w:t>die Förderung der Tierzucht, der Pflanzenzucht, der Kleingärtnerei, des traditionellen Brauchtums einschließlich des Karnevals, der Fastnacht und des Faschings, der Soldaten- und Reservistenbetreuung, des Amateurfunkens, des Freifunks, des Modellflugs und des Hundesports;</w:t>
      </w:r>
    </w:p>
    <w:p>
      <w:pPr>
        <w:tabs>
          <w:tab w:pos="567" w:val="left"/>
        </w:tabs>
        <w:ind w:left="567" w:hanging="567"/>
      </w:pPr>
      <w:r>
        <w:t>24.</w:t>
      </w:r>
      <w:r>
        <w:tab/>
      </w:r>
      <w:r>
        <w:t>die allgemeine Förderung des demokratischen Staatswesens im Geltungsbereich dieses Gesetzes; hierzu gehören nicht Bestrebungen, die nur bestimmte Einzelinteressen staatsbürgerlicher Art verfolgen oder die auf den kommunalpolitischen Bereich beschränkt sind;</w:t>
      </w:r>
    </w:p>
    <w:p>
      <w:pPr>
        <w:tabs>
          <w:tab w:pos="567" w:val="left"/>
        </w:tabs>
        <w:ind w:left="567" w:hanging="567"/>
      </w:pPr>
      <w:r>
        <w:t>25.</w:t>
      </w:r>
      <w:r>
        <w:tab/>
      </w:r>
      <w:r>
        <w:t>die Förderung des bürgerschaftlichen Engagements zugunsten gemeinnütziger, mildtätiger und kirchlicher Zwecke;</w:t>
      </w:r>
    </w:p>
    <w:p>
      <w:pPr>
        <w:tabs>
          <w:tab w:pos="567" w:val="left"/>
        </w:tabs>
        <w:ind w:left="567" w:hanging="567"/>
      </w:pPr>
      <w:r>
        <w:t>26.</w:t>
      </w:r>
      <w:r>
        <w:tab/>
      </w:r>
      <w:r>
        <w:t>die Förderung der Unterhaltung und Pflege von Friedhöfen und die Förderung der Unterhaltung von Gedenkstätten für nichtbestattungspflichtige Kinder und Föten;</w:t>
      </w:r>
    </w:p>
    <w:p>
      <w:pPr>
        <w:tabs>
          <w:tab w:pos="567" w:val="left"/>
        </w:tabs>
        <w:ind w:left="567" w:hanging="567"/>
      </w:pPr>
      <w:r>
        <w:t>27.</w:t>
      </w:r>
      <w:r>
        <w:tab/>
      </w:r>
      <w:r>
        <w:t xml:space="preserve">die Förderung wohngemeinnütziger Zwecke; dies ist die vergünstigte Wohnraumüberlassung an Personen im Sinne des </w:t>
      </w:r>
      <w:hyperlink w:anchor="b85" w:history="1">
        <w:r>
          <w:rPr>
            <w:color w:val="0A3A8C"/>
            <w:u w:val="single"/>
          </w:rPr>
          <w:t xml:space="preserve">§ 53</w:t>
        </w:r>
      </w:hyperlink>
      <w:r>
        <w:t xml:space="preserve">. </w:t>
      </w:r>
      <w:r>
        <w:rPr>
          <w:rStyle w:val="Satznummer"/>
        </w:rPr>
        <w:t>2</w:t>
      </w:r>
      <w:hyperlink w:anchor="b85" w:history="1">
        <w:r>
          <w:rPr>
            <w:color w:val="0A3A8C"/>
            <w:u w:val="single"/>
          </w:rPr>
          <w:t xml:space="preserve">§ 53</w:t>
        </w:r>
      </w:hyperlink>
      <w:r>
        <w:t xml:space="preserve"> Nummer 2 ist mit der Maßgabe anzuwenden, dass die Bezüge nicht höher sein dürfen als das Fünffache des Regelsatzes der Sozialhilfe im Sinne des § 28 des Zwölften Buches Sozialgesetzbuch; beim Alleinstehenden oder Alleinerziehenden tritt an die Stelle des Fünffachen das Sechsfache des Regelsatzes. </w:t>
      </w:r>
      <w:r>
        <w:rPr>
          <w:rStyle w:val="Satznummer"/>
        </w:rPr>
        <w:t>3</w:t>
      </w:r>
      <w:r>
        <w:t>Die Hilfebedürftigkeit muss zu Beginn des jeweiligen Mietverhältnisses vorliegen.</w:t>
      </w:r>
    </w:p>
    <w:p>
      <w:r>
        <w:rPr>
          <w:rStyle w:val="Satznummer"/>
        </w:rPr>
        <w:t>2</w:t>
      </w:r>
      <w:r>
        <w:t xml:space="preserve">Sofern der von der Körperschaft verfolgte Zweck nicht unter Satz 1 fällt, aber die Allgemeinheit auf materiellem, geistigem oder sittlichem Gebiet entsprechend selbstlos gefördert wird, kann dieser Zweck für gemeinnützig erklärt werden. </w:t>
      </w:r>
      <w:r>
        <w:rPr>
          <w:rStyle w:val="Satznummer"/>
        </w:rPr>
        <w:t>3</w:t>
      </w:r>
      <w:r>
        <w:t>Die obersten Finanzbehörden der Länder haben jeweils eine Finanzbehörde im Sinne des Finanzverwaltungsgesetzes zu bestimmen, die für Entscheidungen nach Satz 2 zuständig ist.</w:t>
      </w:r>
    </w:p>
    <w:p>
      <w:pPr>
        <w:pStyle w:val="Heading3"/>
      </w:pPr>
      <w:bookmarkStart w:id="87" w:name="b85"/>
      <w:r>
        <w:t>§ 53 Mildtätige Zwecke</w:t>
      </w:r>
      <w:r>
        <w:t xml:space="preserve"> </w:t>
      </w:r>
      <w:r>
        <w:rPr>
          <w:rStyle w:val="Suchmarke"/>
        </w:rPr>
        <w:t>#53#</w:t>
      </w:r>
      <w:bookmarkEnd w:id="87"/>
    </w:p>
    <w:p>
      <w:r>
        <w:t>Eine Körperschaft verfolgt mildtätige Zwecke, wenn ihre Tätigkeit darauf gerichtet ist, Personen selbstlos zu unterstützen,</w:t>
      </w:r>
    </w:p>
    <w:p>
      <w:pPr>
        <w:tabs>
          <w:tab w:pos="567" w:val="left"/>
        </w:tabs>
        <w:ind w:left="567" w:hanging="567"/>
      </w:pPr>
      <w:r>
        <w:t>1.</w:t>
      </w:r>
      <w:r>
        <w:tab/>
      </w:r>
      <w:r>
        <w:t>die infolge ihres körperlichen, geistigen oder seelischen Zustands auf die Hilfe anderer angewiesen sind oder</w:t>
      </w:r>
    </w:p>
    <w:p>
      <w:pPr>
        <w:tabs>
          <w:tab w:pos="567" w:val="left"/>
        </w:tabs>
        <w:ind w:left="567" w:hanging="567"/>
      </w:pPr>
      <w:r>
        <w:t>2.</w:t>
      </w:r>
      <w:r>
        <w:tab/>
      </w:r>
      <w:r>
        <w:t xml:space="preserve">deren Bezüge nicht höher sind als das Vierfache des Regelsatzes der Sozialhilfe im Sinne des § 28 des Zwölften Buches Sozialgesetzbuch; beim Alleinstehenden oder Alleinerziehenden tritt an die Stelle des Vierfachen das Fünffache des Regelsatzes. </w:t>
      </w:r>
      <w:r>
        <w:rPr>
          <w:rStyle w:val="Satznummer"/>
        </w:rPr>
        <w:t>2</w:t>
      </w:r>
      <w:r>
        <w:t xml:space="preserve">Dies gilt nicht für Personen, deren Vermögen zur nachhaltigen Verbesserung ihres Unterhalts ausreicht und denen zugemutet werden kann, es dafür zu verwenden. </w:t>
      </w:r>
      <w:r>
        <w:rPr>
          <w:rStyle w:val="Satznummer"/>
        </w:rPr>
        <w:t>3</w:t>
      </w:r>
      <w:r>
        <w:t>Bezüge im Sinne dieser Vorschrift sind</w:t>
      </w:r>
    </w:p>
    <w:p>
      <w:pPr>
        <w:tabs>
          <w:tab w:pos="1134" w:val="left"/>
        </w:tabs>
        <w:ind w:left="1134" w:hanging="567"/>
      </w:pPr>
      <w:r>
        <w:t>a)</w:t>
      </w:r>
      <w:r>
        <w:tab/>
      </w:r>
      <w:r>
        <w:t>Einkünfte im Sinne des § 2 Absatz 1 des Einkommensteuergesetzes und</w:t>
      </w:r>
    </w:p>
    <w:p>
      <w:pPr>
        <w:tabs>
          <w:tab w:pos="1134" w:val="left"/>
        </w:tabs>
        <w:ind w:left="1134" w:hanging="567"/>
      </w:pPr>
      <w:r>
        <w:t>b)</w:t>
      </w:r>
      <w:r>
        <w:tab/>
      </w:r>
      <w:r>
        <w:t>andere zur Bestreitung des Unterhalts bestimmte oder geeignete Bezüge,</w:t>
      </w:r>
    </w:p>
    <w:p>
      <w:pPr>
        <w:ind w:left="567"/>
      </w:pPr>
      <w:r>
        <w:t xml:space="preserve">aller Haushaltsangehörigen. </w:t>
      </w:r>
      <w:r>
        <w:rPr>
          <w:rStyle w:val="Satznummer"/>
        </w:rPr>
        <w:t>4</w:t>
      </w:r>
      <w:r>
        <w:t xml:space="preserve">Zu berücksichtigen sind auch gezahlte und empfangene Unterhaltsleistungen. </w:t>
      </w:r>
      <w:r>
        <w:rPr>
          <w:rStyle w:val="Satznummer"/>
        </w:rPr>
        <w:t>5</w:t>
      </w:r>
      <w:r>
        <w:t xml:space="preserve">Die wirtschaftliche Hilfebedürftigkeit im vorstehenden Sinne ist bei Empfängern von Leistungen nach dem Zweiten oder Zwölften Buch Sozialgesetzbuch, des Wohngeldgesetzes, bei Empfängern von Leistungen nach § 27a des Bundesversorgungsgesetzes oder nach § 6a des Bundeskindergeldgesetzes als nachgewiesen anzusehen. </w:t>
      </w:r>
      <w:r>
        <w:rPr>
          <w:rStyle w:val="Satznummer"/>
        </w:rPr>
        <w:t>6</w:t>
      </w:r>
      <w:r>
        <w:t xml:space="preserve">Die Körperschaft kann den Nachweis mit Hilfe des jeweiligen Leistungsbescheids, der für den Unterstützungszeitraum maßgeblich ist, oder mit Hilfe der Bestätigung des Sozialleistungsträgers führen. </w:t>
      </w:r>
      <w:r>
        <w:rPr>
          <w:rStyle w:val="Satznummer"/>
        </w:rPr>
        <w:t>7</w:t>
      </w:r>
      <w:r>
        <w:t xml:space="preserve">Auf Antrag der Körperschaft kann auf einen Nachweis der wirtschaftlichen Hilfebedürftigkeit verzichtet werden, wenn auf Grund der besonderen Art der gewährten Unterstützungsleistung sichergestellt ist, dass nur wirtschaftlich hilfebedürftige Personen im vorstehenden Sinne unterstützt werden; für den Bescheid über den Nachweisverzicht gilt </w:t>
      </w:r>
      <w:hyperlink w:anchor="b94" w:history="1">
        <w:r>
          <w:rPr>
            <w:color w:val="0A3A8C"/>
            <w:u w:val="single"/>
          </w:rPr>
          <w:t xml:space="preserve">§ 60a</w:t>
        </w:r>
      </w:hyperlink>
      <w:r>
        <w:t xml:space="preserve"> Absatz 3 bis 5 entsprechend oder</w:t>
      </w:r>
    </w:p>
    <w:p>
      <w:pPr>
        <w:tabs>
          <w:tab w:pos="567" w:val="left"/>
        </w:tabs>
        <w:ind w:left="567" w:hanging="567"/>
      </w:pPr>
      <w:r>
        <w:t>3.</w:t>
      </w:r>
      <w:r>
        <w:tab/>
      </w:r>
      <w:r>
        <w:t xml:space="preserve">deren wirtschaftliche Lage aus besonderen Gründen zu einer Notlage geworden ist. </w:t>
      </w:r>
      <w:r>
        <w:rPr>
          <w:rStyle w:val="Satznummer"/>
        </w:rPr>
        <w:t>2</w:t>
      </w:r>
      <w:r>
        <w:t xml:space="preserve">Als besondere Gründe gelten insbesondere Katastrophen, die durch Erlass des Bundesministeriums der Finanzen oder einer obersten Finanzbehörde der Länder festgestellt wurden. </w:t>
      </w:r>
      <w:r>
        <w:rPr>
          <w:rStyle w:val="Satznummer"/>
        </w:rPr>
        <w:t>3</w:t>
      </w:r>
      <w:r>
        <w:t>In diesen Fällen reicht es für den Nachweis der Hilfebedürftigkeit aus, wenn die durch die Katastrophe entstandene Notlage sowie die Mehraufwendungen glaubhaft gemacht werden.</w:t>
      </w:r>
    </w:p>
    <w:p>
      <w:pPr>
        <w:pStyle w:val="Heading3"/>
      </w:pPr>
      <w:bookmarkStart w:id="88" w:name="b86"/>
      <w:r>
        <w:t>§ 54 Kirchliche Zwecke</w:t>
      </w:r>
      <w:r>
        <w:t xml:space="preserve"> </w:t>
      </w:r>
      <w:r>
        <w:rPr>
          <w:rStyle w:val="Suchmarke"/>
        </w:rPr>
        <w:t>#54#</w:t>
      </w:r>
      <w:bookmarkEnd w:id="88"/>
    </w:p>
    <w:p>
      <w:r>
        <w:t>(1) Eine Körperschaft verfolgt kirchliche Zwecke, wenn ihre Tätigkeit darauf gerichtet ist, eine Religionsgemeinschaft, die Körperschaft des öffentlichen Rechts ist, selbstlos zu fördern.</w:t>
      </w:r>
    </w:p>
    <w:p>
      <w:r>
        <w:t>(2) Zu diesen Zwecken gehören insbesondere die Errichtung, Ausschmückung und Unterhaltung von Gotteshäusern und kirchlichen Gemeindehäusern, die Abhaltung von Gottesdiensten, die Ausbildung von Geistlichen, die Erteilung von Religionsunterricht, die Beerdigung und die Pflege des Andenkens der Toten, ferner die Verwaltung des Kirchenvermögens, die Besoldung der Geistlichen, Kirchenbeamten und Kirchendiener, die Alters- und Behindertenversorgung für diese Personen und die Versorgung ihrer Witwen und Waisen.</w:t>
      </w:r>
    </w:p>
    <w:p>
      <w:pPr>
        <w:pStyle w:val="Heading3"/>
      </w:pPr>
      <w:bookmarkStart w:id="89" w:name="b87"/>
      <w:r>
        <w:t>§ 55 Selbstlosigkeit</w:t>
      </w:r>
      <w:r>
        <w:t xml:space="preserve"> </w:t>
      </w:r>
      <w:r>
        <w:rPr>
          <w:rStyle w:val="Suchmarke"/>
        </w:rPr>
        <w:t>#55#</w:t>
      </w:r>
      <w:bookmarkEnd w:id="89"/>
    </w:p>
    <w:p>
      <w:r>
        <w:t>(1) Eine Förderung oder Unterstützung geschieht selbstlos, wenn dadurch nicht in erster Linie eigenwirtschaftliche Zwecke – zum Beispiel gewerbliche Zwecke oder sonstige Erwerbszwecke – verfolgt werden und wenn die folgenden Voraussetzungen gegeben sind:</w:t>
      </w:r>
    </w:p>
    <w:p>
      <w:pPr>
        <w:tabs>
          <w:tab w:pos="567" w:val="left"/>
        </w:tabs>
        <w:ind w:left="567" w:hanging="567"/>
      </w:pPr>
      <w:r>
        <w:t>1.</w:t>
      </w:r>
      <w:r>
        <w:tab/>
      </w:r>
      <w:r>
        <w:t xml:space="preserve">Mittel der Körperschaft dürfen nur für die satzungsmäßigen Zwecke verwendet werden. </w:t>
      </w:r>
      <w:r>
        <w:rPr>
          <w:rStyle w:val="Satznummer"/>
        </w:rPr>
        <w:t>2</w:t>
      </w:r>
      <w:r>
        <w:t xml:space="preserve">Die Mitglieder oder Gesellschafter (Mitglieder im Sinne dieser Vorschriften) dürfen keine Gewinnanteile und in ihrer Eigenschaft als Mitglieder auch keine sonstigen Zuwendungen aus Mitteln der Körperschaft erhalten. </w:t>
      </w:r>
      <w:r>
        <w:rPr>
          <w:rStyle w:val="Satznummer"/>
        </w:rPr>
        <w:t>3</w:t>
      </w:r>
      <w:r>
        <w:t>Die Körperschaft darf ihre Mittel weder für die unmittelbare noch für die mittelbare Unterstützung oder Förderung politischer Parteien verwenden.</w:t>
      </w:r>
    </w:p>
    <w:p>
      <w:pPr>
        <w:tabs>
          <w:tab w:pos="567" w:val="left"/>
        </w:tabs>
        <w:ind w:left="567" w:hanging="567"/>
      </w:pPr>
      <w:r>
        <w:t>2.</w:t>
      </w:r>
      <w:r>
        <w:tab/>
      </w:r>
      <w:r>
        <w:t>Die Mitglieder dürfen bei ihrem Ausscheiden oder bei Auflösung oder Aufhebung der Körperschaft nicht mehr als ihre eingezahlten Kapitalanteile und den gemeinen Wert ihrer geleisteten Sacheinlagen zurückerhalten.</w:t>
      </w:r>
    </w:p>
    <w:p>
      <w:pPr>
        <w:tabs>
          <w:tab w:pos="567" w:val="left"/>
        </w:tabs>
        <w:ind w:left="567" w:hanging="567"/>
      </w:pPr>
      <w:r>
        <w:t>3.</w:t>
      </w:r>
      <w:r>
        <w:tab/>
      </w:r>
      <w:r>
        <w:t>Die Körperschaft darf keine Person durch Ausgaben, die dem Zweck der Körperschaft fremd sind, oder durch unverhältnismäßig hohe Vergütungen begünstigen.</w:t>
      </w:r>
    </w:p>
    <w:p>
      <w:pPr>
        <w:tabs>
          <w:tab w:pos="567" w:val="left"/>
        </w:tabs>
        <w:ind w:left="567" w:hanging="567"/>
      </w:pPr>
      <w:r>
        <w:t>4.</w:t>
      </w:r>
      <w:r>
        <w:tab/>
      </w:r>
      <w:r>
        <w:t xml:space="preserve">Bei Auflösung oder Aufhebung der Körperschaft oder bei Wegfall ihres bisherigen Zwecks darf das Vermögen der Körperschaft, soweit es die eingezahlten Kapitalanteile der Mitglieder und den gemeinen Wert der von den Mitgliedern geleisteten Sacheinlagen übersteigt, nur für steuerbegünstigte Zwecke verwendet werden (Grundsatz der Vermögensbindung). </w:t>
      </w:r>
      <w:r>
        <w:rPr>
          <w:rStyle w:val="Satznummer"/>
        </w:rPr>
        <w:t>2</w:t>
      </w:r>
      <w:r>
        <w:t>Diese Voraussetzung ist auch erfüllt, wenn das Vermögen einer anderen steuerbegünstigten Körperschaft oder einer juristischen Person des öffentlichen Rechts für steuerbegünstigte Zwecke übertragen werden soll.</w:t>
      </w:r>
    </w:p>
    <w:p>
      <w:pPr>
        <w:tabs>
          <w:tab w:pos="567" w:val="left"/>
        </w:tabs>
        <w:ind w:left="567" w:hanging="567"/>
      </w:pPr>
      <w:r>
        <w:t>5.</w:t>
      </w:r>
      <w:r>
        <w:tab/>
      </w:r>
      <w:r>
        <w:t xml:space="preserve">Die Körperschaft muss ihre Mittel vorbehaltlich des </w:t>
      </w:r>
      <w:hyperlink w:anchor="b97" w:history="1">
        <w:r>
          <w:rPr>
            <w:color w:val="0A3A8C"/>
            <w:u w:val="single"/>
          </w:rPr>
          <w:t xml:space="preserve">§ 62</w:t>
        </w:r>
      </w:hyperlink>
      <w:r>
        <w:t xml:space="preserve"> grundsätzlich zeitnah für ihre steuerbegünstigten satzungsmäßigen Zwecke verwenden. </w:t>
      </w:r>
      <w:r>
        <w:rPr>
          <w:rStyle w:val="Satznummer"/>
        </w:rPr>
        <w:t>2</w:t>
      </w:r>
      <w:r>
        <w:t xml:space="preserve">Verwendung in diesem Sinne ist auch die Verwendung der Mittel für die Anschaffung oder Herstellung von Vermögensgegenständen, die satzungsmäßigen Zwecken dienen. </w:t>
      </w:r>
      <w:r>
        <w:rPr>
          <w:rStyle w:val="Satznummer"/>
        </w:rPr>
        <w:t>3</w:t>
      </w:r>
      <w:r>
        <w:t xml:space="preserve">Eine zeitnahe Mittelverwendung ist gegeben, wenn die Mittel spätestens in den auf den Zufluss folgenden zwei Kalender- oder Wirtschaftsjahren für die steuerbegünstigten satzungsmäßigen Zwecke verwendet werden. </w:t>
      </w:r>
      <w:r>
        <w:rPr>
          <w:rStyle w:val="Satznummer"/>
        </w:rPr>
        <w:t>4</w:t>
      </w:r>
      <w:r>
        <w:t>Satz 1 gilt nicht für Körperschaften mit jährlichen Einnahmen von nicht mehr als 100 000 Euro.</w:t>
      </w:r>
    </w:p>
    <w:p>
      <w:r>
        <w:t>(2) Bei der Ermittlung des gemeinen Werts (Absatz 1 Nummer 2 und 4) kommt es auf die Verhältnisse zu dem Zeitpunkt an, in dem die Sacheinlagen geleistet worden sind.</w:t>
      </w:r>
    </w:p>
    <w:p>
      <w:r>
        <w:t>(3) Die Vorschriften, die die Mitglieder der Körperschaft betreffen (Absatz 1 Nummer 1, 2 und 4), gelten bei Stiftungen für die Stifter und ihre Erben, bei Betrieben gewerblicher Art von juristischen Personen des öffentlichen Rechts für die Körperschaft sinngemäß, jedoch mit der Maßgabe, dass bei Wirtschaftsgütern, die nach § 6 Absatz 1 Nummer 4 Satz 4 des Einkommensteuergesetzes aus einem Betriebsvermögen zum Buchwert entnommen worden sind, an die Stelle des gemeinen Werts der Buchwert der Entnahme tritt.</w:t>
      </w:r>
    </w:p>
    <w:p>
      <w:pPr>
        <w:pStyle w:val="Heading3"/>
      </w:pPr>
      <w:bookmarkStart w:id="90" w:name="b88"/>
      <w:r>
        <w:t>§ 56 Ausschließlichkeit</w:t>
      </w:r>
      <w:r>
        <w:t xml:space="preserve"> </w:t>
      </w:r>
      <w:r>
        <w:rPr>
          <w:rStyle w:val="Suchmarke"/>
        </w:rPr>
        <w:t>#56#</w:t>
      </w:r>
      <w:bookmarkEnd w:id="90"/>
    </w:p>
    <w:p>
      <w:r>
        <w:t>Ausschließlichkeit liegt vor, wenn eine Körperschaft nur ihre steuerbegünstigten satzungsmäßigen Zwecke verfolgt.</w:t>
      </w:r>
    </w:p>
    <w:p>
      <w:pPr>
        <w:pStyle w:val="Heading3"/>
      </w:pPr>
      <w:bookmarkStart w:id="91" w:name="b89"/>
      <w:r>
        <w:t>§ 57 Unmittelbarkeit</w:t>
      </w:r>
      <w:r>
        <w:t xml:space="preserve"> </w:t>
      </w:r>
      <w:r>
        <w:rPr>
          <w:rStyle w:val="Suchmarke"/>
        </w:rPr>
        <w:t>#57#</w:t>
      </w:r>
      <w:bookmarkEnd w:id="91"/>
    </w:p>
    <w:p>
      <w:r>
        <w:t xml:space="preserve">(1) </w:t>
      </w:r>
      <w:r>
        <w:rPr>
          <w:rStyle w:val="Satznummer"/>
        </w:rPr>
        <w:t>1</w:t>
      </w:r>
      <w:r>
        <w:t xml:space="preserve">Eine Körperschaft verfolgt unmittelbar ihre steuerbegünstigten satzungsmäßigen Zwecke, wenn sie selbst diese Zwecke verwirklicht. </w:t>
      </w:r>
      <w:r>
        <w:rPr>
          <w:rStyle w:val="Satznummer"/>
        </w:rPr>
        <w:t>2</w:t>
      </w:r>
      <w:r>
        <w:t>Das kann auch durch Hilfspersonen geschehen, wenn nach den Umständen des Falls, insbesondere nach den rechtlichen und tatsächlichen Beziehungen, die zwischen der Körperschaft und der Hilfsperson bestehen, das Wirken der Hilfsperson wie eigenes Wirken der Körperschaft anzusehen ist.</w:t>
      </w:r>
    </w:p>
    <w:p>
      <w:r>
        <w:t>(2) Eine Körperschaft, in der steuerbegünstigte Körperschaften zusammengefasst sind, wird einer Körperschaft, die unmittelbar steuerbegünstigte Zwecke verfolgt, gleichgestellt.</w:t>
      </w:r>
    </w:p>
    <w:p>
      <w:r>
        <w:t xml:space="preserve">(3) </w:t>
      </w:r>
      <w:r>
        <w:rPr>
          <w:rStyle w:val="Satznummer"/>
        </w:rPr>
        <w:t>1</w:t>
      </w:r>
      <w:r>
        <w:t xml:space="preserve">Eine Körperschaft verfolgt ihre steuerbegünstigten Zwecke auch dann unmittelbar im Sinne des Absatzes 1 Satz 1, wenn sie satzungsgemäß durch planmäßiges Zusammenwirken mit mindestens einer weiteren Körperschaft, die im Übrigen die Voraussetzungen der </w:t>
      </w:r>
      <w:hyperlink w:anchor="b83" w:history="1">
        <w:r>
          <w:rPr>
            <w:color w:val="0A3A8C"/>
            <w:u w:val="single"/>
          </w:rPr>
          <w:t xml:space="preserve">§§ 51</w:t>
        </w:r>
      </w:hyperlink>
      <w:r>
        <w:t xml:space="preserve"> bis </w:t>
      </w:r>
      <w:hyperlink w:anchor="b104" w:history="1">
        <w:r>
          <w:rPr>
            <w:color w:val="0A3A8C"/>
            <w:u w:val="single"/>
          </w:rPr>
          <w:t xml:space="preserve">68</w:t>
        </w:r>
      </w:hyperlink>
      <w:r>
        <w:t xml:space="preserve"> erfüllt, einen steuerbegünstigten Zweck verwirklicht. </w:t>
      </w:r>
      <w:r>
        <w:rPr>
          <w:rStyle w:val="Satznummer"/>
        </w:rPr>
        <w:t>2</w:t>
      </w:r>
      <w:r>
        <w:t xml:space="preserve">Die </w:t>
      </w:r>
      <w:hyperlink w:anchor="b17" w:history="1">
        <w:r>
          <w:rPr>
            <w:color w:val="0A3A8C"/>
            <w:u w:val="single"/>
          </w:rPr>
          <w:t xml:space="preserve">§§ 14</w:t>
        </w:r>
      </w:hyperlink>
      <w:r>
        <w:t xml:space="preserve"> sowie </w:t>
      </w:r>
      <w:hyperlink w:anchor="b100" w:history="1">
        <w:r>
          <w:rPr>
            <w:color w:val="0A3A8C"/>
            <w:u w:val="single"/>
          </w:rPr>
          <w:t xml:space="preserve">65</w:t>
        </w:r>
      </w:hyperlink>
      <w:r>
        <w:t xml:space="preserve"> bis </w:t>
      </w:r>
      <w:hyperlink w:anchor="b104" w:history="1">
        <w:r>
          <w:rPr>
            <w:color w:val="0A3A8C"/>
            <w:u w:val="single"/>
          </w:rPr>
          <w:t xml:space="preserve">68</w:t>
        </w:r>
      </w:hyperlink>
      <w:r>
        <w:t xml:space="preserve"> sind mit der Maßgabe anzuwenden, dass für das Vorliegen der Eigenschaft als Zweckbetrieb bei der jeweiligen Körperschaft die Tätigkeiten der nach Satz 1 zusammenwirkenden Körperschaften zusammenzufassen sind.</w:t>
      </w:r>
    </w:p>
    <w:p>
      <w:r>
        <w:t>(4) Eine Körperschaft verfolgt ihre steuerbegünstigten Zwecke auch dann unmittelbar im Sinne des Absatzes 1 Satz 1, wenn sie ausschließlich Anteile an steuerbegünstigten Kapitalgesellschaften hält und verwaltet.</w:t>
      </w:r>
    </w:p>
    <w:p>
      <w:pPr>
        <w:pStyle w:val="Heading3"/>
      </w:pPr>
      <w:bookmarkStart w:id="92" w:name="b90"/>
      <w:r>
        <w:t>§ 58 Steuerlich unschädliche Betätigungen</w:t>
      </w:r>
      <w:r>
        <w:t xml:space="preserve"> </w:t>
      </w:r>
      <w:r>
        <w:rPr>
          <w:rStyle w:val="Suchmarke"/>
        </w:rPr>
        <w:t>#58#</w:t>
      </w:r>
      <w:bookmarkEnd w:id="92"/>
    </w:p>
    <w:p>
      <w:r>
        <w:t>Die Steuervergünstigung wird nicht dadurch ausgeschlossen, dass</w:t>
      </w:r>
    </w:p>
    <w:p>
      <w:pPr>
        <w:tabs>
          <w:tab w:pos="567" w:val="left"/>
        </w:tabs>
        <w:ind w:left="567" w:hanging="567"/>
      </w:pPr>
      <w:r>
        <w:t>1.</w:t>
      </w:r>
      <w:r>
        <w:tab/>
      </w:r>
      <w:r>
        <w:t xml:space="preserve">eine Körperschaft einer anderen Körperschaft oder einer juristischen Person des öffentlichen Rechts Mittel für die Verwirklichung steuerbegünstigter Zwecke zuwendet. </w:t>
      </w:r>
      <w:r>
        <w:rPr>
          <w:rStyle w:val="Satznummer"/>
        </w:rPr>
        <w:t>2</w:t>
      </w:r>
      <w:r>
        <w:t xml:space="preserve">Mittel sind sämtliche Vermögenswerte der Körperschaft. </w:t>
      </w:r>
      <w:r>
        <w:rPr>
          <w:rStyle w:val="Satznummer"/>
        </w:rPr>
        <w:t>3</w:t>
      </w:r>
      <w:r>
        <w:t xml:space="preserve">Die Zuwendung von Mitteln an eine beschränkt oder unbeschränkt steuerpflichtige Körperschaft des privaten Rechts setzt voraus, dass diese selbst steuerbegünstigt ist. </w:t>
      </w:r>
      <w:r>
        <w:rPr>
          <w:rStyle w:val="Satznummer"/>
        </w:rPr>
        <w:t>4</w:t>
      </w:r>
      <w:r>
        <w:t>Beabsichtigt die Körperschaft, als einzige Art der Zweckverwirklichung Mittel anderen Körperschaften oder juristischen Personen des öffentlichen Rechts zuzuwenden, ist die Mittelweitergabe als Art der Zweckverwirklichung in der Satzung zu benennen,</w:t>
      </w:r>
    </w:p>
    <w:p>
      <w:pPr>
        <w:tabs>
          <w:tab w:pos="567" w:val="left"/>
        </w:tabs>
        <w:ind w:left="567" w:hanging="567"/>
      </w:pPr>
      <w:r>
        <w:t>2.</w:t>
      </w:r>
      <w:r>
        <w:tab/>
      </w:r>
      <w:r>
        <w:t>(weggefallen)</w:t>
      </w:r>
    </w:p>
    <w:p>
      <w:pPr>
        <w:tabs>
          <w:tab w:pos="567" w:val="left"/>
        </w:tabs>
        <w:ind w:left="567" w:hanging="567"/>
      </w:pPr>
      <w:r>
        <w:t>3.</w:t>
      </w:r>
      <w:r>
        <w:tab/>
      </w:r>
      <w:r>
        <w:t xml:space="preserve">eine Körperschaft ihre Überschüsse der Einnahmen über die Ausgaben aus der Vermögensverwaltung, ihre Gewinne aus den wirtschaftlichen Geschäftsbetrieben ganz oder teilweise und darüber hinaus höchstens 15 Prozent ihrer sonstigen nach </w:t>
      </w:r>
      <w:hyperlink w:anchor="b87" w:history="1">
        <w:r>
          <w:rPr>
            <w:color w:val="0A3A8C"/>
            <w:u w:val="single"/>
          </w:rPr>
          <w:t xml:space="preserve">§ 55</w:t>
        </w:r>
      </w:hyperlink>
      <w:r>
        <w:t xml:space="preserve"> Absatz 1 Nummer 5 zeitnah zu verwendenden Mittel einer anderen steuerbegünstigten Körperschaft oder einer juristischen Person des öffentlichen Rechts zur Vermögensausstattung zuwendet. </w:t>
      </w:r>
      <w:r>
        <w:rPr>
          <w:rStyle w:val="Satznummer"/>
        </w:rPr>
        <w:t>2</w:t>
      </w:r>
      <w:r>
        <w:t xml:space="preserve">Die aus den Vermögenserträgen zu verwirklichenden steuerbegünstigten Zwecke müssen den steuerbegünstigten satzungsmäßigen Zwecken der zuwendenden Körperschaft entsprechen. </w:t>
      </w:r>
      <w:r>
        <w:rPr>
          <w:rStyle w:val="Satznummer"/>
        </w:rPr>
        <w:t>3</w:t>
      </w:r>
      <w:r>
        <w:t>Die nach dieser Nummer zugewandten Mittel und deren Erträge dürfen nicht für weitere Mittelweitergaben im Sinne des ersten Satzes verwendet werden,</w:t>
      </w:r>
    </w:p>
    <w:p>
      <w:pPr>
        <w:tabs>
          <w:tab w:pos="567" w:val="left"/>
        </w:tabs>
        <w:ind w:left="567" w:hanging="567"/>
      </w:pPr>
      <w:r>
        <w:t>4.</w:t>
      </w:r>
      <w:r>
        <w:tab/>
      </w:r>
      <w:r>
        <w:t>eine Körperschaft ihre Arbeitskräfte anderen Personen, Unternehmen, Einrichtungen oder einer juristischen Person des öffentlichen Rechts für steuerbegünstigte Zwecke zur Verfügung stellt,</w:t>
      </w:r>
    </w:p>
    <w:p>
      <w:pPr>
        <w:tabs>
          <w:tab w:pos="567" w:val="left"/>
        </w:tabs>
        <w:ind w:left="567" w:hanging="567"/>
      </w:pPr>
      <w:r>
        <w:t>5.</w:t>
      </w:r>
      <w:r>
        <w:tab/>
      </w:r>
      <w:r>
        <w:t>eine Körperschaft ihr gehörende Räume einer anderen, ebenfalls steuerbegünstigten Körperschaft oder einer juristischen Person des öffentlichen Rechts zur Nutzung zu steuerbegünstigten Zwecken überlässt,</w:t>
      </w:r>
    </w:p>
    <w:p>
      <w:pPr>
        <w:tabs>
          <w:tab w:pos="567" w:val="left"/>
        </w:tabs>
        <w:ind w:left="567" w:hanging="567"/>
      </w:pPr>
      <w:r>
        <w:t>6.</w:t>
      </w:r>
      <w:r>
        <w:tab/>
      </w:r>
      <w:r>
        <w:t>eine Stiftung einen Teil, jedoch höchstens ein Drittel ihres Einkommens dazu verwendet, um in angemessener Weise den Stifter und seine nächsten Angehörigen zu unterhalten, ihre Gräber zu pflegen und ihr Andenken zu ehren,</w:t>
      </w:r>
    </w:p>
    <w:p>
      <w:pPr>
        <w:tabs>
          <w:tab w:pos="567" w:val="left"/>
        </w:tabs>
        <w:ind w:left="567" w:hanging="567"/>
      </w:pPr>
      <w:r>
        <w:t>7.</w:t>
      </w:r>
      <w:r>
        <w:tab/>
      </w:r>
      <w:r>
        <w:t>eine Körperschaft gesellige Zusammenkünfte veranstaltet, die im Vergleich zu ihrer steuerbegünstigten Tätigkeit von untergeordneter Bedeutung sind,</w:t>
      </w:r>
    </w:p>
    <w:p>
      <w:pPr>
        <w:tabs>
          <w:tab w:pos="567" w:val="left"/>
        </w:tabs>
        <w:ind w:left="567" w:hanging="567"/>
      </w:pPr>
      <w:r>
        <w:t>8.</w:t>
      </w:r>
      <w:r>
        <w:tab/>
      </w:r>
      <w:r>
        <w:t>ein Sportverein neben dem unbezahlten auch den bezahlten Sport fördert,</w:t>
      </w:r>
    </w:p>
    <w:p>
      <w:pPr>
        <w:tabs>
          <w:tab w:pos="567" w:val="left"/>
        </w:tabs>
        <w:ind w:left="567" w:hanging="567"/>
      </w:pPr>
      <w:r>
        <w:t>9.</w:t>
      </w:r>
      <w:r>
        <w:tab/>
      </w:r>
      <w:r>
        <w:t>eine von einer Gebietskörperschaft errichtete Stiftung zur Erfüllung ihrer steuerbegünstigten Zwecke Zuschüsse an Wirtschaftsunternehmen vergibt,</w:t>
      </w:r>
    </w:p>
    <w:p>
      <w:pPr>
        <w:tabs>
          <w:tab w:pos="567" w:val="left"/>
        </w:tabs>
        <w:ind w:left="567" w:hanging="567"/>
      </w:pPr>
      <w:r>
        <w:t>10.</w:t>
      </w:r>
      <w:r>
        <w:tab/>
      </w:r>
      <w:r>
        <w:t xml:space="preserve">eine Körperschaft Mittel zum Erwerb von Gesellschaftsrechten zur Erhaltung der prozentualen Beteiligung an Kapitalgesellschaften im Jahr des Zuflusses verwendet. </w:t>
      </w:r>
      <w:r>
        <w:rPr>
          <w:rStyle w:val="Satznummer"/>
        </w:rPr>
        <w:t>2</w:t>
      </w:r>
      <w:r>
        <w:t xml:space="preserve">Dieser Erwerb mindert die Höhe der Rücklage nach </w:t>
      </w:r>
      <w:hyperlink w:anchor="b97" w:history="1">
        <w:r>
          <w:rPr>
            <w:color w:val="0A3A8C"/>
            <w:u w:val="single"/>
          </w:rPr>
          <w:t xml:space="preserve">§ 62</w:t>
        </w:r>
      </w:hyperlink>
      <w:r>
        <w:t xml:space="preserve"> Absatz 1 Nummer 3,</w:t>
      </w:r>
    </w:p>
    <w:p>
      <w:pPr>
        <w:tabs>
          <w:tab w:pos="567" w:val="left"/>
        </w:tabs>
        <w:ind w:left="567" w:hanging="567"/>
      </w:pPr>
      <w:r>
        <w:t>11.</w:t>
      </w:r>
      <w:r>
        <w:tab/>
      </w:r>
      <w:r>
        <w:t>eine Körperschaft Mittel für die Errichtung und den Betrieb von Photovoltaikanlagen und anderen Anlagen nach dem Erneuerbare-Energien-Gesetz verwendet, soweit es sich dabei nicht um den Hauptzweck der Körperschaft handelt.</w:t>
      </w:r>
    </w:p>
    <w:p>
      <w:pPr>
        <w:pStyle w:val="Heading3"/>
      </w:pPr>
      <w:bookmarkStart w:id="93" w:name="b91"/>
      <w:r>
        <w:t>§ 58a Vertrauensschutz bei Mittelweitergaben</w:t>
      </w:r>
      <w:r>
        <w:t xml:space="preserve"> </w:t>
      </w:r>
      <w:r>
        <w:rPr>
          <w:rStyle w:val="Suchmarke"/>
        </w:rPr>
        <w:t>#58a#</w:t>
      </w:r>
      <w:bookmarkEnd w:id="93"/>
    </w:p>
    <w:p>
      <w:r>
        <w:t>(1) Wendet eine steuerbegünstigte Körperschaft Mittel einer anderen Körperschaft zu, darf sie unter den Voraussetzungen des Absatzes 2 darauf vertrauen, dass die empfangende Körperschaft</w:t>
      </w:r>
    </w:p>
    <w:p>
      <w:pPr>
        <w:tabs>
          <w:tab w:pos="567" w:val="left"/>
        </w:tabs>
        <w:ind w:left="567" w:hanging="567"/>
      </w:pPr>
      <w:r>
        <w:t>1.</w:t>
      </w:r>
      <w:r>
        <w:tab/>
      </w:r>
      <w:r>
        <w:t>nach § 5 Absatz 1 Nummer 9 des Körperschaftsteuergesetzes im Zeitpunkt der Zuwendung steuerbegünstigt ist und</w:t>
      </w:r>
    </w:p>
    <w:p>
      <w:pPr>
        <w:tabs>
          <w:tab w:pos="567" w:val="left"/>
        </w:tabs>
        <w:ind w:left="567" w:hanging="567"/>
      </w:pPr>
      <w:r>
        <w:t>2.</w:t>
      </w:r>
      <w:r>
        <w:tab/>
      </w:r>
      <w:r>
        <w:t>die Zuwendung für steuerbegünstigte Zwecke verwendet.</w:t>
      </w:r>
    </w:p>
    <w:p>
      <w:r>
        <w:t>(2) Das Vertrauen der zuwendenden Körperschaft nach Absatz 1 ist nur schutzwürdig, wenn sich die zuwendende Körperschaft zum Zeitpunkt der Zuwendung die Steuerbegünstigung der empfangenden Körperschaft nach § 5 Absatz 1 Nummer 9 des Körperschaftsteuergesetzes hat nachweisen lassen durch eine Ausfertigung</w:t>
      </w:r>
    </w:p>
    <w:p>
      <w:pPr>
        <w:tabs>
          <w:tab w:pos="567" w:val="left"/>
        </w:tabs>
        <w:ind w:left="567" w:hanging="567"/>
      </w:pPr>
      <w:r>
        <w:t>1.</w:t>
      </w:r>
      <w:r>
        <w:tab/>
      </w:r>
      <w:r>
        <w:t>der Anlage zum Körperschaftsteuerbescheid, deren Datum nicht länger als fünf Jahre zurückliegt oder</w:t>
      </w:r>
    </w:p>
    <w:p>
      <w:pPr>
        <w:tabs>
          <w:tab w:pos="567" w:val="left"/>
        </w:tabs>
        <w:ind w:left="567" w:hanging="567"/>
      </w:pPr>
      <w:r>
        <w:t>2.</w:t>
      </w:r>
      <w:r>
        <w:tab/>
      </w:r>
      <w:r>
        <w:t>des Freistellungsbescheids, dessen Datum nicht länger als fünf Jahre zurückliegt oder</w:t>
      </w:r>
    </w:p>
    <w:p>
      <w:pPr>
        <w:tabs>
          <w:tab w:pos="567" w:val="left"/>
        </w:tabs>
        <w:ind w:left="567" w:hanging="567"/>
      </w:pPr>
      <w:r>
        <w:t>3.</w:t>
      </w:r>
      <w:r>
        <w:tab/>
      </w:r>
      <w:r>
        <w:t xml:space="preserve">des Bescheids über die Feststellung der Einhaltung der satzungsmäßigen Voraussetzungen nach </w:t>
      </w:r>
      <w:hyperlink w:anchor="b94" w:history="1">
        <w:r>
          <w:rPr>
            <w:color w:val="0A3A8C"/>
            <w:u w:val="single"/>
          </w:rPr>
          <w:t xml:space="preserve">§ 60a</w:t>
        </w:r>
      </w:hyperlink>
      <w:r>
        <w:t xml:space="preserve"> Absatz 1, dessen Datum nicht länger als drei Jahre zurückliegt, wenn der empfangenden Körperschaft bisher kein Freistellungsbescheid oder keine Anlage zum Körperschaftsteuerbescheid erteilt wurde.</w:t>
      </w:r>
    </w:p>
    <w:p>
      <w:r>
        <w:t>(3) Absatz 1 ist nicht anzuwenden, wenn</w:t>
      </w:r>
    </w:p>
    <w:p>
      <w:pPr>
        <w:tabs>
          <w:tab w:pos="567" w:val="left"/>
        </w:tabs>
        <w:ind w:left="567" w:hanging="567"/>
      </w:pPr>
      <w:r>
        <w:t>1.</w:t>
      </w:r>
      <w:r>
        <w:tab/>
      </w:r>
      <w:r>
        <w:t>der zuwendenden Körperschaft die Unrichtigkeit eines Verwaltungsakts nach Absatz 2 bekannt ist oder infolge grober Fahrlässigkeit nicht bekannt war oder</w:t>
      </w:r>
    </w:p>
    <w:p>
      <w:pPr>
        <w:tabs>
          <w:tab w:pos="567" w:val="left"/>
        </w:tabs>
        <w:ind w:left="567" w:hanging="567"/>
      </w:pPr>
      <w:r>
        <w:t>2.</w:t>
      </w:r>
      <w:r>
        <w:tab/>
      </w:r>
      <w:r>
        <w:t>die zuwendende Körperschaft eine Verwendung für nicht steuerbegünstigte Zwecke durch die empfangende Körperschaft veranlasst hat.</w:t>
      </w:r>
    </w:p>
    <w:p>
      <w:pPr>
        <w:pStyle w:val="Heading3"/>
      </w:pPr>
      <w:bookmarkStart w:id="94" w:name="b92"/>
      <w:r>
        <w:t>§ 59 Voraussetzung der Steuervergünstigung</w:t>
      </w:r>
      <w:r>
        <w:t xml:space="preserve"> </w:t>
      </w:r>
      <w:r>
        <w:rPr>
          <w:rStyle w:val="Suchmarke"/>
        </w:rPr>
        <w:t>#59#</w:t>
      </w:r>
      <w:bookmarkEnd w:id="94"/>
    </w:p>
    <w:p>
      <w:r>
        <w:t xml:space="preserve">Die Steuervergünstigung wird gewährt, wenn sich aus der Satzung, dem Stiftungsgeschäft oder der sonstigen Verfassung (Satzung im Sinne dieser Vorschriften) ergibt, welchen Zweck die Körperschaft verfolgt, dass dieser Zweck den Anforderungen der </w:t>
      </w:r>
      <w:hyperlink w:anchor="b84" w:history="1">
        <w:r>
          <w:rPr>
            <w:color w:val="0A3A8C"/>
            <w:u w:val="single"/>
          </w:rPr>
          <w:t xml:space="preserve">§§ 52</w:t>
        </w:r>
      </w:hyperlink>
      <w:r>
        <w:t xml:space="preserve"> bis </w:t>
      </w:r>
      <w:hyperlink w:anchor="b87" w:history="1">
        <w:r>
          <w:rPr>
            <w:color w:val="0A3A8C"/>
            <w:u w:val="single"/>
          </w:rPr>
          <w:t xml:space="preserve">55</w:t>
        </w:r>
      </w:hyperlink>
      <w:r>
        <w:t xml:space="preserve"> entspricht und dass er ausschließlich und unmittelbar verfolgt wird; die tatsächliche Geschäftsführung muss diesen Satzungsbestimmungen entsprechen.</w:t>
      </w:r>
    </w:p>
    <w:p>
      <w:pPr>
        <w:pStyle w:val="Heading3"/>
      </w:pPr>
      <w:bookmarkStart w:id="95" w:name="b93"/>
      <w:r>
        <w:t>§ 60 Anforderungen an die Satzung</w:t>
      </w:r>
      <w:r>
        <w:t xml:space="preserve"> </w:t>
      </w:r>
      <w:r>
        <w:rPr>
          <w:rStyle w:val="Suchmarke"/>
        </w:rPr>
        <w:t>#60#</w:t>
      </w:r>
      <w:bookmarkEnd w:id="95"/>
    </w:p>
    <w:p>
      <w:r>
        <w:t xml:space="preserve">(1) </w:t>
      </w:r>
      <w:r>
        <w:rPr>
          <w:rStyle w:val="Satznummer"/>
        </w:rPr>
        <w:t>1</w:t>
      </w:r>
      <w:r>
        <w:t xml:space="preserve">Die Satzungszwecke und die Art ihrer Verwirklichung müssen so genau bestimmt sein, dass auf Grund der Satzung geprüft werden kann, ob die satzungsmäßigen Voraussetzungen für Steuervergünstigungen gegeben sind. </w:t>
      </w:r>
      <w:r>
        <w:rPr>
          <w:rStyle w:val="Satznummer"/>
        </w:rPr>
        <w:t>2</w:t>
      </w:r>
      <w:r>
        <w:t>Die Satzung muss die in der Anlage 1 bezeichneten Festlegungen enthalten.</w:t>
      </w:r>
    </w:p>
    <w:p>
      <w:r>
        <w:t>(2) Die Satzung muss den vorgeschriebenen Erfordernissen bei der Körperschaftsteuer und bei der Gewerbesteuer während des ganzen Veranlagungs- oder Bemessungszeitraums, bei den anderen Steuern im Zeitpunkt der Entstehung der Steuer entsprechen.</w:t>
      </w:r>
    </w:p>
    <w:p>
      <w:pPr>
        <w:pStyle w:val="Heading3"/>
      </w:pPr>
      <w:bookmarkStart w:id="96" w:name="b94"/>
      <w:r>
        <w:t>§ 60a Feststellung der satzungsmäßigen Voraussetzungen</w:t>
      </w:r>
      <w:r>
        <w:t xml:space="preserve"> </w:t>
      </w:r>
      <w:r>
        <w:rPr>
          <w:rStyle w:val="Suchmarke"/>
        </w:rPr>
        <w:t>#60a#</w:t>
      </w:r>
      <w:bookmarkEnd w:id="96"/>
    </w:p>
    <w:p>
      <w:r>
        <w:t xml:space="preserve">(1) </w:t>
      </w:r>
      <w:r>
        <w:rPr>
          <w:rStyle w:val="Satznummer"/>
        </w:rPr>
        <w:t>1</w:t>
      </w:r>
      <w:r>
        <w:t xml:space="preserve">Die Einhaltung der satzungsmäßigen Voraussetzungen nach den </w:t>
      </w:r>
      <w:hyperlink w:anchor="b83" w:history="1">
        <w:r>
          <w:rPr>
            <w:color w:val="0A3A8C"/>
            <w:u w:val="single"/>
          </w:rPr>
          <w:t xml:space="preserve">§§ 51</w:t>
        </w:r>
      </w:hyperlink>
      <w:r>
        <w:t xml:space="preserve">, </w:t>
      </w:r>
      <w:hyperlink w:anchor="b92" w:history="1">
        <w:r>
          <w:rPr>
            <w:color w:val="0A3A8C"/>
            <w:u w:val="single"/>
          </w:rPr>
          <w:t xml:space="preserve">59</w:t>
        </w:r>
      </w:hyperlink>
      <w:r>
        <w:t xml:space="preserve">, </w:t>
      </w:r>
      <w:hyperlink w:anchor="b93" w:history="1">
        <w:r>
          <w:rPr>
            <w:color w:val="0A3A8C"/>
            <w:u w:val="single"/>
          </w:rPr>
          <w:t xml:space="preserve">60</w:t>
        </w:r>
      </w:hyperlink>
      <w:r>
        <w:t xml:space="preserve"> und </w:t>
      </w:r>
      <w:hyperlink w:anchor="b96" w:history="1">
        <w:r>
          <w:rPr>
            <w:color w:val="0A3A8C"/>
            <w:u w:val="single"/>
          </w:rPr>
          <w:t xml:space="preserve">61</w:t>
        </w:r>
      </w:hyperlink>
      <w:r>
        <w:t xml:space="preserve"> wird gesondert festgestellt. </w:t>
      </w:r>
      <w:r>
        <w:rPr>
          <w:rStyle w:val="Satznummer"/>
        </w:rPr>
        <w:t>2</w:t>
      </w:r>
      <w:r>
        <w:t>Die Feststellung der Satzungsmäßigkeit ist für die Besteuerung der Körperschaft und der Steuerpflichtigen, die Zuwendungen in Form von Spenden und Mitgliedsbeiträgen an die Körperschaft erbringen, bindend.</w:t>
      </w:r>
    </w:p>
    <w:p>
      <w:r>
        <w:t>(2) Die Feststellung der Satzungsmäßigkeit erfolgt</w:t>
      </w:r>
    </w:p>
    <w:p>
      <w:pPr>
        <w:tabs>
          <w:tab w:pos="567" w:val="left"/>
        </w:tabs>
        <w:ind w:left="567" w:hanging="567"/>
      </w:pPr>
      <w:r>
        <w:t>1.</w:t>
      </w:r>
      <w:r>
        <w:tab/>
      </w:r>
      <w:r>
        <w:t>auf Antrag der Körperschaft oder</w:t>
      </w:r>
    </w:p>
    <w:p>
      <w:pPr>
        <w:tabs>
          <w:tab w:pos="567" w:val="left"/>
        </w:tabs>
        <w:ind w:left="567" w:hanging="567"/>
      </w:pPr>
      <w:r>
        <w:t>2.</w:t>
      </w:r>
      <w:r>
        <w:tab/>
      </w:r>
      <w:r>
        <w:t>von Amts wegen bei der Veranlagung zur Körperschaftsteuer, wenn bisher noch keine Feststellung erfolgt ist.</w:t>
      </w:r>
    </w:p>
    <w:p>
      <w:r>
        <w:t>(3) Die Bindungswirkung der Feststellung entfällt ab dem Zeitpunkt, in dem die Rechtsvorschriften, auf denen die Feststellung beruht, aufgehoben oder geändert werden.</w:t>
      </w:r>
    </w:p>
    <w:p>
      <w:r>
        <w:t>(4) Tritt bei den für die Feststellung erheblichen Verhältnissen eine Änderung ein, ist die Feststellung mit Wirkung vom Zeitpunkt der Änderung der Verhältnisse aufzuheben.</w:t>
      </w:r>
    </w:p>
    <w:p>
      <w:r>
        <w:t xml:space="preserve">(5) </w:t>
      </w:r>
      <w:r>
        <w:rPr>
          <w:rStyle w:val="Satznummer"/>
        </w:rPr>
        <w:t>1</w:t>
      </w:r>
      <w:r>
        <w:t xml:space="preserve">Materielle Fehler im Feststellungsbescheid über die Satzungsmäßigkeit können mit Wirkung ab dem Kalenderjahr beseitigt werden, das auf die Bekanntgabe der Aufhebung der Feststellung folgt. </w:t>
      </w:r>
      <w:r>
        <w:rPr>
          <w:rStyle w:val="Satznummer"/>
        </w:rPr>
        <w:t>2</w:t>
      </w:r>
      <w:hyperlink w:anchor="b290" w:history="1">
        <w:r>
          <w:rPr>
            <w:color w:val="0A3A8C"/>
            <w:u w:val="single"/>
          </w:rPr>
          <w:t xml:space="preserve">§ 176</w:t>
        </w:r>
      </w:hyperlink>
      <w:r>
        <w:t xml:space="preserve"> gilt entsprechend, außer es sind Kalenderjahre zu ändern, die nach der Verkündung der maßgeblichen Entscheidung eines obersten Gerichtshofes des Bundes beginnen.</w:t>
      </w:r>
    </w:p>
    <w:p>
      <w:r>
        <w:t xml:space="preserve">(6) </w:t>
      </w:r>
      <w:r>
        <w:rPr>
          <w:rStyle w:val="Satznummer"/>
        </w:rPr>
        <w:t>1</w:t>
      </w:r>
      <w:r>
        <w:t xml:space="preserve">Liegen bis zum Zeitpunkt des Erlasses des erstmaligen Körperschaftsteuerbescheids oder Freistellungsbescheids bereits Erkenntnisse vor, dass die tatsächliche Geschäftsführung gegen die satzungsmäßigen Voraussetzungen verstößt, ist die Feststellung der Einhaltung der satzungsmäßigen Voraussetzungen nach Absatz 1 Satz 1 abzulehnen. </w:t>
      </w:r>
      <w:r>
        <w:rPr>
          <w:rStyle w:val="Satznummer"/>
        </w:rPr>
        <w:t>2</w:t>
      </w:r>
      <w:r>
        <w:t xml:space="preserve">Satz 1 gilt entsprechend für die Aufhebung bestehender Feststellungen nach </w:t>
      </w:r>
      <w:hyperlink w:anchor="b94" w:history="1">
        <w:r>
          <w:rPr>
            <w:color w:val="0A3A8C"/>
            <w:u w:val="single"/>
          </w:rPr>
          <w:t xml:space="preserve">§ 60a</w:t>
        </w:r>
      </w:hyperlink>
      <w:r>
        <w:t>.</w:t>
      </w:r>
    </w:p>
    <w:p>
      <w:r>
        <w:t xml:space="preserve">(7) </w:t>
      </w:r>
      <w:r>
        <w:rPr>
          <w:rStyle w:val="Satznummer"/>
        </w:rPr>
        <w:t>1</w:t>
      </w:r>
      <w:r>
        <w:t xml:space="preserve">Auf Anfrage der registerführenden Stelle nach § 18 Absatz 2 des Geldwäschegesetzes kann das für die Feststellung nach Absatz 1 zuständige Finanzamt der registerführenden Stelle bestätigen, dass eine Vereinigung, die einen Antrag nach § 24 Absatz 1 Satz 2 des Geldwäschegesetzes gestellt hat, die nach den §§ 52 bis 54 der Abgabenordnung steuerbegünstigten Zwecke verfolgt. </w:t>
      </w:r>
      <w:r>
        <w:rPr>
          <w:rStyle w:val="Satznummer"/>
        </w:rPr>
        <w:t>2</w:t>
      </w:r>
      <w:r>
        <w:t>Hierzu hat die registerführende Stelle dem zuständigen Finanzamt zu bestätigen, dass das Einverständnis der Vereinigung auf Auskunftserteilung nach § 24 Absatz 1 Satz 3 des Geldwäschegesetzes vorliegt.</w:t>
      </w:r>
    </w:p>
    <w:p>
      <w:pPr>
        <w:pStyle w:val="Heading3"/>
      </w:pPr>
      <w:bookmarkStart w:id="97" w:name="b95"/>
      <w:r>
        <w:t>§ 60b Zuwendungsempfängerregister</w:t>
      </w:r>
      <w:r>
        <w:t xml:space="preserve"> </w:t>
      </w:r>
      <w:r>
        <w:rPr>
          <w:rStyle w:val="Suchmarke"/>
        </w:rPr>
        <w:t>#60b#</w:t>
      </w:r>
      <w:bookmarkEnd w:id="97"/>
    </w:p>
    <w:p>
      <w:r>
        <w:t>(1) Das Bundeszentralamt für Steuern führt ein Register, in dem Körperschaften und juristische Personen des öffentlichen Rechts geführt werden, an die steuerbegünstigt Zuwendungen nach den §§ 10b, 34g des Einkommensteuergesetzes geleistet werden können (Zuwendungsempfängerregister).</w:t>
      </w:r>
    </w:p>
    <w:p>
      <w:r>
        <w:t>(2) Im Zuwendungsempfängerregister speichert das Bundeszentralamt für Steuern zu Zwecken des Sonderausgabenabzugs nach § 10b des Einkommensteuergesetzes und der Steuerermäßigung nach § 34g des Einkommensteuergesetzes automatisiert folgende Daten:</w:t>
      </w:r>
    </w:p>
    <w:p>
      <w:pPr>
        <w:tabs>
          <w:tab w:pos="567" w:val="left"/>
        </w:tabs>
        <w:ind w:left="567" w:hanging="567"/>
      </w:pPr>
      <w:r>
        <w:t>1.</w:t>
      </w:r>
      <w:r>
        <w:tab/>
      </w:r>
      <w:r>
        <w:t>Wirtschafts-Identifikationsnummer,</w:t>
      </w:r>
    </w:p>
    <w:p>
      <w:pPr>
        <w:tabs>
          <w:tab w:pos="567" w:val="left"/>
        </w:tabs>
        <w:ind w:left="567" w:hanging="567"/>
      </w:pPr>
      <w:r>
        <w:t>2.</w:t>
      </w:r>
      <w:r>
        <w:tab/>
      </w:r>
      <w:r>
        <w:t>Name,</w:t>
      </w:r>
    </w:p>
    <w:p>
      <w:pPr>
        <w:tabs>
          <w:tab w:pos="567" w:val="left"/>
        </w:tabs>
        <w:ind w:left="567" w:hanging="567"/>
      </w:pPr>
      <w:r>
        <w:t>3.</w:t>
      </w:r>
      <w:r>
        <w:tab/>
      </w:r>
      <w:r>
        <w:t>Anschrift,</w:t>
      </w:r>
    </w:p>
    <w:p>
      <w:pPr>
        <w:tabs>
          <w:tab w:pos="567" w:val="left"/>
        </w:tabs>
        <w:ind w:left="567" w:hanging="567"/>
      </w:pPr>
      <w:r>
        <w:t>4.</w:t>
      </w:r>
      <w:r>
        <w:tab/>
      </w:r>
      <w:r>
        <w:t xml:space="preserve">steuerbegünstigte Zwecke nach den </w:t>
      </w:r>
      <w:hyperlink w:anchor="b84" w:history="1">
        <w:r>
          <w:rPr>
            <w:color w:val="0A3A8C"/>
            <w:u w:val="single"/>
          </w:rPr>
          <w:t xml:space="preserve">§§ 52</w:t>
        </w:r>
      </w:hyperlink>
      <w:r>
        <w:t xml:space="preserve"> bis </w:t>
      </w:r>
      <w:hyperlink w:anchor="b86" w:history="1">
        <w:r>
          <w:rPr>
            <w:color w:val="0A3A8C"/>
            <w:u w:val="single"/>
          </w:rPr>
          <w:t xml:space="preserve">54</w:t>
        </w:r>
      </w:hyperlink>
      <w:r>
        <w:t>,</w:t>
      </w:r>
    </w:p>
    <w:p>
      <w:pPr>
        <w:tabs>
          <w:tab w:pos="567" w:val="left"/>
        </w:tabs>
        <w:ind w:left="567" w:hanging="567"/>
      </w:pPr>
      <w:r>
        <w:t>5.</w:t>
      </w:r>
      <w:r>
        <w:tab/>
      </w:r>
      <w:r>
        <w:t>Datum der Anerkennung als Partei im Sinne des § 2 des Parteiengesetzes,</w:t>
      </w:r>
    </w:p>
    <w:p>
      <w:pPr>
        <w:tabs>
          <w:tab w:pos="567" w:val="left"/>
        </w:tabs>
        <w:ind w:left="567" w:hanging="567"/>
      </w:pPr>
      <w:r>
        <w:t>6.</w:t>
      </w:r>
      <w:r>
        <w:tab/>
      </w:r>
      <w:r>
        <w:t>Datum der Anerkennung als Wählervereinigung,</w:t>
      </w:r>
    </w:p>
    <w:p>
      <w:pPr>
        <w:tabs>
          <w:tab w:pos="567" w:val="left"/>
        </w:tabs>
        <w:ind w:left="567" w:hanging="567"/>
      </w:pPr>
      <w:r>
        <w:t>7.</w:t>
      </w:r>
      <w:r>
        <w:tab/>
      </w:r>
      <w:r>
        <w:t>Status als juristische Person des öffentlichen Rechts,</w:t>
      </w:r>
    </w:p>
    <w:p>
      <w:pPr>
        <w:tabs>
          <w:tab w:pos="567" w:val="left"/>
        </w:tabs>
        <w:ind w:left="567" w:hanging="567"/>
      </w:pPr>
      <w:r>
        <w:t>8.</w:t>
      </w:r>
      <w:r>
        <w:tab/>
      </w:r>
      <w:r>
        <w:t>zuständige Finanzbehörde,</w:t>
      </w:r>
    </w:p>
    <w:p>
      <w:pPr>
        <w:tabs>
          <w:tab w:pos="567" w:val="left"/>
        </w:tabs>
        <w:ind w:left="567" w:hanging="567"/>
      </w:pPr>
      <w:r>
        <w:t>9.</w:t>
      </w:r>
      <w:r>
        <w:tab/>
      </w:r>
      <w:r>
        <w:t xml:space="preserve">Datum der Erteilung des letzten Freistellungsbescheides, der Anlage zum Körperschaftsteuerbescheid oder des Feststellungsbescheides nach </w:t>
      </w:r>
      <w:hyperlink w:anchor="b94" w:history="1">
        <w:r>
          <w:rPr>
            <w:color w:val="0A3A8C"/>
            <w:u w:val="single"/>
          </w:rPr>
          <w:t xml:space="preserve">§ 60a</w:t>
        </w:r>
      </w:hyperlink>
      <w:r>
        <w:t>,</w:t>
      </w:r>
    </w:p>
    <w:p>
      <w:pPr>
        <w:tabs>
          <w:tab w:pos="567" w:val="left"/>
        </w:tabs>
        <w:ind w:left="567" w:hanging="567"/>
      </w:pPr>
      <w:r>
        <w:t>10.</w:t>
      </w:r>
      <w:r>
        <w:tab/>
      </w:r>
      <w:r>
        <w:t>Kontoverbindungen bei Banken/Kreditinstituten und Bezahldienstleistern.</w:t>
      </w:r>
    </w:p>
    <w:p>
      <w:r>
        <w:t>(3) Die für die Besteuerung nach dem Einkommen zuständige Finanzbehörde übermittelt dem Bundeszentralamt für Steuern die Daten nach Absatz 2 sowie unverzüglich jede Änderung dieser Daten.</w:t>
      </w:r>
    </w:p>
    <w:p>
      <w:r>
        <w:t xml:space="preserve">(4) </w:t>
      </w:r>
      <w:r>
        <w:rPr>
          <w:rStyle w:val="Satznummer"/>
        </w:rPr>
        <w:t>1</w:t>
      </w:r>
      <w:r>
        <w:t xml:space="preserve">Das Bundeszentralamt für Steuern ist befugt, die Daten nach Absatz 2 Dritten zu offenbaren. </w:t>
      </w:r>
      <w:r>
        <w:rPr>
          <w:rStyle w:val="Satznummer"/>
        </w:rPr>
        <w:t>2</w:t>
      </w:r>
      <w:hyperlink w:anchor="b42" w:history="1">
        <w:r>
          <w:rPr>
            <w:color w:val="0A3A8C"/>
            <w:u w:val="single"/>
          </w:rPr>
          <w:t xml:space="preserve">§ 30</w:t>
        </w:r>
      </w:hyperlink>
      <w:r>
        <w:t xml:space="preserve"> steht dem nicht entgegen.</w:t>
      </w:r>
    </w:p>
    <w:p>
      <w:r>
        <w:t>(5) Die im Zuwendungsempfängerregister Geführten können Änderungen und Ergänzungen der Eintragungen nach Absatz 2 Nummer 10 mit Hilfe eines amtlich vorgeschriebenen Datensatzes durch Datenfernübertragung bewirken.</w:t>
      </w:r>
    </w:p>
    <w:p>
      <w:pPr>
        <w:pStyle w:val="Heading3"/>
      </w:pPr>
      <w:bookmarkStart w:id="98" w:name="b96"/>
      <w:r>
        <w:t>§ 61 Satzungsmäßige Vermögensbindung</w:t>
      </w:r>
      <w:r>
        <w:t xml:space="preserve"> </w:t>
      </w:r>
      <w:r>
        <w:rPr>
          <w:rStyle w:val="Suchmarke"/>
        </w:rPr>
        <w:t>#61#</w:t>
      </w:r>
      <w:bookmarkEnd w:id="98"/>
    </w:p>
    <w:p>
      <w:r>
        <w:t>(1) Eine steuerlich ausreichende Vermögensbindung (</w:t>
      </w:r>
      <w:hyperlink w:anchor="b87" w:history="1">
        <w:r>
          <w:rPr>
            <w:color w:val="0A3A8C"/>
            <w:u w:val="single"/>
          </w:rPr>
          <w:t xml:space="preserve">§ 55</w:t>
        </w:r>
      </w:hyperlink>
      <w:r>
        <w:t xml:space="preserve"> Absatz 1 Nummer 4) liegt vor, wenn der Zweck, für den das Vermögen bei Auflösung oder Aufhebung der Körperschaft oder bei Wegfall ihres bisherigen Zwecks verwendet werden soll, in der Satzung so genau bestimmt ist, dass auf Grund der Satzung geprüft werden kann, ob der Verwendungszweck steuerbegünstigt ist.</w:t>
      </w:r>
    </w:p>
    <w:p>
      <w:r>
        <w:t>(2) (weggefallen)</w:t>
      </w:r>
    </w:p>
    <w:p>
      <w:r>
        <w:t xml:space="preserve">(3) </w:t>
      </w:r>
      <w:r>
        <w:rPr>
          <w:rStyle w:val="Satznummer"/>
        </w:rPr>
        <w:t>1</w:t>
      </w:r>
      <w:r>
        <w:t xml:space="preserve">Wird die Bestimmung über die Vermögensbindung nachträglich so geändert, dass sie den Anforderungen des </w:t>
      </w:r>
      <w:hyperlink w:anchor="b87" w:history="1">
        <w:r>
          <w:rPr>
            <w:color w:val="0A3A8C"/>
            <w:u w:val="single"/>
          </w:rPr>
          <w:t xml:space="preserve">§ 55</w:t>
        </w:r>
      </w:hyperlink>
      <w:r>
        <w:t xml:space="preserve"> Absatz 1 Nummer 4 nicht mehr entspricht, so gilt sie von Anfang an als steuerlich nicht ausreichend. </w:t>
      </w:r>
      <w:r>
        <w:rPr>
          <w:rStyle w:val="Satznummer"/>
        </w:rPr>
        <w:t>2</w:t>
      </w:r>
      <w:hyperlink w:anchor="b287" w:history="1">
        <w:r>
          <w:rPr>
            <w:color w:val="0A3A8C"/>
            <w:u w:val="single"/>
          </w:rPr>
          <w:t xml:space="preserve">§ 175</w:t>
        </w:r>
      </w:hyperlink>
      <w:r>
        <w:t xml:space="preserve"> Absatz 1 Satz 1 Nummer 2 ist mit der Maßgabe anzuwenden, dass Steuerbescheide erlassen, aufgehoben oder geändert werden können, soweit sie Steuern betreffen, die innerhalb der letzten zehn Kalenderjahre vor der Änderung der Bestimmung über die Vermögensbindung entstanden sind.</w:t>
      </w:r>
    </w:p>
    <w:p>
      <w:pPr>
        <w:pStyle w:val="Heading3"/>
      </w:pPr>
      <w:bookmarkStart w:id="99" w:name="b97"/>
      <w:r>
        <w:t>§ 62 Rücklagen und Vermögensbildung</w:t>
      </w:r>
      <w:r>
        <w:t xml:space="preserve"> </w:t>
      </w:r>
      <w:r>
        <w:rPr>
          <w:rStyle w:val="Suchmarke"/>
        </w:rPr>
        <w:t>#62#</w:t>
      </w:r>
      <w:bookmarkEnd w:id="99"/>
    </w:p>
    <w:p>
      <w:r>
        <w:t>(1) Körperschaften können ihre Mittel ganz oder teilweise</w:t>
      </w:r>
    </w:p>
    <w:p>
      <w:pPr>
        <w:tabs>
          <w:tab w:pos="567" w:val="left"/>
        </w:tabs>
        <w:ind w:left="567" w:hanging="567"/>
      </w:pPr>
      <w:r>
        <w:t>1.</w:t>
      </w:r>
      <w:r>
        <w:tab/>
      </w:r>
      <w:r>
        <w:t>einer Rücklage zuführen, soweit dies erforderlich ist, um ihre steuerbegünstigten, satzungsmäßigen Zwecke nach dem Stand der Planung zum Zeitpunkt der Rücklagenbildung nachhaltig zu erfüllen;</w:t>
      </w:r>
    </w:p>
    <w:p>
      <w:pPr>
        <w:tabs>
          <w:tab w:pos="567" w:val="left"/>
        </w:tabs>
        <w:ind w:left="567" w:hanging="567"/>
      </w:pPr>
      <w:r>
        <w:t>2.</w:t>
      </w:r>
      <w:r>
        <w:tab/>
      </w:r>
      <w:r>
        <w:t xml:space="preserve">einer Rücklage für die beabsichtigte Wiederbeschaffung von Wirtschaftsgütern zuführen, die zur Verwirklichung der steuerbegünstigten, satzungsmäßigen Zwecke erforderlich sind (Rücklage für Wiederbeschaffung). </w:t>
      </w:r>
      <w:r>
        <w:rPr>
          <w:rStyle w:val="Satznummer"/>
        </w:rPr>
        <w:t>2</w:t>
      </w:r>
      <w:r>
        <w:t xml:space="preserve">Die Höhe der Zuführung bemisst sich nach der Höhe der regulären Absetzungen für Abnutzung eines zu ersetzenden Wirtschaftsguts. </w:t>
      </w:r>
      <w:r>
        <w:rPr>
          <w:rStyle w:val="Satznummer"/>
        </w:rPr>
        <w:t>3</w:t>
      </w:r>
      <w:r>
        <w:t>Die Voraussetzungen für eine höhere Zuführung sind nachzuweisen;</w:t>
      </w:r>
    </w:p>
    <w:p>
      <w:pPr>
        <w:tabs>
          <w:tab w:pos="567" w:val="left"/>
        </w:tabs>
        <w:ind w:left="567" w:hanging="567"/>
      </w:pPr>
      <w:r>
        <w:t>3.</w:t>
      </w:r>
      <w:r>
        <w:tab/>
      </w:r>
      <w:r>
        <w:t xml:space="preserve">der freien Rücklage zuführen, jedoch höchstens ein Drittel des Überschusses aus der Vermögensverwaltung und darüber hinaus höchstens 10 Prozent der sonstigen nach </w:t>
      </w:r>
      <w:hyperlink w:anchor="b87" w:history="1">
        <w:r>
          <w:rPr>
            <w:color w:val="0A3A8C"/>
            <w:u w:val="single"/>
          </w:rPr>
          <w:t xml:space="preserve">§ 55</w:t>
        </w:r>
      </w:hyperlink>
      <w:r>
        <w:t xml:space="preserve"> Absatz 1 Nummer 5 zeitnah zu verwendenden Mittel. </w:t>
      </w:r>
      <w:r>
        <w:rPr>
          <w:rStyle w:val="Satznummer"/>
        </w:rPr>
        <w:t>2</w:t>
      </w:r>
      <w:r>
        <w:t>Ist der Höchstbetrag für die Bildung der freien Rücklage in einem Jahr nicht ausgeschöpft, kann diese unterbliebene Zuführung in den folgenden zwei Jahren nachgeholt werden;</w:t>
      </w:r>
    </w:p>
    <w:p>
      <w:pPr>
        <w:tabs>
          <w:tab w:pos="567" w:val="left"/>
        </w:tabs>
        <w:ind w:left="567" w:hanging="567"/>
      </w:pPr>
      <w:r>
        <w:t>4.</w:t>
      </w:r>
      <w:r>
        <w:tab/>
      </w:r>
      <w:r>
        <w:t>einer Rücklage zum Erwerb von Gesellschaftsrechten zur Erhaltung der prozentualen Beteiligung an Kapitalgesellschaften zuführen, wobei die Höhe dieser Rücklage die Höhe der Rücklage nach Nummer 3 mindert.</w:t>
      </w:r>
    </w:p>
    <w:p>
      <w:r>
        <w:t xml:space="preserve">(2) </w:t>
      </w:r>
      <w:r>
        <w:rPr>
          <w:rStyle w:val="Satznummer"/>
        </w:rPr>
        <w:t>1</w:t>
      </w:r>
      <w:r>
        <w:t xml:space="preserve">Die Bildung von Rücklagen nach Absatz 1 hat innerhalb der Frist des </w:t>
      </w:r>
      <w:hyperlink w:anchor="b87" w:history="1">
        <w:r>
          <w:rPr>
            <w:color w:val="0A3A8C"/>
            <w:u w:val="single"/>
          </w:rPr>
          <w:t xml:space="preserve">§ 55</w:t>
        </w:r>
      </w:hyperlink>
      <w:r>
        <w:t xml:space="preserve"> Absatz 1 Nummer 5 Satz 3 zu erfolgen. </w:t>
      </w:r>
      <w:r>
        <w:rPr>
          <w:rStyle w:val="Satznummer"/>
        </w:rPr>
        <w:t>2</w:t>
      </w:r>
      <w:r>
        <w:t xml:space="preserve">Rücklagen nach Absatz 1 Nummer 1, 2 und 4 sind unverzüglich aufzulösen, sobald der Grund für die Rücklagenbildung entfallen ist. </w:t>
      </w:r>
      <w:r>
        <w:rPr>
          <w:rStyle w:val="Satznummer"/>
        </w:rPr>
        <w:t>3</w:t>
      </w:r>
      <w:r>
        <w:t xml:space="preserve">Die freigewordenen Mittel sind innerhalb der Frist nach </w:t>
      </w:r>
      <w:hyperlink w:anchor="b87" w:history="1">
        <w:r>
          <w:rPr>
            <w:color w:val="0A3A8C"/>
            <w:u w:val="single"/>
          </w:rPr>
          <w:t xml:space="preserve">§ 55</w:t>
        </w:r>
      </w:hyperlink>
      <w:r>
        <w:t xml:space="preserve"> Absatz 1 Nummer 5 Satz 3 zu verwenden.</w:t>
      </w:r>
    </w:p>
    <w:p>
      <w:r>
        <w:t xml:space="preserve">(3) Die folgenden Mittelzuführungen unterliegen nicht der zeitnahen Mittelverwendung nach </w:t>
      </w:r>
      <w:hyperlink w:anchor="b87" w:history="1">
        <w:r>
          <w:rPr>
            <w:color w:val="0A3A8C"/>
            <w:u w:val="single"/>
          </w:rPr>
          <w:t xml:space="preserve">§ 55</w:t>
        </w:r>
      </w:hyperlink>
      <w:r>
        <w:t xml:space="preserve"> Absatz 1 Nummer 5:</w:t>
      </w:r>
    </w:p>
    <w:p>
      <w:pPr>
        <w:tabs>
          <w:tab w:pos="567" w:val="left"/>
        </w:tabs>
        <w:ind w:left="567" w:hanging="567"/>
      </w:pPr>
      <w:r>
        <w:t>1.</w:t>
      </w:r>
      <w:r>
        <w:tab/>
      </w:r>
      <w:r>
        <w:t>Zuwendungen von Todes wegen, wenn der Erblasser keine Verwendung für den laufenden Aufwand der Körperschaft vorgeschrieben hat;</w:t>
      </w:r>
    </w:p>
    <w:p>
      <w:pPr>
        <w:tabs>
          <w:tab w:pos="567" w:val="left"/>
        </w:tabs>
        <w:ind w:left="567" w:hanging="567"/>
      </w:pPr>
      <w:r>
        <w:t>2.</w:t>
      </w:r>
      <w:r>
        <w:tab/>
      </w:r>
      <w:r>
        <w:t>Zuwendungen, bei denen der Zuwendende ausdrücklich erklärt, dass diese zur Ausstattung der Körperschaft mit Vermögen oder zur Erhöhung des Vermögens bestimmt sind;</w:t>
      </w:r>
    </w:p>
    <w:p>
      <w:pPr>
        <w:tabs>
          <w:tab w:pos="567" w:val="left"/>
        </w:tabs>
        <w:ind w:left="567" w:hanging="567"/>
      </w:pPr>
      <w:r>
        <w:t>3.</w:t>
      </w:r>
      <w:r>
        <w:tab/>
      </w:r>
      <w:r>
        <w:t>Zuwendungen auf Grund eines Spendenaufrufs der Körperschaft, wenn aus dem Spendenaufruf ersichtlich ist, dass Beträge zur Aufstockung des Vermögens erbeten werden;</w:t>
      </w:r>
    </w:p>
    <w:p>
      <w:pPr>
        <w:tabs>
          <w:tab w:pos="567" w:val="left"/>
        </w:tabs>
        <w:ind w:left="567" w:hanging="567"/>
      </w:pPr>
      <w:r>
        <w:t>4.</w:t>
      </w:r>
      <w:r>
        <w:tab/>
      </w:r>
      <w:r>
        <w:t>Sachzuwendungen, die ihrer Natur nach zum Vermögen gehören.</w:t>
      </w:r>
    </w:p>
    <w:p>
      <w:r>
        <w:t xml:space="preserve">(4) Eine Stiftung kann im Jahr ihrer Errichtung und in den drei folgenden Kalenderjahren Überschüsse aus der Vermögensverwaltung und die Gewinne aus wirtschaftlichen Geschäftsbetrieben nach </w:t>
      </w:r>
      <w:hyperlink w:anchor="b17" w:history="1">
        <w:r>
          <w:rPr>
            <w:color w:val="0A3A8C"/>
            <w:u w:val="single"/>
          </w:rPr>
          <w:t xml:space="preserve">§ 14</w:t>
        </w:r>
      </w:hyperlink>
      <w:r>
        <w:t xml:space="preserve"> ganz oder teilweise ihrem Vermögen zuführen.</w:t>
      </w:r>
    </w:p>
    <w:p>
      <w:pPr>
        <w:pStyle w:val="Heading3"/>
      </w:pPr>
      <w:bookmarkStart w:id="100" w:name="b98"/>
      <w:r>
        <w:t>§ 63 Anforderungen an die tatsächliche Geschäftsführung</w:t>
      </w:r>
      <w:r>
        <w:t xml:space="preserve"> </w:t>
      </w:r>
      <w:r>
        <w:rPr>
          <w:rStyle w:val="Suchmarke"/>
        </w:rPr>
        <w:t>#63#</w:t>
      </w:r>
      <w:bookmarkEnd w:id="100"/>
    </w:p>
    <w:p>
      <w:r>
        <w:t>(1) Die tatsächliche Geschäftsführung der Körperschaft muss auf die ausschließliche und unmittelbare Erfüllung der steuerbegünstigten Zwecke gerichtet sein und den Bestimmungen entsprechen, die die Satzung über die Voraussetzungen für Steuervergünstigungen enthält.</w:t>
      </w:r>
    </w:p>
    <w:p>
      <w:r>
        <w:t xml:space="preserve">(2) Für die tatsächliche Geschäftsführung gilt sinngemäß </w:t>
      </w:r>
      <w:hyperlink w:anchor="b93" w:history="1">
        <w:r>
          <w:rPr>
            <w:color w:val="0A3A8C"/>
            <w:u w:val="single"/>
          </w:rPr>
          <w:t xml:space="preserve">§ 60</w:t>
        </w:r>
      </w:hyperlink>
      <w:r>
        <w:t xml:space="preserve"> Absatz 2, für eine Verletzung der Vorschrift über die Vermögensbindung </w:t>
      </w:r>
      <w:hyperlink w:anchor="b96" w:history="1">
        <w:r>
          <w:rPr>
            <w:color w:val="0A3A8C"/>
            <w:u w:val="single"/>
          </w:rPr>
          <w:t xml:space="preserve">§ 61</w:t>
        </w:r>
      </w:hyperlink>
      <w:r>
        <w:t xml:space="preserve"> Absatz 3.</w:t>
      </w:r>
    </w:p>
    <w:p>
      <w:r>
        <w:t>(3) Die Körperschaft hat den Nachweis, dass ihre tatsächliche Geschäftsführung den Erfordernissen des Absatzes 1 entspricht, durch ordnungsmäßige Aufzeichnungen über ihre Einnahmen und Ausgaben zu führen.</w:t>
      </w:r>
    </w:p>
    <w:p>
      <w:r>
        <w:t xml:space="preserve">(4) </w:t>
      </w:r>
      <w:r>
        <w:rPr>
          <w:rStyle w:val="Satznummer"/>
        </w:rPr>
        <w:t>1</w:t>
      </w:r>
      <w:r>
        <w:t xml:space="preserve">Hat die Körperschaft ohne Vorliegen der Voraussetzungen Mittel angesammelt, kann das Finanzamt ihr eine angemessene Frist für die Verwendung der Mittel setzen. </w:t>
      </w:r>
      <w:r>
        <w:rPr>
          <w:rStyle w:val="Satznummer"/>
        </w:rPr>
        <w:t>2</w:t>
      </w:r>
      <w:r>
        <w:t>Die tatsächliche Geschäftsführung gilt als ordnungsgemäß im Sinne des Absatzes 1, wenn die Körperschaft die Mittel innerhalb der Frist für steuerbegünstigte Zwecke verwendet.</w:t>
      </w:r>
    </w:p>
    <w:p>
      <w:r>
        <w:t xml:space="preserve">(5) </w:t>
      </w:r>
      <w:r>
        <w:rPr>
          <w:rStyle w:val="Satznummer"/>
        </w:rPr>
        <w:t>1</w:t>
      </w:r>
      <w:r>
        <w:t>Körperschaften im Sinne des § 10b Absatz 1 Satz 2 Nummer 2 des Einkommensteuergesetzes dürfen Zuwendungsbestätigungen im Sinne des § 50 Absatz 1 der Einkommensteuer-Durchführungsverordnung nur ausstellen, wenn</w:t>
      </w:r>
    </w:p>
    <w:p>
      <w:pPr>
        <w:tabs>
          <w:tab w:pos="567" w:val="left"/>
        </w:tabs>
        <w:ind w:left="567" w:hanging="567"/>
      </w:pPr>
      <w:r>
        <w:t>1.</w:t>
      </w:r>
      <w:r>
        <w:tab/>
      </w:r>
      <w:r>
        <w:t>das Datum der Anlage zum Körperschaftsteuerbescheid oder des Freistellungsbescheids nicht länger als fünf Jahre zurückliegt oder</w:t>
      </w:r>
    </w:p>
    <w:p>
      <w:pPr>
        <w:tabs>
          <w:tab w:pos="567" w:val="left"/>
        </w:tabs>
        <w:ind w:left="567" w:hanging="567"/>
      </w:pPr>
      <w:r>
        <w:t>2.</w:t>
      </w:r>
      <w:r>
        <w:tab/>
      </w:r>
      <w:r>
        <w:t xml:space="preserve">die Feststellung der Satzungsmäßigkeit nach </w:t>
      </w:r>
      <w:hyperlink w:anchor="b94" w:history="1">
        <w:r>
          <w:rPr>
            <w:color w:val="0A3A8C"/>
            <w:u w:val="single"/>
          </w:rPr>
          <w:t xml:space="preserve">§ 60a</w:t>
        </w:r>
      </w:hyperlink>
      <w:r>
        <w:t xml:space="preserve"> Absatz 1 nicht länger als drei Kalenderjahre zurückliegt und bisher kein Freistellungsbescheid oder keine Anlage zum Körperschaftsteuerbescheid erteilt wurde.</w:t>
      </w:r>
    </w:p>
    <w:p>
      <w:r>
        <w:rPr>
          <w:rStyle w:val="Satznummer"/>
        </w:rPr>
        <w:t>2</w:t>
      </w:r>
      <w:r>
        <w:t>Die Frist ist taggenau zu berechnen.</w:t>
      </w:r>
    </w:p>
    <w:p>
      <w:pPr>
        <w:pStyle w:val="Heading3"/>
      </w:pPr>
      <w:bookmarkStart w:id="101" w:name="b99"/>
      <w:r>
        <w:t>§ 64 Steuerpflichtige wirtschaftliche Geschäftsbetriebe</w:t>
      </w:r>
      <w:r>
        <w:t xml:space="preserve"> </w:t>
      </w:r>
      <w:r>
        <w:rPr>
          <w:rStyle w:val="Suchmarke"/>
        </w:rPr>
        <w:t>#64#</w:t>
      </w:r>
      <w:bookmarkEnd w:id="101"/>
    </w:p>
    <w:p>
      <w:r>
        <w:t>(1) Schließt das Gesetz die Steuervergünstigung insoweit aus, als ein wirtschaftlicher Geschäftsbetrieb (</w:t>
      </w:r>
      <w:hyperlink w:anchor="b17" w:history="1">
        <w:r>
          <w:rPr>
            <w:color w:val="0A3A8C"/>
            <w:u w:val="single"/>
          </w:rPr>
          <w:t xml:space="preserve">§ 14</w:t>
        </w:r>
      </w:hyperlink>
      <w:r>
        <w:t>) unterhalten wird, so verliert die Körperschaft die Steuervergünstigung für die dem Geschäftsbetrieb zuzuordnenden Besteuerungsgrundlagen (Einkünfte, Umsätze, Vermögen), soweit der wirtschaftliche Geschäftsbetrieb kein Zweckbetrieb (</w:t>
      </w:r>
      <w:hyperlink w:anchor="b100" w:history="1">
        <w:r>
          <w:rPr>
            <w:color w:val="0A3A8C"/>
            <w:u w:val="single"/>
          </w:rPr>
          <w:t xml:space="preserve">§§ 65</w:t>
        </w:r>
      </w:hyperlink>
      <w:r>
        <w:t xml:space="preserve"> bis </w:t>
      </w:r>
      <w:hyperlink w:anchor="b104" w:history="1">
        <w:r>
          <w:rPr>
            <w:color w:val="0A3A8C"/>
            <w:u w:val="single"/>
          </w:rPr>
          <w:t xml:space="preserve">68</w:t>
        </w:r>
      </w:hyperlink>
      <w:r>
        <w:t>) ist.</w:t>
      </w:r>
    </w:p>
    <w:p>
      <w:r>
        <w:t>(2) Unterhält die Körperschaft mehrere wirtschaftliche Geschäftsbetriebe, die keine Zweckbetriebe (</w:t>
      </w:r>
      <w:hyperlink w:anchor="b100" w:history="1">
        <w:r>
          <w:rPr>
            <w:color w:val="0A3A8C"/>
            <w:u w:val="single"/>
          </w:rPr>
          <w:t xml:space="preserve">§§ 65</w:t>
        </w:r>
      </w:hyperlink>
      <w:r>
        <w:t xml:space="preserve"> bis </w:t>
      </w:r>
      <w:hyperlink w:anchor="b104" w:history="1">
        <w:r>
          <w:rPr>
            <w:color w:val="0A3A8C"/>
            <w:u w:val="single"/>
          </w:rPr>
          <w:t xml:space="preserve">68</w:t>
        </w:r>
      </w:hyperlink>
      <w:r>
        <w:t>) sind, werden diese als ein wirtschaftlicher Geschäftsbetrieb behandelt.</w:t>
      </w:r>
    </w:p>
    <w:p>
      <w:r>
        <w:t xml:space="preserve">(3) </w:t>
      </w:r>
      <w:r>
        <w:rPr>
          <w:rStyle w:val="Satznummer"/>
        </w:rPr>
        <w:t>1</w:t>
      </w:r>
      <w:r>
        <w:t xml:space="preserve">Übersteigen die Einnahmen einschließlich Umsatzsteuer aus wirtschaftlichen Geschäftsbetrieben, die keine Zweckbetriebe sind, insgesamt nicht 50 000 Euro im Jahr, so unterliegen die diesen Geschäftsbetrieben zuzuordnenden Besteuerungsgrundlagen nicht der Körperschaftsteuer und der Gewerbesteuer. </w:t>
      </w:r>
      <w:r>
        <w:rPr>
          <w:rStyle w:val="Satznummer"/>
        </w:rPr>
        <w:t>2</w:t>
      </w:r>
      <w:r>
        <w:t>Falls die Einnahmen aus sämtlichen wirtschaftlichen Geschäftsbetrieben (</w:t>
      </w:r>
      <w:hyperlink w:anchor="b17" w:history="1">
        <w:r>
          <w:rPr>
            <w:color w:val="0A3A8C"/>
            <w:u w:val="single"/>
          </w:rPr>
          <w:t xml:space="preserve">§ 14</w:t>
        </w:r>
      </w:hyperlink>
      <w:r>
        <w:t xml:space="preserve">) die Grenze nach Satz 1 nicht überschreiten und insgesamt ein Gewinn erzielt wird, ist damit eine Prüfung, ob die Voraussetzungen der </w:t>
      </w:r>
      <w:hyperlink w:anchor="b100" w:history="1">
        <w:r>
          <w:rPr>
            <w:color w:val="0A3A8C"/>
            <w:u w:val="single"/>
          </w:rPr>
          <w:t xml:space="preserve">§§ 65</w:t>
        </w:r>
      </w:hyperlink>
      <w:r>
        <w:t xml:space="preserve"> bis </w:t>
      </w:r>
      <w:hyperlink w:anchor="b104" w:history="1">
        <w:r>
          <w:rPr>
            <w:color w:val="0A3A8C"/>
            <w:u w:val="single"/>
          </w:rPr>
          <w:t xml:space="preserve">68</w:t>
        </w:r>
      </w:hyperlink>
      <w:r>
        <w:t xml:space="preserve"> vorliegen, nicht mehr erforderlich.</w:t>
      </w:r>
    </w:p>
    <w:p>
      <w:r>
        <w:t xml:space="preserve">(4) Die Aufteilung einer Körperschaft in mehrere selbständige Körperschaften zum Zweck der mehrfachen Inanspruchnahme der Steuervergünstigung nach Absatz 3 gilt als Missbrauch von rechtlichen Gestaltungsmöglichkeiten im Sinne des </w:t>
      </w:r>
      <w:hyperlink w:anchor="b73" w:history="1">
        <w:r>
          <w:rPr>
            <w:color w:val="0A3A8C"/>
            <w:u w:val="single"/>
          </w:rPr>
          <w:t xml:space="preserve">§ 42</w:t>
        </w:r>
      </w:hyperlink>
      <w:r>
        <w:t>.</w:t>
      </w:r>
    </w:p>
    <w:p>
      <w:r>
        <w:t>(5) Überschüsse aus der Verwertung unentgeltlich erworbenen Altmaterials außerhalb einer ständig dafür vorgehaltenen Verkaufsstelle, die der Körperschaftsteuer und der Gewerbesteuer unterliegen, können in Höhe des branchenüblichen Reingewinns geschätzt werden.</w:t>
      </w:r>
    </w:p>
    <w:p>
      <w:r>
        <w:t>(6) Bei den folgenden steuerpflichtigen wirtschaftlichen Geschäftsbetrieben kann der Besteuerung ein Gewinn von 15 Prozent der Einnahmen zugrunde gelegt werden:</w:t>
      </w:r>
    </w:p>
    <w:p>
      <w:pPr>
        <w:tabs>
          <w:tab w:pos="567" w:val="left"/>
        </w:tabs>
        <w:ind w:left="567" w:hanging="567"/>
      </w:pPr>
      <w:r>
        <w:t>1.</w:t>
      </w:r>
      <w:r>
        <w:tab/>
      </w:r>
      <w:r>
        <w:t>Werbung für Unternehmen, die im Zusammenhang mit der steuerbegünstigten Tätigkeit einschließlich Zweckbetrieben stattfindet,</w:t>
      </w:r>
    </w:p>
    <w:p>
      <w:pPr>
        <w:tabs>
          <w:tab w:pos="567" w:val="left"/>
        </w:tabs>
        <w:ind w:left="567" w:hanging="567"/>
      </w:pPr>
      <w:r>
        <w:t>2.</w:t>
      </w:r>
      <w:r>
        <w:tab/>
      </w:r>
      <w:r>
        <w:t>Totalisatorbetriebe,</w:t>
      </w:r>
    </w:p>
    <w:p>
      <w:pPr>
        <w:tabs>
          <w:tab w:pos="567" w:val="left"/>
        </w:tabs>
        <w:ind w:left="567" w:hanging="567"/>
      </w:pPr>
      <w:r>
        <w:t>3.</w:t>
      </w:r>
      <w:r>
        <w:tab/>
      </w:r>
      <w:r>
        <w:t>Zweite Fraktionierungsstufe der Blutspendedienste.</w:t>
      </w:r>
    </w:p>
    <w:p>
      <w:pPr>
        <w:pStyle w:val="Heading3"/>
      </w:pPr>
      <w:bookmarkStart w:id="102" w:name="b100"/>
      <w:r>
        <w:t>§ 65 Zweckbetrieb</w:t>
      </w:r>
      <w:r>
        <w:t xml:space="preserve"> </w:t>
      </w:r>
      <w:r>
        <w:rPr>
          <w:rStyle w:val="Suchmarke"/>
        </w:rPr>
        <w:t>#65#</w:t>
      </w:r>
      <w:bookmarkEnd w:id="102"/>
    </w:p>
    <w:p>
      <w:r>
        <w:t>Ein Zweckbetrieb ist gegeben, wenn</w:t>
      </w:r>
    </w:p>
    <w:p>
      <w:pPr>
        <w:tabs>
          <w:tab w:pos="567" w:val="left"/>
        </w:tabs>
        <w:ind w:left="567" w:hanging="567"/>
      </w:pPr>
      <w:r>
        <w:t>1.</w:t>
      </w:r>
      <w:r>
        <w:tab/>
      </w:r>
      <w:r>
        <w:t>der wirtschaftliche Geschäftsbetrieb in seiner Gesamtrichtung dazu dient, die steuerbegünstigten satzungsmäßigen Zwecke der Körperschaft zu verwirklichen,</w:t>
      </w:r>
    </w:p>
    <w:p>
      <w:pPr>
        <w:tabs>
          <w:tab w:pos="567" w:val="left"/>
        </w:tabs>
        <w:ind w:left="567" w:hanging="567"/>
      </w:pPr>
      <w:r>
        <w:t>2.</w:t>
      </w:r>
      <w:r>
        <w:tab/>
      </w:r>
      <w:r>
        <w:t>die Zwecke nur durch einen solchen Geschäftsbetrieb erreicht werden können und</w:t>
      </w:r>
    </w:p>
    <w:p>
      <w:pPr>
        <w:tabs>
          <w:tab w:pos="567" w:val="left"/>
        </w:tabs>
        <w:ind w:left="567" w:hanging="567"/>
      </w:pPr>
      <w:r>
        <w:t>3.</w:t>
      </w:r>
      <w:r>
        <w:tab/>
      </w:r>
      <w:r>
        <w:t>der wirtschaftliche Geschäftsbetrieb zu nicht begünstigten Betrieben derselben oder ähnlicher Art nicht in größerem Umfang in Wettbewerb tritt, als es bei Erfüllung der steuerbegünstigten Zwecke unvermeidbar ist.</w:t>
      </w:r>
    </w:p>
    <w:p>
      <w:pPr>
        <w:pStyle w:val="Heading3"/>
      </w:pPr>
      <w:bookmarkStart w:id="103" w:name="b101"/>
      <w:r>
        <w:t>§ 66 Wohlfahrtspflege</w:t>
      </w:r>
      <w:r>
        <w:t xml:space="preserve"> </w:t>
      </w:r>
      <w:r>
        <w:rPr>
          <w:rStyle w:val="Suchmarke"/>
        </w:rPr>
        <w:t>#66#</w:t>
      </w:r>
      <w:bookmarkEnd w:id="103"/>
    </w:p>
    <w:p>
      <w:r>
        <w:t xml:space="preserve">(1) Eine Einrichtung der Wohlfahrtspflege ist ein Zweckbetrieb, wenn sie in besonderem Maß den in </w:t>
      </w:r>
      <w:hyperlink w:anchor="b85" w:history="1">
        <w:r>
          <w:rPr>
            <w:color w:val="0A3A8C"/>
            <w:u w:val="single"/>
          </w:rPr>
          <w:t xml:space="preserve">§ 53</w:t>
        </w:r>
      </w:hyperlink>
      <w:r>
        <w:t xml:space="preserve"> genannten Personen dient.</w:t>
      </w:r>
    </w:p>
    <w:p>
      <w:r>
        <w:t xml:space="preserve">(2) </w:t>
      </w:r>
      <w:r>
        <w:rPr>
          <w:rStyle w:val="Satznummer"/>
        </w:rPr>
        <w:t>1</w:t>
      </w:r>
      <w:r>
        <w:t xml:space="preserve">Wohlfahrtspflege ist die planmäßige, zum Wohle der Allgemeinheit und nicht des Erwerbs wegen ausgeübte Sorge für notleidende oder gefährdete Mitmenschen. </w:t>
      </w:r>
      <w:r>
        <w:rPr>
          <w:rStyle w:val="Satznummer"/>
        </w:rPr>
        <w:t>2</w:t>
      </w:r>
      <w:r>
        <w:t>Die Sorge kann sich auf das gesundheitliche, sittliche, erzieherische oder wirtschaftliche Wohl erstrecken und Vorbeugung oder Abhilfe bezwecken.</w:t>
      </w:r>
    </w:p>
    <w:p>
      <w:r>
        <w:t xml:space="preserve">(3) </w:t>
      </w:r>
      <w:r>
        <w:rPr>
          <w:rStyle w:val="Satznummer"/>
        </w:rPr>
        <w:t>1</w:t>
      </w:r>
      <w:r>
        <w:t xml:space="preserve">Eine Einrichtung der Wohlfahrtspflege dient in besonderem Maße den in </w:t>
      </w:r>
      <w:hyperlink w:anchor="b85" w:history="1">
        <w:r>
          <w:rPr>
            <w:color w:val="0A3A8C"/>
            <w:u w:val="single"/>
          </w:rPr>
          <w:t xml:space="preserve">§ 53</w:t>
        </w:r>
      </w:hyperlink>
      <w:r>
        <w:t xml:space="preserve"> genannten Personen, wenn diesen mindestens zwei Drittel ihrer Leistungen zugute kommen. </w:t>
      </w:r>
      <w:r>
        <w:rPr>
          <w:rStyle w:val="Satznummer"/>
        </w:rPr>
        <w:t>2</w:t>
      </w:r>
      <w:r>
        <w:t xml:space="preserve">Für Krankenhäuser gilt </w:t>
      </w:r>
      <w:hyperlink w:anchor="b102" w:history="1">
        <w:r>
          <w:rPr>
            <w:color w:val="0A3A8C"/>
            <w:u w:val="single"/>
          </w:rPr>
          <w:t xml:space="preserve">§ 67</w:t>
        </w:r>
      </w:hyperlink>
      <w:r>
        <w:t>.</w:t>
      </w:r>
    </w:p>
    <w:p>
      <w:pPr>
        <w:pStyle w:val="Heading3"/>
      </w:pPr>
      <w:bookmarkStart w:id="104" w:name="b102"/>
      <w:r>
        <w:t>§ 67 Krankenhäuser</w:t>
      </w:r>
      <w:r>
        <w:t xml:space="preserve"> </w:t>
      </w:r>
      <w:r>
        <w:rPr>
          <w:rStyle w:val="Suchmarke"/>
        </w:rPr>
        <w:t>#67#</w:t>
      </w:r>
      <w:bookmarkEnd w:id="104"/>
    </w:p>
    <w:p>
      <w:r>
        <w:t>(1) Ein Krankenhaus, das in den Anwendungsbereich des Krankenhausentgeltgesetzes oder der Bundespflegesatzverordnung fällt, ist ein Zweckbetrieb, wenn mindestens 40 Prozent der jährlichen Belegungstage oder Berechnungstage auf Patienten entfallen, bei denen nur Entgelte für allgemeine Krankenhausleistungen (§ 7 des Krankenhausentgeltgesetzes, § 10 der Bundespflegesatzverordnung) berechnet werden.</w:t>
      </w:r>
    </w:p>
    <w:p>
      <w:r>
        <w:t>(2) Ein Krankenhaus, das nicht in den Anwendungsbereich des Krankenhausentgeltgesetzes oder der Bundespflegesatzverordnung fällt, ist ein Zweckbetrieb, wenn mindestens 40 Prozent der jährlichen Belegungstage oder Berechnungstage auf Patienten entfallen, bei denen für die Krankenhausleistungen kein höheres Entgelt als nach Absatz 1 berechnet wird.</w:t>
      </w:r>
    </w:p>
    <w:p>
      <w:pPr>
        <w:pStyle w:val="Heading3"/>
      </w:pPr>
      <w:bookmarkStart w:id="105" w:name="b103"/>
      <w:r>
        <w:t>§ 67a Sportliche Veranstaltungen</w:t>
      </w:r>
      <w:r>
        <w:t xml:space="preserve"> </w:t>
      </w:r>
      <w:r>
        <w:rPr>
          <w:rStyle w:val="Suchmarke"/>
        </w:rPr>
        <w:t>#67a#</w:t>
      </w:r>
      <w:bookmarkEnd w:id="105"/>
    </w:p>
    <w:p>
      <w:r>
        <w:t xml:space="preserve">(1) </w:t>
      </w:r>
      <w:r>
        <w:rPr>
          <w:rStyle w:val="Satznummer"/>
        </w:rPr>
        <w:t>1</w:t>
      </w:r>
      <w:r>
        <w:t xml:space="preserve">Sportliche Veranstaltungen eines Sportvereins sind ein Zweckbetrieb, wenn die Einnahmen einschließlich Umsatzsteuer insgesamt 50 000 Euro im Jahr nicht übersteigen. </w:t>
      </w:r>
      <w:r>
        <w:rPr>
          <w:rStyle w:val="Satznummer"/>
        </w:rPr>
        <w:t>2</w:t>
      </w:r>
      <w:r>
        <w:t>Der Verkauf von Speisen und Getränken sowie die Werbung gehören nicht zu den sportlichen Veranstaltungen.</w:t>
      </w:r>
    </w:p>
    <w:p>
      <w:r>
        <w:t xml:space="preserve">(2) </w:t>
      </w:r>
      <w:r>
        <w:rPr>
          <w:rStyle w:val="Satznummer"/>
        </w:rPr>
        <w:t>1</w:t>
      </w:r>
      <w:r>
        <w:t xml:space="preserve">Der Sportverein kann dem Finanzamt bis zur Unanfechtbarkeit des Körperschaftsteuerbescheids erklären, dass er auf die Anwendung des Absatzes 1 Satz 1 verzichtet. </w:t>
      </w:r>
      <w:r>
        <w:rPr>
          <w:rStyle w:val="Satznummer"/>
        </w:rPr>
        <w:t>2</w:t>
      </w:r>
      <w:r>
        <w:t>Die Erklärung bindet den Sportverein für mindestens fünf Veranlagungszeiträume.</w:t>
      </w:r>
    </w:p>
    <w:p>
      <w:r>
        <w:t xml:space="preserve">(3) </w:t>
      </w:r>
      <w:r>
        <w:rPr>
          <w:rStyle w:val="Satznummer"/>
        </w:rPr>
        <w:t>1</w:t>
      </w:r>
      <w:r>
        <w:t>Wird auf die Anwendung des Absatzes 1 Satz 1 verzichtet, sind sportliche Veranstaltungen eines Sportvereins ein Zweckbetrieb, wenn</w:t>
      </w:r>
    </w:p>
    <w:p>
      <w:pPr>
        <w:tabs>
          <w:tab w:pos="567" w:val="left"/>
        </w:tabs>
        <w:ind w:left="567" w:hanging="567"/>
      </w:pPr>
      <w:r>
        <w:t>1.</w:t>
      </w:r>
      <w:r>
        <w:tab/>
      </w:r>
      <w:r>
        <w:t>kein Sportler des Vereins teilnimmt, der für seine sportliche Betätigung oder für die Benutzung seiner Person, seines Namens, seines Bildes oder seiner sportlichen Betätigung zu Werbezwecken von dem Verein oder einem Dritten über eine Aufwandsentschädigung hinaus Vergütungen oder andere Vorteile erhält und</w:t>
      </w:r>
    </w:p>
    <w:p>
      <w:pPr>
        <w:tabs>
          <w:tab w:pos="567" w:val="left"/>
        </w:tabs>
        <w:ind w:left="567" w:hanging="567"/>
      </w:pPr>
      <w:r>
        <w:t>2.</w:t>
      </w:r>
      <w:r>
        <w:tab/>
      </w:r>
      <w:r>
        <w:t>kein anderer Sportler teilnimmt, der für die Teilnahme an der Veranstaltung von dem Verein oder einem Dritten im Zusammenwirken mit dem Verein über eine Aufwandsentschädigung hinaus Vergütungen oder andere Vorteile erhält.</w:t>
      </w:r>
    </w:p>
    <w:p>
      <w:r>
        <w:rPr>
          <w:rStyle w:val="Satznummer"/>
        </w:rPr>
        <w:t>2</w:t>
      </w:r>
      <w:r>
        <w:t xml:space="preserve">Andere sportliche Veranstaltungen sind ein steuerpflichtiger wirtschaftlicher Geschäftsbetrieb. </w:t>
      </w:r>
      <w:r>
        <w:rPr>
          <w:rStyle w:val="Satznummer"/>
        </w:rPr>
        <w:t>3</w:t>
      </w:r>
      <w:r>
        <w:t>Dieser schließt die Steuervergünstigung nicht aus, wenn die Vergütungen oder andere Vorteile ausschließlich aus wirtschaftlichen Geschäftsbetrieben, die nicht Zweckbetriebe sind, oder von Dritten geleistet werden.</w:t>
      </w:r>
    </w:p>
    <w:p>
      <w:r>
        <w:t xml:space="preserve">(4) </w:t>
      </w:r>
      <w:r>
        <w:rPr>
          <w:rStyle w:val="Satznummer"/>
        </w:rPr>
        <w:t>1</w:t>
      </w:r>
      <w:r>
        <w:t xml:space="preserve">Organisatorische Leistungen eines Sportdachverbandes zur Durchführung von sportlichen Veranstaltungen sind ein Zweckbetrieb, wenn an der sportlichen Veranstaltung überwiegend Sportler teilnehmen, die keine Lizenzsportler sind. </w:t>
      </w:r>
      <w:r>
        <w:rPr>
          <w:rStyle w:val="Satznummer"/>
        </w:rPr>
        <w:t>2</w:t>
      </w:r>
      <w:r>
        <w:t xml:space="preserve">Alle sportlichen Veranstaltungen einer Saison einer Liga gelten als eine sportliche Veranstaltung im Sinne des Satzes 1. </w:t>
      </w:r>
      <w:r>
        <w:rPr>
          <w:rStyle w:val="Satznummer"/>
        </w:rPr>
        <w:t>3</w:t>
      </w:r>
      <w:r>
        <w:t>Absatz 1 Satz 2 gilt entsprechend.</w:t>
      </w:r>
    </w:p>
    <w:p>
      <w:pPr>
        <w:pStyle w:val="Heading3"/>
      </w:pPr>
      <w:bookmarkStart w:id="106" w:name="b104"/>
      <w:r>
        <w:t>§ 68 Einzelne Zweckbetriebe</w:t>
      </w:r>
      <w:r>
        <w:t xml:space="preserve"> </w:t>
      </w:r>
      <w:r>
        <w:rPr>
          <w:rStyle w:val="Suchmarke"/>
        </w:rPr>
        <w:t>#68#</w:t>
      </w:r>
      <w:bookmarkEnd w:id="106"/>
    </w:p>
    <w:p>
      <w:r>
        <w:t>Zweckbetriebe sind auch:</w:t>
      </w:r>
    </w:p>
    <w:p>
      <w:pPr>
        <w:tabs>
          <w:tab w:pos="567" w:val="left"/>
        </w:tabs>
        <w:ind w:left="567" w:hanging="567"/>
      </w:pPr>
      <w:r>
        <w:t>1.</w:t>
      </w:r>
      <w:r>
        <w:tab/>
      </w:r>
    </w:p>
    <w:p>
      <w:pPr>
        <w:tabs>
          <w:tab w:pos="1134" w:val="left"/>
        </w:tabs>
        <w:ind w:left="1134" w:hanging="567"/>
      </w:pPr>
      <w:r>
        <w:t>a)</w:t>
      </w:r>
      <w:r>
        <w:tab/>
      </w:r>
      <w:r>
        <w:t xml:space="preserve">Alten-, Altenwohn- und Pflegeheime, Erholungsheime, Mahlzeitendienste, wenn sie in besonderem Maß den in </w:t>
      </w:r>
      <w:hyperlink w:anchor="b85" w:history="1">
        <w:r>
          <w:rPr>
            <w:color w:val="0A3A8C"/>
            <w:u w:val="single"/>
          </w:rPr>
          <w:t xml:space="preserve">§ 53</w:t>
        </w:r>
      </w:hyperlink>
      <w:r>
        <w:t xml:space="preserve"> genannten Personen dienen (</w:t>
      </w:r>
      <w:hyperlink w:anchor="b101" w:history="1">
        <w:r>
          <w:rPr>
            <w:color w:val="0A3A8C"/>
            <w:u w:val="single"/>
          </w:rPr>
          <w:t xml:space="preserve">§ 66</w:t>
        </w:r>
      </w:hyperlink>
      <w:r>
        <w:t xml:space="preserve"> Absatz 3),</w:t>
      </w:r>
    </w:p>
    <w:p>
      <w:pPr>
        <w:tabs>
          <w:tab w:pos="1134" w:val="left"/>
        </w:tabs>
        <w:ind w:left="1134" w:hanging="567"/>
      </w:pPr>
      <w:r>
        <w:t>b)</w:t>
      </w:r>
      <w:r>
        <w:tab/>
      </w:r>
      <w:r>
        <w:t>Kindergärten, Kinder-, Jugend- und Studentenheime, Schullandheime und Jugendherbergen,</w:t>
      </w:r>
    </w:p>
    <w:p>
      <w:pPr>
        <w:tabs>
          <w:tab w:pos="1134" w:val="left"/>
        </w:tabs>
        <w:ind w:left="1134" w:hanging="567"/>
      </w:pPr>
      <w:r>
        <w:t>c)</w:t>
      </w:r>
      <w:r>
        <w:tab/>
      </w:r>
      <w:r>
        <w:t xml:space="preserve">Einrichtungen zur Versorgung, Verpflegung und Betreuung von Flüchtlingen. </w:t>
      </w:r>
      <w:r>
        <w:rPr>
          <w:rStyle w:val="Satznummer"/>
        </w:rPr>
        <w:t>2</w:t>
      </w:r>
      <w:r>
        <w:t xml:space="preserve">Die Voraussetzungen des </w:t>
      </w:r>
      <w:hyperlink w:anchor="b101" w:history="1">
        <w:r>
          <w:rPr>
            <w:color w:val="0A3A8C"/>
            <w:u w:val="single"/>
          </w:rPr>
          <w:t xml:space="preserve">§ 66</w:t>
        </w:r>
      </w:hyperlink>
      <w:r>
        <w:t xml:space="preserve"> Absatz 2 sind zu berücksichtigen,</w:t>
      </w:r>
    </w:p>
    <w:p>
      <w:pPr>
        <w:tabs>
          <w:tab w:pos="567" w:val="left"/>
        </w:tabs>
        <w:ind w:left="567" w:hanging="567"/>
      </w:pPr>
      <w:r>
        <w:t>2.</w:t>
      </w:r>
      <w:r>
        <w:tab/>
      </w:r>
    </w:p>
    <w:p>
      <w:pPr>
        <w:tabs>
          <w:tab w:pos="1134" w:val="left"/>
        </w:tabs>
        <w:ind w:left="1134" w:hanging="567"/>
      </w:pPr>
      <w:r>
        <w:t>a)</w:t>
      </w:r>
      <w:r>
        <w:tab/>
      </w:r>
      <w:r>
        <w:t>landwirtschaftliche Betriebe und Gärtnereien, die der Selbstversorgung von Körperschaften dienen und dadurch die sachgemäße Ernährung und ausreichende Versorgung von Anstaltsangehörigen sichern,</w:t>
      </w:r>
    </w:p>
    <w:p>
      <w:pPr>
        <w:tabs>
          <w:tab w:pos="1134" w:val="left"/>
        </w:tabs>
        <w:ind w:left="1134" w:hanging="567"/>
      </w:pPr>
      <w:r>
        <w:t>b)</w:t>
      </w:r>
      <w:r>
        <w:tab/>
      </w:r>
      <w:r>
        <w:t>andere Einrichtungen, die für die Selbstversorgung von Körperschaften erforderlich sind, wie Tischlereien, Schlossereien,</w:t>
      </w:r>
    </w:p>
    <w:p>
      <w:pPr>
        <w:ind w:left="567"/>
      </w:pPr>
      <w:r>
        <w:t>wenn die Lieferungen und sonstigen Leistungen dieser Einrichtungen an Außenstehende dem Wert nach 20 Prozent der gesamten Lieferungen und sonstigen Leistungen des Betriebs – einschließlich der an die Körperschaften selbst bewirkten – nicht übersteigen,</w:t>
      </w:r>
    </w:p>
    <w:p>
      <w:pPr>
        <w:tabs>
          <w:tab w:pos="567" w:val="left"/>
        </w:tabs>
        <w:ind w:left="567" w:hanging="567"/>
      </w:pPr>
      <w:r>
        <w:t>3.</w:t>
      </w:r>
      <w:r>
        <w:tab/>
      </w:r>
    </w:p>
    <w:p>
      <w:pPr>
        <w:tabs>
          <w:tab w:pos="1134" w:val="left"/>
        </w:tabs>
        <w:ind w:left="1134" w:hanging="567"/>
      </w:pPr>
      <w:r>
        <w:t>a)</w:t>
      </w:r>
      <w:r>
        <w:tab/>
      </w:r>
      <w:r>
        <w:t>Werkstätten für behinderte Menschen, die nach den Vorschriften des Dritten Buches Sozialgesetzbuch förderungsfähig sind und Personen Arbeitsplätze bieten, die wegen ihrer Behinderung nicht auf dem allgemeinen Arbeitsmarkt tätig sein können,</w:t>
      </w:r>
    </w:p>
    <w:p>
      <w:pPr>
        <w:tabs>
          <w:tab w:pos="1134" w:val="left"/>
        </w:tabs>
        <w:ind w:left="1134" w:hanging="567"/>
      </w:pPr>
      <w:r>
        <w:t>b)</w:t>
      </w:r>
      <w:r>
        <w:tab/>
      </w:r>
      <w:r>
        <w:t>Einrichtungen für Beschäftigungs- und Arbeitstherapie, in denen behinderte Menschen aufgrund ärztlicher Indikationen außerhalb eines Beschäftigungsverhältnisses zum Träger der Therapieeinrichtung mit dem Ziel behandelt werden, körperliche oder psychische Grundfunktionen zum Zwecke der Wiedereingliederung in das Alltagsleben wiederherzustellen oder die besonderen Fähigkeiten und Fertigkeiten auszubilden, zu fördern und zu trainieren, die für eine Teilnahme am Arbeitsleben erforderlich sind, und</w:t>
      </w:r>
    </w:p>
    <w:p>
      <w:pPr>
        <w:tabs>
          <w:tab w:pos="1134" w:val="left"/>
        </w:tabs>
        <w:ind w:left="1134" w:hanging="567"/>
      </w:pPr>
      <w:r>
        <w:t>c)</w:t>
      </w:r>
      <w:r>
        <w:tab/>
      </w:r>
      <w:r>
        <w:t>Inklusionsbetriebe im Sinne des § 215 Absatz 1 des Neunten Buches Sozialgesetzbuch, wenn mindestens 40 Prozent der Beschäftigten besonders betroffene schwerbehinderte Menschen im Sinne des § 215 Absatz 1 des Neunten Buches Sozialgesetzbuch sind; auf die Quote werden psychisch kranke Menschen im Sinne des § 215 Absatz 4 des Neunten Buches Sozialgesetzbuch angerechnet,</w:t>
      </w:r>
    </w:p>
    <w:p>
      <w:pPr>
        <w:tabs>
          <w:tab w:pos="567" w:val="left"/>
        </w:tabs>
        <w:ind w:left="567" w:hanging="567"/>
      </w:pPr>
      <w:r>
        <w:t>4.</w:t>
      </w:r>
      <w:r>
        <w:tab/>
      </w:r>
      <w:r>
        <w:t>Einrichtungen, die zur Durchführung der Fürsorge für blinde Menschen, zur Durchführung der Fürsorge für körperbehinderte Menschen und zur Durchführung der Fürsorge für psychische und seelische Erkrankungen beziehungsweise Behinderungen unterhalten werden,</w:t>
      </w:r>
    </w:p>
    <w:p>
      <w:pPr>
        <w:tabs>
          <w:tab w:pos="567" w:val="left"/>
        </w:tabs>
        <w:ind w:left="567" w:hanging="567"/>
      </w:pPr>
      <w:r>
        <w:t>5.</w:t>
      </w:r>
      <w:r>
        <w:tab/>
      </w:r>
      <w:r>
        <w:t>Einrichtungen über Tag und Nacht (Heimerziehung) oder sonstige betreute Wohnformen,</w:t>
      </w:r>
    </w:p>
    <w:p>
      <w:pPr>
        <w:tabs>
          <w:tab w:pos="567" w:val="left"/>
        </w:tabs>
        <w:ind w:left="567" w:hanging="567"/>
      </w:pPr>
      <w:r>
        <w:t>6.</w:t>
      </w:r>
      <w:r>
        <w:tab/>
      </w:r>
      <w:r>
        <w:t>von den zuständigen Behörden genehmigte Lotterien und Ausspielungen, wenn der Reinertrag unmittelbar und ausschließlich zur Förderung mildtätiger, kirchlicher oder gemeinnütziger Zwecke verwendet wird,</w:t>
      </w:r>
    </w:p>
    <w:p>
      <w:pPr>
        <w:tabs>
          <w:tab w:pos="567" w:val="left"/>
        </w:tabs>
        <w:ind w:left="567" w:hanging="567"/>
      </w:pPr>
      <w:r>
        <w:t>7.</w:t>
      </w:r>
      <w:r>
        <w:tab/>
      </w:r>
      <w:r>
        <w:t>kulturelle Einrichtungen, wie Museen, Theater, und kulturelle Veranstaltungen, wie Konzerte, Kunstausstellungen; dazu gehört nicht der Verkauf von Speisen und Getränken,</w:t>
      </w:r>
    </w:p>
    <w:p>
      <w:pPr>
        <w:tabs>
          <w:tab w:pos="567" w:val="left"/>
        </w:tabs>
        <w:ind w:left="567" w:hanging="567"/>
      </w:pPr>
      <w:r>
        <w:t>8.</w:t>
      </w:r>
      <w:r>
        <w:tab/>
      </w:r>
      <w:r>
        <w:t>Volkshochschulen und andere Einrichtungen, soweit sie selbst Vorträge, Kurse und andere Veranstaltungen wissenschaftlicher oder belehrender Art durchführen; dies gilt auch, soweit die Einrichtungen den Teilnehmern dieser Veranstaltungen selbst Beherbergung und Beköstigung gewähren,</w:t>
      </w:r>
    </w:p>
    <w:p>
      <w:pPr>
        <w:tabs>
          <w:tab w:pos="567" w:val="left"/>
        </w:tabs>
        <w:ind w:left="567" w:hanging="567"/>
      </w:pPr>
      <w:r>
        <w:t>9.</w:t>
      </w:r>
      <w:r>
        <w:tab/>
      </w:r>
      <w:r>
        <w:t xml:space="preserve">Wissenschafts- und Forschungseinrichtungen, deren Träger sich überwiegend aus Zuwendungen der öffentlichen Hand oder Dritter oder aus der Vermögensverwaltung finanziert. </w:t>
      </w:r>
      <w:r>
        <w:rPr>
          <w:rStyle w:val="Satznummer"/>
        </w:rPr>
        <w:t>2</w:t>
      </w:r>
      <w:r>
        <w:t xml:space="preserve">Der Wissenschaft und Forschung dient auch die Auftragsforschung. </w:t>
      </w:r>
      <w:r>
        <w:rPr>
          <w:rStyle w:val="Satznummer"/>
        </w:rPr>
        <w:t>3</w:t>
      </w:r>
      <w:r>
        <w:t>Nicht zum Zweckbetrieb gehören Tätigkeiten, die sich auf die Anwendung gesicherter wissenschaftlicher Erkenntnisse beschränken, die Übernahme von Projektträgerschaften sowie wirtschaftliche Tätigkeiten ohne Forschungsbezug.</w:t>
      </w:r>
    </w:p>
    <w:p>
      <w:pPr>
        <w:pStyle w:val="Heading2"/>
      </w:pPr>
      <w:bookmarkStart w:id="107" w:name="b105"/>
      <w:r>
        <w:t>Vierter Abschnitt Haftung</w:t>
      </w:r>
      <w:bookmarkEnd w:id="107"/>
    </w:p>
    <w:p>
      <w:pPr>
        <w:pStyle w:val="Heading3"/>
      </w:pPr>
      <w:bookmarkStart w:id="108" w:name="b106"/>
      <w:r>
        <w:t>§ 69 Haftung der Vertreter</w:t>
      </w:r>
      <w:r>
        <w:t xml:space="preserve"> </w:t>
      </w:r>
      <w:r>
        <w:rPr>
          <w:rStyle w:val="Suchmarke"/>
        </w:rPr>
        <w:t>#69#</w:t>
      </w:r>
      <w:bookmarkEnd w:id="108"/>
    </w:p>
    <w:p>
      <w:r>
        <w:rPr>
          <w:rStyle w:val="Satznummer"/>
        </w:rPr>
        <w:t>1</w:t>
      </w:r>
      <w:r>
        <w:t xml:space="preserve">Die in den </w:t>
      </w:r>
      <w:hyperlink w:anchor="b64" w:history="1">
        <w:r>
          <w:rPr>
            <w:color w:val="0A3A8C"/>
            <w:u w:val="single"/>
          </w:rPr>
          <w:t xml:space="preserve">§§ 34</w:t>
        </w:r>
      </w:hyperlink>
      <w:r>
        <w:t xml:space="preserve"> und </w:t>
      </w:r>
      <w:hyperlink w:anchor="b65" w:history="1">
        <w:r>
          <w:rPr>
            <w:color w:val="0A3A8C"/>
            <w:u w:val="single"/>
          </w:rPr>
          <w:t xml:space="preserve">35</w:t>
        </w:r>
      </w:hyperlink>
      <w:r>
        <w:t xml:space="preserve"> bezeichneten Personen haften, soweit Ansprüche aus dem Steuerschuldverhältnis (</w:t>
      </w:r>
      <w:hyperlink w:anchor="b68" w:history="1">
        <w:r>
          <w:rPr>
            <w:color w:val="0A3A8C"/>
            <w:u w:val="single"/>
          </w:rPr>
          <w:t xml:space="preserve">§ 37</w:t>
        </w:r>
      </w:hyperlink>
      <w:r>
        <w:t xml:space="preserve">) infolge vorsätzlicher oder grob fahrlässiger Verletzung der ihnen auferlegten Pflichten nicht oder nicht rechtzeitig festgesetzt oder erfüllt oder soweit infolgedessen Steuervergütungen oder Steuererstattungen ohne rechtlichen Grund gezahlt werden. </w:t>
      </w:r>
      <w:r>
        <w:rPr>
          <w:rStyle w:val="Satznummer"/>
        </w:rPr>
        <w:t>2</w:t>
      </w:r>
      <w:r>
        <w:t>Die Haftung umfasst auch die infolge der Pflichtverletzung zu zahlenden Säumniszuschläge.</w:t>
      </w:r>
    </w:p>
    <w:p>
      <w:pPr>
        <w:pStyle w:val="Heading3"/>
      </w:pPr>
      <w:bookmarkStart w:id="109" w:name="b107"/>
      <w:r>
        <w:t>§ 70 Haftung des Vertretenen</w:t>
      </w:r>
      <w:r>
        <w:t xml:space="preserve"> </w:t>
      </w:r>
      <w:r>
        <w:rPr>
          <w:rStyle w:val="Suchmarke"/>
        </w:rPr>
        <w:t>#70#</w:t>
      </w:r>
      <w:bookmarkEnd w:id="109"/>
    </w:p>
    <w:p>
      <w:r>
        <w:t xml:space="preserve">(1) Wenn die in den </w:t>
      </w:r>
      <w:hyperlink w:anchor="b64" w:history="1">
        <w:r>
          <w:rPr>
            <w:color w:val="0A3A8C"/>
            <w:u w:val="single"/>
          </w:rPr>
          <w:t xml:space="preserve">§§ 34</w:t>
        </w:r>
      </w:hyperlink>
      <w:r>
        <w:t xml:space="preserve"> und </w:t>
      </w:r>
      <w:hyperlink w:anchor="b65" w:history="1">
        <w:r>
          <w:rPr>
            <w:color w:val="0A3A8C"/>
            <w:u w:val="single"/>
          </w:rPr>
          <w:t xml:space="preserve">35</w:t>
        </w:r>
      </w:hyperlink>
      <w:r>
        <w:t xml:space="preserve"> bezeichneten Personen bei Ausübung ihrer Obliegenheiten eine Steuerhinterziehung oder eine leichtfertige Steuerverkürzung begehen oder an einer Steuerhinterziehung teilnehmen und hierdurch Steuerschuldner oder Haftende werden, so haften die Vertretenen, soweit sie nicht Steuerschuldner sind, für die durch die Tat verkürzten Steuern und die zu Unrecht gewährten Steuervorteile.</w:t>
      </w:r>
    </w:p>
    <w:p>
      <w:r>
        <w:t xml:space="preserve">(2) </w:t>
      </w:r>
      <w:r>
        <w:rPr>
          <w:rStyle w:val="Satznummer"/>
        </w:rPr>
        <w:t>1</w:t>
      </w:r>
      <w:r>
        <w:t xml:space="preserve">Absatz 1 ist nicht anzuwenden bei Taten gesetzlicher Vertreter natürlicher Personen, wenn diese aus der Tat des Vertreters keinen Vermögensvorteil erlangt haben. </w:t>
      </w:r>
      <w:r>
        <w:rPr>
          <w:rStyle w:val="Satznummer"/>
        </w:rPr>
        <w:t>2</w:t>
      </w:r>
      <w:r>
        <w:t>Das Gleiche gilt, wenn die Vertretenen denjenigen, der die Steuerhinterziehung oder die leichtfertige Steuerverkürzung begangen hat, sorgfältig ausgewählt und beaufsichtigt haben.</w:t>
      </w:r>
    </w:p>
    <w:p>
      <w:pPr>
        <w:pStyle w:val="Heading3"/>
      </w:pPr>
      <w:bookmarkStart w:id="110" w:name="b108"/>
      <w:r>
        <w:t>§ 71 Haftung des Steuerhinterziehers und des Steuerhehlers</w:t>
      </w:r>
      <w:r>
        <w:t xml:space="preserve"> </w:t>
      </w:r>
      <w:r>
        <w:rPr>
          <w:rStyle w:val="Suchmarke"/>
        </w:rPr>
        <w:t>#71#</w:t>
      </w:r>
      <w:bookmarkEnd w:id="110"/>
    </w:p>
    <w:p>
      <w:r>
        <w:t xml:space="preserve">Wer eine Steuerhinterziehung oder eine Steuerhehlerei begeht oder an einer solchen Tat teilnimmt, haftet für die verkürzten Steuern und die zu Unrecht gewährten Steuervorteile sowie für die Zinsen nach </w:t>
      </w:r>
      <w:hyperlink w:anchor="b373" w:history="1">
        <w:r>
          <w:rPr>
            <w:color w:val="0A3A8C"/>
            <w:u w:val="single"/>
          </w:rPr>
          <w:t xml:space="preserve">§ 235</w:t>
        </w:r>
      </w:hyperlink>
      <w:r>
        <w:t xml:space="preserve"> und die Zinsen nach </w:t>
      </w:r>
      <w:hyperlink w:anchor="b371" w:history="1">
        <w:r>
          <w:rPr>
            <w:color w:val="0A3A8C"/>
            <w:u w:val="single"/>
          </w:rPr>
          <w:t xml:space="preserve">§ 233a</w:t>
        </w:r>
      </w:hyperlink>
      <w:r>
        <w:t xml:space="preserve">, soweit diese nach </w:t>
      </w:r>
      <w:hyperlink w:anchor="b373" w:history="1">
        <w:r>
          <w:rPr>
            <w:color w:val="0A3A8C"/>
            <w:u w:val="single"/>
          </w:rPr>
          <w:t xml:space="preserve">§ 235</w:t>
        </w:r>
      </w:hyperlink>
      <w:r>
        <w:t xml:space="preserve"> Absatz 4 auf die Hinterziehungszinsen angerechnet werden.</w:t>
      </w:r>
    </w:p>
    <w:p>
      <w:pPr>
        <w:pStyle w:val="Heading3"/>
      </w:pPr>
      <w:bookmarkStart w:id="111" w:name="b109"/>
      <w:r>
        <w:t>§ 72 Haftung bei Verletzung der Pflicht zur Kontenwahrheit</w:t>
      </w:r>
      <w:r>
        <w:t xml:space="preserve"> </w:t>
      </w:r>
      <w:r>
        <w:rPr>
          <w:rStyle w:val="Suchmarke"/>
        </w:rPr>
        <w:t>#72#</w:t>
      </w:r>
      <w:bookmarkEnd w:id="111"/>
    </w:p>
    <w:p>
      <w:r>
        <w:t xml:space="preserve">Wer vorsätzlich oder grob fahrlässig der Vorschrift des </w:t>
      </w:r>
      <w:hyperlink w:anchor="b260" w:history="1">
        <w:r>
          <w:rPr>
            <w:color w:val="0A3A8C"/>
            <w:u w:val="single"/>
          </w:rPr>
          <w:t xml:space="preserve">§ 154</w:t>
        </w:r>
      </w:hyperlink>
      <w:r>
        <w:t xml:space="preserve"> Absatz 3 zuwiderhandelt, haftet, soweit dadurch die Verwirklichung von Ansprüchen aus dem Steuerschuldverhältnis beeinträchtigt wird.</w:t>
      </w:r>
    </w:p>
    <w:p>
      <w:pPr>
        <w:pStyle w:val="Heading3"/>
      </w:pPr>
      <w:bookmarkStart w:id="112" w:name="b110"/>
      <w:r>
        <w:t>§ 72a Haftung Dritter bei Datenübermittlungen an Finanzbehörden</w:t>
      </w:r>
      <w:r>
        <w:t xml:space="preserve"> </w:t>
      </w:r>
      <w:r>
        <w:rPr>
          <w:rStyle w:val="Suchmarke"/>
        </w:rPr>
        <w:t>#72a#</w:t>
      </w:r>
      <w:bookmarkEnd w:id="112"/>
    </w:p>
    <w:p>
      <w:r>
        <w:t xml:space="preserve">(1) </w:t>
      </w:r>
      <w:r>
        <w:rPr>
          <w:rStyle w:val="Satznummer"/>
        </w:rPr>
        <w:t>1</w:t>
      </w:r>
      <w:r>
        <w:t xml:space="preserve">Der Hersteller von Programmen im Sinne des </w:t>
      </w:r>
      <w:hyperlink w:anchor="b135" w:history="1">
        <w:r>
          <w:rPr>
            <w:color w:val="0A3A8C"/>
            <w:u w:val="single"/>
          </w:rPr>
          <w:t xml:space="preserve">§ 87c</w:t>
        </w:r>
      </w:hyperlink>
      <w:r>
        <w:t xml:space="preserve"> haftet, soweit die Daten infolge einer Verletzung seiner Pflichten nach </w:t>
      </w:r>
      <w:hyperlink w:anchor="b135" w:history="1">
        <w:r>
          <w:rPr>
            <w:color w:val="0A3A8C"/>
            <w:u w:val="single"/>
          </w:rPr>
          <w:t xml:space="preserve">§ 87c</w:t>
        </w:r>
      </w:hyperlink>
      <w:r>
        <w:t xml:space="preserve"> unrichtig oder unvollständig verarbeitet und dadurch Steuern verkürzt oder zu Unrecht steuerliche Vorteile erlangt werden. </w:t>
      </w:r>
      <w:r>
        <w:rPr>
          <w:rStyle w:val="Satznummer"/>
        </w:rPr>
        <w:t>2</w:t>
      </w:r>
      <w:r>
        <w:t>Die Haftung entfällt, soweit der Hersteller nachweist, dass die Pflichtverletzung nicht auf grober Fahrlässigkeit oder Vorsatz beruht.</w:t>
      </w:r>
    </w:p>
    <w:p>
      <w:r>
        <w:t xml:space="preserve">(2) </w:t>
      </w:r>
      <w:r>
        <w:rPr>
          <w:rStyle w:val="Satznummer"/>
        </w:rPr>
        <w:t>1</w:t>
      </w:r>
      <w:r>
        <w:t>Wer als Auftragnehmer (</w:t>
      </w:r>
      <w:hyperlink w:anchor="b136" w:history="1">
        <w:r>
          <w:rPr>
            <w:color w:val="0A3A8C"/>
            <w:u w:val="single"/>
          </w:rPr>
          <w:t xml:space="preserve">§ 87d</w:t>
        </w:r>
      </w:hyperlink>
      <w:r>
        <w:t xml:space="preserve">) Programme zur Verarbeitung von Daten im Auftrag im Sinne des </w:t>
      </w:r>
      <w:hyperlink w:anchor="b135" w:history="1">
        <w:r>
          <w:rPr>
            <w:color w:val="0A3A8C"/>
            <w:u w:val="single"/>
          </w:rPr>
          <w:t xml:space="preserve">§ 87c</w:t>
        </w:r>
      </w:hyperlink>
      <w:r>
        <w:t xml:space="preserve"> einsetzt, haftet, soweit</w:t>
      </w:r>
    </w:p>
    <w:p>
      <w:pPr>
        <w:tabs>
          <w:tab w:pos="567" w:val="left"/>
        </w:tabs>
        <w:ind w:left="567" w:hanging="567"/>
      </w:pPr>
      <w:r>
        <w:t>1.</w:t>
      </w:r>
      <w:r>
        <w:tab/>
      </w:r>
      <w:r>
        <w:t>auf Grund unrichtiger oder unvollständiger Übermittlung Steuern verkürzt oder zu Unrecht steuerliche Vorteile erlangt werden oder</w:t>
      </w:r>
    </w:p>
    <w:p>
      <w:pPr>
        <w:tabs>
          <w:tab w:pos="567" w:val="left"/>
        </w:tabs>
        <w:ind w:left="567" w:hanging="567"/>
      </w:pPr>
      <w:r>
        <w:t>2.</w:t>
      </w:r>
      <w:r>
        <w:tab/>
      </w:r>
      <w:r>
        <w:t xml:space="preserve">er seine Pflichten nach </w:t>
      </w:r>
      <w:hyperlink w:anchor="b136" w:history="1">
        <w:r>
          <w:rPr>
            <w:color w:val="0A3A8C"/>
            <w:u w:val="single"/>
          </w:rPr>
          <w:t xml:space="preserve">§ 87d</w:t>
        </w:r>
      </w:hyperlink>
      <w:r>
        <w:t xml:space="preserve"> Absatz 2 verletzt hat und auf Grund der von ihm übermittelten Daten Steuern verkürzt oder zu Unrecht steuerliche Vorteile erlangt werden.</w:t>
      </w:r>
    </w:p>
    <w:p>
      <w:r>
        <w:rPr>
          <w:rStyle w:val="Satznummer"/>
        </w:rPr>
        <w:t>2</w:t>
      </w:r>
      <w:r>
        <w:t xml:space="preserve">Die Haftung entfällt, soweit der Auftragnehmer nachweist, dass die unrichtige oder unvollständige Übermittlung der Daten oder die Verletzung der Pflichten nach </w:t>
      </w:r>
      <w:hyperlink w:anchor="b136" w:history="1">
        <w:r>
          <w:rPr>
            <w:color w:val="0A3A8C"/>
            <w:u w:val="single"/>
          </w:rPr>
          <w:t xml:space="preserve">§ 87d</w:t>
        </w:r>
      </w:hyperlink>
      <w:r>
        <w:t xml:space="preserve"> Absatz 2 nicht auf grober Fahrlässigkeit oder Vorsatz beruht.</w:t>
      </w:r>
    </w:p>
    <w:p>
      <w:r>
        <w:t>(3) Die Absätze 1 und 2 gelten nicht für Zusammenfassende Meldungen im Sinne des § 18a Absatz 1 des Umsatzsteuergesetzes.</w:t>
      </w:r>
    </w:p>
    <w:p>
      <w:r>
        <w:t>(4) Wer nach Maßgabe des § 93c Daten an die Finanzbehörden zu übermitteln hat und vorsätzlich oder grob fahrlässig</w:t>
      </w:r>
    </w:p>
    <w:p>
      <w:pPr>
        <w:tabs>
          <w:tab w:pos="567" w:val="left"/>
        </w:tabs>
        <w:ind w:left="567" w:hanging="567"/>
      </w:pPr>
      <w:r>
        <w:t>1.</w:t>
      </w:r>
      <w:r>
        <w:tab/>
      </w:r>
      <w:r>
        <w:t>unrichtige oder unvollständige Daten übermittelt oder</w:t>
      </w:r>
    </w:p>
    <w:p>
      <w:pPr>
        <w:tabs>
          <w:tab w:pos="567" w:val="left"/>
        </w:tabs>
        <w:ind w:left="567" w:hanging="567"/>
      </w:pPr>
      <w:r>
        <w:t>2.</w:t>
      </w:r>
      <w:r>
        <w:tab/>
      </w:r>
      <w:r>
        <w:t>Daten pflichtwidrig nicht übermittelt,</w:t>
      </w:r>
    </w:p>
    <w:p>
      <w:r>
        <w:t>haftet für die entgangene Steuer.</w:t>
      </w:r>
    </w:p>
    <w:p>
      <w:pPr>
        <w:pStyle w:val="Heading3"/>
      </w:pPr>
      <w:bookmarkStart w:id="113" w:name="b111"/>
      <w:r>
        <w:t>§ 73 Haftung bei Organschaft</w:t>
      </w:r>
      <w:r>
        <w:t xml:space="preserve"> </w:t>
      </w:r>
      <w:r>
        <w:rPr>
          <w:rStyle w:val="Suchmarke"/>
        </w:rPr>
        <w:t>#73#</w:t>
      </w:r>
      <w:bookmarkEnd w:id="113"/>
    </w:p>
    <w:p>
      <w:r>
        <w:rPr>
          <w:rStyle w:val="Satznummer"/>
        </w:rPr>
        <w:t>1</w:t>
      </w:r>
      <w:r>
        <w:t xml:space="preserve">Eine Organgesellschaft haftet für solche Steuern des Organträgers, für welche die Organschaft zwischen ihnen steuerlich von Bedeutung ist. </w:t>
      </w:r>
      <w:r>
        <w:rPr>
          <w:rStyle w:val="Satznummer"/>
        </w:rPr>
        <w:t>2</w:t>
      </w:r>
      <w:r>
        <w:t xml:space="preserve">Haftet eine Organgesellschaft, die selbst Organträger ist, nach Satz 1, haften ihre Organgesellschaften neben ihr ebenfalls nach Satz 1. </w:t>
      </w:r>
      <w:r>
        <w:rPr>
          <w:rStyle w:val="Satznummer"/>
        </w:rPr>
        <w:t>3</w:t>
      </w:r>
      <w:r>
        <w:t>Den Steuern stehen die Ansprüche auf Erstattung von Steuervergütungen gleich.</w:t>
      </w:r>
    </w:p>
    <w:p>
      <w:pPr>
        <w:pStyle w:val="Heading3"/>
      </w:pPr>
      <w:bookmarkStart w:id="114" w:name="b112"/>
      <w:r>
        <w:t>§ 74 Haftung des Eigentümers von Gegenständen</w:t>
      </w:r>
      <w:r>
        <w:t xml:space="preserve"> </w:t>
      </w:r>
      <w:r>
        <w:rPr>
          <w:rStyle w:val="Suchmarke"/>
        </w:rPr>
        <w:t>#74#</w:t>
      </w:r>
      <w:bookmarkEnd w:id="114"/>
    </w:p>
    <w:p>
      <w:r>
        <w:t xml:space="preserve">(1) </w:t>
      </w:r>
      <w:r>
        <w:rPr>
          <w:rStyle w:val="Satznummer"/>
        </w:rPr>
        <w:t>1</w:t>
      </w:r>
      <w:r>
        <w:t xml:space="preserve">Gehören Gegenstände, die einem Unternehmen dienen, nicht dem Unternehmer, sondern einer an dem Unternehmen wesentlich beteiligten Person, so haftet der Eigentümer der Gegenstände mit diesen für diejenigen Steuern des Unternehmens, bei denen sich die Steuerpflicht auf den Betrieb des Unternehmens gründet. </w:t>
      </w:r>
      <w:r>
        <w:rPr>
          <w:rStyle w:val="Satznummer"/>
        </w:rPr>
        <w:t>2</w:t>
      </w:r>
      <w:r>
        <w:t xml:space="preserve">Die Haftung erstreckt sich jedoch nur auf die Steuern, die während des Bestehens der wesentlichen Beteiligung entstanden sind. </w:t>
      </w:r>
      <w:r>
        <w:rPr>
          <w:rStyle w:val="Satznummer"/>
        </w:rPr>
        <w:t>3</w:t>
      </w:r>
      <w:r>
        <w:t>Den Steuern stehen die Ansprüche auf Erstattung von Steuervergütungen gleich.</w:t>
      </w:r>
    </w:p>
    <w:p>
      <w:r>
        <w:t xml:space="preserve">(2) </w:t>
      </w:r>
      <w:r>
        <w:rPr>
          <w:rStyle w:val="Satznummer"/>
        </w:rPr>
        <w:t>1</w:t>
      </w:r>
      <w:r>
        <w:t xml:space="preserve">Eine Person ist an dem Unternehmen wesentlich beteiligt, wenn sie unmittelbar oder mittelbar zu mehr als einem Viertel am Grund- oder Stammkapital oder am Vermögen des Unternehmens beteiligt ist. </w:t>
      </w:r>
      <w:r>
        <w:rPr>
          <w:rStyle w:val="Satznummer"/>
        </w:rPr>
        <w:t>2</w:t>
      </w:r>
      <w:r>
        <w:t>Als wesentlich beteiligt gilt auch, wer auf das Unternehmen einen beherrschenden Einfluss ausübt und durch sein Verhalten dazu beiträgt, dass fällige Steuern im Sinne des Absatzes 1 Satz 1 nicht entrichtet werden.</w:t>
      </w:r>
    </w:p>
    <w:p>
      <w:pPr>
        <w:pStyle w:val="Heading3"/>
      </w:pPr>
      <w:bookmarkStart w:id="115" w:name="b113"/>
      <w:r>
        <w:t>§ 75 Haftung des Betriebsübernehmers</w:t>
      </w:r>
      <w:r>
        <w:t xml:space="preserve"> </w:t>
      </w:r>
      <w:r>
        <w:rPr>
          <w:rStyle w:val="Suchmarke"/>
        </w:rPr>
        <w:t>#75#</w:t>
      </w:r>
      <w:bookmarkEnd w:id="115"/>
    </w:p>
    <w:p>
      <w:r>
        <w:t xml:space="preserve">(1) </w:t>
      </w:r>
      <w:r>
        <w:rPr>
          <w:rStyle w:val="Satznummer"/>
        </w:rPr>
        <w:t>1</w:t>
      </w:r>
      <w:r>
        <w:t xml:space="preserve">Wird ein Unternehmen oder ein in der Gliederung eines Unternehmens gesondert geführter Betrieb im Ganzen übereignet, so haftet der Erwerber für Steuern, bei denen sich die Steuerpflicht auf den Betrieb des Unternehmens gründet, und für Steuerabzugsbeträge, vorausgesetzt, dass die Steuern seit dem Beginn des letzten, vor der Übereignung liegenden Kalenderjahrs entstanden sind und bis zum Ablauf von einem Jahr nach Anmeldung des Betriebs durch den Erwerber festgesetzt oder angemeldet werden. </w:t>
      </w:r>
      <w:r>
        <w:rPr>
          <w:rStyle w:val="Satznummer"/>
        </w:rPr>
        <w:t>2</w:t>
      </w:r>
      <w:r>
        <w:t xml:space="preserve">Die Haftung beschränkt sich auf den Bestand des übernommenen Vermögens. </w:t>
      </w:r>
      <w:r>
        <w:rPr>
          <w:rStyle w:val="Satznummer"/>
        </w:rPr>
        <w:t>3</w:t>
      </w:r>
      <w:r>
        <w:t>Den Steuern stehen die Ansprüche auf Erstattung von Steuervergütungen gleich.</w:t>
      </w:r>
    </w:p>
    <w:p>
      <w:r>
        <w:t>(2) Absatz 1 gilt nicht für Erwerbe aus einer Insolvenzmasse und für Erwerbe im Vollstreckungsverfahren.</w:t>
      </w:r>
    </w:p>
    <w:p>
      <w:pPr>
        <w:pStyle w:val="Heading3"/>
      </w:pPr>
      <w:bookmarkStart w:id="116" w:name="b114"/>
      <w:r>
        <w:t>§ 76 Sachhaftung</w:t>
      </w:r>
      <w:r>
        <w:t xml:space="preserve"> </w:t>
      </w:r>
      <w:r>
        <w:rPr>
          <w:rStyle w:val="Suchmarke"/>
        </w:rPr>
        <w:t>#76#</w:t>
      </w:r>
      <w:bookmarkEnd w:id="116"/>
    </w:p>
    <w:p>
      <w:r>
        <w:t>(1) Verbrauchsteuerpflichtige Waren und einfuhr- und ausfuhrabgabenpflichtige Waren dienen ohne Rücksicht auf die Rechte Dritter als Sicherheit für die darauf ruhenden Steuern (Sachhaftung).</w:t>
      </w:r>
    </w:p>
    <w:p>
      <w:r>
        <w:t>(2) Die Sachhaftung entsteht bei einfuhr- und ausfuhrabgaben- oder verbrauchsteuerpflichtigen Waren, wenn nichts anderes vorgeschrieben ist, mit ihrem Verbringen in den Geltungsbereich dieses Gesetzes, bei verbrauchsteuerpflichtigen Waren auch mit Beginn ihrer Gewinnung oder Herstellung.</w:t>
      </w:r>
    </w:p>
    <w:p>
      <w:r>
        <w:t xml:space="preserve">(3) </w:t>
      </w:r>
      <w:r>
        <w:rPr>
          <w:rStyle w:val="Satznummer"/>
        </w:rPr>
        <w:t>1</w:t>
      </w:r>
      <w:r>
        <w:t xml:space="preserve">Solange die Steuer nicht entrichtet ist, kann die Finanzbehörde die Waren mit Beschlag belegen. </w:t>
      </w:r>
      <w:r>
        <w:rPr>
          <w:rStyle w:val="Satznummer"/>
        </w:rPr>
        <w:t>2</w:t>
      </w:r>
      <w:r>
        <w:t>Als Beschlagnahme genügt das Verbot an den, der die Waren im Gewahrsam hat, über sie zu verfügen.</w:t>
      </w:r>
    </w:p>
    <w:p>
      <w:r>
        <w:t xml:space="preserve">(4) </w:t>
      </w:r>
      <w:r>
        <w:rPr>
          <w:rStyle w:val="Satznummer"/>
        </w:rPr>
        <w:t>1</w:t>
      </w:r>
      <w:r>
        <w:t xml:space="preserve">Die Sachhaftung erlischt mit der Steuerschuld. </w:t>
      </w:r>
      <w:r>
        <w:rPr>
          <w:rStyle w:val="Satznummer"/>
        </w:rPr>
        <w:t>2</w:t>
      </w:r>
      <w:r>
        <w:t>Sie erlischt ferner mit der Aufhebung der Beschlagnahme oder dadurch, dass die Waren mit Zustimmung der Finanzbehörde in einen steuerlich nicht beschränkten Verkehr übergehen.</w:t>
      </w:r>
    </w:p>
    <w:p>
      <w:r>
        <w:t>(5) Von der Geltendmachung der Sachhaftung wird abgesehen, wenn die Waren dem Verfügungsberechtigten abhanden gekommen sind und die verbrauchsteuerpflichtigen Waren in einen Herstellungsbetrieb aufgenommen oder die einfuhr- und ausfuhrabgabenpflichtigen Waren eine zollrechtliche Bestimmung erhalten.</w:t>
      </w:r>
    </w:p>
    <w:p>
      <w:pPr>
        <w:pStyle w:val="Heading3"/>
      </w:pPr>
      <w:bookmarkStart w:id="117" w:name="b115"/>
      <w:r>
        <w:t>§ 77 Duldungspflicht</w:t>
      </w:r>
      <w:r>
        <w:t xml:space="preserve"> </w:t>
      </w:r>
      <w:r>
        <w:rPr>
          <w:rStyle w:val="Suchmarke"/>
        </w:rPr>
        <w:t>#77#</w:t>
      </w:r>
      <w:bookmarkEnd w:id="117"/>
    </w:p>
    <w:p>
      <w:r>
        <w:t>(1) Wer kraft Gesetzes verpflichtet ist, eine Steuer aus Mitteln, die seiner Verwaltung unterliegen, zu entrichten, ist insoweit verpflichtet, die Vollstreckung in dieses Vermögen zu dulden.</w:t>
      </w:r>
    </w:p>
    <w:p>
      <w:r>
        <w:t xml:space="preserve">(2) </w:t>
      </w:r>
      <w:r>
        <w:rPr>
          <w:rStyle w:val="Satznummer"/>
        </w:rPr>
        <w:t>1</w:t>
      </w:r>
      <w:r>
        <w:t xml:space="preserve">Wegen einer Steuer, die als öffentliche Last auf Grundbesitz ruht, hat der Eigentümer die Zwangsvollstreckung in den Grundbesitz zu dulden. </w:t>
      </w:r>
      <w:r>
        <w:rPr>
          <w:rStyle w:val="Satznummer"/>
        </w:rPr>
        <w:t>2</w:t>
      </w:r>
      <w:r>
        <w:t xml:space="preserve">Zugunsten der Finanzbehörde gilt als Eigentümer, wer als solcher im Grundbuch eingetragen ist. </w:t>
      </w:r>
      <w:r>
        <w:rPr>
          <w:rStyle w:val="Satznummer"/>
        </w:rPr>
        <w:t>3</w:t>
      </w:r>
      <w:r>
        <w:t>Das Recht des nicht eingetragenen Eigentümers, die ihm gegen die öffentliche Last zustehenden Einwendungen geltend zu machen, bleibt unberührt.</w:t>
      </w:r>
    </w:p>
    <w:p>
      <w:pPr>
        <w:pStyle w:val="Heading1"/>
      </w:pPr>
      <w:bookmarkStart w:id="118" w:name="b116"/>
      <w:r>
        <w:t>Dritter Teil Allgemeine Verfahrensvorschriften</w:t>
      </w:r>
      <w:bookmarkEnd w:id="118"/>
    </w:p>
    <w:p>
      <w:pPr>
        <w:pStyle w:val="Heading2"/>
      </w:pPr>
      <w:bookmarkStart w:id="119" w:name="b117"/>
      <w:r>
        <w:t>Erster Abschnitt Verfahrensgrundsätze</w:t>
      </w:r>
      <w:bookmarkEnd w:id="119"/>
    </w:p>
    <w:p>
      <w:pPr>
        <w:pStyle w:val="Heading3"/>
      </w:pPr>
      <w:bookmarkStart w:id="120" w:name="b118"/>
      <w:r>
        <w:t>1. Unterabschnitt Beteiligung am Verfahren</w:t>
      </w:r>
      <w:bookmarkEnd w:id="120"/>
    </w:p>
    <w:p>
      <w:pPr>
        <w:pStyle w:val="Heading4"/>
      </w:pPr>
      <w:bookmarkStart w:id="121" w:name="b119"/>
      <w:r>
        <w:t>§ 78 Beteiligte</w:t>
      </w:r>
      <w:r>
        <w:t xml:space="preserve"> </w:t>
      </w:r>
      <w:r>
        <w:rPr>
          <w:rStyle w:val="Suchmarke"/>
        </w:rPr>
        <w:t>#78#</w:t>
      </w:r>
      <w:bookmarkEnd w:id="121"/>
    </w:p>
    <w:p>
      <w:r>
        <w:t>Beteiligte sind</w:t>
      </w:r>
    </w:p>
    <w:p>
      <w:pPr>
        <w:tabs>
          <w:tab w:pos="567" w:val="left"/>
        </w:tabs>
        <w:ind w:left="567" w:hanging="567"/>
      </w:pPr>
      <w:r>
        <w:t>1.</w:t>
      </w:r>
      <w:r>
        <w:tab/>
      </w:r>
      <w:r>
        <w:t>Antragsteller und Antragsgegner,</w:t>
      </w:r>
    </w:p>
    <w:p>
      <w:pPr>
        <w:tabs>
          <w:tab w:pos="567" w:val="left"/>
        </w:tabs>
        <w:ind w:left="567" w:hanging="567"/>
      </w:pPr>
      <w:r>
        <w:t>2.</w:t>
      </w:r>
      <w:r>
        <w:tab/>
      </w:r>
      <w:r>
        <w:t>diejenigen, an die die Finanzbehörde den Verwaltungsakt richten will oder gerichtet hat,</w:t>
      </w:r>
    </w:p>
    <w:p>
      <w:pPr>
        <w:tabs>
          <w:tab w:pos="567" w:val="left"/>
        </w:tabs>
        <w:ind w:left="567" w:hanging="567"/>
      </w:pPr>
      <w:r>
        <w:t>3.</w:t>
      </w:r>
      <w:r>
        <w:tab/>
      </w:r>
      <w:r>
        <w:t>diejenigen, mit denen die Finanzbehörde einen öffentlich-rechtlichen Vertrag schließen will oder geschlossen hat.</w:t>
      </w:r>
    </w:p>
    <w:p>
      <w:pPr>
        <w:pStyle w:val="Heading4"/>
      </w:pPr>
      <w:bookmarkStart w:id="122" w:name="b120"/>
      <w:r>
        <w:t>§ 79 Handlungsfähigkeit</w:t>
      </w:r>
      <w:r>
        <w:t xml:space="preserve"> </w:t>
      </w:r>
      <w:r>
        <w:rPr>
          <w:rStyle w:val="Suchmarke"/>
        </w:rPr>
        <w:t>#79#</w:t>
      </w:r>
      <w:bookmarkEnd w:id="122"/>
    </w:p>
    <w:p>
      <w:r>
        <w:t>(1) Fähig zur Vornahme von Verfahrenshandlungen sind:</w:t>
      </w:r>
    </w:p>
    <w:p>
      <w:pPr>
        <w:tabs>
          <w:tab w:pos="567" w:val="left"/>
        </w:tabs>
        <w:ind w:left="567" w:hanging="567"/>
      </w:pPr>
      <w:r>
        <w:t>1.</w:t>
      </w:r>
      <w:r>
        <w:tab/>
      </w:r>
      <w:r>
        <w:t>natürliche Personen, die nach bürgerlichem Recht geschäftsfähig sind,</w:t>
      </w:r>
    </w:p>
    <w:p>
      <w:pPr>
        <w:tabs>
          <w:tab w:pos="567" w:val="left"/>
        </w:tabs>
        <w:ind w:left="567" w:hanging="567"/>
      </w:pPr>
      <w:r>
        <w:t>2.</w:t>
      </w:r>
      <w:r>
        <w:tab/>
      </w:r>
      <w:r>
        <w:t>natürliche Personen, die nach bürgerlichem Recht in der Geschäftsfähigkeit beschränkt sind, soweit sie für den Gegenstand des Verfahrens durch Vorschriften des bürgerlichen Rechts als geschäftsfähig oder durch Vorschriften des öffentlichen Rechts als handlungsfähig anerkannt sind,</w:t>
      </w:r>
    </w:p>
    <w:p>
      <w:pPr>
        <w:tabs>
          <w:tab w:pos="567" w:val="left"/>
        </w:tabs>
        <w:ind w:left="567" w:hanging="567"/>
      </w:pPr>
      <w:r>
        <w:t>3.</w:t>
      </w:r>
      <w:r>
        <w:tab/>
      </w:r>
      <w:r>
        <w:t xml:space="preserve">juristische Personen sowie Personenvereinigungen oder Vermögensmassen durch die in </w:t>
      </w:r>
      <w:hyperlink w:anchor="b64" w:history="1">
        <w:r>
          <w:rPr>
            <w:color w:val="0A3A8C"/>
            <w:u w:val="single"/>
          </w:rPr>
          <w:t xml:space="preserve">§ 34</w:t>
        </w:r>
      </w:hyperlink>
      <w:r>
        <w:t xml:space="preserve"> bezeichneten Personen oder durch besonders Beauftragte,</w:t>
      </w:r>
    </w:p>
    <w:p>
      <w:pPr>
        <w:tabs>
          <w:tab w:pos="567" w:val="left"/>
        </w:tabs>
        <w:ind w:left="567" w:hanging="567"/>
      </w:pPr>
      <w:r>
        <w:t>4.</w:t>
      </w:r>
      <w:r>
        <w:tab/>
      </w:r>
      <w:r>
        <w:t>Behörden durch ihre Leiter, deren Vertreter oder Beauftragte.</w:t>
      </w:r>
    </w:p>
    <w:p>
      <w:r>
        <w:t>(2) Betrifft ein Einwilligungsvorbehalt nach § 1825 des Bürgerlichen Gesetzbuchs den Gegenstand des Verfahrens, so ist ein geschäftsfähiger Betreuter nur insoweit zur Vornahme von Verfahrenshandlungen fähig, als er nach den Vorschriften des bürgerlichen Rechts ohne Einwilligung des Betreuers handeln kann oder durch Vorschriften des öffentlichen Rechts als handlungsfähig anerkannt ist.</w:t>
      </w:r>
    </w:p>
    <w:p>
      <w:r>
        <w:t>(3) Die §§ 53 und 55 der Zivilprozessordnung gelten entsprechend.</w:t>
      </w:r>
    </w:p>
    <w:p>
      <w:pPr>
        <w:pStyle w:val="Heading4"/>
      </w:pPr>
      <w:bookmarkStart w:id="123" w:name="b121"/>
      <w:r>
        <w:t>§ 80 Bevollmächtigte und Beistände</w:t>
      </w:r>
      <w:r>
        <w:t xml:space="preserve"> </w:t>
      </w:r>
      <w:r>
        <w:rPr>
          <w:rStyle w:val="Suchmarke"/>
        </w:rPr>
        <w:t>#80#</w:t>
      </w:r>
      <w:bookmarkEnd w:id="123"/>
    </w:p>
    <w:p>
      <w:r>
        <w:t xml:space="preserve">(1) </w:t>
      </w:r>
      <w:r>
        <w:rPr>
          <w:rStyle w:val="Satznummer"/>
        </w:rPr>
        <w:t>1</w:t>
      </w:r>
      <w:r>
        <w:t xml:space="preserve">Ein Beteiligter kann sich durch einen Bevollmächtigten vertreten lassen. </w:t>
      </w:r>
      <w:r>
        <w:rPr>
          <w:rStyle w:val="Satznummer"/>
        </w:rPr>
        <w:t>2</w:t>
      </w:r>
      <w:r>
        <w:t xml:space="preserve">Die Vollmacht ermächtigt zu allen das Verwaltungsverfahren betreffenden Verfahrenshandlungen, sofern sich aus ihrem Inhalt nicht etwas anderes ergibt; sie ermächtigt nicht zum Empfang von Steuererstattungen und Steuervergütungen. </w:t>
      </w:r>
      <w:r>
        <w:rPr>
          <w:rStyle w:val="Satznummer"/>
        </w:rPr>
        <w:t>3</w:t>
      </w:r>
      <w:r>
        <w:t>Ein Widerruf der Vollmacht wird der Finanzbehörde gegenüber erst wirksam, wenn er ihr zugeht; Gleiches gilt für eine Veränderung der Vollmacht.</w:t>
      </w:r>
    </w:p>
    <w:p>
      <w:r>
        <w:t xml:space="preserve">(2) </w:t>
      </w:r>
      <w:r>
        <w:rPr>
          <w:rStyle w:val="Satznummer"/>
        </w:rPr>
        <w:t>1</w:t>
      </w:r>
      <w:r>
        <w:t xml:space="preserve">Bei Personen und Vereinigungen im Sinne der §§ 3, 4 und 4c Absatz 2 des Steuerberatungsgesetzes, die für den Steuerpflichtigen handeln, wird eine ordnungsgemäße Bevollmächtigung vermutet. </w:t>
      </w:r>
      <w:r>
        <w:rPr>
          <w:rStyle w:val="Satznummer"/>
        </w:rPr>
        <w:t>2</w:t>
      </w:r>
      <w:r>
        <w:t xml:space="preserve">Für den Abruf von bei den Landesfinanzbehörden zum Vollmachtgeber gespeicherten Daten wird eine ordnungsgemäße Bevollmächtigung nur nach Maßgabe des </w:t>
      </w:r>
      <w:hyperlink w:anchor="b122" w:history="1">
        <w:r>
          <w:rPr>
            <w:color w:val="0A3A8C"/>
            <w:u w:val="single"/>
          </w:rPr>
          <w:t xml:space="preserve">§ 80a</w:t>
        </w:r>
      </w:hyperlink>
      <w:r>
        <w:t xml:space="preserve"> Absatz 2 und 3 vermutet.</w:t>
      </w:r>
    </w:p>
    <w:p>
      <w:r>
        <w:t>(3) Die Finanzbehörde kann auch ohne Anlass den Nachweis der Vollmacht verlangen.</w:t>
      </w:r>
    </w:p>
    <w:p>
      <w:r>
        <w:t xml:space="preserve">(4) </w:t>
      </w:r>
      <w:r>
        <w:rPr>
          <w:rStyle w:val="Satznummer"/>
        </w:rPr>
        <w:t>1</w:t>
      </w:r>
      <w:r>
        <w:t xml:space="preserve">Die Vollmacht wird weder durch den Tod des Vollmachtgebers noch durch eine Veränderung in seiner Handlungsfähigkeit oder durch eine Veränderung seiner gesetzlichen Vertretung aufgehoben. </w:t>
      </w:r>
      <w:r>
        <w:rPr>
          <w:rStyle w:val="Satznummer"/>
        </w:rPr>
        <w:t>2</w:t>
      </w:r>
      <w:r>
        <w:t>Der Bevollmächtigte hat jedoch, wenn er für den Rechtsnachfolger im Verwaltungsverfahren auftritt, dessen Vollmacht auf Verlangen nachzuweisen.</w:t>
      </w:r>
    </w:p>
    <w:p>
      <w:r>
        <w:t xml:space="preserve">(5) </w:t>
      </w:r>
      <w:r>
        <w:rPr>
          <w:rStyle w:val="Satznummer"/>
        </w:rPr>
        <w:t>1</w:t>
      </w:r>
      <w:r>
        <w:t xml:space="preserve">Ist für das Verfahren ein Bevollmächtigter bestellt, so soll sich die Finanzbehörde an ihn wenden. </w:t>
      </w:r>
      <w:r>
        <w:rPr>
          <w:rStyle w:val="Satznummer"/>
        </w:rPr>
        <w:t>2</w:t>
      </w:r>
      <w:r>
        <w:t xml:space="preserve">Sie kann sich an den Beteiligten selbst wenden, soweit er zur Mitwirkung verpflichtet ist. </w:t>
      </w:r>
      <w:r>
        <w:rPr>
          <w:rStyle w:val="Satznummer"/>
        </w:rPr>
        <w:t>3</w:t>
      </w:r>
      <w:r>
        <w:t xml:space="preserve">Wendet sich die Finanzbehörde an den Beteiligten, so soll der Bevollmächtigte verständigt werden. </w:t>
      </w:r>
      <w:r>
        <w:rPr>
          <w:rStyle w:val="Satznummer"/>
        </w:rPr>
        <w:t>4</w:t>
      </w:r>
      <w:r>
        <w:t xml:space="preserve">Für die Bekanntgabe von Verwaltungsakten an einen Bevollmächtigten gilt </w:t>
      </w:r>
      <w:hyperlink w:anchor="b200" w:history="1">
        <w:r>
          <w:rPr>
            <w:color w:val="0A3A8C"/>
            <w:u w:val="single"/>
          </w:rPr>
          <w:t xml:space="preserve">§ 122</w:t>
        </w:r>
      </w:hyperlink>
      <w:r>
        <w:t xml:space="preserve"> Absatz 1 Satz 3 und 4.</w:t>
      </w:r>
    </w:p>
    <w:p>
      <w:r>
        <w:t xml:space="preserve">(6) </w:t>
      </w:r>
      <w:r>
        <w:rPr>
          <w:rStyle w:val="Satznummer"/>
        </w:rPr>
        <w:t>1</w:t>
      </w:r>
      <w:r>
        <w:t xml:space="preserve">Ein Beteiligter kann zu Verhandlungen und Besprechungen mit einem Beistand erscheinen. </w:t>
      </w:r>
      <w:r>
        <w:rPr>
          <w:rStyle w:val="Satznummer"/>
        </w:rPr>
        <w:t>2</w:t>
      </w:r>
      <w:r>
        <w:t>Das von dem Beistand Vorgetragene gilt als von dem Beteiligten vorgebracht, soweit dieser nicht unverzüglich widerspricht.</w:t>
      </w:r>
    </w:p>
    <w:p>
      <w:r>
        <w:t xml:space="preserve">(7) </w:t>
      </w:r>
      <w:r>
        <w:rPr>
          <w:rStyle w:val="Satznummer"/>
        </w:rPr>
        <w:t>1</w:t>
      </w:r>
      <w:r>
        <w:t xml:space="preserve">Soweit ein Bevollmächtigter geschäftsmäßig Hilfe in Steuersachen leistet, ohne dazu befugt zu sein, ist er mit Wirkung für alle anhängigen und künftigen Verwaltungsverfahren des Vollmachtgebers im Zuständigkeitsbereich der Finanzbehörde zurückzuweisen. </w:t>
      </w:r>
      <w:r>
        <w:rPr>
          <w:rStyle w:val="Satznummer"/>
        </w:rPr>
        <w:t>2</w:t>
      </w:r>
      <w:r>
        <w:t xml:space="preserve">Die Zurückweisung ist dem Vollmachtgeber und dem Bevollmächtigten bekannt zu geben. </w:t>
      </w:r>
      <w:r>
        <w:rPr>
          <w:rStyle w:val="Satznummer"/>
        </w:rPr>
        <w:t>3</w:t>
      </w:r>
      <w:r>
        <w:t>Die Finanzbehörde ist befugt, andere Finanzbehörden über die Zurückweisung des Bevollmächtigten zu unterrichten.</w:t>
      </w:r>
    </w:p>
    <w:p>
      <w:r>
        <w:t xml:space="preserve">(8) </w:t>
      </w:r>
      <w:r>
        <w:rPr>
          <w:rStyle w:val="Satznummer"/>
        </w:rPr>
        <w:t>1</w:t>
      </w:r>
      <w:r>
        <w:t xml:space="preserve">Ein Bevollmächtigter kann von einem schriftlichen, elektronischen oder mündlichen Vortrag zurückgewiesen werden, soweit er hierzu ungeeignet ist. </w:t>
      </w:r>
      <w:r>
        <w:rPr>
          <w:rStyle w:val="Satznummer"/>
        </w:rPr>
        <w:t>2</w:t>
      </w:r>
      <w:r>
        <w:t xml:space="preserve">Dies gilt nicht für die in § 3 Satz 1 Nummer 1, § 4c Absatz 2 sowie § 20 Absatz 2 des Steuerberatungsgesetzes bezeichneten natürlichen Personen sowie natürliche Personen, die für eine Landwirtschaftliche Buchstelle tätig und nach § 44 des Steuerberatungsgesetzes berechtigt sind, die Berufsbezeichnung „Landwirtschaftliche Buchstelle“ zu führen. </w:t>
      </w:r>
      <w:r>
        <w:rPr>
          <w:rStyle w:val="Satznummer"/>
        </w:rPr>
        <w:t>3</w:t>
      </w:r>
      <w:r>
        <w:t>Die Zurückweisung ist dem Vollmachtgeber und dem Bevollmächtigten bekannt zu geben.</w:t>
      </w:r>
    </w:p>
    <w:p>
      <w:r>
        <w:t xml:space="preserve">(9) </w:t>
      </w:r>
      <w:r>
        <w:rPr>
          <w:rStyle w:val="Satznummer"/>
        </w:rPr>
        <w:t>1</w:t>
      </w:r>
      <w:r>
        <w:t xml:space="preserve">Soweit ein Beistand geschäftsmäßig Hilfe in Steuersachen leistet, ohne dazu befugt zu sein, ist er mit Wirkung für alle anhängigen und künftigen Verwaltungsverfahren des Steuerpflichtigen im Zuständigkeitsbereich der Finanzbehörde zurückzuweisen; Absatz 7 Satz 2 und 3 gilt entsprechend. </w:t>
      </w:r>
      <w:r>
        <w:rPr>
          <w:rStyle w:val="Satznummer"/>
        </w:rPr>
        <w:t>2</w:t>
      </w:r>
      <w:r>
        <w:t>Ferner kann er vom schriftlichen, elektronischen oder mündlichen Vortrag zurückgewiesen werden, falls er zu einem sachgemäßen Vortrag nicht fähig oder willens ist; Absatz 8 Satz 2 und 3 gilt entsprechend.</w:t>
      </w:r>
    </w:p>
    <w:p>
      <w:r>
        <w:t>(10) Verfahrenshandlungen, die ein Bevollmächtigter oder ein Beistand vornimmt, nachdem ihm die Zurückweisung bekannt gegeben worden ist, sind unwirksam.</w:t>
      </w:r>
    </w:p>
    <w:p>
      <w:pPr>
        <w:pStyle w:val="Heading4"/>
      </w:pPr>
      <w:bookmarkStart w:id="124" w:name="b122"/>
      <w:r>
        <w:t>§ 80a Elektronische Übermittlung von Vollmachtsdaten an Landesfinanzbehörden</w:t>
      </w:r>
      <w:r>
        <w:t xml:space="preserve"> </w:t>
      </w:r>
      <w:r>
        <w:rPr>
          <w:rStyle w:val="Suchmarke"/>
        </w:rPr>
        <w:t>#80a#</w:t>
      </w:r>
      <w:bookmarkEnd w:id="124"/>
    </w:p>
    <w:p>
      <w:r>
        <w:t xml:space="preserve">(1) </w:t>
      </w:r>
      <w:r>
        <w:rPr>
          <w:rStyle w:val="Satznummer"/>
        </w:rPr>
        <w:t>1</w:t>
      </w:r>
      <w:r>
        <w:t xml:space="preserve">Daten aus einer Vollmacht zur Vertretung in steuerlichen Verfahren, die nach amtlich bestimmtem Formular erteilt worden sind, können den Landesfinanzbehörden nach amtlich vorgeschriebenem Datensatz über die amtlich bestimmten Schnittstellen übermittelt werden. </w:t>
      </w:r>
      <w:r>
        <w:rPr>
          <w:rStyle w:val="Satznummer"/>
        </w:rPr>
        <w:t>2</w:t>
      </w:r>
      <w:r>
        <w:t xml:space="preserve">Im Datensatz ist auch anzugeben, ob der Vollmachtgeber den Bevollmächtigten zum Empfang von für ihn bestimmten Verwaltungsakten oder zum Abruf von bei den Finanzbehörden zu seiner Person gespeicherten Daten ermächtigt hat. </w:t>
      </w:r>
      <w:r>
        <w:rPr>
          <w:rStyle w:val="Satznummer"/>
        </w:rPr>
        <w:t>3</w:t>
      </w:r>
      <w:r>
        <w:t xml:space="preserve">Die übermittelten Daten müssen der erteilten Vollmacht entsprechen. </w:t>
      </w:r>
      <w:r>
        <w:rPr>
          <w:rStyle w:val="Satznummer"/>
        </w:rPr>
        <w:t>4</w:t>
      </w:r>
      <w:r>
        <w:t>Wird eine Vollmacht, die nach Satz 1 übermittelt worden ist, vom Vollmachtgeber gegenüber dem Bevollmächtigten widerrufen oder verändert, muss der Bevollmächtigte dies unverzüglich den Landesfinanzbehörden nach amtlich vorgeschriebenem Datensatz mitteilen.</w:t>
      </w:r>
    </w:p>
    <w:p>
      <w:r>
        <w:t xml:space="preserve">(2) </w:t>
      </w:r>
      <w:r>
        <w:rPr>
          <w:rStyle w:val="Satznummer"/>
        </w:rPr>
        <w:t>1</w:t>
      </w:r>
      <w:r>
        <w:t xml:space="preserve">Werden die Vollmachtsdaten von einem Bevollmächtigten, der nach § 3 des Steuerberatungsgesetzes zur geschäftsmäßigen Hilfeleistung in Steuersachen befugt ist, nach Maßgabe des Absatzes 1 übermittelt, so wird eine Bevollmächtigung im mitgeteilten Umfang vermutet, wenn die zuständige Kammer sicherstellt, dass Vollmachtsdaten nur von den Bevollmächtigten übermittelt werden, die zur geschäftsmäßigen Hilfeleistung in Steuersachen befugt sind. </w:t>
      </w:r>
      <w:r>
        <w:rPr>
          <w:rStyle w:val="Satznummer"/>
        </w:rPr>
        <w:t>2</w:t>
      </w:r>
      <w:r>
        <w:t>Die für den Bevollmächtigten zuständige Kammer hat den Landesfinanzbehörden in diesem Fall auch den Wegfall einer Zulassung unverzüglich nach amtlich vorgeschriebenem Datensatz mitzuteilen.</w:t>
      </w:r>
    </w:p>
    <w:p>
      <w:r>
        <w:t>(3) Absatz 2 gilt entsprechend für Vollmachtsdaten, die von einem Lohnsteuerhilfeverein im Sinne des § 4 des Steuerberatungsgesetzes übermittelt werden, sofern die für die Aufsicht zuständige Stelle in einem automatisierten Verfahren die Zulassung zur Hilfe in Steuersachen bestätigt.</w:t>
      </w:r>
    </w:p>
    <w:p>
      <w:pPr>
        <w:pStyle w:val="Heading4"/>
      </w:pPr>
      <w:bookmarkStart w:id="125" w:name="b123"/>
      <w:r>
        <w:t>§ 81 Bestellung eines Vertreters von Amts wegen</w:t>
      </w:r>
      <w:r>
        <w:t xml:space="preserve"> </w:t>
      </w:r>
      <w:r>
        <w:rPr>
          <w:rStyle w:val="Suchmarke"/>
        </w:rPr>
        <w:t>#81#</w:t>
      </w:r>
      <w:bookmarkEnd w:id="125"/>
    </w:p>
    <w:p>
      <w:r>
        <w:t>(1) Ist ein Vertreter nicht vorhanden, so hat das Betreuungsgericht, für einen minderjährigen Beteiligten das Familiengericht auf Ersuchen der Finanzbehörde einen geeigneten Vertreter zu bestellen</w:t>
      </w:r>
    </w:p>
    <w:p>
      <w:pPr>
        <w:tabs>
          <w:tab w:pos="567" w:val="left"/>
        </w:tabs>
        <w:ind w:left="567" w:hanging="567"/>
      </w:pPr>
      <w:r>
        <w:t>1.</w:t>
      </w:r>
      <w:r>
        <w:tab/>
      </w:r>
      <w:r>
        <w:t>für einen Beteiligten, dessen Person unbekannt ist,</w:t>
      </w:r>
    </w:p>
    <w:p>
      <w:pPr>
        <w:tabs>
          <w:tab w:pos="567" w:val="left"/>
        </w:tabs>
        <w:ind w:left="567" w:hanging="567"/>
      </w:pPr>
      <w:r>
        <w:t>2.</w:t>
      </w:r>
      <w:r>
        <w:tab/>
      </w:r>
      <w:r>
        <w:t>für einen abwesenden Beteiligten, dessen Aufenthalt unbekannt ist oder der an der Besorgung seiner Angelegenheiten verhindert ist,</w:t>
      </w:r>
    </w:p>
    <w:p>
      <w:pPr>
        <w:tabs>
          <w:tab w:pos="567" w:val="left"/>
        </w:tabs>
        <w:ind w:left="567" w:hanging="567"/>
      </w:pPr>
      <w:r>
        <w:t>3.</w:t>
      </w:r>
      <w:r>
        <w:tab/>
      </w:r>
      <w:r>
        <w:t>für einen Beteiligten ohne Aufenthalt</w:t>
      </w:r>
    </w:p>
    <w:p>
      <w:pPr>
        <w:tabs>
          <w:tab w:pos="1134" w:val="left"/>
        </w:tabs>
        <w:ind w:left="1134" w:hanging="567"/>
      </w:pPr>
      <w:r>
        <w:t>a)</w:t>
      </w:r>
      <w:r>
        <w:tab/>
      </w:r>
      <w:r>
        <w:t>im Inland,</w:t>
      </w:r>
    </w:p>
    <w:p>
      <w:pPr>
        <w:tabs>
          <w:tab w:pos="1134" w:val="left"/>
        </w:tabs>
        <w:ind w:left="1134" w:hanging="567"/>
      </w:pPr>
      <w:r>
        <w:t>b)</w:t>
      </w:r>
      <w:r>
        <w:tab/>
      </w:r>
      <w:r>
        <w:t>in einem anderen Mitgliedstaat der Europäischen Union oder</w:t>
      </w:r>
    </w:p>
    <w:p>
      <w:pPr>
        <w:tabs>
          <w:tab w:pos="1134" w:val="left"/>
        </w:tabs>
        <w:ind w:left="1134" w:hanging="567"/>
      </w:pPr>
      <w:r>
        <w:t>c)</w:t>
      </w:r>
      <w:r>
        <w:tab/>
      </w:r>
      <w:r>
        <w:t>in einem anderen Staat, auf den das Abkommen über den Europäischen Wirtschaftsraum anzuwenden ist,</w:t>
      </w:r>
    </w:p>
    <w:p>
      <w:pPr>
        <w:ind w:left="567"/>
      </w:pPr>
      <w:r>
        <w:t>wenn er der Aufforderung der Finanzbehörde, einen Vertreter zu bestellen, innerhalb der ihm gesetzten Frist nicht nachgekommen ist,</w:t>
      </w:r>
    </w:p>
    <w:p>
      <w:pPr>
        <w:tabs>
          <w:tab w:pos="567" w:val="left"/>
        </w:tabs>
        <w:ind w:left="567" w:hanging="567"/>
      </w:pPr>
      <w:r>
        <w:t>4.</w:t>
      </w:r>
      <w:r>
        <w:tab/>
      </w:r>
      <w:r>
        <w:t>für einen Beteiligten, der infolge einer psychischen Krankheit oder körperlichen, geistigen oder seelischen Behinderung nicht in der Lage ist, in dem Verwaltungsverfahren selbst tätig zu werden,</w:t>
      </w:r>
    </w:p>
    <w:p>
      <w:pPr>
        <w:tabs>
          <w:tab w:pos="567" w:val="left"/>
        </w:tabs>
        <w:ind w:left="567" w:hanging="567"/>
      </w:pPr>
      <w:r>
        <w:t>5.</w:t>
      </w:r>
      <w:r>
        <w:tab/>
      </w:r>
      <w:r>
        <w:t>bei herrenlosen Sachen, auf die sich das Verfahren bezieht, zur Wahrung der sich in Bezug auf die Sache ergebenden Rechte und Pflichten.</w:t>
      </w:r>
    </w:p>
    <w:p>
      <w:r>
        <w:t>(2) Für die Bestellung des Vertreters ist in den Fällen des Absatzes 1 Nummer 4 das Betreuungsgericht, für einen minderjährigen Beteiligten das Familiengericht zuständig, in dessen Bezirk der Beteiligte seinen gewöhnlichen Aufenthalt (§ 272 Absatz 1 Nummer 2 des Gesetzes über das Verfahren in Familiensachen und in den Angelegenheiten der freiwilligen Gerichtsbarkeit) hat; im Übrigen ist das Gericht zuständig, in dessen Bezirk die ersuchende Finanzbehörde ihren Sitz hat.</w:t>
      </w:r>
    </w:p>
    <w:p>
      <w:r>
        <w:t xml:space="preserve">(3) </w:t>
      </w:r>
      <w:r>
        <w:rPr>
          <w:rStyle w:val="Satznummer"/>
        </w:rPr>
        <w:t>1</w:t>
      </w:r>
      <w:r>
        <w:t xml:space="preserve">Der Vertreter hat gegen den Rechtsträger der Finanzbehörde, die um seine Bestellung ersucht hat, Anspruch auf eine angemessene Vergütung und auf die Erstattung seiner baren Auslagen. </w:t>
      </w:r>
      <w:r>
        <w:rPr>
          <w:rStyle w:val="Satznummer"/>
        </w:rPr>
        <w:t>2</w:t>
      </w:r>
      <w:r>
        <w:t xml:space="preserve">Die Finanzbehörde kann von dem Vertretenen Ersatz ihrer Aufwendungen verlangen. </w:t>
      </w:r>
      <w:r>
        <w:rPr>
          <w:rStyle w:val="Satznummer"/>
        </w:rPr>
        <w:t>3</w:t>
      </w:r>
      <w:r>
        <w:t>Sie bestimmt die Vergütung und stellt die Auslagen und Aufwendungen fest.</w:t>
      </w:r>
    </w:p>
    <w:p>
      <w:r>
        <w:t>(4) Im Übrigen gelten für die Bestellung und für das Amt des Vertreters in den Fällen des Absatzes 1 Nummer 4 die Vorschriften über die Betreuung, in den übrigen Fällen die Vorschriften über die Pflegschaft entsprechend.</w:t>
      </w:r>
    </w:p>
    <w:p>
      <w:pPr>
        <w:pStyle w:val="Heading3"/>
      </w:pPr>
      <w:bookmarkStart w:id="126" w:name="b124"/>
      <w:r>
        <w:t>2. Unterabschnitt Ausschließung und Ablehnung von Amtsträgern und anderen Personen</w:t>
      </w:r>
      <w:bookmarkEnd w:id="126"/>
    </w:p>
    <w:p>
      <w:pPr>
        <w:pStyle w:val="Heading4"/>
      </w:pPr>
      <w:bookmarkStart w:id="127" w:name="b125"/>
      <w:r>
        <w:t>§ 82 Ausgeschlossene Personen</w:t>
      </w:r>
      <w:r>
        <w:t xml:space="preserve"> </w:t>
      </w:r>
      <w:r>
        <w:rPr>
          <w:rStyle w:val="Suchmarke"/>
        </w:rPr>
        <w:t>#82#</w:t>
      </w:r>
      <w:bookmarkEnd w:id="127"/>
    </w:p>
    <w:p>
      <w:r>
        <w:t xml:space="preserve">(1) </w:t>
      </w:r>
      <w:r>
        <w:rPr>
          <w:rStyle w:val="Satznummer"/>
        </w:rPr>
        <w:t>1</w:t>
      </w:r>
      <w:r>
        <w:t>In einem Verwaltungsverfahren darf für eine Finanzbehörde nicht tätig werden,</w:t>
      </w:r>
    </w:p>
    <w:p>
      <w:pPr>
        <w:tabs>
          <w:tab w:pos="567" w:val="left"/>
        </w:tabs>
        <w:ind w:left="567" w:hanging="567"/>
      </w:pPr>
      <w:r>
        <w:t>1.</w:t>
      </w:r>
      <w:r>
        <w:tab/>
      </w:r>
      <w:r>
        <w:t>wer selbst Beteiligter ist,</w:t>
      </w:r>
    </w:p>
    <w:p>
      <w:pPr>
        <w:tabs>
          <w:tab w:pos="567" w:val="left"/>
        </w:tabs>
        <w:ind w:left="567" w:hanging="567"/>
      </w:pPr>
      <w:r>
        <w:t>2.</w:t>
      </w:r>
      <w:r>
        <w:tab/>
      </w:r>
      <w:r>
        <w:t>wer Angehöriger (</w:t>
      </w:r>
      <w:hyperlink w:anchor="b20" w:history="1">
        <w:r>
          <w:rPr>
            <w:color w:val="0A3A8C"/>
            <w:u w:val="single"/>
          </w:rPr>
          <w:t xml:space="preserve">§ 15</w:t>
        </w:r>
      </w:hyperlink>
      <w:r>
        <w:t>) eines Beteiligten ist,</w:t>
      </w:r>
    </w:p>
    <w:p>
      <w:pPr>
        <w:tabs>
          <w:tab w:pos="567" w:val="left"/>
        </w:tabs>
        <w:ind w:left="567" w:hanging="567"/>
      </w:pPr>
      <w:r>
        <w:t>3.</w:t>
      </w:r>
      <w:r>
        <w:tab/>
      </w:r>
      <w:r>
        <w:t>wer einen Beteiligten kraft Gesetzes oder Vollmacht allgemein oder in diesem Verfahren vertritt,</w:t>
      </w:r>
    </w:p>
    <w:p>
      <w:pPr>
        <w:tabs>
          <w:tab w:pos="567" w:val="left"/>
        </w:tabs>
        <w:ind w:left="567" w:hanging="567"/>
      </w:pPr>
      <w:r>
        <w:t>4.</w:t>
      </w:r>
      <w:r>
        <w:tab/>
      </w:r>
      <w:r>
        <w:t>wer Angehöriger (</w:t>
      </w:r>
      <w:hyperlink w:anchor="b20" w:history="1">
        <w:r>
          <w:rPr>
            <w:color w:val="0A3A8C"/>
            <w:u w:val="single"/>
          </w:rPr>
          <w:t xml:space="preserve">§ 15</w:t>
        </w:r>
      </w:hyperlink>
      <w:r>
        <w:t>) einer Person ist, die für einen Beteiligten in diesem Verfahren Hilfe in Steuersachen leistet,</w:t>
      </w:r>
    </w:p>
    <w:p>
      <w:pPr>
        <w:tabs>
          <w:tab w:pos="567" w:val="left"/>
        </w:tabs>
        <w:ind w:left="567" w:hanging="567"/>
      </w:pPr>
      <w:r>
        <w:t>5.</w:t>
      </w:r>
      <w:r>
        <w:tab/>
      </w:r>
      <w:r>
        <w:t>wer bei einem Beteiligten gegen Entgelt beschäftigt ist oder bei ihm als Mitglied des Vorstands, des Aufsichtsrats oder eines gleichartigen Organs tätig ist; dies gilt nicht für den, dessen Anstellungskörperschaft Beteiligte ist,</w:t>
      </w:r>
    </w:p>
    <w:p>
      <w:pPr>
        <w:tabs>
          <w:tab w:pos="567" w:val="left"/>
        </w:tabs>
        <w:ind w:left="567" w:hanging="567"/>
      </w:pPr>
      <w:r>
        <w:t>6.</w:t>
      </w:r>
      <w:r>
        <w:tab/>
      </w:r>
      <w:r>
        <w:t>wer außerhalb seiner amtlichen Eigenschaft in der Angelegenheit ein Gutachten abgegeben hat oder sonst tätig geworden ist.</w:t>
      </w:r>
    </w:p>
    <w:p>
      <w:r>
        <w:rPr>
          <w:rStyle w:val="Satznummer"/>
        </w:rPr>
        <w:t>2</w:t>
      </w:r>
      <w:r>
        <w:t xml:space="preserve">Dem Beteiligten steht gleich, wer durch die Tätigkeit oder durch die Entscheidung einen unmittelbaren Vorteil oder Nachteil erlangen kann. </w:t>
      </w:r>
      <w:r>
        <w:rPr>
          <w:rStyle w:val="Satznummer"/>
        </w:rPr>
        <w:t>3</w:t>
      </w:r>
      <w:r>
        <w:t>Dies gilt nicht, wenn der Vor- oder Nachteil nur darauf beruht, dass jemand einer Berufs- oder Bevölkerungsgruppe angehört, deren gemeinsame Interessen durch die Angelegenheit berührt werden.</w:t>
      </w:r>
    </w:p>
    <w:p>
      <w:r>
        <w:t>(2) Wer nach Absatz 1 ausgeschlossen ist, darf bei Gefahr im Verzug unaufschiebbare Maßnahmen treffen.</w:t>
      </w:r>
    </w:p>
    <w:p>
      <w:r>
        <w:t xml:space="preserve">(3) </w:t>
      </w:r>
      <w:r>
        <w:rPr>
          <w:rStyle w:val="Satznummer"/>
        </w:rPr>
        <w:t>1</w:t>
      </w:r>
      <w:r>
        <w:t xml:space="preserve">Hält sich ein Mitglied eines Ausschusses für ausgeschlossen oder bestehen Zweifel, ob die Voraussetzungen des Absatzes 1 gegeben sind, ist dies dem Vorsitzenden des Ausschusses mitzuteilen. </w:t>
      </w:r>
      <w:r>
        <w:rPr>
          <w:rStyle w:val="Satznummer"/>
        </w:rPr>
        <w:t>2</w:t>
      </w:r>
      <w:r>
        <w:t xml:space="preserve">Der Ausschuss entscheidet über den Ausschluss. </w:t>
      </w:r>
      <w:r>
        <w:rPr>
          <w:rStyle w:val="Satznummer"/>
        </w:rPr>
        <w:t>3</w:t>
      </w:r>
      <w:r>
        <w:t xml:space="preserve">Die betroffene Person darf an dieser Entscheidung nicht mitwirken. </w:t>
      </w:r>
      <w:r>
        <w:rPr>
          <w:rStyle w:val="Satznummer"/>
        </w:rPr>
        <w:t>4</w:t>
      </w:r>
      <w:r>
        <w:t>Das ausgeschlossene Mitglied darf bei der weiteren Beratung und Beschlussfassung nicht zugegen sein.</w:t>
      </w:r>
    </w:p>
    <w:p>
      <w:pPr>
        <w:pStyle w:val="Heading4"/>
      </w:pPr>
      <w:bookmarkStart w:id="128" w:name="b126"/>
      <w:r>
        <w:t>§ 83 Besorgnis der Befangenheit</w:t>
      </w:r>
      <w:r>
        <w:t xml:space="preserve"> </w:t>
      </w:r>
      <w:r>
        <w:rPr>
          <w:rStyle w:val="Suchmarke"/>
        </w:rPr>
        <w:t>#83#</w:t>
      </w:r>
      <w:bookmarkEnd w:id="128"/>
    </w:p>
    <w:p>
      <w:r>
        <w:t xml:space="preserve">(1) </w:t>
      </w:r>
      <w:r>
        <w:rPr>
          <w:rStyle w:val="Satznummer"/>
        </w:rPr>
        <w:t>1</w:t>
      </w:r>
      <w:r>
        <w:t xml:space="preserve">Liegt ein Grund vor, der geeignet ist, Misstrauen gegen die Unparteilichkeit des Amtsträgers zu rechtfertigen oder wird von einem Beteiligten das Vorliegen eines solchen Grundes behauptet, so hat der Amtsträger den Leiter der Behörde oder den von ihm Beauftragten zu unterrichten und sich auf dessen Anordnung der Mitwirkung zu enthalten. </w:t>
      </w:r>
      <w:r>
        <w:rPr>
          <w:rStyle w:val="Satznummer"/>
        </w:rPr>
        <w:t>2</w:t>
      </w:r>
      <w:r>
        <w:t>Betrifft die Besorgnis der Befangenheit den Leiter der Behörde, so trifft diese Anordnung die Aufsichtsbehörde, sofern sich der Behördenleiter nicht selbst einer Mitwirkung enthält.</w:t>
      </w:r>
    </w:p>
    <w:p>
      <w:r>
        <w:t xml:space="preserve">(2) Bei Mitgliedern eines Ausschusses ist sinngemäß nach </w:t>
      </w:r>
      <w:hyperlink w:anchor="b125" w:history="1">
        <w:r>
          <w:rPr>
            <w:color w:val="0A3A8C"/>
            <w:u w:val="single"/>
          </w:rPr>
          <w:t xml:space="preserve">§ 82</w:t>
        </w:r>
      </w:hyperlink>
      <w:r>
        <w:t xml:space="preserve"> Absatz 3 zu verfahren.</w:t>
      </w:r>
    </w:p>
    <w:p>
      <w:pPr>
        <w:pStyle w:val="Heading4"/>
      </w:pPr>
      <w:bookmarkStart w:id="129" w:name="b127"/>
      <w:r>
        <w:t>§ 84 Ablehnung von Mitgliedern eines Ausschusses</w:t>
      </w:r>
      <w:r>
        <w:t xml:space="preserve"> </w:t>
      </w:r>
      <w:r>
        <w:rPr>
          <w:rStyle w:val="Suchmarke"/>
        </w:rPr>
        <w:t>#84#</w:t>
      </w:r>
      <w:bookmarkEnd w:id="129"/>
    </w:p>
    <w:p>
      <w:r>
        <w:rPr>
          <w:rStyle w:val="Satznummer"/>
        </w:rPr>
        <w:t>1</w:t>
      </w:r>
      <w:r>
        <w:t>Jeder Beteiligte kann ein Mitglied eines in einem Verwaltungsverfahren tätigen Ausschusses ablehnen, das in diesem Verwaltungsverfahren nicht tätig werden darf (</w:t>
      </w:r>
      <w:hyperlink w:anchor="b125" w:history="1">
        <w:r>
          <w:rPr>
            <w:color w:val="0A3A8C"/>
            <w:u w:val="single"/>
          </w:rPr>
          <w:t xml:space="preserve">§ 82</w:t>
        </w:r>
      </w:hyperlink>
      <w:r>
        <w:t>) oder bei dem die Besorgnis der Befangenheit besteht (</w:t>
      </w:r>
      <w:hyperlink w:anchor="b126" w:history="1">
        <w:r>
          <w:rPr>
            <w:color w:val="0A3A8C"/>
            <w:u w:val="single"/>
          </w:rPr>
          <w:t xml:space="preserve">§ 83</w:t>
        </w:r>
      </w:hyperlink>
      <w:r>
        <w:t xml:space="preserve">). </w:t>
      </w:r>
      <w:r>
        <w:rPr>
          <w:rStyle w:val="Satznummer"/>
        </w:rPr>
        <w:t>2</w:t>
      </w:r>
      <w:r>
        <w:t xml:space="preserve">Eine Ablehnung vor einer mündlichen Verhandlung ist schriftlich oder zur Niederschrift zu erklären. </w:t>
      </w:r>
      <w:r>
        <w:rPr>
          <w:rStyle w:val="Satznummer"/>
        </w:rPr>
        <w:t>3</w:t>
      </w:r>
      <w:r>
        <w:t xml:space="preserve">Die Erklärung ist unzulässig, wenn sich der Beteiligte ohne den ihm bekannten Ablehnungsgrund geltend zu machen, in eine mündliche Verhandlung eingelassen hat. </w:t>
      </w:r>
      <w:r>
        <w:rPr>
          <w:rStyle w:val="Satznummer"/>
        </w:rPr>
        <w:t>4</w:t>
      </w:r>
      <w:r>
        <w:t xml:space="preserve">Für die Entscheidung über die Ablehnung gilt </w:t>
      </w:r>
      <w:hyperlink w:anchor="b125" w:history="1">
        <w:r>
          <w:rPr>
            <w:color w:val="0A3A8C"/>
            <w:u w:val="single"/>
          </w:rPr>
          <w:t xml:space="preserve">§ 82</w:t>
        </w:r>
      </w:hyperlink>
      <w:r>
        <w:t xml:space="preserve"> Absatz 3 Sätze 2 bis 4. </w:t>
      </w:r>
      <w:r>
        <w:rPr>
          <w:rStyle w:val="Satznummer"/>
        </w:rPr>
        <w:t>5</w:t>
      </w:r>
      <w:r>
        <w:t>Die Entscheidung über das Ablehnungsgesuch kann nur zusammen mit der Entscheidung angefochten werden, die das Verfahren vor dem Ausschuss abschließt.</w:t>
      </w:r>
    </w:p>
    <w:p>
      <w:pPr>
        <w:pStyle w:val="Heading3"/>
      </w:pPr>
      <w:bookmarkStart w:id="130" w:name="b128"/>
      <w:r>
        <w:t>3. Unterabschnitt Besteuerungsgrundsätze, Beweismittel</w:t>
      </w:r>
      <w:bookmarkEnd w:id="130"/>
    </w:p>
    <w:p>
      <w:pPr>
        <w:pStyle w:val="Heading4"/>
      </w:pPr>
      <w:bookmarkStart w:id="131" w:name="b129"/>
      <w:r>
        <w:t>I. Allgemeines</w:t>
      </w:r>
      <w:bookmarkEnd w:id="131"/>
    </w:p>
    <w:p>
      <w:pPr>
        <w:pStyle w:val="Heading5"/>
      </w:pPr>
      <w:bookmarkStart w:id="132" w:name="b130"/>
      <w:r>
        <w:t>§ 85 Besteuerungsgrundsätze</w:t>
      </w:r>
      <w:r>
        <w:t xml:space="preserve"> </w:t>
      </w:r>
      <w:r>
        <w:rPr>
          <w:rStyle w:val="Suchmarke"/>
        </w:rPr>
        <w:t>#85#</w:t>
      </w:r>
      <w:bookmarkEnd w:id="132"/>
    </w:p>
    <w:p>
      <w:r>
        <w:rPr>
          <w:rStyle w:val="Satznummer"/>
        </w:rPr>
        <w:t>1</w:t>
      </w:r>
      <w:r>
        <w:t xml:space="preserve">Die Finanzbehörden haben die Steuern nach Maßgabe der Gesetze gleichmäßig festzusetzen und zu erheben. </w:t>
      </w:r>
      <w:r>
        <w:rPr>
          <w:rStyle w:val="Satznummer"/>
        </w:rPr>
        <w:t>2</w:t>
      </w:r>
      <w:r>
        <w:t>Insbesondere haben sie sicherzustellen, dass Steuern nicht verkürzt, zu Unrecht erhoben oder Steuererstattungen und Steuervergütungen nicht zu Unrecht gewährt oder versagt werden.</w:t>
      </w:r>
    </w:p>
    <w:p>
      <w:pPr>
        <w:pStyle w:val="Heading5"/>
      </w:pPr>
      <w:bookmarkStart w:id="133" w:name="b131"/>
      <w:r>
        <w:t>§ 86 Beginn des Verfahrens</w:t>
      </w:r>
      <w:r>
        <w:t xml:space="preserve"> </w:t>
      </w:r>
      <w:r>
        <w:rPr>
          <w:rStyle w:val="Suchmarke"/>
        </w:rPr>
        <w:t>#86#</w:t>
      </w:r>
      <w:bookmarkEnd w:id="133"/>
    </w:p>
    <w:p>
      <w:r>
        <w:rPr>
          <w:rStyle w:val="Satznummer"/>
        </w:rPr>
        <w:t>1</w:t>
      </w:r>
      <w:r>
        <w:t xml:space="preserve">Die Finanzbehörde entscheidet nach pflichtgemäßem Ermessen, ob und wann sie ein Verwaltungsverfahren durchführt. </w:t>
      </w:r>
      <w:r>
        <w:rPr>
          <w:rStyle w:val="Satznummer"/>
        </w:rPr>
        <w:t>2</w:t>
      </w:r>
      <w:r>
        <w:t>Dies gilt nicht, wenn die Finanzbehörde auf Grund von Rechtsvorschriften</w:t>
      </w:r>
    </w:p>
    <w:p>
      <w:pPr>
        <w:tabs>
          <w:tab w:pos="567" w:val="left"/>
        </w:tabs>
        <w:ind w:left="567" w:hanging="567"/>
      </w:pPr>
      <w:r>
        <w:t>1.</w:t>
      </w:r>
      <w:r>
        <w:tab/>
      </w:r>
      <w:r>
        <w:t>von Amts wegen oder auf Antrag tätig werden muss,</w:t>
      </w:r>
    </w:p>
    <w:p>
      <w:pPr>
        <w:tabs>
          <w:tab w:pos="567" w:val="left"/>
        </w:tabs>
        <w:ind w:left="567" w:hanging="567"/>
      </w:pPr>
      <w:r>
        <w:t>2.</w:t>
      </w:r>
      <w:r>
        <w:tab/>
      </w:r>
      <w:r>
        <w:t>nur auf Antrag tätig werden darf und ein Antrag nicht vorliegt.</w:t>
      </w:r>
    </w:p>
    <w:p>
      <w:pPr>
        <w:pStyle w:val="Heading5"/>
      </w:pPr>
      <w:bookmarkStart w:id="134" w:name="b132"/>
      <w:r>
        <w:t>§ 87 Amtssprache</w:t>
      </w:r>
      <w:r>
        <w:t xml:space="preserve"> </w:t>
      </w:r>
      <w:r>
        <w:rPr>
          <w:rStyle w:val="Suchmarke"/>
        </w:rPr>
        <w:t>#87#</w:t>
      </w:r>
      <w:bookmarkEnd w:id="134"/>
    </w:p>
    <w:p>
      <w:r>
        <w:t>(1) Die Amtssprache ist Deutsch.</w:t>
      </w:r>
    </w:p>
    <w:p>
      <w:r>
        <w:t xml:space="preserve">(2) </w:t>
      </w:r>
      <w:r>
        <w:rPr>
          <w:rStyle w:val="Satznummer"/>
        </w:rPr>
        <w:t>1</w:t>
      </w:r>
      <w:r>
        <w:t xml:space="preserve">Werden bei einer Finanzbehörde in einer fremden Sprache Anträge gestellt oder Eingaben, Belege, Urkunden oder sonstige Dokumente vorgelegt, kann die Finanzbehörde verlangen, dass unverzüglich eine Übersetzung vorgelegt wird. </w:t>
      </w:r>
      <w:r>
        <w:rPr>
          <w:rStyle w:val="Satznummer"/>
        </w:rPr>
        <w:t>2</w:t>
      </w:r>
      <w:r>
        <w:t xml:space="preserve">In begründeten Fällen kann die Vorlage einer beglaubigten oder von einem öffentlich bestellten oder beeidigten Dolmetscher oder Übersetzer angefertigten Übersetzung verlangt werden. </w:t>
      </w:r>
      <w:r>
        <w:rPr>
          <w:rStyle w:val="Satznummer"/>
        </w:rPr>
        <w:t>3</w:t>
      </w:r>
      <w:r>
        <w:t xml:space="preserve">Wird die verlangte Übersetzung nicht unverzüglich vorgelegt, so kann die Finanzbehörde auf Kosten des Beteiligten selbst eine Übersetzung beschaffen. </w:t>
      </w:r>
      <w:r>
        <w:rPr>
          <w:rStyle w:val="Satznummer"/>
        </w:rPr>
        <w:t>4</w:t>
      </w:r>
      <w:r>
        <w:t>Hat die Finanzbehörde Dolmetscher oder Übersetzer herangezogen, erhalten diese eine Vergütung in entsprechender Anwendung des Justizvergütungs- und -entschädigungsgesetzes.</w:t>
      </w:r>
    </w:p>
    <w:p>
      <w:r>
        <w:t>(3) Soll durch eine Anzeige, einen Antrag oder die Abgabe einer Willenserklärung eine Frist in Lauf gesetzt werden, innerhalb deren die Finanzbehörde in einer bestimmten Weise tätig werden muss, und gehen diese in einer fremden Sprache ein, so beginnt der Lauf der Frist erst mit dem Zeitpunkt, in dem der Finanzbehörde eine Übersetzung vorliegt.</w:t>
      </w:r>
    </w:p>
    <w:p>
      <w:r>
        <w:t xml:space="preserve">(4) </w:t>
      </w:r>
      <w:r>
        <w:rPr>
          <w:rStyle w:val="Satznummer"/>
        </w:rPr>
        <w:t>1</w:t>
      </w:r>
      <w:r>
        <w:t xml:space="preserve">Soll durch eine Anzeige, einen Antrag oder eine Willenserklärung, die in fremder Sprache eingehen, zugunsten eines Beteiligten eine Frist gegenüber der Finanzbehörde gewahrt, ein öffentlich-rechtlicher Anspruch geltend gemacht oder eine Leistung begehrt werden, so gelten die Anzeige, der Antrag oder die Willenserklärung als zum Zeitpunkt des Eingangs bei der Finanzbehörde abgegeben, wenn auf Verlangen der Finanzbehörde innerhalb einer von dieser zu setzenden angemessenen Frist eine Übersetzung vorgelegt wird. </w:t>
      </w:r>
      <w:r>
        <w:rPr>
          <w:rStyle w:val="Satznummer"/>
        </w:rPr>
        <w:t>2</w:t>
      </w:r>
      <w:r>
        <w:t xml:space="preserve">Andernfalls ist der Zeitpunkt des Eingangs der Übersetzung maßgebend, soweit sich nicht aus zwischenstaatlichen Vereinbarungen etwas anderes ergibt. </w:t>
      </w:r>
      <w:r>
        <w:rPr>
          <w:rStyle w:val="Satznummer"/>
        </w:rPr>
        <w:t>3</w:t>
      </w:r>
      <w:r>
        <w:t>Auf diese Rechtsfolge ist bei der Fristsetzung hinzuweisen.</w:t>
      </w:r>
    </w:p>
    <w:p>
      <w:pPr>
        <w:pStyle w:val="Heading5"/>
      </w:pPr>
      <w:bookmarkStart w:id="135" w:name="b133"/>
      <w:r>
        <w:t>§ 87a Elektronische Kommunikation</w:t>
      </w:r>
      <w:r>
        <w:t xml:space="preserve"> </w:t>
      </w:r>
      <w:r>
        <w:rPr>
          <w:rStyle w:val="Suchmarke"/>
        </w:rPr>
        <w:t>#87a#</w:t>
      </w:r>
      <w:bookmarkEnd w:id="135"/>
    </w:p>
    <w:p>
      <w:r>
        <w:t xml:space="preserve">(1) </w:t>
      </w:r>
      <w:r>
        <w:rPr>
          <w:rStyle w:val="Satznummer"/>
        </w:rPr>
        <w:t>1</w:t>
      </w:r>
      <w:r>
        <w:t xml:space="preserve">Die Übermittlung elektronischer Dokumente ist zulässig, soweit der Empfänger hierfür einen Zugang eröffnet. </w:t>
      </w:r>
      <w:r>
        <w:rPr>
          <w:rStyle w:val="Satznummer"/>
        </w:rPr>
        <w:t>2</w:t>
      </w:r>
      <w:r>
        <w:t xml:space="preserve">Die Übermittlung elektronischer Nachrichten und Dokumente an Finanzbehörden mit einer qualifizierten elektronischen Signatur oder über das besondere elektronische Behördenpostfach ist nicht zulässig, soweit für die Übermittlung ein sicheres elektronisches Verfahren der Finanzbehörden zur Verfügung steht, das den Datenübermittler authentifiziert und die Vertraulichkeit und Integrität des Datensatzes gewährleistet; dies gilt nicht für Gerichte und Staatsanwaltschaften sowie in den Fällen, in denen die Übermittlung an Finanzbehörden mit einer qualifizierten elektronischen Signatur oder über das besondere elektronische Behördenpostfach gesetzlich vorgeschrieben ist. </w:t>
      </w:r>
      <w:r>
        <w:rPr>
          <w:rStyle w:val="Satznummer"/>
        </w:rPr>
        <w:t>3</w:t>
      </w:r>
      <w:r>
        <w:t xml:space="preserve">Ein elektronisches Dokument ist zugegangen, sobald die für den Empfang bestimmte Einrichtung es in für den Empfänger bearbeitbarer Weise aufgezeichnet hat; </w:t>
      </w:r>
      <w:hyperlink w:anchor="b200" w:history="1">
        <w:r>
          <w:rPr>
            <w:color w:val="0A3A8C"/>
            <w:u w:val="single"/>
          </w:rPr>
          <w:t xml:space="preserve">§ 122</w:t>
        </w:r>
      </w:hyperlink>
      <w:r>
        <w:t xml:space="preserve"> Absatz 2a sowie die </w:t>
      </w:r>
      <w:hyperlink w:anchor="b201" w:history="1">
        <w:r>
          <w:rPr>
            <w:color w:val="0A3A8C"/>
            <w:u w:val="single"/>
          </w:rPr>
          <w:t xml:space="preserve">§§ 122a</w:t>
        </w:r>
      </w:hyperlink>
      <w:r>
        <w:t xml:space="preserve"> und </w:t>
      </w:r>
      <w:hyperlink w:anchor="b202" w:history="1">
        <w:r>
          <w:rPr>
            <w:color w:val="0A3A8C"/>
            <w:u w:val="single"/>
          </w:rPr>
          <w:t xml:space="preserve">123</w:t>
        </w:r>
      </w:hyperlink>
      <w:r>
        <w:t xml:space="preserve"> Satz 2 und 3 bleiben unberührt. </w:t>
      </w:r>
      <w:r>
        <w:rPr>
          <w:rStyle w:val="Satznummer"/>
        </w:rPr>
        <w:t>4</w:t>
      </w:r>
      <w:r>
        <w:t xml:space="preserve">Übermittelt die Finanzbehörde Daten, die dem Steuergeheimnis unterliegen, sind diese Daten mit einem geeigneten Verfahren zu verschlüsseln; soweit alle betroffenen Personen schriftlich eingewilligt haben, kann auf eine Verschlüsselung verzichtet werden. </w:t>
      </w:r>
      <w:r>
        <w:rPr>
          <w:rStyle w:val="Satznummer"/>
        </w:rPr>
        <w:t>5</w:t>
      </w:r>
      <w:r>
        <w:t>Eine elektronische Benachrichtigung über die Bereitstellung von Daten zum Abruf oder über den Zugang elektronisch an die Finanzbehörden übermittelter Daten darf auch ohne Verschlüsselung übermittelt werden.</w:t>
      </w:r>
    </w:p>
    <w:p>
      <w:r>
        <w:t xml:space="preserve">(1a) </w:t>
      </w:r>
      <w:r>
        <w:rPr>
          <w:rStyle w:val="Satznummer"/>
        </w:rPr>
        <w:t>1</w:t>
      </w:r>
      <w:r>
        <w:t xml:space="preserve">Verhandlungen und Besprechungen können auch elektronisch durch Übertragung in Ton oder Bild und Ton erfolgen. </w:t>
      </w:r>
      <w:r>
        <w:rPr>
          <w:rStyle w:val="Satznummer"/>
        </w:rPr>
        <w:t>2</w:t>
      </w:r>
      <w:r>
        <w:t>Absatz 1 Satz 4 gilt entsprechend.</w:t>
      </w:r>
    </w:p>
    <w:p>
      <w:r>
        <w:t xml:space="preserve">(2) </w:t>
      </w:r>
      <w:r>
        <w:rPr>
          <w:rStyle w:val="Satznummer"/>
        </w:rPr>
        <w:t>1</w:t>
      </w:r>
      <w:r>
        <w:t xml:space="preserve">Ist ein der Finanzbehörde übermitteltes elektronisches Dokument für sie zur Bearbeitung nicht geeignet, hat sie dies dem Absender unter Angabe der für sie geltenden technischen Rahmenbedingungen unverzüglich mitzuteilen. </w:t>
      </w:r>
      <w:r>
        <w:rPr>
          <w:rStyle w:val="Satznummer"/>
        </w:rPr>
        <w:t>2</w:t>
      </w:r>
      <w:r>
        <w:t>Macht ein Empfänger geltend, er könne das von der Finanzbehörde übermittelte elektronische Dokument nicht bearbeiten, hat sie es ihm erneut in einem geeigneten elektronischen Format oder als Schriftstück zu übermitteln.</w:t>
      </w:r>
    </w:p>
    <w:p>
      <w:r>
        <w:t xml:space="preserve">(3) </w:t>
      </w:r>
      <w:r>
        <w:rPr>
          <w:rStyle w:val="Satznummer"/>
        </w:rPr>
        <w:t>1</w:t>
      </w:r>
      <w:r>
        <w:t xml:space="preserve">Eine durch Gesetz für Anträge, Erklärungen oder Mitteilungen an die Finanzbehörden angeordnete Schriftform kann, soweit nicht durch Gesetz etwas anderes bestimmt ist, durch die elektronische Form ersetzt werden. </w:t>
      </w:r>
      <w:r>
        <w:rPr>
          <w:rStyle w:val="Satznummer"/>
        </w:rPr>
        <w:t>2</w:t>
      </w:r>
      <w:r>
        <w:t xml:space="preserve">Der elektronischen Form genügt ein elektronisches Dokument, das mit einer qualifizierten elektronischen Signatur versehen ist. </w:t>
      </w:r>
      <w:r>
        <w:rPr>
          <w:rStyle w:val="Satznummer"/>
        </w:rPr>
        <w:t>3</w:t>
      </w:r>
      <w:r>
        <w:t xml:space="preserve">Bei der Signierung darf eine Person ein Pseudonym nur verwenden, wenn sie ihre Identität der Finanzbehörde nachweist. </w:t>
      </w:r>
      <w:r>
        <w:rPr>
          <w:rStyle w:val="Satznummer"/>
        </w:rPr>
        <w:t>4</w:t>
      </w:r>
      <w:r>
        <w:t xml:space="preserve">Die Schriftform kann auch durch unmittelbare Abgabe der Erklärung in einem elektronischen Formular, das von der Finanzbehörde in einem Eingabegerät oder über öffentlich zugängliche Netze zur Verfügung gestellt wird, ersetzt werden. </w:t>
      </w:r>
      <w:r>
        <w:rPr>
          <w:rStyle w:val="Satznummer"/>
        </w:rPr>
        <w:t>5</w:t>
      </w:r>
      <w:r>
        <w:t xml:space="preserve">Bei einer Eingabe über öffentlich zugängliche Netze muss ein elektronischer Identitätsnachweis nach § 18 des Personalausweisgesetzes, nach § 12 des eID-Karte-Gesetzes oder nach § 78 Absatz 5 des Aufenthaltsgesetzes oder durch ein von der Finanzverwaltung eingerichtetes sicheres Identifizierungsverfahren im Sinne des Absatzes 6 erfolgen. </w:t>
      </w:r>
      <w:r>
        <w:rPr>
          <w:rStyle w:val="Satznummer"/>
        </w:rPr>
        <w:t>6</w:t>
      </w:r>
      <w:r>
        <w:t xml:space="preserve">Die Finanzbehörde hat dem Erklärenden vor Abgabe der Erklärung nach Satz 4 Gelegenheit zu geben, die gesamte Erklärung auf Vollständigkeit und Richtigkeit zu prüfen; nach der Abgabe ist dem Erklärenden eine elektronische Kopie der Erklärung zu ermöglichen. </w:t>
      </w:r>
      <w:r>
        <w:rPr>
          <w:rStyle w:val="Satznummer"/>
        </w:rPr>
        <w:t>7</w:t>
      </w:r>
      <w:r>
        <w:t xml:space="preserve">Im Fall der Datenübermittlung im Auftrag nach </w:t>
      </w:r>
      <w:hyperlink w:anchor="b136" w:history="1">
        <w:r>
          <w:rPr>
            <w:color w:val="0A3A8C"/>
            <w:u w:val="single"/>
          </w:rPr>
          <w:t xml:space="preserve">§ 87d</w:t>
        </w:r>
      </w:hyperlink>
      <w:r>
        <w:t xml:space="preserve"> tritt der Auftragnehmer bei Anwendung des Satzes 6 an die Stelle des Erklärenden.</w:t>
      </w:r>
    </w:p>
    <w:p>
      <w:r>
        <w:t xml:space="preserve">(4) </w:t>
      </w:r>
      <w:r>
        <w:rPr>
          <w:rStyle w:val="Satznummer"/>
        </w:rPr>
        <w:t>1</w:t>
      </w:r>
      <w:r>
        <w:t xml:space="preserve">Eine durch Gesetz für Verwaltungsakte oder sonstige Maßnahmen der Finanzbehörden angeordnete Schriftform kann, soweit nicht durch Gesetz etwas anderes bestimmt ist, durch die elektronische Form ersetzt werden. </w:t>
      </w:r>
      <w:r>
        <w:rPr>
          <w:rStyle w:val="Satznummer"/>
        </w:rPr>
        <w:t>2</w:t>
      </w:r>
      <w:r>
        <w:t xml:space="preserve">Der elektronischen Form genügt ein elektronischer Verwaltungsakt, der mit einer qualifizierten elektronischen Signatur oder einem qualifizierten elektronischen Siegel versehen ist oder in einem sicheren Verfahren nach Absatz 7 oder Absatz 8 übermittelt oder zum Abruf bereitgestellt wird. </w:t>
      </w:r>
      <w:r>
        <w:rPr>
          <w:rStyle w:val="Satznummer"/>
        </w:rPr>
        <w:t>3</w:t>
      </w:r>
      <w:r>
        <w:t>Für von der Finanzbehörde aufzunehmende Niederschriften gilt Satz 1 nur, wenn dies durch Gesetz ausdrücklich zugelassen ist.</w:t>
      </w:r>
    </w:p>
    <w:p>
      <w:r>
        <w:t xml:space="preserve">(5) </w:t>
      </w:r>
      <w:r>
        <w:rPr>
          <w:rStyle w:val="Satznummer"/>
        </w:rPr>
        <w:t>1</w:t>
      </w:r>
      <w:r>
        <w:t xml:space="preserve">Ist ein elektronisches Dokument Gegenstand eines Beweises, wird der Beweis durch Vorlegung oder Übermittlung der Datei angetreten; befindet diese sich nicht im Besitz des Steuerpflichtigen oder der Finanzbehörde, gilt </w:t>
      </w:r>
      <w:hyperlink w:anchor="b158" w:history="1">
        <w:r>
          <w:rPr>
            <w:color w:val="0A3A8C"/>
            <w:u w:val="single"/>
          </w:rPr>
          <w:t xml:space="preserve">§ 97</w:t>
        </w:r>
      </w:hyperlink>
      <w:r>
        <w:t xml:space="preserve"> entsprechend. </w:t>
      </w:r>
      <w:r>
        <w:rPr>
          <w:rStyle w:val="Satznummer"/>
        </w:rPr>
        <w:t>2</w:t>
      </w:r>
      <w:r>
        <w:t>Für die Beweiskraft elektronischer Dokumente gilt § 371a der Zivilprozessordnung entsprechend.</w:t>
      </w:r>
    </w:p>
    <w:p>
      <w:r>
        <w:t xml:space="preserve">(6) </w:t>
      </w:r>
      <w:r>
        <w:rPr>
          <w:rStyle w:val="Satznummer"/>
        </w:rPr>
        <w:t>1</w:t>
      </w:r>
      <w:r>
        <w:t xml:space="preserve">Soweit gesetzlich nichts anderes bestimmt ist, ist bei der elektronischen Übermittlung von amtlich vorgeschriebenen Datensätzen an Finanzbehörden ein sicheres Verfahren zu verwenden, das den Datenübermittler authentifiziert und die Vertraulichkeit und Integrität des Datensatzes gewährleistet. </w:t>
      </w:r>
      <w:r>
        <w:rPr>
          <w:rStyle w:val="Satznummer"/>
        </w:rPr>
        <w:t>2</w:t>
      </w:r>
      <w:r>
        <w:t>Nutzt der Datenübermittler zur Authentisierung seinen elektronischen Identitätsnachweis nach § 18 des Personalausweisgesetzes, nach § 12 des eID-Karte-Gesetzes oder nach § 78 Absatz 5 des Aufenthaltsgesetzes, so dürfen die dazu erforderlichen Daten zusammen mit den übrigen übermittelten Daten gespeichert und verwendet werden.</w:t>
      </w:r>
    </w:p>
    <w:p>
      <w:r>
        <w:t xml:space="preserve">(7) </w:t>
      </w:r>
      <w:r>
        <w:rPr>
          <w:rStyle w:val="Satznummer"/>
        </w:rPr>
        <w:t>1</w:t>
      </w:r>
      <w:r>
        <w:t xml:space="preserve">Wird ein elektronisch erlassener Verwaltungsakt durch Übermittlung nach </w:t>
      </w:r>
      <w:hyperlink w:anchor="b200" w:history="1">
        <w:r>
          <w:rPr>
            <w:color w:val="0A3A8C"/>
            <w:u w:val="single"/>
          </w:rPr>
          <w:t xml:space="preserve">§ 122</w:t>
        </w:r>
      </w:hyperlink>
      <w:r>
        <w:t xml:space="preserve"> Absatz 2a bekannt gegeben, ist ein sicheres Verfahren zu verwenden, das die übermittelnde Stelle oder Einrichtung der Finanzverwaltung authentifiziert und die Vertraulichkeit und Integrität des Datensatzes gewährleistet. </w:t>
      </w:r>
      <w:r>
        <w:rPr>
          <w:rStyle w:val="Satznummer"/>
        </w:rPr>
        <w:t>2</w:t>
      </w:r>
      <w:r>
        <w:t>Ein sicheres Verfahren liegt insbesondere vor, wenn der Verwaltungsakt mit einer qualifizierten elektronischen Signatur versehen und mit einem geeigneten Verfahren verschlüsselt ist.</w:t>
      </w:r>
    </w:p>
    <w:p>
      <w:r>
        <w:t xml:space="preserve">(8) </w:t>
      </w:r>
      <w:r>
        <w:rPr>
          <w:rStyle w:val="Satznummer"/>
        </w:rPr>
        <w:t>1</w:t>
      </w:r>
      <w:r>
        <w:t xml:space="preserve">Wird ein elektronisch erlassener Verwaltungsakt durch Bereitstellung zum Abruf nach </w:t>
      </w:r>
      <w:hyperlink w:anchor="b201" w:history="1">
        <w:r>
          <w:rPr>
            <w:color w:val="0A3A8C"/>
            <w:u w:val="single"/>
          </w:rPr>
          <w:t xml:space="preserve">§ 122a</w:t>
        </w:r>
      </w:hyperlink>
      <w:r>
        <w:t xml:space="preserve"> bekannt gegeben, ist ein sicheres Verfahren zu verwenden, das die für die Datenbereitstellung verantwortliche Stelle oder Einrichtung der Finanzverwaltung authentifiziert und die Vertraulichkeit und Integrität des Datensatzes gewährleistet. </w:t>
      </w:r>
      <w:r>
        <w:rPr>
          <w:rStyle w:val="Satznummer"/>
        </w:rPr>
        <w:t>2</w:t>
      </w:r>
      <w:r>
        <w:t xml:space="preserve">Die abrufberechtigte Person hat sich zu authentisieren. </w:t>
      </w:r>
      <w:r>
        <w:rPr>
          <w:rStyle w:val="Satznummer"/>
        </w:rPr>
        <w:t>3</w:t>
      </w:r>
      <w:r>
        <w:t>Absatz 6 Satz 2 gilt entsprechend.</w:t>
      </w:r>
    </w:p>
    <w:p>
      <w:pPr>
        <w:pStyle w:val="Heading5"/>
      </w:pPr>
      <w:bookmarkStart w:id="136" w:name="b134"/>
      <w:r>
        <w:t>§ 87b Bedingungen für die elektronische Übermittlung von Daten an Finanzbehörden</w:t>
      </w:r>
      <w:r>
        <w:t xml:space="preserve"> </w:t>
      </w:r>
      <w:r>
        <w:rPr>
          <w:rStyle w:val="Suchmarke"/>
        </w:rPr>
        <w:t>#87b#</w:t>
      </w:r>
      <w:bookmarkEnd w:id="136"/>
    </w:p>
    <w:p>
      <w:r>
        <w:t xml:space="preserve">(1) </w:t>
      </w:r>
      <w:r>
        <w:rPr>
          <w:rStyle w:val="Satznummer"/>
        </w:rPr>
        <w:t>1</w:t>
      </w:r>
      <w:r>
        <w:t xml:space="preserve">Das Bundesministerium der Finanzen kann in Abstimmung mit den obersten Finanzbehörden der Länder die Datensätze und weitere technische Einzelheiten der elektronischen Übermittlung von Steuererklärungen, Unterlagen zur Steuererklärung, Daten über Vollmachten nach </w:t>
      </w:r>
      <w:hyperlink w:anchor="b122" w:history="1">
        <w:r>
          <w:rPr>
            <w:color w:val="0A3A8C"/>
            <w:u w:val="single"/>
          </w:rPr>
          <w:t xml:space="preserve">§ 80a</w:t>
        </w:r>
      </w:hyperlink>
      <w:r>
        <w:t xml:space="preserve">, Daten im Sinne des </w:t>
      </w:r>
      <w:hyperlink w:anchor="b152" w:history="1">
        <w:r>
          <w:rPr>
            <w:color w:val="0A3A8C"/>
            <w:u w:val="single"/>
          </w:rPr>
          <w:t xml:space="preserve">§ 93c</w:t>
        </w:r>
      </w:hyperlink>
      <w:r>
        <w:t xml:space="preserve"> und anderer für das Besteuerungsverfahren erforderlicher Daten mittels amtlich vorgeschriebener Datensätze bestimmen. </w:t>
      </w:r>
      <w:r>
        <w:rPr>
          <w:rStyle w:val="Satznummer"/>
        </w:rPr>
        <w:t>2</w:t>
      </w:r>
      <w:r>
        <w:t>Einer Abstimmung mit den obersten Finanzbehörden der Länder bedarf es nicht, soweit die Daten ausschließlich an Bundesfinanzbehörden übermittelt werden.</w:t>
      </w:r>
    </w:p>
    <w:p>
      <w:r>
        <w:t xml:space="preserve">(2) </w:t>
      </w:r>
      <w:r>
        <w:rPr>
          <w:rStyle w:val="Satznummer"/>
        </w:rPr>
        <w:t>1</w:t>
      </w:r>
      <w:r>
        <w:t xml:space="preserve">Bei der elektronischen Übermittlung von amtlich vorgeschriebenen Datensätzen an Finanzbehörden hat der Datenübermittler die hierfür nach Absatz 1 für den jeweiligen Besteuerungszeitraum oder -zeitpunkt amtlich bestimmten Schnittstellen ordnungsgemäß zu bedienen. </w:t>
      </w:r>
      <w:r>
        <w:rPr>
          <w:rStyle w:val="Satznummer"/>
        </w:rPr>
        <w:t>2</w:t>
      </w:r>
      <w:r>
        <w:t>Die amtlich bestimmten Schnittstellen werden über das Internet zur Verfügung gestellt.</w:t>
      </w:r>
    </w:p>
    <w:p>
      <w:r>
        <w:t xml:space="preserve">(3) </w:t>
      </w:r>
      <w:r>
        <w:rPr>
          <w:rStyle w:val="Satznummer"/>
        </w:rPr>
        <w:t>1</w:t>
      </w:r>
      <w:r>
        <w:t xml:space="preserve">Für die Verfahren, die über die zentrale Stelle im Sinne des § 81 des Einkommensteuergesetzes durchgeführt werden, kann das Bundesministerium der Finanzen durch Rechtsverordnung mit Zustimmung des Bundesrates die Grundsätze der Datenübermittlung sowie die Zuständigkeit für die Vollstreckung von Bescheiden über Forderungen der zentralen Stelle bestimmen. </w:t>
      </w:r>
      <w:r>
        <w:rPr>
          <w:rStyle w:val="Satznummer"/>
        </w:rPr>
        <w:t>2</w:t>
      </w:r>
      <w:r>
        <w:t>Dabei können insbesondere geregelt werden:</w:t>
      </w:r>
    </w:p>
    <w:p>
      <w:pPr>
        <w:tabs>
          <w:tab w:pos="567" w:val="left"/>
        </w:tabs>
        <w:ind w:left="567" w:hanging="567"/>
      </w:pPr>
      <w:r>
        <w:t>1.</w:t>
      </w:r>
      <w:r>
        <w:tab/>
      </w:r>
      <w:r>
        <w:t>das Verfahren zur Identifikation der am Verfahren Beteiligten,</w:t>
      </w:r>
    </w:p>
    <w:p>
      <w:pPr>
        <w:tabs>
          <w:tab w:pos="567" w:val="left"/>
        </w:tabs>
        <w:ind w:left="567" w:hanging="567"/>
      </w:pPr>
      <w:r>
        <w:t>2.</w:t>
      </w:r>
      <w:r>
        <w:tab/>
      </w:r>
      <w:r>
        <w:t>das Nähere über Form, Inhalt, Verarbeitung und Sicherung der zu übermittelnden Daten,</w:t>
      </w:r>
    </w:p>
    <w:p>
      <w:pPr>
        <w:tabs>
          <w:tab w:pos="567" w:val="left"/>
        </w:tabs>
        <w:ind w:left="567" w:hanging="567"/>
      </w:pPr>
      <w:r>
        <w:t>3.</w:t>
      </w:r>
      <w:r>
        <w:tab/>
      </w:r>
      <w:r>
        <w:t>die Art und Weise der Übermittlung der Daten,</w:t>
      </w:r>
    </w:p>
    <w:p>
      <w:pPr>
        <w:tabs>
          <w:tab w:pos="567" w:val="left"/>
        </w:tabs>
        <w:ind w:left="567" w:hanging="567"/>
      </w:pPr>
      <w:r>
        <w:t>4.</w:t>
      </w:r>
      <w:r>
        <w:tab/>
      </w:r>
      <w:r>
        <w:t>die Mitwirkungspflichten Dritter und</w:t>
      </w:r>
    </w:p>
    <w:p>
      <w:pPr>
        <w:tabs>
          <w:tab w:pos="567" w:val="left"/>
        </w:tabs>
        <w:ind w:left="567" w:hanging="567"/>
      </w:pPr>
      <w:r>
        <w:t>5.</w:t>
      </w:r>
      <w:r>
        <w:tab/>
      </w:r>
      <w:r>
        <w:t>die Erprobung der Verfahren.</w:t>
      </w:r>
    </w:p>
    <w:p>
      <w:r>
        <w:rPr>
          <w:rStyle w:val="Satznummer"/>
        </w:rPr>
        <w:t>3</w:t>
      </w:r>
      <w:r>
        <w:t xml:space="preserve">Zur Regelung der Datenübermittlung kann in der Rechtsverordnung auf Veröffentlichungen sachverständiger Stellen verwiesen werden. </w:t>
      </w:r>
      <w:r>
        <w:rPr>
          <w:rStyle w:val="Satznummer"/>
        </w:rPr>
        <w:t>4</w:t>
      </w:r>
      <w:r>
        <w:t>Hierbei sind das Datum der Veröffentlichung, die Bezugsquelle und eine Stelle zu bezeichnen, bei der die Veröffentlichung archivmäßig gesichert niedergelegt ist.</w:t>
      </w:r>
    </w:p>
    <w:p>
      <w:pPr>
        <w:pStyle w:val="Heading5"/>
      </w:pPr>
      <w:bookmarkStart w:id="137" w:name="b135"/>
      <w:r>
        <w:t>§ 87c Nicht amtliche Datenverarbeitungsprogramme für das Besteuerungsverfahren</w:t>
      </w:r>
      <w:r>
        <w:t xml:space="preserve"> </w:t>
      </w:r>
      <w:r>
        <w:rPr>
          <w:rStyle w:val="Suchmarke"/>
        </w:rPr>
        <w:t>#87c#</w:t>
      </w:r>
      <w:bookmarkEnd w:id="137"/>
    </w:p>
    <w:p>
      <w:r>
        <w:t>(1) Sind nicht amtliche Programme dazu bestimmt, für das Besteuerungsverfahren erforderliche Daten zu verarbeiten, so müssen sie im Rahmen des in der Programmbeschreibung angegebenen Programmumfangs die richtige und vollständige Verarbeitung dieser Daten gewährleisten.</w:t>
      </w:r>
    </w:p>
    <w:p>
      <w:r>
        <w:t>(2) Auf den Programmumfang sowie auf Fallgestaltungen, in denen eine richtige und vollständige Verarbeitung ausnahmsweise nicht möglich sind, ist in der Programmbeschreibung an hervorgehobener Stelle hinzuweisen.</w:t>
      </w:r>
    </w:p>
    <w:p>
      <w:r>
        <w:t xml:space="preserve">(3) </w:t>
      </w:r>
      <w:r>
        <w:rPr>
          <w:rStyle w:val="Satznummer"/>
        </w:rPr>
        <w:t>1</w:t>
      </w:r>
      <w:r>
        <w:t xml:space="preserve">Die Programme sind vom Hersteller vor der Freigabe für den produktiven Einsatz und nach jeder für den produktiven Einsatz freigegebenen Änderung daraufhin zu prüfen, ob sie die Anforderungen nach Absatz 1 erfüllen. </w:t>
      </w:r>
      <w:r>
        <w:rPr>
          <w:rStyle w:val="Satznummer"/>
        </w:rPr>
        <w:t>2</w:t>
      </w:r>
      <w:r>
        <w:t xml:space="preserve">Hierbei sind ein Protokoll über den letzten durchgeführten Testlauf und eine Programmauflistung zu erstellen, die fünf Jahre aufzubewahren sind. </w:t>
      </w:r>
      <w:r>
        <w:rPr>
          <w:rStyle w:val="Satznummer"/>
        </w:rPr>
        <w:t>3</w:t>
      </w:r>
      <w:r>
        <w:t xml:space="preserve">Die Aufbewahrungsfrist nach Satz 2 beginnt mit Ablauf des Kalenderjahres der erstmaligen Freigabe für den produktiven Einsatz; im Fall einer Änderung eines bereits für den produktiven Einsatz freigegebenen Programms beginnt die Aufbewahrungsfrist nicht vor Ablauf des Kalenderjahres der erstmaligen Freigabe der Änderung für den produktiven Einsatz. </w:t>
      </w:r>
      <w:r>
        <w:rPr>
          <w:rStyle w:val="Satznummer"/>
        </w:rPr>
        <w:t>4</w:t>
      </w:r>
      <w:r>
        <w:t>Elektronische, magnetische und optische Speicherverfahren, die eine jederzeitige Wiederherstellung der eingesetzten Programmversion in Papierform ermöglichen, sind der Programmauflistung gleichgestellt.</w:t>
      </w:r>
    </w:p>
    <w:p>
      <w:r>
        <w:t xml:space="preserve">(4) </w:t>
      </w:r>
      <w:r>
        <w:rPr>
          <w:rStyle w:val="Satznummer"/>
        </w:rPr>
        <w:t>1</w:t>
      </w:r>
      <w:r>
        <w:t xml:space="preserve">Die Finanzbehörden sind berechtigt, die Programme und Dokumentationen zu überprüfen. </w:t>
      </w:r>
      <w:r>
        <w:rPr>
          <w:rStyle w:val="Satznummer"/>
        </w:rPr>
        <w:t>2</w:t>
      </w:r>
      <w:r>
        <w:t xml:space="preserve">Die Mitwirkungspflichten des Steuerpflichtigen nach </w:t>
      </w:r>
      <w:hyperlink w:anchor="b323" w:history="1">
        <w:r>
          <w:rPr>
            <w:color w:val="0A3A8C"/>
            <w:u w:val="single"/>
          </w:rPr>
          <w:t xml:space="preserve">§ 200</w:t>
        </w:r>
      </w:hyperlink>
      <w:r>
        <w:t xml:space="preserve"> gelten entsprechend. </w:t>
      </w:r>
      <w:r>
        <w:rPr>
          <w:rStyle w:val="Satznummer"/>
        </w:rPr>
        <w:t>3</w:t>
      </w:r>
      <w:r>
        <w:t xml:space="preserve">Die Finanzbehörden haben die Hersteller oder Vertreiber eines fehlerhaften Programms unverzüglich zur Nachbesserung oder Ablösung aufzufordern. </w:t>
      </w:r>
      <w:r>
        <w:rPr>
          <w:rStyle w:val="Satznummer"/>
        </w:rPr>
        <w:t>4</w:t>
      </w:r>
      <w:r>
        <w:t xml:space="preserve">Soweit eine Nachbesserung oder Ablösung nicht unverzüglich erfolgt, sind die Finanzbehörden berechtigt, die Programme des Herstellers von der elektronischen Übermittlung an Finanzbehörden auszuschließen. </w:t>
      </w:r>
      <w:r>
        <w:rPr>
          <w:rStyle w:val="Satznummer"/>
        </w:rPr>
        <w:t>5</w:t>
      </w:r>
      <w:r>
        <w:t xml:space="preserve">Die Finanzbehörden sind nicht verpflichtet, die Programme zu prüfen. </w:t>
      </w:r>
      <w:r>
        <w:rPr>
          <w:rStyle w:val="Satznummer"/>
        </w:rPr>
        <w:t>6</w:t>
      </w:r>
      <w:hyperlink w:anchor="b42" w:history="1">
        <w:r>
          <w:rPr>
            <w:color w:val="0A3A8C"/>
            <w:u w:val="single"/>
          </w:rPr>
          <w:t xml:space="preserve">§ 30</w:t>
        </w:r>
      </w:hyperlink>
      <w:r>
        <w:t xml:space="preserve"> gilt entsprechend.</w:t>
      </w:r>
    </w:p>
    <w:p>
      <w:r>
        <w:t>(5) Sind die Programme zum allgemeinen Vertrieb vorgesehen, hat der Hersteller den Finanzbehörden auf Verlangen Muster zum Zwecke der Prüfung nach Absatz 4 kostenfrei zur Verfügung zu stellen.</w:t>
      </w:r>
    </w:p>
    <w:p>
      <w:r>
        <w:t>(6) Die Pflichten der Programmhersteller gemäß den vorstehenden Bestimmungen sind ausschließlich öffentlich-rechtlicher Art.</w:t>
      </w:r>
    </w:p>
    <w:p>
      <w:pPr>
        <w:pStyle w:val="Heading5"/>
      </w:pPr>
      <w:bookmarkStart w:id="138" w:name="b136"/>
      <w:r>
        <w:t>§ 87d Datenübermittlungen an Finanzbehörden im Auftrag</w:t>
      </w:r>
      <w:r>
        <w:t xml:space="preserve"> </w:t>
      </w:r>
      <w:r>
        <w:rPr>
          <w:rStyle w:val="Suchmarke"/>
        </w:rPr>
        <w:t>#87d#</w:t>
      </w:r>
      <w:bookmarkEnd w:id="138"/>
    </w:p>
    <w:p>
      <w:r>
        <w:t>(1) Mit der Übermittlung von Daten, die nach amtlich vorgeschriebenem Datensatz durch Datenfernübertragung über die amtlich bestimmten Schnittstellen für steuerliche Zwecke an die Finanzverwaltung zu übermitteln sind oder freiwillig übermittelt werden, können Dritte (Auftragnehmer) beauftragt werden.</w:t>
      </w:r>
    </w:p>
    <w:p>
      <w:r>
        <w:t xml:space="preserve">(2) </w:t>
      </w:r>
      <w:r>
        <w:rPr>
          <w:rStyle w:val="Satznummer"/>
        </w:rPr>
        <w:t>1</w:t>
      </w:r>
      <w:r>
        <w:t xml:space="preserve">Der Auftragnehmer muss sich vor Übermittlung der Daten Gewissheit über die Person und die Anschrift seines Auftraggebers verschaffen (Identifizierung) und die entsprechenden Angaben in geeigneter Form festhalten. </w:t>
      </w:r>
      <w:r>
        <w:rPr>
          <w:rStyle w:val="Satznummer"/>
        </w:rPr>
        <w:t>2</w:t>
      </w:r>
      <w:r>
        <w:t xml:space="preserve">Von einer Identifizierung kann abgesehen werden, wenn der Auftragnehmer den Auftraggeber bereits bei früherer Gelegenheit identifiziert und die dabei erhobenen Angaben aufgezeichnet hat, es sei denn, der Auftragnehmer muss auf Grund der äußeren Umstände bezweifeln, dass die bei der früheren Identifizierung erhobenen Angaben weiterhin zutreffend sind. </w:t>
      </w:r>
      <w:r>
        <w:rPr>
          <w:rStyle w:val="Satznummer"/>
        </w:rPr>
        <w:t>3</w:t>
      </w:r>
      <w:r>
        <w:t xml:space="preserve">Der Auftragnehmer hat sicherzustellen, dass er jederzeit Auskunft darüber geben kann, wer Auftraggeber der Datenübermittlung war. </w:t>
      </w:r>
      <w:r>
        <w:rPr>
          <w:rStyle w:val="Satznummer"/>
        </w:rPr>
        <w:t>4</w:t>
      </w:r>
      <w:r>
        <w:t xml:space="preserve">Die Aufzeichnungen nach Satz 1 sind fünf Jahre aufzubewahren; die Aufbewahrungsfrist beginnt nach Ablauf des Jahres der letzten Datenübermittlung. </w:t>
      </w:r>
      <w:r>
        <w:rPr>
          <w:rStyle w:val="Satznummer"/>
        </w:rPr>
        <w:t>5</w:t>
      </w:r>
      <w:r>
        <w:t>Die Pflicht zur Herstellung der Auskunftsbereitschaft nach Satz 3 endet mit Ablauf der Aufbewahrungsfrist nach Satz 4.</w:t>
      </w:r>
    </w:p>
    <w:p>
      <w:r>
        <w:t xml:space="preserve">(3) </w:t>
      </w:r>
      <w:r>
        <w:rPr>
          <w:rStyle w:val="Satznummer"/>
        </w:rPr>
        <w:t>1</w:t>
      </w:r>
      <w:r>
        <w:t xml:space="preserve">Der Auftragnehmer hat dem Auftraggeber die Daten in leicht nachprüfbarer Form zur Zustimmung zur Verfügung zu stellen. </w:t>
      </w:r>
      <w:r>
        <w:rPr>
          <w:rStyle w:val="Satznummer"/>
        </w:rPr>
        <w:t>2</w:t>
      </w:r>
      <w:r>
        <w:t>Der Auftraggeber hat die ihm zur Verfügung gestellten Daten unverzüglich auf Vollständigkeit und Richtigkeit zu überprüfen.</w:t>
      </w:r>
    </w:p>
    <w:p>
      <w:pPr>
        <w:pStyle w:val="Heading5"/>
      </w:pPr>
      <w:bookmarkStart w:id="139" w:name="b137"/>
      <w:r>
        <w:t>§ 87e Ausnahmeregelung für Einfuhr- und Ausfuhrabgaben, Verbrauchsteuern und die Luftverkehrsteuer</w:t>
      </w:r>
      <w:r>
        <w:t xml:space="preserve"> </w:t>
      </w:r>
      <w:r>
        <w:rPr>
          <w:rStyle w:val="Suchmarke"/>
        </w:rPr>
        <w:t>#87e#</w:t>
      </w:r>
      <w:bookmarkEnd w:id="139"/>
    </w:p>
    <w:p>
      <w:r>
        <w:t xml:space="preserve">Die </w:t>
      </w:r>
      <w:hyperlink w:anchor="b110" w:history="1">
        <w:r>
          <w:rPr>
            <w:color w:val="0A3A8C"/>
            <w:u w:val="single"/>
          </w:rPr>
          <w:t xml:space="preserve">§§ 72a</w:t>
        </w:r>
      </w:hyperlink>
      <w:r>
        <w:t xml:space="preserve"> und </w:t>
      </w:r>
      <w:hyperlink w:anchor="b134" w:history="1">
        <w:r>
          <w:rPr>
            <w:color w:val="0A3A8C"/>
            <w:u w:val="single"/>
          </w:rPr>
          <w:t xml:space="preserve">87b</w:t>
        </w:r>
      </w:hyperlink>
      <w:r>
        <w:t xml:space="preserve"> bis </w:t>
      </w:r>
      <w:hyperlink w:anchor="b136" w:history="1">
        <w:r>
          <w:rPr>
            <w:color w:val="0A3A8C"/>
            <w:u w:val="single"/>
          </w:rPr>
          <w:t xml:space="preserve">87d</w:t>
        </w:r>
      </w:hyperlink>
      <w:r>
        <w:t xml:space="preserve"> gelten nicht für Einfuhr- und Ausfuhrabgaben, Verbrauchsteuern und die Luftverkehrsteuer, soweit nichts anderes bestimmt ist.</w:t>
      </w:r>
    </w:p>
    <w:p>
      <w:pPr>
        <w:pStyle w:val="Heading5"/>
      </w:pPr>
      <w:bookmarkStart w:id="140" w:name="b138"/>
      <w:r>
        <w:t>§ 88 Untersuchungsgrundsatz</w:t>
      </w:r>
      <w:r>
        <w:t xml:space="preserve"> </w:t>
      </w:r>
      <w:r>
        <w:rPr>
          <w:rStyle w:val="Suchmarke"/>
        </w:rPr>
        <w:t>#88#</w:t>
      </w:r>
      <w:bookmarkEnd w:id="140"/>
    </w:p>
    <w:p>
      <w:r>
        <w:t xml:space="preserve">(1) </w:t>
      </w:r>
      <w:r>
        <w:rPr>
          <w:rStyle w:val="Satznummer"/>
        </w:rPr>
        <w:t>1</w:t>
      </w:r>
      <w:r>
        <w:t xml:space="preserve">Die Finanzbehörde ermittelt den Sachverhalt von Amts wegen. </w:t>
      </w:r>
      <w:r>
        <w:rPr>
          <w:rStyle w:val="Satznummer"/>
        </w:rPr>
        <w:t>2</w:t>
      </w:r>
      <w:r>
        <w:t>Dabei hat sie alle für den Einzelfall bedeutsamen, auch die für die Beteiligten günstigen Umstände zu berücksichtigen.</w:t>
      </w:r>
    </w:p>
    <w:p>
      <w:r>
        <w:t xml:space="preserve">(2) </w:t>
      </w:r>
      <w:r>
        <w:rPr>
          <w:rStyle w:val="Satznummer"/>
        </w:rPr>
        <w:t>1</w:t>
      </w:r>
      <w:r>
        <w:t xml:space="preserve">Die Finanzbehörde bestimmt Art und Umfang der Ermittlungen nach den Umständen des Einzelfalls sowie nach den Grundsätzen der Gleichmäßigkeit, Gesetzmäßigkeit und Verhältnismäßigkeit; an das Vorbringen und an die Beweisanträge der Beteiligten ist sie nicht gebunden. </w:t>
      </w:r>
      <w:r>
        <w:rPr>
          <w:rStyle w:val="Satznummer"/>
        </w:rPr>
        <w:t>2</w:t>
      </w:r>
      <w:r>
        <w:t>Bei der Entscheidung über Art und Umfang der Ermittlungen können allgemeine Erfahrungen der Finanzbehörden sowie Wirtschaftlichkeit und Zweckmäßigkeit berücksichtigt werden.</w:t>
      </w:r>
    </w:p>
    <w:p>
      <w:r>
        <w:t xml:space="preserve">(3) </w:t>
      </w:r>
      <w:r>
        <w:rPr>
          <w:rStyle w:val="Satznummer"/>
        </w:rPr>
        <w:t>1</w:t>
      </w:r>
      <w:r>
        <w:t xml:space="preserve">Zur Gewährleistung eines zeitnahen und gleichmäßigen Vollzugs der Steuergesetze können die obersten Finanzbehörden für bestimmte oder bestimmbare Fallgruppen Weisungen über Art und Umfang der Ermittlungen und der Verarbeitung von erhobenen oder erfassten Daten erteilen, soweit gesetzlich nicht etwas anderes bestimmt ist. </w:t>
      </w:r>
      <w:r>
        <w:rPr>
          <w:rStyle w:val="Satznummer"/>
        </w:rPr>
        <w:t>2</w:t>
      </w:r>
      <w:r>
        <w:t xml:space="preserve">Bei diesen Weisungen können allgemeine Erfahrungen der Finanzbehörden sowie Wirtschaftlichkeit und Zweckmäßigkeit berücksichtigt werden. </w:t>
      </w:r>
      <w:r>
        <w:rPr>
          <w:rStyle w:val="Satznummer"/>
        </w:rPr>
        <w:t>3</w:t>
      </w:r>
      <w:r>
        <w:t xml:space="preserve">Die Weisungen dürfen nicht veröffentlicht werden, soweit dies die Gleichmäßigkeit und Gesetzmäßigkeit der Besteuerung gefährden könnte. </w:t>
      </w:r>
      <w:r>
        <w:rPr>
          <w:rStyle w:val="Satznummer"/>
        </w:rPr>
        <w:t>4</w:t>
      </w:r>
      <w:r>
        <w:t>Weisungen der obersten Finanzbehörden der Länder nach Satz 1 bedürfen des Einvernehmens mit dem Bundesministerium der Finanzen, soweit die Landesfinanzbehörden Steuern im Auftrag des Bundes verwalten.</w:t>
      </w:r>
    </w:p>
    <w:p>
      <w:r>
        <w:t xml:space="preserve">(4) </w:t>
      </w:r>
      <w:r>
        <w:rPr>
          <w:rStyle w:val="Satznummer"/>
        </w:rPr>
        <w:t>1</w:t>
      </w:r>
      <w:r>
        <w:t xml:space="preserve">Das Bundeszentralamt für Steuern und die zentrale Stelle im Sinne des § 81 des Einkommensteuergesetzes können auf eine Weiterleitung ihnen zugegangener und zur Weiterleitung an die Landesfinanzbehörden bestimmter Daten an die Landesfinanzbehörden verzichten, soweit sie die Daten nicht oder nur mit unverhältnismäßigem Aufwand einem bestimmten Steuerpflichtigen oder einem bestimmten Finanzamt zuordnen können. </w:t>
      </w:r>
      <w:r>
        <w:rPr>
          <w:rStyle w:val="Satznummer"/>
        </w:rPr>
        <w:t>2</w:t>
      </w:r>
      <w:r>
        <w:t xml:space="preserve">Nach Satz 1 einem bestimmten Steuerpflichtigen oder einem bestimmten Finanzamt zugeordnete Daten sind unter Beachtung von Weisungen gemäß Absatz 3 des Bundesministeriums der Finanzen weiterzuleiten. </w:t>
      </w:r>
      <w:r>
        <w:rPr>
          <w:rStyle w:val="Satznummer"/>
        </w:rPr>
        <w:t>3</w:t>
      </w:r>
      <w:r>
        <w:t xml:space="preserve">Nicht an die Landesfinanzbehörden weitergeleitete Daten sind vom Bundeszentralamt für Steuern für Zwecke von Verfahren im Sinne des § 30 Absatz 2 Nummer 1 Buchstabe a und b bis zum Ablauf des 15. Jahres nach dem Jahr des Datenzugangs zu speichern. </w:t>
      </w:r>
      <w:r>
        <w:rPr>
          <w:rStyle w:val="Satznummer"/>
        </w:rPr>
        <w:t>4</w:t>
      </w:r>
      <w:r>
        <w:t>Nach Satz 3 gespeicherte Daten dürfen nur für Verfahren im Sinne des § 30 Absatz 2 Nummer 1 Buchstabe a und b sowie zur Datenschutzkontrolle verarbeitet werden.</w:t>
      </w:r>
    </w:p>
    <w:p>
      <w:r>
        <w:t xml:space="preserve">(5) </w:t>
      </w:r>
      <w:r>
        <w:rPr>
          <w:rStyle w:val="Satznummer"/>
        </w:rPr>
        <w:t>1</w:t>
      </w:r>
      <w:r>
        <w:t xml:space="preserve">Die Finanzbehörden können zur Beurteilung der Notwendigkeit weiterer Ermittlungen und Prüfungen für eine gleichmäßige und gesetzmäßige Festsetzung von Steuern und Steuervergütungen sowie Anrechnung von Steuerabzugsbeträgen und Vorauszahlungen automationsgestützte Systeme einsetzen (Risikomanagementsysteme). </w:t>
      </w:r>
      <w:r>
        <w:rPr>
          <w:rStyle w:val="Satznummer"/>
        </w:rPr>
        <w:t>2</w:t>
      </w:r>
      <w:r>
        <w:t xml:space="preserve">Dabei soll auch der Grundsatz der Wirtschaftlichkeit der Verwaltung berücksichtigt werden. </w:t>
      </w:r>
      <w:r>
        <w:rPr>
          <w:rStyle w:val="Satznummer"/>
        </w:rPr>
        <w:t>3</w:t>
      </w:r>
      <w:r>
        <w:t>Das Risikomanagementsystem muss mindestens folgende Anforderungen erfüllen:</w:t>
      </w:r>
    </w:p>
    <w:p>
      <w:pPr>
        <w:tabs>
          <w:tab w:pos="567" w:val="left"/>
        </w:tabs>
        <w:ind w:left="567" w:hanging="567"/>
      </w:pPr>
      <w:r>
        <w:t>1.</w:t>
      </w:r>
      <w:r>
        <w:tab/>
      </w:r>
      <w:r>
        <w:t>die Gewährleistung, dass durch Zufallsauswahl eine hinreichende Anzahl von Fällen zur umfassenden Prüfung durch Amtsträger ausgewählt wird,</w:t>
      </w:r>
    </w:p>
    <w:p>
      <w:pPr>
        <w:tabs>
          <w:tab w:pos="567" w:val="left"/>
        </w:tabs>
        <w:ind w:left="567" w:hanging="567"/>
      </w:pPr>
      <w:r>
        <w:t>2.</w:t>
      </w:r>
      <w:r>
        <w:tab/>
      </w:r>
      <w:r>
        <w:t>die Prüfung der als prüfungsbedürftig ausgesteuerten Sachverhalte durch Amtsträger,</w:t>
      </w:r>
    </w:p>
    <w:p>
      <w:pPr>
        <w:tabs>
          <w:tab w:pos="567" w:val="left"/>
        </w:tabs>
        <w:ind w:left="567" w:hanging="567"/>
      </w:pPr>
      <w:r>
        <w:t>3.</w:t>
      </w:r>
      <w:r>
        <w:tab/>
      </w:r>
      <w:r>
        <w:t>die Gewährleistung, dass Amtsträger Fälle für eine umfassende Prüfung auswählen können,</w:t>
      </w:r>
    </w:p>
    <w:p>
      <w:pPr>
        <w:tabs>
          <w:tab w:pos="567" w:val="left"/>
        </w:tabs>
        <w:ind w:left="567" w:hanging="567"/>
      </w:pPr>
      <w:r>
        <w:t>4.</w:t>
      </w:r>
      <w:r>
        <w:tab/>
      </w:r>
      <w:r>
        <w:t>die regelmäßige Überprüfung der Risikomanagementsysteme auf ihre Zielerfüllung.</w:t>
      </w:r>
    </w:p>
    <w:p>
      <w:r>
        <w:rPr>
          <w:rStyle w:val="Satznummer"/>
        </w:rPr>
        <w:t>4</w:t>
      </w:r>
      <w:r>
        <w:t xml:space="preserve">Einzelheiten der Risikomanagementsysteme dürfen nicht veröffentlicht werden, soweit dies die Gleichmäßigkeit und Gesetzmäßigkeit der Besteuerung gefährden könnte. </w:t>
      </w:r>
      <w:r>
        <w:rPr>
          <w:rStyle w:val="Satznummer"/>
        </w:rPr>
        <w:t>5</w:t>
      </w:r>
      <w:r>
        <w:t>Auf dem Gebiet der von den Landesfinanzbehörden im Auftrag des Bundes verwalteten Steuern legen die obersten Finanzbehörden der Länder die Einzelheiten der Risikomanagementsysteme zur Gewährleistung eines bundeseinheitlichen Vollzugs der Steuergesetze im Einvernehmen mit dem Bundesministerium der Finanzen fest.</w:t>
      </w:r>
    </w:p>
    <w:p>
      <w:pPr>
        <w:pStyle w:val="Heading5"/>
      </w:pPr>
      <w:bookmarkStart w:id="141" w:name="b139"/>
      <w:r>
        <w:t>§ 88a Sammlung von geschützten Daten</w:t>
      </w:r>
      <w:r>
        <w:t xml:space="preserve"> </w:t>
      </w:r>
      <w:r>
        <w:rPr>
          <w:rStyle w:val="Suchmarke"/>
        </w:rPr>
        <w:t>#88a#</w:t>
      </w:r>
      <w:bookmarkEnd w:id="141"/>
    </w:p>
    <w:p>
      <w:r>
        <w:rPr>
          <w:rStyle w:val="Satznummer"/>
        </w:rPr>
        <w:t>1</w:t>
      </w:r>
      <w:r>
        <w:t xml:space="preserve">Soweit es zur Sicherstellung einer gleichmäßigen Festsetzung und Erhebung der Steuern erforderlich ist, dürfen die Finanzbehörden nach </w:t>
      </w:r>
      <w:hyperlink w:anchor="b42" w:history="1">
        <w:r>
          <w:rPr>
            <w:color w:val="0A3A8C"/>
            <w:u w:val="single"/>
          </w:rPr>
          <w:t xml:space="preserve">§ 30</w:t>
        </w:r>
      </w:hyperlink>
      <w:r>
        <w:t xml:space="preserve"> geschützte Daten auch für Zwecke künftiger Verfahren im Sinne des § 30 Absatz 2 Nummer 1 Buchstabe a und b, insbesondere zur Gewinnung von Vergleichswerten, in Dateisystemen verarbeiten. </w:t>
      </w:r>
      <w:r>
        <w:rPr>
          <w:rStyle w:val="Satznummer"/>
        </w:rPr>
        <w:t>2</w:t>
      </w:r>
      <w:r>
        <w:t>Eine Verarbeitung ist nur für Verfahren im Sinne des § 30 Absatz 2 Nummer 1 Buchstabe a und b zulässig.</w:t>
      </w:r>
    </w:p>
    <w:p>
      <w:pPr>
        <w:pStyle w:val="Heading5"/>
      </w:pPr>
      <w:bookmarkStart w:id="142" w:name="b140"/>
      <w:r>
        <w:t>§ 88b Länderübergreifender Abruf und Verwendung von Daten zur Verhütung, Ermittlung und Verfolgung von Steuerverkürzungen</w:t>
      </w:r>
      <w:r>
        <w:t xml:space="preserve"> </w:t>
      </w:r>
      <w:r>
        <w:rPr>
          <w:rStyle w:val="Suchmarke"/>
        </w:rPr>
        <w:t>#88b#</w:t>
      </w:r>
      <w:bookmarkEnd w:id="142"/>
    </w:p>
    <w:p>
      <w:r>
        <w:t>(1) Für Zwecke eines Verwaltungsverfahrens in Steuersachen, eines Strafverfahrens wegen einer Steuerstraftat oder eines Bußgeldverfahrens wegen einer Steuerordnungswidrigkeit von Finanzbehörden gespeicherte Daten dürfen zum gegenseitigen Datenabruf bereitgestellt und dann von den zuständigen Finanzbehörden zur Verhütung, Ermittlung oder Verfolgung von</w:t>
      </w:r>
    </w:p>
    <w:p>
      <w:pPr>
        <w:tabs>
          <w:tab w:pos="567" w:val="left"/>
        </w:tabs>
        <w:ind w:left="567" w:hanging="567"/>
      </w:pPr>
      <w:r>
        <w:t>1.</w:t>
      </w:r>
      <w:r>
        <w:tab/>
      </w:r>
      <w:r>
        <w:t>länderübergreifenden Steuerverkürzungen,</w:t>
      </w:r>
    </w:p>
    <w:p>
      <w:pPr>
        <w:tabs>
          <w:tab w:pos="567" w:val="left"/>
        </w:tabs>
        <w:ind w:left="567" w:hanging="567"/>
      </w:pPr>
      <w:r>
        <w:t>2.</w:t>
      </w:r>
      <w:r>
        <w:tab/>
      </w:r>
      <w:r>
        <w:t>Steuerverkürzungen von internationaler Bedeutung oder</w:t>
      </w:r>
    </w:p>
    <w:p>
      <w:pPr>
        <w:tabs>
          <w:tab w:pos="567" w:val="left"/>
        </w:tabs>
        <w:ind w:left="567" w:hanging="567"/>
      </w:pPr>
      <w:r>
        <w:t>3.</w:t>
      </w:r>
      <w:r>
        <w:tab/>
      </w:r>
      <w:r>
        <w:t>Steuerverkürzungen von erheblicher Bedeutung</w:t>
      </w:r>
    </w:p>
    <w:p>
      <w:r>
        <w:t xml:space="preserve">untereinander abgerufen, im Wege des automatisierten Datenabgleichs überprüft, verwendet und gespeichert werden, auch soweit sie durch </w:t>
      </w:r>
      <w:hyperlink w:anchor="b42" w:history="1">
        <w:r>
          <w:rPr>
            <w:color w:val="0A3A8C"/>
            <w:u w:val="single"/>
          </w:rPr>
          <w:t xml:space="preserve">§ 30</w:t>
        </w:r>
      </w:hyperlink>
      <w:r>
        <w:t xml:space="preserve"> geschützt sind.</w:t>
      </w:r>
    </w:p>
    <w:p>
      <w:r>
        <w:t>(2) Auswertungsergebnisse nach Absatz 1 sind den jeweils betroffenen zuständigen Finanzbehörden elektronisch zur Verfügung zu stellen.</w:t>
      </w:r>
    </w:p>
    <w:p>
      <w:r>
        <w:t xml:space="preserve">(3) </w:t>
      </w:r>
      <w:r>
        <w:rPr>
          <w:rStyle w:val="Satznummer"/>
        </w:rPr>
        <w:t>1</w:t>
      </w:r>
      <w:r>
        <w:t xml:space="preserve">Durch Rechtsverordnung der jeweils zuständigen Landesregierung wird bestimmt, welche Finanzbehörden auf Landesebene für die in den Absätzen 1 und 2 genannten Tätigkeiten zuständig sind. </w:t>
      </w:r>
      <w:r>
        <w:rPr>
          <w:rStyle w:val="Satznummer"/>
        </w:rPr>
        <w:t>2</w:t>
      </w:r>
      <w:r>
        <w:t>Die Landesregierung kann diese Verpflichtung durch Rechtsverordnung auf die für die Finanzverwaltung zuständige oberste Landesbehörde übertragen.</w:t>
      </w:r>
    </w:p>
    <w:p>
      <w:pPr>
        <w:pStyle w:val="Heading5"/>
      </w:pPr>
      <w:bookmarkStart w:id="143" w:name="b141"/>
      <w:r>
        <w:t>§ 88c Informationsaustausch über kapitalmarktbezogene Gestaltungen</w:t>
      </w:r>
      <w:r>
        <w:t xml:space="preserve"> </w:t>
      </w:r>
      <w:r>
        <w:rPr>
          <w:rStyle w:val="Suchmarke"/>
        </w:rPr>
        <w:t>#88c#</w:t>
      </w:r>
      <w:bookmarkEnd w:id="143"/>
    </w:p>
    <w:p>
      <w:r>
        <w:t xml:space="preserve">(1) </w:t>
      </w:r>
      <w:r>
        <w:rPr>
          <w:rStyle w:val="Satznummer"/>
        </w:rPr>
        <w:t>1</w:t>
      </w:r>
      <w:r>
        <w:t xml:space="preserve">Finanzbehörden haben Tatsachen, die sie dienstlich erfahren haben und aus denen sich nach Würdigung der Gesamtumstände Anhaltspunkte für Steuergestaltungen ergeben, die die Erlangung eines Steuervorteils aus der Erhebung oder Entlastung von Kapitalertragsteuer mit erheblicher Bedeutung zum Gegenstand haben, im Einvernehmen mit der zuständigen obersten Finanzbehörde oder der von ihr bestimmten Finanzbehörde dem Bundeszentralamt für Steuern zu übermitteln. </w:t>
      </w:r>
      <w:r>
        <w:rPr>
          <w:rStyle w:val="Satznummer"/>
        </w:rPr>
        <w:t>2</w:t>
      </w:r>
      <w:r>
        <w:t>Für die Beurteilung der erheblichen Bedeutung ist insbesondere die Höhe des erlangten Steuervorteils und die Möglichkeit der Nutzung der Gestaltung durch andere Schuldner der Kapitalertragsteuer zu berücksichtigen.</w:t>
      </w:r>
    </w:p>
    <w:p>
      <w:r>
        <w:t xml:space="preserve">(2) </w:t>
      </w:r>
      <w:r>
        <w:rPr>
          <w:rStyle w:val="Satznummer"/>
        </w:rPr>
        <w:t>1</w:t>
      </w:r>
      <w:r>
        <w:t xml:space="preserve">Das Bundeszentralamt für Steuern speichert die ihm von den Finanzbehörden nach Absatz 1 übermittelten Informationen und analysiert diese im Hinblick auf missbräuchliche Steuergestaltungsmodelle. </w:t>
      </w:r>
      <w:r>
        <w:rPr>
          <w:rStyle w:val="Satznummer"/>
        </w:rPr>
        <w:t>2</w:t>
      </w:r>
      <w:r>
        <w:t xml:space="preserve">Benötigt das Bundeszentralamt für Steuern zur weiteren Aufklärung eines Sachverhaltes ergänzende Informationen von der nach Absatz 1 übermittelnden Finanzbehörde, hat diese dem Bundeszentralamt für Steuern die hierzu erforderlichen Informationen auf Ersuchen zu übermitteln. </w:t>
      </w:r>
      <w:r>
        <w:rPr>
          <w:rStyle w:val="Satznummer"/>
        </w:rPr>
        <w:t>3</w:t>
      </w:r>
      <w:r>
        <w:t>Das Bundeszentralamt für Steuern darf die ihm nach Maßgabe dieser Vorschrift übermittelten personenbezogenen Daten speichern und verwenden, soweit dies zur Erfüllung seiner Aufgaben nach Satz 1 erforderlich ist.</w:t>
      </w:r>
    </w:p>
    <w:p>
      <w:r>
        <w:t xml:space="preserve">(3) </w:t>
      </w:r>
      <w:r>
        <w:rPr>
          <w:rStyle w:val="Satznummer"/>
        </w:rPr>
        <w:t>1</w:t>
      </w:r>
      <w:r>
        <w:t xml:space="preserve">Das Bundeszentralamt für Steuern ist berechtigt, den für die Verwaltung der Kapitalertragsteuer zuständigen Finanzbehörden seine erlangten Sachverhaltserkenntnisse zu übermitteln und im dazu erforderlichen Umfang auch personenbezogene Daten offenzulegen. </w:t>
      </w:r>
      <w:r>
        <w:rPr>
          <w:rStyle w:val="Satznummer"/>
        </w:rPr>
        <w:t>2</w:t>
      </w:r>
      <w:r>
        <w:t>Die empfangende Behörde oder Stelle darf ihr nach Satz 1 übermittelte personenbezogene Daten speichern und verwenden, soweit dies zur Erfüllung ihrer Aufgaben nach diesem Gesetz erforderlich ist.</w:t>
      </w:r>
    </w:p>
    <w:p>
      <w:r>
        <w:t>(4) Die Verarbeitung personenbezogener Daten durch Finanzbehörden nach Maßgabe der Absätze 1 bis 3 ist ein Verwaltungsverfahren in Steuersachen im Sinne dieses Gesetzes.</w:t>
      </w:r>
    </w:p>
    <w:p>
      <w:pPr>
        <w:pStyle w:val="Heading5"/>
      </w:pPr>
      <w:bookmarkStart w:id="144" w:name="b142"/>
      <w:r>
        <w:t>§ 89 Beratung, Auskunft</w:t>
      </w:r>
      <w:r>
        <w:t xml:space="preserve"> </w:t>
      </w:r>
      <w:r>
        <w:rPr>
          <w:rStyle w:val="Suchmarke"/>
        </w:rPr>
        <w:t>#89#</w:t>
      </w:r>
      <w:bookmarkEnd w:id="144"/>
    </w:p>
    <w:p>
      <w:r>
        <w:t xml:space="preserve">(1) </w:t>
      </w:r>
      <w:r>
        <w:rPr>
          <w:rStyle w:val="Satznummer"/>
        </w:rPr>
        <w:t>1</w:t>
      </w:r>
      <w:r>
        <w:t xml:space="preserve">Die Finanzbehörde soll die Abgabe von Erklärungen, die Stellung von Anträgen oder die Berichtigung von Erklärungen oder Anträgen anregen, wenn diese offensichtlich nur versehentlich oder aus Unkenntnis unterblieben oder unrichtig abgegeben oder gestellt worden sind. </w:t>
      </w:r>
      <w:r>
        <w:rPr>
          <w:rStyle w:val="Satznummer"/>
        </w:rPr>
        <w:t>2</w:t>
      </w:r>
      <w:r>
        <w:t>Sie erteilt, soweit erforderlich, Auskunft über die den Beteiligten im Verwaltungsverfahren zustehenden Rechte und die ihnen obliegenden Pflichten.</w:t>
      </w:r>
    </w:p>
    <w:p>
      <w:r>
        <w:t xml:space="preserve">(2) </w:t>
      </w:r>
      <w:r>
        <w:rPr>
          <w:rStyle w:val="Satznummer"/>
        </w:rPr>
        <w:t>1</w:t>
      </w:r>
      <w:r>
        <w:t xml:space="preserve">Die Finanzämter und das Bundeszentralamt für Steuern können auf Antrag verbindliche Auskünfte über die steuerliche Beurteilung von genau bestimmten, noch nicht verwirklichten Sachverhalten erteilen, wenn daran im Hinblick auf die erheblichen steuerlichen Auswirkungen ein besonderes Interesse besteht. </w:t>
      </w:r>
      <w:r>
        <w:rPr>
          <w:rStyle w:val="Satznummer"/>
        </w:rPr>
        <w:t>2</w:t>
      </w:r>
      <w:r>
        <w:t xml:space="preserve">Zuständig für die Erteilung einer verbindlichen Auskunft ist die Finanzbehörde, die bei Verwirklichung des dem Antrag zugrunde liegenden Sachverhalts örtlich zuständig sein würde. </w:t>
      </w:r>
      <w:r>
        <w:rPr>
          <w:rStyle w:val="Satznummer"/>
        </w:rPr>
        <w:t>3</w:t>
      </w:r>
      <w:r>
        <w:t xml:space="preserve">Bei Antragstellern, für die im Zeitpunkt der Antragstellung nach den </w:t>
      </w:r>
      <w:hyperlink w:anchor="b24" w:history="1">
        <w:r>
          <w:rPr>
            <w:color w:val="0A3A8C"/>
            <w:u w:val="single"/>
          </w:rPr>
          <w:t xml:space="preserve">§§ 18</w:t>
        </w:r>
      </w:hyperlink>
      <w:r>
        <w:t xml:space="preserve"> bis </w:t>
      </w:r>
      <w:hyperlink w:anchor="b28" w:history="1">
        <w:r>
          <w:rPr>
            <w:color w:val="0A3A8C"/>
            <w:u w:val="single"/>
          </w:rPr>
          <w:t xml:space="preserve">21</w:t>
        </w:r>
      </w:hyperlink>
      <w:r>
        <w:t xml:space="preserve"> keine Finanzbehörde zuständig ist, ist auf dem Gebiet der Steuern, die von den Landesfinanzbehörden im Auftrag des Bundes verwaltet werden, abweichend von Satz 2 das Bundeszentralamt für Steuern zuständig; in diesem Fall bindet die verbindliche Auskunft auch die Finanzbehörde, die bei der Verwirklichung des der Auskunft zugrunde liegenden Sachverhalts zuständig ist. </w:t>
      </w:r>
      <w:r>
        <w:rPr>
          <w:rStyle w:val="Satznummer"/>
        </w:rPr>
        <w:t>4</w:t>
      </w:r>
      <w:r>
        <w:t xml:space="preserve">Über den Antrag auf Erteilung einer verbindlichen Auskunft soll innerhalb von sechs Monaten ab Eingang des Antrags bei der zuständigen Finanzbehörde entschieden werden; kann die Finanzbehörde nicht innerhalb dieser Frist über den Antrag entscheiden, ist dies dem Antragsteller unter Angabe der Gründe mitzuteilen. </w:t>
      </w:r>
      <w:r>
        <w:rPr>
          <w:rStyle w:val="Satznummer"/>
        </w:rPr>
        <w:t>5</w:t>
      </w:r>
      <w:r>
        <w:t xml:space="preserve">Das Bundesministerium der Finanzen wird ermächtigt, mit Zustimmung des Bundesrates durch Rechtsverordnung nähere Bestimmungen zu Form, Inhalt und Voraussetzungen des Antrages auf Erteilung einer verbindlichen Auskunft und zur Reichweite der Bindungswirkung zu treffen. </w:t>
      </w:r>
      <w:r>
        <w:rPr>
          <w:rStyle w:val="Satznummer"/>
        </w:rPr>
        <w:t>6</w:t>
      </w:r>
      <w:r>
        <w:t xml:space="preserve">In der Rechtsverordnung kann auch bestimmt werden, unter welchen Voraussetzungen eine verbindliche Auskunft gegenüber mehreren Beteiligten einheitlich zu erteilen ist und welche Finanzbehörde in diesem Fall für die Erteilung der verbindlichen Auskunft zuständig ist. </w:t>
      </w:r>
      <w:r>
        <w:rPr>
          <w:rStyle w:val="Satznummer"/>
        </w:rPr>
        <w:t>7</w:t>
      </w:r>
      <w:r>
        <w:t>Die Rechtsverordnung bedarf nicht der Zustimmung des Bundesrates, soweit sie die Versicherungsteuer betrifft.</w:t>
      </w:r>
    </w:p>
    <w:p>
      <w:r>
        <w:t xml:space="preserve">(3) </w:t>
      </w:r>
      <w:r>
        <w:rPr>
          <w:rStyle w:val="Satznummer"/>
        </w:rPr>
        <w:t>1</w:t>
      </w:r>
      <w:r>
        <w:t xml:space="preserve">Für die Bearbeitung eines Antrags auf Erteilung einer verbindlichen Auskunft nach Absatz 2 wird eine Gebühr erhoben. </w:t>
      </w:r>
      <w:r>
        <w:rPr>
          <w:rStyle w:val="Satznummer"/>
        </w:rPr>
        <w:t>2</w:t>
      </w:r>
      <w:r>
        <w:t xml:space="preserve">Wird eine verbindliche Auskunft gegenüber mehreren Antragstellern einheitlich erteilt, ist nur eine Gebühr zu erheben; in diesem Fall sind alle Antragsteller Gesamtschuldner der Gebühr. </w:t>
      </w:r>
      <w:r>
        <w:rPr>
          <w:rStyle w:val="Satznummer"/>
        </w:rPr>
        <w:t>3</w:t>
      </w:r>
      <w:r>
        <w:t xml:space="preserve">Die Gebühr ist vom Antragsteller innerhalb eines Monats nach Bekanntgabe ihrer Festsetzung zu entrichten. </w:t>
      </w:r>
      <w:r>
        <w:rPr>
          <w:rStyle w:val="Satznummer"/>
        </w:rPr>
        <w:t>4</w:t>
      </w:r>
      <w:r>
        <w:t>Die Finanzbehörde kann die Entscheidung über den Antrag bis zur Entrichtung der Gebühr zurückstellen.</w:t>
      </w:r>
    </w:p>
    <w:p>
      <w:r>
        <w:t xml:space="preserve">(4) </w:t>
      </w:r>
      <w:r>
        <w:rPr>
          <w:rStyle w:val="Satznummer"/>
        </w:rPr>
        <w:t>1</w:t>
      </w:r>
      <w:r>
        <w:t xml:space="preserve">Die Gebühr wird nach dem Wert berechnet, den die verbindliche Auskunft für den Antragsteller hat (Gegenstandswert). </w:t>
      </w:r>
      <w:r>
        <w:rPr>
          <w:rStyle w:val="Satznummer"/>
        </w:rPr>
        <w:t>2</w:t>
      </w:r>
      <w:r>
        <w:t xml:space="preserve">Der Antragsteller soll den Gegenstandswert und die für seine Bestimmung erheblichen Umstände in seinem Antrag auf Erteilung einer verbindlichen Auskunft darlegen. </w:t>
      </w:r>
      <w:r>
        <w:rPr>
          <w:rStyle w:val="Satznummer"/>
        </w:rPr>
        <w:t>3</w:t>
      </w:r>
      <w:r>
        <w:t>Die Finanzbehörde soll der Gebührenfestsetzung den vom Antragsteller erklärten Gegenstandswert zugrunde legen, soweit dies nicht zu einem offensichtlich unzutreffenden Ergebnis führt.</w:t>
      </w:r>
    </w:p>
    <w:p>
      <w:r>
        <w:t xml:space="preserve">(5) </w:t>
      </w:r>
      <w:r>
        <w:rPr>
          <w:rStyle w:val="Satznummer"/>
        </w:rPr>
        <w:t>1</w:t>
      </w:r>
      <w:r>
        <w:t xml:space="preserve">Die Gebühr wird in entsprechender Anwendung des § 34 des Gerichtskostengesetzes mit einem Gebührensatz von 1,0 erhoben. </w:t>
      </w:r>
      <w:r>
        <w:rPr>
          <w:rStyle w:val="Satznummer"/>
        </w:rPr>
        <w:t>2</w:t>
      </w:r>
      <w:r>
        <w:t xml:space="preserve">§ 39 Absatz 2 des Gerichtskostengesetzes ist entsprechend anzuwenden. </w:t>
      </w:r>
      <w:r>
        <w:rPr>
          <w:rStyle w:val="Satznummer"/>
        </w:rPr>
        <w:t>3</w:t>
      </w:r>
      <w:r>
        <w:t>Beträgt der Gegenstandswert weniger als 10 000 Euro, wird keine Gebühr erhoben.</w:t>
      </w:r>
    </w:p>
    <w:p>
      <w:r>
        <w:t xml:space="preserve">(6) </w:t>
      </w:r>
      <w:r>
        <w:rPr>
          <w:rStyle w:val="Satznummer"/>
        </w:rPr>
        <w:t>1</w:t>
      </w:r>
      <w:r>
        <w:t xml:space="preserve">Ist ein Gegenstandswert nicht bestimmbar und kann er auch nicht durch Schätzung bestimmt werden, ist eine Zeitgebühr zu berechnen; sie beträgt 50 Euro je angefangene halbe Stunde Bearbeitungszeit. </w:t>
      </w:r>
      <w:r>
        <w:rPr>
          <w:rStyle w:val="Satznummer"/>
        </w:rPr>
        <w:t>2</w:t>
      </w:r>
      <w:r>
        <w:t>Beträgt die Bearbeitungszeit weniger als zwei Stunden, wird keine Gebühr erhoben.</w:t>
      </w:r>
    </w:p>
    <w:p>
      <w:r>
        <w:t xml:space="preserve">(7) </w:t>
      </w:r>
      <w:r>
        <w:rPr>
          <w:rStyle w:val="Satznummer"/>
        </w:rPr>
        <w:t>1</w:t>
      </w:r>
      <w:r>
        <w:t xml:space="preserve">Auf die Gebühr kann ganz oder teilweise verzichtet werden, wenn ihre Erhebung nach Lage des einzelnen Falls unbillig wäre. </w:t>
      </w:r>
      <w:r>
        <w:rPr>
          <w:rStyle w:val="Satznummer"/>
        </w:rPr>
        <w:t>2</w:t>
      </w:r>
      <w:r>
        <w:t>Die Gebühr kann insbesondere ermäßigt werden, wenn ein Antrag auf Erteilung einer verbindlichen Auskunft vor Bekanntgabe der Entscheidung der Finanzbehörde zurückgenommen wird.</w:t>
      </w:r>
    </w:p>
    <w:p>
      <w:pPr>
        <w:pStyle w:val="Heading5"/>
      </w:pPr>
      <w:bookmarkStart w:id="145" w:name="b143"/>
      <w:r>
        <w:t>§ 89a Vorabverständigungsverfahren</w:t>
      </w:r>
      <w:r>
        <w:t xml:space="preserve"> </w:t>
      </w:r>
      <w:r>
        <w:rPr>
          <w:rStyle w:val="Suchmarke"/>
        </w:rPr>
        <w:t>#89a#</w:t>
      </w:r>
      <w:bookmarkEnd w:id="145"/>
    </w:p>
    <w:p>
      <w:r>
        <w:t xml:space="preserve">(1) </w:t>
      </w:r>
      <w:r>
        <w:rPr>
          <w:rStyle w:val="Satznummer"/>
        </w:rPr>
        <w:t>1</w:t>
      </w:r>
      <w:r>
        <w:t xml:space="preserve">Bei Anwendbarkeit eines Abkommens zur Vermeidung der Doppelbesteuerung, welches ein Verständigungsverfahren zur Vermeidung der Doppelbesteuerung zwischen der Bundesrepublik Deutschland und einem anderen Staat oder Hoheitsgebiet (Vertragsstaat) vorsieht, kann die zuständige Behörde nach § 5 Absatz 1 Satz 1 Nummer 5 des Finanzverwaltungsgesetzes im Einvernehmen mit der zuständigen obersten Landesfinanzbehörde oder der von dieser beauftragten Behörde nach den Bestimmungen dieser Vorschrift auf Antrag eines Abkommensberechtigten (Antragsteller) ein zwischenstaatliches Verfahren über die steuerliche Beurteilung von genau bestimmten, im Zeitpunkt der Antragstellung noch nicht verwirklichten Sachverhalten für einen bestimmten Geltungszeitraum, der in der Regel fünf Jahre nicht überschreiten soll, mit der zuständigen Behörde des anderen Vertragsstaates einleiten (Vorabverständigungsverfahren). </w:t>
      </w:r>
      <w:r>
        <w:rPr>
          <w:rStyle w:val="Satznummer"/>
        </w:rPr>
        <w:t>2</w:t>
      </w:r>
      <w:r>
        <w:t>Satz 1 gilt nur, wenn</w:t>
      </w:r>
    </w:p>
    <w:p>
      <w:pPr>
        <w:tabs>
          <w:tab w:pos="567" w:val="left"/>
        </w:tabs>
        <w:ind w:left="567" w:hanging="567"/>
      </w:pPr>
      <w:r>
        <w:t>1.</w:t>
      </w:r>
      <w:r>
        <w:tab/>
      </w:r>
      <w:r>
        <w:t>die Gefahr einer Doppelbesteuerung bezüglich des bestimmten Sachverhalts besteht und</w:t>
      </w:r>
    </w:p>
    <w:p>
      <w:pPr>
        <w:tabs>
          <w:tab w:pos="567" w:val="left"/>
        </w:tabs>
        <w:ind w:left="567" w:hanging="567"/>
      </w:pPr>
      <w:r>
        <w:t>2.</w:t>
      </w:r>
      <w:r>
        <w:tab/>
      </w:r>
      <w:r>
        <w:t>es wahrscheinlich ist,</w:t>
      </w:r>
    </w:p>
    <w:p>
      <w:pPr>
        <w:tabs>
          <w:tab w:pos="1134" w:val="left"/>
        </w:tabs>
        <w:ind w:left="1134" w:hanging="567"/>
      </w:pPr>
      <w:r>
        <w:t>a)</w:t>
      </w:r>
      <w:r>
        <w:tab/>
      </w:r>
      <w:r>
        <w:t>die Doppelbesteuerung durch das Vorabverständigungsverfahren zu vermeiden und</w:t>
      </w:r>
    </w:p>
    <w:p>
      <w:pPr>
        <w:tabs>
          <w:tab w:pos="1134" w:val="left"/>
        </w:tabs>
        <w:ind w:left="1134" w:hanging="567"/>
      </w:pPr>
      <w:r>
        <w:t>b)</w:t>
      </w:r>
      <w:r>
        <w:tab/>
      </w:r>
      <w:r>
        <w:t>eine übereinstimmende Abkommensauslegung mit der zuständigen Behörde des anderen Vertragsstaates zu erreichen.</w:t>
      </w:r>
    </w:p>
    <w:p>
      <w:r>
        <w:rPr>
          <w:rStyle w:val="Satznummer"/>
        </w:rPr>
        <w:t>3</w:t>
      </w:r>
      <w:r>
        <w:t xml:space="preserve">Die Einleitung setzt eine nach Absatz 7 unanfechtbar gewordene Gebührenfestsetzung und die Entrichtung der Gebühr voraus. </w:t>
      </w:r>
      <w:r>
        <w:rPr>
          <w:rStyle w:val="Satznummer"/>
        </w:rPr>
        <w:t>4</w:t>
      </w:r>
      <w:r>
        <w:t xml:space="preserve">Betrifft ein Sachverhalt mehrere Abkommensberechtigte und kann der Sachverhalt nur einheitlich steuerlich beurteilt werden, kann das Vorabverständigungsverfahren nur von allen betroffenen Abkommensberechtigten gemeinsam beantragt werden; Verfahrenshandlungen können in diesen Fällen nur gemeinsam vorgenommen werden. </w:t>
      </w:r>
      <w:r>
        <w:rPr>
          <w:rStyle w:val="Satznummer"/>
        </w:rPr>
        <w:t>5</w:t>
      </w:r>
      <w:r>
        <w:t xml:space="preserve">Hierfür benennen die Antragsteller einen Vertreter. </w:t>
      </w:r>
      <w:r>
        <w:rPr>
          <w:rStyle w:val="Satznummer"/>
        </w:rPr>
        <w:t>6</w:t>
      </w:r>
      <w:r>
        <w:t xml:space="preserve">Die Antragsteller bestellen in den Fällen des Satzes 4 einen gemeinsamen Empfangsbevollmächtigten, der ermächtigt ist, für sie alle Verwaltungsakte und Mitteilungen in Empfang zu nehmen. </w:t>
      </w:r>
      <w:r>
        <w:rPr>
          <w:rStyle w:val="Satznummer"/>
        </w:rPr>
        <w:t>7</w:t>
      </w:r>
      <w:r>
        <w:t xml:space="preserve">Ist ein Steuerabzugsverfahren Gegenstand der steuerlichen Beurteilung, kann auch der Abzugsverpflichtete den Antrag auf Einleitung eines Vorabverständigungsverfahrens stellen. </w:t>
      </w:r>
      <w:r>
        <w:rPr>
          <w:rStyle w:val="Satznummer"/>
        </w:rPr>
        <w:t>8</w:t>
      </w:r>
      <w:r>
        <w:t>Betrifft ein Sachverhalt die steuerliche Beurteilung im Verhältnis zu mehreren Vertragsstaaten, kann der Antragsteller einen zusammengefassten Antrag auf Einleitung mehrerer Vorabverständigungsverfahren stellen.</w:t>
      </w:r>
    </w:p>
    <w:p>
      <w:r>
        <w:t xml:space="preserve">(2) </w:t>
      </w:r>
      <w:r>
        <w:rPr>
          <w:rStyle w:val="Satznummer"/>
        </w:rPr>
        <w:t>1</w:t>
      </w:r>
      <w:r>
        <w:t>Der Antrag nach Absatz 1 hat zu enthalten:</w:t>
      </w:r>
    </w:p>
    <w:p>
      <w:pPr>
        <w:tabs>
          <w:tab w:pos="567" w:val="left"/>
        </w:tabs>
        <w:ind w:left="567" w:hanging="567"/>
      </w:pPr>
      <w:r>
        <w:t>1.</w:t>
      </w:r>
      <w:r>
        <w:tab/>
      </w:r>
      <w:r>
        <w:t>die genaue Bezeichnung des Antragstellers und aller anderen Beteiligten,</w:t>
      </w:r>
    </w:p>
    <w:p>
      <w:pPr>
        <w:tabs>
          <w:tab w:pos="567" w:val="left"/>
        </w:tabs>
        <w:ind w:left="567" w:hanging="567"/>
      </w:pPr>
      <w:r>
        <w:t>2.</w:t>
      </w:r>
      <w:r>
        <w:tab/>
      </w:r>
      <w:r>
        <w:t>die Bezeichnung der örtlich zuständigen Finanzbehörde sowie die maßgebliche Steuernummer,</w:t>
      </w:r>
    </w:p>
    <w:p>
      <w:pPr>
        <w:tabs>
          <w:tab w:pos="567" w:val="left"/>
        </w:tabs>
        <w:ind w:left="567" w:hanging="567"/>
      </w:pPr>
      <w:r>
        <w:t>3.</w:t>
      </w:r>
      <w:r>
        <w:tab/>
      </w:r>
      <w:r>
        <w:t xml:space="preserve">die Identifikationsnummer nach </w:t>
      </w:r>
      <w:hyperlink w:anchor="b234" w:history="1">
        <w:r>
          <w:rPr>
            <w:color w:val="0A3A8C"/>
            <w:u w:val="single"/>
          </w:rPr>
          <w:t xml:space="preserve">§ 139b</w:t>
        </w:r>
      </w:hyperlink>
      <w:r>
        <w:t xml:space="preserve"> oder die Wirtschafts-Identifikationsnummer nach </w:t>
      </w:r>
      <w:hyperlink w:anchor="b235" w:history="1">
        <w:r>
          <w:rPr>
            <w:color w:val="0A3A8C"/>
            <w:u w:val="single"/>
          </w:rPr>
          <w:t xml:space="preserve">§ 139c</w:t>
        </w:r>
      </w:hyperlink>
      <w:r>
        <w:t>; wenn die Wirtschafts-Identifikationsnummer noch nicht vergeben wurde, die Steuernummer,</w:t>
      </w:r>
    </w:p>
    <w:p>
      <w:pPr>
        <w:tabs>
          <w:tab w:pos="567" w:val="left"/>
        </w:tabs>
        <w:ind w:left="567" w:hanging="567"/>
      </w:pPr>
      <w:r>
        <w:t>4.</w:t>
      </w:r>
      <w:r>
        <w:tab/>
      </w:r>
      <w:r>
        <w:t>die betroffenen Vertragsstaaten,</w:t>
      </w:r>
    </w:p>
    <w:p>
      <w:pPr>
        <w:tabs>
          <w:tab w:pos="567" w:val="left"/>
        </w:tabs>
        <w:ind w:left="567" w:hanging="567"/>
      </w:pPr>
      <w:r>
        <w:t>5.</w:t>
      </w:r>
      <w:r>
        <w:tab/>
      </w:r>
      <w:r>
        <w:t>eine umfassende und in sich abgeschlossene Darstellung des Sachverhalts einschließlich des erwünschten Geltungszeitraums der Vorabverständigungsvereinbarung,</w:t>
      </w:r>
    </w:p>
    <w:p>
      <w:pPr>
        <w:tabs>
          <w:tab w:pos="567" w:val="left"/>
        </w:tabs>
        <w:ind w:left="567" w:hanging="567"/>
      </w:pPr>
      <w:r>
        <w:t>6.</w:t>
      </w:r>
      <w:r>
        <w:tab/>
      </w:r>
      <w:r>
        <w:t>die Darlegung, weshalb eine Gefahr der Doppelbesteuerung besteht, sowie</w:t>
      </w:r>
    </w:p>
    <w:p>
      <w:pPr>
        <w:tabs>
          <w:tab w:pos="567" w:val="left"/>
        </w:tabs>
        <w:ind w:left="567" w:hanging="567"/>
      </w:pPr>
      <w:r>
        <w:t>7.</w:t>
      </w:r>
      <w:r>
        <w:tab/>
      </w:r>
      <w:r>
        <w:t xml:space="preserve">die Erklärung, ob über den zur Beurteilung gestellten Sachverhalt eine verbindliche Auskunft nach </w:t>
      </w:r>
      <w:hyperlink w:anchor="b142" w:history="1">
        <w:r>
          <w:rPr>
            <w:color w:val="0A3A8C"/>
            <w:u w:val="single"/>
          </w:rPr>
          <w:t xml:space="preserve">§ 89</w:t>
        </w:r>
      </w:hyperlink>
      <w:r>
        <w:t xml:space="preserve">, eine verbindliche Zusage nach </w:t>
      </w:r>
      <w:hyperlink w:anchor="b330" w:history="1">
        <w:r>
          <w:rPr>
            <w:color w:val="0A3A8C"/>
            <w:u w:val="single"/>
          </w:rPr>
          <w:t xml:space="preserve">§ 204</w:t>
        </w:r>
      </w:hyperlink>
      <w:r>
        <w:t>, eine Anrufungsauskunft nach § 42e des Einkommensteuergesetzes oder in dem anderen betroffenen Vertragsstaat eine vergleichbare Auskunft oder Zusage beantragt oder erteilt wurde.</w:t>
      </w:r>
    </w:p>
    <w:p>
      <w:r>
        <w:rPr>
          <w:rStyle w:val="Satznummer"/>
        </w:rPr>
        <w:t>2</w:t>
      </w:r>
      <w:r>
        <w:t xml:space="preserve">Dem Antrag sind die erforderlichen Unterlagen beizufügen, insbesondere solche, die zur Würdigung des Sachverhalts erforderlich sind. </w:t>
      </w:r>
      <w:r>
        <w:rPr>
          <w:rStyle w:val="Satznummer"/>
        </w:rPr>
        <w:t>3</w:t>
      </w:r>
      <w:r>
        <w:t>Der Antrag ist bei der nach Absatz 1 Satz 1 zuständigen Behörde schriftlich oder elektronisch zu stellen.</w:t>
      </w:r>
    </w:p>
    <w:p>
      <w:r>
        <w:t xml:space="preserve">(3) </w:t>
      </w:r>
      <w:r>
        <w:rPr>
          <w:rStyle w:val="Satznummer"/>
        </w:rPr>
        <w:t>1</w:t>
      </w:r>
      <w:r>
        <w:t>Im Einvernehmen mit der zuständigen obersten Landesfinanzbehörde unterzeichnet die nach Absatz 1 Satz 1 zuständige Behörde die Vorabverständigungsvereinbarung mit dem anderen Vertragsstaat nur, wenn die Vereinbarung mindestens unter der Bedingung steht, dass der Antragsteller</w:t>
      </w:r>
    </w:p>
    <w:p>
      <w:pPr>
        <w:tabs>
          <w:tab w:pos="567" w:val="left"/>
        </w:tabs>
        <w:ind w:left="567" w:hanging="567"/>
      </w:pPr>
      <w:r>
        <w:t>1.</w:t>
      </w:r>
      <w:r>
        <w:tab/>
      </w:r>
      <w:r>
        <w:t>dem Inhalt der Vorabverständigungsvereinbarung zustimmt und</w:t>
      </w:r>
    </w:p>
    <w:p>
      <w:pPr>
        <w:tabs>
          <w:tab w:pos="567" w:val="left"/>
        </w:tabs>
        <w:ind w:left="567" w:hanging="567"/>
      </w:pPr>
      <w:r>
        <w:t>2.</w:t>
      </w:r>
      <w:r>
        <w:tab/>
      </w:r>
      <w:r>
        <w:t>im Geltungsbereich dieses Gesetzes auf die Einlegung von Rechtsbehelfen gegen Steuerbescheide verzichtet, soweit diese die Ergebnisse der Vorabverständigungsvereinbarung für den bestimmten Geltungszeitraum zutreffend umsetzen (Rechtsbehelfsverzicht).</w:t>
      </w:r>
    </w:p>
    <w:p>
      <w:r>
        <w:rPr>
          <w:rStyle w:val="Satznummer"/>
        </w:rPr>
        <w:t>2</w:t>
      </w:r>
      <w:r>
        <w:t xml:space="preserve">Nach der Unterzeichnung teilt die nach Absatz 1 Satz 1 zuständige Behörde dem Antragsteller den Inhalt der Einigung mit und setzt ihm eine Frist zur Erfüllung der Bedingungen nach Satz 1. </w:t>
      </w:r>
      <w:r>
        <w:rPr>
          <w:rStyle w:val="Satznummer"/>
        </w:rPr>
        <w:t>3</w:t>
      </w:r>
      <w:r>
        <w:t xml:space="preserve">Der Rechtsbehelfsverzicht des Antragstellers hat mit gesondertem Schreiben schriftlich oder zur Niederschrift gegenüber der nach Absatz 1 Satz 1 zuständigen Behörde zu erfolgen. </w:t>
      </w:r>
      <w:r>
        <w:rPr>
          <w:rStyle w:val="Satznummer"/>
        </w:rPr>
        <w:t>4</w:t>
      </w:r>
      <w:r>
        <w:t xml:space="preserve">Wird keine Vorabverständigungsvereinbarung unterzeichnet, scheitert das Vorabverständigungsverfahren. </w:t>
      </w:r>
      <w:r>
        <w:rPr>
          <w:rStyle w:val="Satznummer"/>
        </w:rPr>
        <w:t>5</w:t>
      </w:r>
      <w:r>
        <w:t xml:space="preserve">Dies ist insbesondere der Fall, wenn die zuständige Behörde des anderen Vertragsstaates ein Verfahren nicht einleitet oder die zuständigen Behörden zu keiner übereinstimmenden Abkommensauslegung gelangen. </w:t>
      </w:r>
      <w:r>
        <w:rPr>
          <w:rStyle w:val="Satznummer"/>
        </w:rPr>
        <w:t>6</w:t>
      </w:r>
      <w:r>
        <w:t xml:space="preserve">Das Verfahren scheitert auch, wenn der Antragsteller die Bedingungen nach Satz 1 nicht fristgemäß erfüllt. </w:t>
      </w:r>
      <w:r>
        <w:rPr>
          <w:rStyle w:val="Satznummer"/>
        </w:rPr>
        <w:t>7</w:t>
      </w:r>
      <w:r>
        <w:t>Ein Vorabverständigungsverfahren wird im Einvernehmen mit der zuständigen obersten Landesfinanzbehörde oder der von dieser beauftragten Behörde geführt.</w:t>
      </w:r>
    </w:p>
    <w:p>
      <w:r>
        <w:t xml:space="preserve">(4) </w:t>
      </w:r>
      <w:r>
        <w:rPr>
          <w:rStyle w:val="Satznummer"/>
        </w:rPr>
        <w:t>1</w:t>
      </w:r>
      <w:r>
        <w:t>Die örtlich zuständige Finanzbehörde ist an die unterzeichnete Vorabverständigungsvereinbarung nicht gebunden, wenn</w:t>
      </w:r>
    </w:p>
    <w:p>
      <w:pPr>
        <w:tabs>
          <w:tab w:pos="567" w:val="left"/>
        </w:tabs>
        <w:ind w:left="567" w:hanging="567"/>
      </w:pPr>
      <w:r>
        <w:t>1.</w:t>
      </w:r>
      <w:r>
        <w:tab/>
      </w:r>
      <w:r>
        <w:t>die in der Vorabverständigungsvereinbarung enthaltenen Bedingungen nicht oder nicht mehr erfüllt werden,</w:t>
      </w:r>
    </w:p>
    <w:p>
      <w:pPr>
        <w:tabs>
          <w:tab w:pos="567" w:val="left"/>
        </w:tabs>
        <w:ind w:left="567" w:hanging="567"/>
      </w:pPr>
      <w:r>
        <w:t>2.</w:t>
      </w:r>
      <w:r>
        <w:tab/>
      </w:r>
      <w:r>
        <w:t>der andere beteiligte Vertragsstaat die Vorabverständigungsvereinbarung nicht einhält oder</w:t>
      </w:r>
    </w:p>
    <w:p>
      <w:pPr>
        <w:tabs>
          <w:tab w:pos="567" w:val="left"/>
        </w:tabs>
        <w:ind w:left="567" w:hanging="567"/>
      </w:pPr>
      <w:r>
        <w:t>3.</w:t>
      </w:r>
      <w:r>
        <w:tab/>
      </w:r>
      <w:r>
        <w:t>die Rechtsvorschriften, auf denen die Vorabverständigungsvereinbarung beruht, aufgehoben oder geändert werden.</w:t>
      </w:r>
    </w:p>
    <w:p>
      <w:r>
        <w:rPr>
          <w:rStyle w:val="Satznummer"/>
        </w:rPr>
        <w:t>2</w:t>
      </w:r>
      <w:r>
        <w:t xml:space="preserve">Die Prüfung der Voraussetzungen nach Satz 1 obliegt der nach Absatz 1 Satz 1 zuständigen Behörde im Einvernehmen mit der zuständigen obersten Landesfinanzbehörde oder der von dieser beauftragten Behörde. </w:t>
      </w:r>
      <w:r>
        <w:rPr>
          <w:rStyle w:val="Satznummer"/>
        </w:rPr>
        <w:t>3</w:t>
      </w:r>
      <w:r>
        <w:t>Die Bindungswirkung der Vorabverständigungsvereinbarung entfällt in dem Zeitpunkt, in dem eine der Voraussetzungen nach Satz 1 vorliegt.</w:t>
      </w:r>
    </w:p>
    <w:p>
      <w:r>
        <w:t xml:space="preserve">(5) </w:t>
      </w:r>
      <w:r>
        <w:rPr>
          <w:rStyle w:val="Satznummer"/>
        </w:rPr>
        <w:t>1</w:t>
      </w:r>
      <w:r>
        <w:t xml:space="preserve">Steht der Vorabverständigungsvereinbarung eine bereits erteilte verbindliche Auskunft nach </w:t>
      </w:r>
      <w:hyperlink w:anchor="b142" w:history="1">
        <w:r>
          <w:rPr>
            <w:color w:val="0A3A8C"/>
            <w:u w:val="single"/>
          </w:rPr>
          <w:t xml:space="preserve">§ 89</w:t>
        </w:r>
      </w:hyperlink>
      <w:r>
        <w:t xml:space="preserve">, eine bereits erteilte verbindliche Zusage nach </w:t>
      </w:r>
      <w:hyperlink w:anchor="b330" w:history="1">
        <w:r>
          <w:rPr>
            <w:color w:val="0A3A8C"/>
            <w:u w:val="single"/>
          </w:rPr>
          <w:t xml:space="preserve">§ 204</w:t>
        </w:r>
      </w:hyperlink>
      <w:r>
        <w:t xml:space="preserve"> oder eine Anrufungsauskunft nach § 42e des Einkommensteuergesetzes entgegen, kann die nach </w:t>
      </w:r>
      <w:hyperlink w:anchor="b210" w:history="1">
        <w:r>
          <w:rPr>
            <w:color w:val="0A3A8C"/>
            <w:u w:val="single"/>
          </w:rPr>
          <w:t xml:space="preserve">§ 131</w:t>
        </w:r>
      </w:hyperlink>
      <w:r>
        <w:t xml:space="preserve"> Absatz 4 zuständige Finanzbehörde im Einvernehmen mit der nach Absatz 1 Satz 1 zuständigen Behörde die verbindliche Auskunft, die verbindliche Zusage oder die Anrufungsauskunft widerrufen. </w:t>
      </w:r>
      <w:r>
        <w:rPr>
          <w:rStyle w:val="Satznummer"/>
        </w:rPr>
        <w:t>2</w:t>
      </w:r>
      <w:r>
        <w:t>Erfolgt kein Widerruf nach Satz 1 und wurde bereits eine Vorabverständigungsvereinbarung unterzeichnet, kann die örtlich zuständige Finanzbehörde im Einvernehmen mit der nach Absatz 1 Satz 1 zuständigen Behörde gegenüber dem Antragsteller erklären, dass sie an die unterzeichnete Vorabverständigungsvereinbarung nicht gebunden ist.</w:t>
      </w:r>
    </w:p>
    <w:p>
      <w:r>
        <w:t xml:space="preserve">(6) </w:t>
      </w:r>
      <w:r>
        <w:rPr>
          <w:rStyle w:val="Satznummer"/>
        </w:rPr>
        <w:t>1</w:t>
      </w:r>
      <w:r>
        <w:t xml:space="preserve">Eine unterzeichnete Vorabverständigungsvereinbarung kann von der nach Absatz 1 Satz 1 zuständigen Behörde über den bestimmten Geltungszeitraum hinaus auf Antrag verlängert werden. </w:t>
      </w:r>
      <w:r>
        <w:rPr>
          <w:rStyle w:val="Satznummer"/>
        </w:rPr>
        <w:t>2</w:t>
      </w:r>
      <w:r>
        <w:t xml:space="preserve">Die Vorabverständigungsvereinbarung kann auf Antrag auf Veranlagungszeiträume, die dem Geltungszeitraum der Vereinbarung vorangehen, angewendet werden; die Fristen für Verständigungsverfahren des jeweils maßgebenden Abkommens zur Vermeidung der Doppelbesteuerung sind zu beachten. </w:t>
      </w:r>
      <w:r>
        <w:rPr>
          <w:rStyle w:val="Satznummer"/>
        </w:rPr>
        <w:t>3</w:t>
      </w:r>
      <w:r>
        <w:t>Die Sätze 1 und 2 setzen das Einvernehmen mit der zuständigen obersten Landesfinanzbehörde oder mit der von dieser beauftragten Behörde und der zuständigen Behörde des anderen Vertragsstaates voraus.</w:t>
      </w:r>
    </w:p>
    <w:p>
      <w:r>
        <w:t xml:space="preserve">(7) </w:t>
      </w:r>
      <w:r>
        <w:rPr>
          <w:rStyle w:val="Satznummer"/>
        </w:rPr>
        <w:t>1</w:t>
      </w:r>
      <w:r>
        <w:t xml:space="preserve">Die nach Absatz 1 Satz 1 zuständige Behörde erhebt für die Bearbeitung eines Antrags nach Absatz 1 oder Absatz 6 Satz 1 Gebühren, die vor Einleitung des Vorabverständigungsverfahrens oder der Bearbeitung eines Verlängerungsantrags festzusetzen sind. </w:t>
      </w:r>
      <w:r>
        <w:rPr>
          <w:rStyle w:val="Satznummer"/>
        </w:rPr>
        <w:t>2</w:t>
      </w:r>
      <w:r>
        <w:t xml:space="preserve">Die Einleitung des Vorabverständigungsverfahrens oder die Bearbeitung eines Verlängerungsantrags erfolgt durch die Versendung des ersten Schriftsatzes an den anderen Vertragsstaat. </w:t>
      </w:r>
      <w:r>
        <w:rPr>
          <w:rStyle w:val="Satznummer"/>
        </w:rPr>
        <w:t>3</w:t>
      </w:r>
      <w:r>
        <w:t xml:space="preserve">Die Gebühr ist vom Antragsteller innerhalb eines Monats nach Bekanntgabe ihrer Festsetzung zu entrichten. </w:t>
      </w:r>
      <w:r>
        <w:rPr>
          <w:rStyle w:val="Satznummer"/>
        </w:rPr>
        <w:t>4</w:t>
      </w:r>
      <w:r>
        <w:t xml:space="preserve">Das Vorabverständigungsverfahren oder die Bearbeitung eines Verlängerungsantrags wird erst eingeleitet, wenn die Gebührenfestsetzung unanfechtbar geworden und die Gebühr entrichtet ist. </w:t>
      </w:r>
      <w:r>
        <w:rPr>
          <w:rStyle w:val="Satznummer"/>
        </w:rPr>
        <w:t>5</w:t>
      </w:r>
      <w:r>
        <w:t xml:space="preserve">Die Gebühr beträgt 30 000 Euro für jeden Antrag im Sinne des Absatzes 1 sowie 15 000 Euro für jeden Verlängerungsantrag nach Absatz 6 Satz 1. </w:t>
      </w:r>
      <w:r>
        <w:rPr>
          <w:rStyle w:val="Satznummer"/>
        </w:rPr>
        <w:t>6</w:t>
      </w:r>
      <w:r>
        <w:t xml:space="preserve">Sofern es sich bei dem Antrag nicht um einen Verrechnungspreisfall handelt, beträgt die Gebühr für jeden Antrag ein Viertel der Gebühren nach Satz 5; Verrechnungspreisfälle sind Fälle, die die grenzüberschreitende Gewinnabgrenzung zwischen nahestehenden Personen und die Gewinnzuordnung zu Betriebsstätten betreffen. </w:t>
      </w:r>
      <w:r>
        <w:rPr>
          <w:rStyle w:val="Satznummer"/>
        </w:rPr>
        <w:t>7</w:t>
      </w:r>
      <w:r>
        <w:t xml:space="preserve">Bezieht sich der Antrag auf einen Sachverhalt, für dessen steuerliche Beurteilung im Zeitpunkt der Antragstellung bereits eine koordinierte bilaterale oder multilaterale steuerliche Außenprüfung durchgeführt wurde, die zu einem übereinstimmend festgestellten Sachverhalt und zu einer übereinstimmenden steuerlichen Würdigung geführt hat, wird die Gebühr um 75 Prozent reduziert. </w:t>
      </w:r>
      <w:r>
        <w:rPr>
          <w:rStyle w:val="Satznummer"/>
        </w:rPr>
        <w:t>8</w:t>
      </w:r>
      <w:r>
        <w:t xml:space="preserve">Sofern die Summe der von dem Vorabverständigungsverfahren erfassten Geschäftsvorfälle eines Verrechnungspreisfalls die Beträge des § 6 Absatz 2 Satz 1 der Gewinnabgrenzungsaufzeichnungs-Verordnung vom 12. Juli 2017 (BGBl. I S. 2367) voraussichtlich nicht überschreitet, beträgt die Gebühr 10 000 Euro für jeden Antrag im Sinne des Absatzes 1 und 7 500 Euro für jeden Antrag nach Absatz 6 Satz 1. </w:t>
      </w:r>
      <w:r>
        <w:rPr>
          <w:rStyle w:val="Satznummer"/>
        </w:rPr>
        <w:t>9</w:t>
      </w:r>
      <w:r>
        <w:t xml:space="preserve">In den Fällen des Absatzes 1 Satz 4 und 7 liegt ein Antrag vor, für den nur eine Gebühr festzusetzen und zu entrichten ist. </w:t>
      </w:r>
      <w:r>
        <w:rPr>
          <w:rStyle w:val="Satznummer"/>
        </w:rPr>
        <w:t>10</w:t>
      </w:r>
      <w:r>
        <w:t>In den Fällen des Absatzes 1 Satz 8 ist für jedes Vorabverständigungsverfahren eine gesonderte Gebühr festzusetzen und zu entrichten.</w:t>
      </w:r>
    </w:p>
    <w:p>
      <w:r>
        <w:t xml:space="preserve">(8) </w:t>
      </w:r>
      <w:r>
        <w:rPr>
          <w:rStyle w:val="Satznummer"/>
        </w:rPr>
        <w:t>1</w:t>
      </w:r>
      <w:r>
        <w:t xml:space="preserve">Nimmt der Antragsteller seinen Antrag nach Absatz 1 Satz 1 vor Bekanntgabe der Gebührenfestsetzung zurück, kann von einer Gebührenfestsetzung abgesehen werden. </w:t>
      </w:r>
      <w:r>
        <w:rPr>
          <w:rStyle w:val="Satznummer"/>
        </w:rPr>
        <w:t>2</w:t>
      </w:r>
      <w:r>
        <w:t>Wird der Antrag zurückgenommen oder abgelehnt, wird eine zu diesem Zeitpunkt unanfechtbar festgesetzte Gebühr nicht erstattet; dies gilt auch im Fall des Scheiterns des Vorabverständigungsverfahrens.</w:t>
      </w:r>
    </w:p>
    <w:p>
      <w:pPr>
        <w:pStyle w:val="Heading5"/>
      </w:pPr>
      <w:bookmarkStart w:id="146" w:name="b144"/>
      <w:r>
        <w:t>§ 89b Internationale Risikobewertungsverfahren</w:t>
      </w:r>
      <w:r>
        <w:t xml:space="preserve"> </w:t>
      </w:r>
      <w:r>
        <w:rPr>
          <w:rStyle w:val="Suchmarke"/>
        </w:rPr>
        <w:t>#89b#</w:t>
      </w:r>
      <w:bookmarkEnd w:id="146"/>
    </w:p>
    <w:p>
      <w:r>
        <w:t>(1) Soweit in einem internationalen Risikobewertungsverfahren nach Absatz 2 das Risiko eines Steuerausfalls unter Beibehaltung der erklärten oder im Rahmen des internationalen Risikobewertungsverfahrens angepassten Angaben in Bezug auf die bewerteten Sachverhalte als gering eingeschätzt wird, kann die Ermittlung der steuerlichen Verhältnisse des Steuerpflichtigen im Rahmen einer Außenprüfung unterbleiben.</w:t>
      </w:r>
    </w:p>
    <w:p>
      <w:r>
        <w:t xml:space="preserve">(2) </w:t>
      </w:r>
      <w:r>
        <w:rPr>
          <w:rStyle w:val="Satznummer"/>
        </w:rPr>
        <w:t>1</w:t>
      </w:r>
      <w:r>
        <w:t xml:space="preserve">Ein internationales Risikobewertungsverfahren ist eine gemeinsame Einschätzung von steuerlichen Risiken von bereits verwirklichten Sachverhalten mit einem oder mehreren Staaten oder Hoheitsgebieten in einem auf Kooperation und Transparenz angelegten Verfahren. </w:t>
      </w:r>
      <w:r>
        <w:rPr>
          <w:rStyle w:val="Satznummer"/>
        </w:rPr>
        <w:t>2</w:t>
      </w:r>
      <w:r>
        <w:t>Die steuerlichen Risiken sind dabei nur unter Würdigung des Umfangs und der Plausibilität der vom Steuerpflichtigen vorgelegten Unterlagen und Informationen, der zu erwartenden steuerlichen Auswirkungen und des zu erwartenden zeitlichen und personellen Aufwands einer vertieften Sachverhaltsprüfung zu bewerten.</w:t>
      </w:r>
    </w:p>
    <w:p>
      <w:r>
        <w:t xml:space="preserve">(3) </w:t>
      </w:r>
      <w:r>
        <w:rPr>
          <w:rStyle w:val="Satznummer"/>
        </w:rPr>
        <w:t>1</w:t>
      </w:r>
      <w:r>
        <w:t xml:space="preserve">Ein internationales Risikobewertungsverfahren kann auf schriftlichen oder elektronischen Antrag des Steuerpflichtigen bei dem für seine Besteuerung nach dem Einkommen zuständigen Finanzamt oder auf Anregung eines anderen Staates oder Hoheitsgebietes geführt werden. </w:t>
      </w:r>
      <w:r>
        <w:rPr>
          <w:rStyle w:val="Satznummer"/>
        </w:rPr>
        <w:t>2</w:t>
      </w:r>
      <w:r>
        <w:t xml:space="preserve">Antragsbefugt ist ein Steuerpflichtiger, sofern es sich bei ihm um eine inländische Konzernobergesellschaft im Sinne des </w:t>
      </w:r>
      <w:hyperlink w:anchor="b220" w:history="1">
        <w:r>
          <w:rPr>
            <w:color w:val="0A3A8C"/>
            <w:u w:val="single"/>
          </w:rPr>
          <w:t xml:space="preserve">§ 138a</w:t>
        </w:r>
      </w:hyperlink>
      <w:r>
        <w:t xml:space="preserve"> Absatz 1 Satz 1, die zur Erstellung eines länderbezogenen Berichts verpflichtet ist, oder um die beherrschende inländische Gesellschaft einer multinationalen Unternehmensgruppe, für die nach </w:t>
      </w:r>
      <w:hyperlink w:anchor="b145" w:history="1">
        <w:r>
          <w:rPr>
            <w:color w:val="0A3A8C"/>
            <w:u w:val="single"/>
          </w:rPr>
          <w:t xml:space="preserve">§ 90</w:t>
        </w:r>
      </w:hyperlink>
      <w:r>
        <w:t xml:space="preserve"> Absatz 3 Satz 3 eine Stammdokumentation (§ 5 der Gewinnabgrenzungsaufzeichnungs-Verordnung) zu erstellen ist, handelt. </w:t>
      </w:r>
      <w:r>
        <w:rPr>
          <w:rStyle w:val="Satznummer"/>
        </w:rPr>
        <w:t>3</w:t>
      </w:r>
      <w:r>
        <w:t>Im Antrag hat der antragsbefugte Steuerpflichtige</w:t>
      </w:r>
    </w:p>
    <w:p>
      <w:pPr>
        <w:tabs>
          <w:tab w:pos="567" w:val="left"/>
        </w:tabs>
        <w:ind w:left="567" w:hanging="567"/>
      </w:pPr>
      <w:r>
        <w:t>1.</w:t>
      </w:r>
      <w:r>
        <w:tab/>
      </w:r>
      <w:r>
        <w:t>alle für die Prüfung, ob das jeweilige internationale Risikobewertungsverfahren in Betracht kommt, erforderlichen Unterlagen beizufügen,</w:t>
      </w:r>
    </w:p>
    <w:p>
      <w:pPr>
        <w:tabs>
          <w:tab w:pos="567" w:val="left"/>
        </w:tabs>
        <w:ind w:left="567" w:hanging="567"/>
      </w:pPr>
      <w:r>
        <w:t>2.</w:t>
      </w:r>
      <w:r>
        <w:tab/>
      </w:r>
      <w:r>
        <w:t>zuzusichern, alle Mitwirkungspflichten einschließlich der Pflichten des jeweiligen internationalen Risikobewertungsverfahrens zu erfüllen,</w:t>
      </w:r>
    </w:p>
    <w:p>
      <w:pPr>
        <w:tabs>
          <w:tab w:pos="567" w:val="left"/>
        </w:tabs>
        <w:ind w:left="567" w:hanging="567"/>
      </w:pPr>
      <w:r>
        <w:t>3.</w:t>
      </w:r>
      <w:r>
        <w:tab/>
      </w:r>
      <w:r>
        <w:t xml:space="preserve">die Einwilligung in die Offenbarung und den Austausch personen- und unternehmensbezogener Daten im Rahmen des internationalen Risikobewertungsverfahrens entsprechend den jeweiligen internationalen und nationalen Verfahrensgrundsätzen sowie die Einwilligung nach </w:t>
      </w:r>
      <w:hyperlink w:anchor="b133" w:history="1">
        <w:r>
          <w:rPr>
            <w:color w:val="0A3A8C"/>
            <w:u w:val="single"/>
          </w:rPr>
          <w:t xml:space="preserve">§ 87a</w:t>
        </w:r>
      </w:hyperlink>
      <w:r>
        <w:t xml:space="preserve"> Absatz 1 Satz 4 zweiter Halbsatz bezogen auf unternehmensbezogene Daten für alle betroffenen Unternehmen der Unternehmensgruppe zu erteilen und</w:t>
      </w:r>
    </w:p>
    <w:p>
      <w:pPr>
        <w:tabs>
          <w:tab w:pos="567" w:val="left"/>
        </w:tabs>
        <w:ind w:left="567" w:hanging="567"/>
      </w:pPr>
      <w:r>
        <w:t>4.</w:t>
      </w:r>
      <w:r>
        <w:tab/>
      </w:r>
      <w:r>
        <w:t>zuzusichern, die für das Verfahren notwendige technische Infrastruktur für alle beteiligten in- und ausländischen Finanzbehörden unter Einhaltung der gesetzlichen Regelungen zum Datenschutz und zur Informationssicherheit bei der Verarbeitung von personenbezogenen Daten zur Verfügung zu stellen, sofern nicht eine geeignete technische Infrastruktur von diesen Finanzbehörden bereitgestellt wird.</w:t>
      </w:r>
    </w:p>
    <w:p>
      <w:r>
        <w:rPr>
          <w:rStyle w:val="Satznummer"/>
        </w:rPr>
        <w:t>4</w:t>
      </w:r>
      <w:r>
        <w:t>Bei durch einen anderen Staat oder ein anderes Hoheitsgebiet angeregten internationalen Risikobewertungsverfahren gilt Satz 3 Nummer 3 entsprechend für das ausländische leitende Unternehmen.</w:t>
      </w:r>
    </w:p>
    <w:p>
      <w:r>
        <w:t xml:space="preserve">(4) </w:t>
      </w:r>
      <w:r>
        <w:rPr>
          <w:rStyle w:val="Satznummer"/>
        </w:rPr>
        <w:t>1</w:t>
      </w:r>
      <w:r>
        <w:t xml:space="preserve">Die Durchführung eines internationalen Risikobewertungsverfahrens ist ausgeschlossen, wenn auf Grund der bestehenden Erfahrungen, insbesondere bei Außenprüfungen, bei dem betroffenen Steuerpflichtigen und den seiner Unternehmensgruppe angehörigen Unternehmen oder auf Grund der im Zusammenhang mit dem Antrag gemachten Angaben und eingereichten Unterlagen nicht zu erwarten ist, dass das Verfahren zeitnah, kooperativ, wirtschaftlich und mit einer Einschätzung der Risiken abgeschlossen werden kann. </w:t>
      </w:r>
      <w:r>
        <w:rPr>
          <w:rStyle w:val="Satznummer"/>
        </w:rPr>
        <w:t>2</w:t>
      </w:r>
      <w:r>
        <w:t>Das ist insbesondere dann der Fall, wenn</w:t>
      </w:r>
    </w:p>
    <w:p>
      <w:pPr>
        <w:tabs>
          <w:tab w:pos="567" w:val="left"/>
        </w:tabs>
        <w:ind w:left="567" w:hanging="567"/>
      </w:pPr>
      <w:r>
        <w:t>1.</w:t>
      </w:r>
      <w:r>
        <w:tab/>
      </w:r>
      <w:r>
        <w:t>der Steuerpflichtige oder ein der Unternehmensgruppe angehöriges Unternehmen von den Finanzbehörden als nicht kooperativ eingeschätzt wird,</w:t>
      </w:r>
    </w:p>
    <w:p>
      <w:pPr>
        <w:tabs>
          <w:tab w:pos="567" w:val="left"/>
        </w:tabs>
        <w:ind w:left="567" w:hanging="567"/>
      </w:pPr>
      <w:r>
        <w:t>2.</w:t>
      </w:r>
      <w:r>
        <w:tab/>
      </w:r>
      <w:r>
        <w:t>das leitende Unternehmen im Sinne des Absatzes 7 Satz 3 sich nicht bereit erklärt, die zusätzlichen Pflichten des jeweiligen Verfahrens zu erfüllen und die für das Verfahren notwendige technische Infrastruktur für alle beteiligten Finanzbehörden zur Verfügung zu stellen,</w:t>
      </w:r>
    </w:p>
    <w:p>
      <w:pPr>
        <w:tabs>
          <w:tab w:pos="567" w:val="left"/>
        </w:tabs>
        <w:ind w:left="567" w:hanging="567"/>
      </w:pPr>
      <w:r>
        <w:t>3.</w:t>
      </w:r>
      <w:r>
        <w:tab/>
      </w:r>
      <w:r>
        <w:t>der Grundsatz der Wirtschaftlichkeit der Verwaltung nicht gewahrt wird,</w:t>
      </w:r>
    </w:p>
    <w:p>
      <w:pPr>
        <w:tabs>
          <w:tab w:pos="567" w:val="left"/>
        </w:tabs>
        <w:ind w:left="567" w:hanging="567"/>
      </w:pPr>
      <w:r>
        <w:t>4.</w:t>
      </w:r>
      <w:r>
        <w:tab/>
      </w:r>
      <w:r>
        <w:t>es unwahrscheinlich ist, eine übereinstimmende Risikoeinschätzung mit der zuständigen Behörde des anderen Staates oder Hoheitsgebietes zu erzielen, oder</w:t>
      </w:r>
    </w:p>
    <w:p>
      <w:pPr>
        <w:tabs>
          <w:tab w:pos="567" w:val="left"/>
        </w:tabs>
        <w:ind w:left="567" w:hanging="567"/>
      </w:pPr>
      <w:r>
        <w:t>5.</w:t>
      </w:r>
      <w:r>
        <w:tab/>
      </w:r>
      <w:r>
        <w:t>sich nicht genügend Staaten oder Hoheitsgebiete an einem internationalen Risikobewertungsverfahren beteiligen oder die wirtschaftliche Tätigkeit der inländischen Unternehmen in den Staaten, die sich beteiligen wollen, unbedeutend ist.</w:t>
      </w:r>
    </w:p>
    <w:p>
      <w:r>
        <w:rPr>
          <w:rStyle w:val="Satznummer"/>
        </w:rPr>
        <w:t>3</w:t>
      </w:r>
      <w:r>
        <w:t xml:space="preserve">An einem kooperativen Verhalten im Sinne des Satzes 1 Nummer 1 fehlt es insbesondere, wenn steuerliche Mitwirkungspflichten schuldhaft nicht, nicht hinreichend oder nicht fristgerecht erfüllt wurden. </w:t>
      </w:r>
      <w:r>
        <w:rPr>
          <w:rStyle w:val="Satznummer"/>
        </w:rPr>
        <w:t>4</w:t>
      </w:r>
      <w:r>
        <w:t>Das ist insbesondere dann der Fall, wenn innerhalb der letzten fünf Jahre</w:t>
      </w:r>
    </w:p>
    <w:p>
      <w:pPr>
        <w:tabs>
          <w:tab w:pos="567" w:val="left"/>
        </w:tabs>
        <w:ind w:left="567" w:hanging="567"/>
      </w:pPr>
      <w:r>
        <w:t>1.</w:t>
      </w:r>
      <w:r>
        <w:tab/>
      </w:r>
      <w:r>
        <w:t xml:space="preserve">Steuererklärungen, länderbezogene Berichte im Sinne des </w:t>
      </w:r>
      <w:hyperlink w:anchor="b220" w:history="1">
        <w:r>
          <w:rPr>
            <w:color w:val="0A3A8C"/>
            <w:u w:val="single"/>
          </w:rPr>
          <w:t xml:space="preserve">§ 138a</w:t>
        </w:r>
      </w:hyperlink>
      <w:r>
        <w:t xml:space="preserve"> oder Stammdokumentationen im Sinne des </w:t>
      </w:r>
      <w:hyperlink w:anchor="b145" w:history="1">
        <w:r>
          <w:rPr>
            <w:color w:val="0A3A8C"/>
            <w:u w:val="single"/>
          </w:rPr>
          <w:t xml:space="preserve">§ 90</w:t>
        </w:r>
      </w:hyperlink>
      <w:r>
        <w:t xml:space="preserve"> Absatz 3 Satz 3 nicht oder nicht rechtzeitig abgegeben wurden,</w:t>
      </w:r>
    </w:p>
    <w:p>
      <w:pPr>
        <w:tabs>
          <w:tab w:pos="567" w:val="left"/>
        </w:tabs>
        <w:ind w:left="567" w:hanging="567"/>
      </w:pPr>
      <w:r>
        <w:t>2.</w:t>
      </w:r>
      <w:r>
        <w:tab/>
      </w:r>
      <w:r>
        <w:t xml:space="preserve">ein Mitwirkungsverzögerungsgeld nach </w:t>
      </w:r>
      <w:hyperlink w:anchor="b324" w:history="1">
        <w:r>
          <w:rPr>
            <w:color w:val="0A3A8C"/>
            <w:u w:val="single"/>
          </w:rPr>
          <w:t xml:space="preserve">§ 200a</w:t>
        </w:r>
      </w:hyperlink>
      <w:r>
        <w:t xml:space="preserve"> Absatz 2 oder ein Zuschlag nach </w:t>
      </w:r>
      <w:hyperlink w:anchor="b271" w:history="1">
        <w:r>
          <w:rPr>
            <w:color w:val="0A3A8C"/>
            <w:u w:val="single"/>
          </w:rPr>
          <w:t xml:space="preserve">§ 162</w:t>
        </w:r>
      </w:hyperlink>
      <w:r>
        <w:t xml:space="preserve"> Absatz 4 oder 4a festgesetzt worden ist oder</w:t>
      </w:r>
    </w:p>
    <w:p>
      <w:pPr>
        <w:tabs>
          <w:tab w:pos="567" w:val="left"/>
        </w:tabs>
        <w:ind w:left="567" w:hanging="567"/>
      </w:pPr>
      <w:r>
        <w:t>3.</w:t>
      </w:r>
      <w:r>
        <w:tab/>
      </w:r>
      <w:r>
        <w:t xml:space="preserve">der inländische Steuerpflichtige oder eine ihn nach </w:t>
      </w:r>
      <w:hyperlink w:anchor="b64" w:history="1">
        <w:r>
          <w:rPr>
            <w:color w:val="0A3A8C"/>
            <w:u w:val="single"/>
          </w:rPr>
          <w:t xml:space="preserve">§ 34</w:t>
        </w:r>
      </w:hyperlink>
      <w:r>
        <w:t xml:space="preserve"> vertretende oder nach </w:t>
      </w:r>
      <w:hyperlink w:anchor="b120" w:history="1">
        <w:r>
          <w:rPr>
            <w:color w:val="0A3A8C"/>
            <w:u w:val="single"/>
          </w:rPr>
          <w:t xml:space="preserve">§ 79</w:t>
        </w:r>
      </w:hyperlink>
      <w:r>
        <w:t xml:space="preserve"> für ihn handelnde Person rechtskräftig wegen einer das Unternehmen betreffenden Steuerstraftat rechtskräftig verurteilt worden ist.</w:t>
      </w:r>
    </w:p>
    <w:p>
      <w:r>
        <w:t xml:space="preserve">(5) </w:t>
      </w:r>
      <w:r>
        <w:rPr>
          <w:rStyle w:val="Satznummer"/>
        </w:rPr>
        <w:t>1</w:t>
      </w:r>
      <w:r>
        <w:t xml:space="preserve">Über das Ergebnis der Prüfung nach Absatz 4, ob ein internationales Risikobewertungsverfahren erfolgen kann, und die Einleitung des Verfahrens ist der Antragsteller zu informieren, insbesondere über die teilnehmenden Staaten und Hoheitsgebiete und die zu bewertenden Sachverhalte. </w:t>
      </w:r>
      <w:r>
        <w:rPr>
          <w:rStyle w:val="Satznummer"/>
        </w:rPr>
        <w:t>2</w:t>
      </w:r>
      <w:r>
        <w:t xml:space="preserve">Das internationale Risikobewertungsverfahren wird durch Übersendung des Risikobewertungsberichts im Sinne des Absatzes 6 beendet. </w:t>
      </w:r>
      <w:r>
        <w:rPr>
          <w:rStyle w:val="Satznummer"/>
        </w:rPr>
        <w:t>3</w:t>
      </w:r>
      <w:r>
        <w:t xml:space="preserve">Es wird auch beendet, wenn der inländische Steuerpflichtige vom Verfahren zurücktritt oder die Finanzbehörde das Verfahren vor dessen Abschluss beendet. </w:t>
      </w:r>
      <w:r>
        <w:rPr>
          <w:rStyle w:val="Satznummer"/>
        </w:rPr>
        <w:t>4</w:t>
      </w:r>
      <w:r>
        <w:t>Eine Beendigung ist möglich, wenn nicht mehr zu erwarten ist, dass eine Einigung über das weitere Vorgehen im Verfahren erzielt wird oder die Mitwirkung der beteiligten Unternehmen eine angemessene Fortführung ermöglicht, insbesondere weil</w:t>
      </w:r>
    </w:p>
    <w:p>
      <w:pPr>
        <w:tabs>
          <w:tab w:pos="567" w:val="left"/>
        </w:tabs>
        <w:ind w:left="567" w:hanging="567"/>
      </w:pPr>
      <w:r>
        <w:t>1.</w:t>
      </w:r>
      <w:r>
        <w:tab/>
      </w:r>
      <w:r>
        <w:t>über den Umfang der vorzulegenden Unterlagen oder zu erteilenden Auskünfte keine Einigung erzielt wird oder</w:t>
      </w:r>
    </w:p>
    <w:p>
      <w:pPr>
        <w:tabs>
          <w:tab w:pos="567" w:val="left"/>
        </w:tabs>
        <w:ind w:left="567" w:hanging="567"/>
      </w:pPr>
      <w:r>
        <w:t>2.</w:t>
      </w:r>
      <w:r>
        <w:tab/>
      </w:r>
      <w:r>
        <w:t>die erforderlichen technischen und rechtlichen Voraussetzungen für ein elektronisches Bereitstellen von und Zugreifen auf Unterlagen im Verfahren fehlen.</w:t>
      </w:r>
    </w:p>
    <w:p>
      <w:r>
        <w:rPr>
          <w:rStyle w:val="Satznummer"/>
        </w:rPr>
        <w:t>5</w:t>
      </w:r>
      <w:r>
        <w:t>Über die Beendigung werden der Antragsteller und die ausländische zuständige Behörde informiert.</w:t>
      </w:r>
    </w:p>
    <w:p>
      <w:r>
        <w:t xml:space="preserve">(6) </w:t>
      </w:r>
      <w:r>
        <w:rPr>
          <w:rStyle w:val="Satznummer"/>
        </w:rPr>
        <w:t>1</w:t>
      </w:r>
      <w:r>
        <w:t xml:space="preserve">Die Bewertung nach Absatz 2, einschließlich ihres Ergebnisses, wird mit den an dem internationalen Risikobewertungsverfahren beteiligten Staaten oder Hoheitsgebieten abgestimmt. </w:t>
      </w:r>
      <w:r>
        <w:rPr>
          <w:rStyle w:val="Satznummer"/>
        </w:rPr>
        <w:t>2</w:t>
      </w:r>
      <w:r>
        <w:t>Es soll ein Risikobewertungsbericht erstellt werden, der</w:t>
      </w:r>
    </w:p>
    <w:p>
      <w:pPr>
        <w:tabs>
          <w:tab w:pos="567" w:val="left"/>
        </w:tabs>
        <w:ind w:left="567" w:hanging="567"/>
      </w:pPr>
      <w:r>
        <w:t>1.</w:t>
      </w:r>
      <w:r>
        <w:tab/>
      </w:r>
      <w:r>
        <w:t>alle bewerteten Sachverhalte beschreibt,</w:t>
      </w:r>
    </w:p>
    <w:p>
      <w:pPr>
        <w:tabs>
          <w:tab w:pos="567" w:val="left"/>
        </w:tabs>
        <w:ind w:left="567" w:hanging="567"/>
      </w:pPr>
      <w:r>
        <w:t>2.</w:t>
      </w:r>
      <w:r>
        <w:tab/>
      </w:r>
      <w:r>
        <w:t>die beteiligten Unternehmen sowie die an dem internationalen Risikobewertungsverfahren beteiligten Staaten und Hoheitsgebiete bezeichnet,</w:t>
      </w:r>
    </w:p>
    <w:p>
      <w:pPr>
        <w:tabs>
          <w:tab w:pos="567" w:val="left"/>
        </w:tabs>
        <w:ind w:left="567" w:hanging="567"/>
      </w:pPr>
      <w:r>
        <w:t>3.</w:t>
      </w:r>
      <w:r>
        <w:tab/>
      </w:r>
      <w:r>
        <w:t>die steuerlichen Risiken der bewerteten Sachverhalte einschätzt und</w:t>
      </w:r>
    </w:p>
    <w:p>
      <w:pPr>
        <w:tabs>
          <w:tab w:pos="567" w:val="left"/>
        </w:tabs>
        <w:ind w:left="567" w:hanging="567"/>
      </w:pPr>
      <w:r>
        <w:t>4.</w:t>
      </w:r>
      <w:r>
        <w:tab/>
      </w:r>
      <w:r>
        <w:t>darlegt, für welche Zeiträume die Bewertung vorgenommen wurde.</w:t>
      </w:r>
    </w:p>
    <w:p>
      <w:r>
        <w:rPr>
          <w:rStyle w:val="Satznummer"/>
        </w:rPr>
        <w:t>3</w:t>
      </w:r>
      <w:r>
        <w:t xml:space="preserve">Der Risikobewertungsbericht ist dem Antragsteller oder dem leitenden Unternehmen im Sinne des Absatzes 7 Satz 3 zu übersenden; auf die Anwendung des </w:t>
      </w:r>
      <w:hyperlink w:anchor="b317" w:history="1">
        <w:r>
          <w:rPr>
            <w:color w:val="0A3A8C"/>
            <w:u w:val="single"/>
          </w:rPr>
          <w:t xml:space="preserve">§ 194</w:t>
        </w:r>
      </w:hyperlink>
      <w:r>
        <w:t xml:space="preserve"> Absatz 1a ist hinzuweisen.</w:t>
      </w:r>
    </w:p>
    <w:p>
      <w:r>
        <w:t xml:space="preserve">(7) </w:t>
      </w:r>
      <w:r>
        <w:rPr>
          <w:rStyle w:val="Satznummer"/>
        </w:rPr>
        <w:t>1</w:t>
      </w:r>
      <w:r>
        <w:t xml:space="preserve">Über den Eingang eines Antrags auf ein internationales Risikobewertungsverfahren ist das Bundeszentralamt für Steuern unverzüglich in Kenntnis zu setzen. </w:t>
      </w:r>
      <w:r>
        <w:rPr>
          <w:rStyle w:val="Satznummer"/>
        </w:rPr>
        <w:t>2</w:t>
      </w:r>
      <w:r>
        <w:t xml:space="preserve">Geht beim Bundeszentralamt für Steuern eine Anregung eines anderen Staates oder Hoheitsgebietes auf ein internationales Risikobewertungsverfahren ein, informiert es das Finanzamt, das für die Besteuerung des Unternehmens nach dem Einkommen zuständig ist, welches am Verfahren beteiligt sein soll. </w:t>
      </w:r>
      <w:r>
        <w:rPr>
          <w:rStyle w:val="Satznummer"/>
        </w:rPr>
        <w:t>3</w:t>
      </w:r>
      <w:r>
        <w:t xml:space="preserve">Handelt es sich um mehrere Unternehmen, ist das Unternehmen maßgeblich, das den gesamten inländischen Teil der Unternehmensgruppe leitet. </w:t>
      </w:r>
      <w:r>
        <w:rPr>
          <w:rStyle w:val="Satznummer"/>
        </w:rPr>
        <w:t>4</w:t>
      </w:r>
      <w:r>
        <w:t xml:space="preserve">Fehlt es an einem solchen, sind vom Bundeszentralamt für Steuern alle betroffenen Finanzämter zu informieren und ist darauf hinzuwirken, dass eine Zuständigkeitsvereinbarung für die Durchführung des internationalen Risikobewertungsverfahrens getroffen wird. </w:t>
      </w:r>
      <w:r>
        <w:rPr>
          <w:rStyle w:val="Satznummer"/>
        </w:rPr>
        <w:t>5</w:t>
      </w:r>
      <w:r>
        <w:t xml:space="preserve">Über die Durchführung eines internationalen Risikobewertungsverfahrens entscheidet das Bundeszentralamt für Steuern im Einvernehmen mit der zuständigen obersten Landesfinanzbehörde. </w:t>
      </w:r>
      <w:r>
        <w:rPr>
          <w:rStyle w:val="Satznummer"/>
        </w:rPr>
        <w:t>6</w:t>
      </w:r>
      <w:r>
        <w:t xml:space="preserve">Das Bundeszentralamt für Steuern ist insbesondere dafür zuständig, das internationale Risikobewertungsverfahren zu koordinieren und die zwischenstaatliche Amtshilfe durchzuführen. </w:t>
      </w:r>
      <w:r>
        <w:rPr>
          <w:rStyle w:val="Satznummer"/>
        </w:rPr>
        <w:t>7</w:t>
      </w:r>
      <w:r>
        <w:t>Die Risikobewertung und die Durchführung erfolgen durch die örtlich zuständige Finanzbehörde unter Mitwirkung und in Abstimmung mit dem Bundeszentralamt für Steuern.</w:t>
      </w:r>
    </w:p>
    <w:p>
      <w:pPr>
        <w:pStyle w:val="Heading5"/>
      </w:pPr>
      <w:bookmarkStart w:id="147" w:name="b145"/>
      <w:r>
        <w:t>§ 90 Mitwirkungspflichten der Beteiligten</w:t>
      </w:r>
      <w:r>
        <w:t xml:space="preserve"> </w:t>
      </w:r>
      <w:r>
        <w:rPr>
          <w:rStyle w:val="Suchmarke"/>
        </w:rPr>
        <w:t>#90#</w:t>
      </w:r>
      <w:bookmarkEnd w:id="147"/>
    </w:p>
    <w:p>
      <w:r>
        <w:t xml:space="preserve">(1) </w:t>
      </w:r>
      <w:r>
        <w:rPr>
          <w:rStyle w:val="Satznummer"/>
        </w:rPr>
        <w:t>1</w:t>
      </w:r>
      <w:r>
        <w:t xml:space="preserve">Die Beteiligten sind zur Mitwirkung bei der Ermittlung des Sachverhalts verpflichtet. </w:t>
      </w:r>
      <w:r>
        <w:rPr>
          <w:rStyle w:val="Satznummer"/>
        </w:rPr>
        <w:t>2</w:t>
      </w:r>
      <w:r>
        <w:t xml:space="preserve">Sie kommen der Mitwirkungspflicht insbesondere dadurch nach, dass sie die für die Besteuerung erheblichen Tatsachen vollständig und wahrheitsgemäß offenlegen und die ihnen bekannten Beweismittel angeben. </w:t>
      </w:r>
      <w:r>
        <w:rPr>
          <w:rStyle w:val="Satznummer"/>
        </w:rPr>
        <w:t>3</w:t>
      </w:r>
      <w:r>
        <w:t>Der Umfang dieser Pflichten richtet sich nach den Umständen des Einzelfalls.</w:t>
      </w:r>
    </w:p>
    <w:p>
      <w:r>
        <w:t xml:space="preserve">(2) </w:t>
      </w:r>
      <w:r>
        <w:rPr>
          <w:rStyle w:val="Satznummer"/>
        </w:rPr>
        <w:t>1</w:t>
      </w:r>
      <w:r>
        <w:t xml:space="preserve">Ist ein Sachverhalt zu ermitteln und steuerrechtlich zu beurteilen, der sich auf Vorgänge außerhalb des Geltungsbereichs dieses Gesetzes bezieht, so haben die Beteiligten diesen Sachverhalt aufzuklären und die erforderlichen Beweismittel zu beschaffen. </w:t>
      </w:r>
      <w:r>
        <w:rPr>
          <w:rStyle w:val="Satznummer"/>
        </w:rPr>
        <w:t>2</w:t>
      </w:r>
      <w:r>
        <w:t xml:space="preserve">Sie haben dabei alle für sie bestehenden rechtlichen und tatsächlichen Möglichkeiten auszuschöpfen. </w:t>
      </w:r>
      <w:r>
        <w:rPr>
          <w:rStyle w:val="Satznummer"/>
        </w:rPr>
        <w:t>3</w:t>
      </w:r>
      <w:r>
        <w:t>Ein Beteiligter kann sich nicht darauf berufen, dass er Sachverhalte nicht aufklären oder Beweismittel nicht beschaffen kann, wenn er sich nach Lage des Falls bei der Gestaltung seiner Verhältnisse die Möglichkeit dazu hätte beschaffen oder einräumen lassen können.</w:t>
      </w:r>
    </w:p>
    <w:p>
      <w:r>
        <w:t xml:space="preserve">(3) </w:t>
      </w:r>
      <w:r>
        <w:rPr>
          <w:rStyle w:val="Satznummer"/>
        </w:rPr>
        <w:t>1</w:t>
      </w:r>
      <w:r>
        <w:t xml:space="preserve">Ein Steuerpflichtiger hat über die Art und den Inhalt seiner Geschäftsbeziehungen im Sinne des § 1 Absatz 4 des Außensteuergesetzes Aufzeichnungen zu erstellen. </w:t>
      </w:r>
      <w:r>
        <w:rPr>
          <w:rStyle w:val="Satznummer"/>
        </w:rPr>
        <w:t>2</w:t>
      </w:r>
      <w:r>
        <w:t>Die Aufzeichnungspflicht umfasst</w:t>
      </w:r>
    </w:p>
    <w:p>
      <w:pPr>
        <w:tabs>
          <w:tab w:pos="567" w:val="left"/>
        </w:tabs>
        <w:ind w:left="567" w:hanging="567"/>
      </w:pPr>
      <w:r>
        <w:t>1.</w:t>
      </w:r>
      <w:r>
        <w:tab/>
      </w:r>
      <w:r>
        <w:t>eine Übersicht über die Geschäftsvorfälle (Transaktionsmatrix),</w:t>
      </w:r>
    </w:p>
    <w:p>
      <w:pPr>
        <w:tabs>
          <w:tab w:pos="567" w:val="left"/>
        </w:tabs>
        <w:ind w:left="567" w:hanging="567"/>
      </w:pPr>
      <w:r>
        <w:t>2.</w:t>
      </w:r>
      <w:r>
        <w:tab/>
      </w:r>
      <w:r>
        <w:t>eine Darstellung der Geschäftsvorfälle (Sachverhaltsdokumentation) und</w:t>
      </w:r>
    </w:p>
    <w:p>
      <w:pPr>
        <w:tabs>
          <w:tab w:pos="567" w:val="left"/>
        </w:tabs>
        <w:ind w:left="567" w:hanging="567"/>
      </w:pPr>
      <w:r>
        <w:t>3.</w:t>
      </w:r>
      <w:r>
        <w:tab/>
      </w:r>
      <w:r>
        <w:t>eine Darstellung der wirtschaftlichen und rechtlichen Grundlagen für eine den Fremdvergleichsgrundsatz beachtende Vereinbarung von Bedingungen, insbesondere Preisen (Verrechnungspreisen), sowie Informationen zum Zeitpunkt der Verrechnungspreisbestimmung, zur verwendeten Verrechnungspreismethode und zu den verwendeten Fremdvergleichsdaten (Angemessenheitsdokumentation).</w:t>
      </w:r>
    </w:p>
    <w:p>
      <w:r>
        <w:rPr>
          <w:rStyle w:val="Satznummer"/>
        </w:rPr>
        <w:t>3</w:t>
      </w:r>
      <w:r>
        <w:t xml:space="preserve">Hat ein Steuerpflichtiger Aufzeichnungen im Sinne des Satzes 1 für ein Unternehmen zu erstellen, das Teil einer multinationalen Unternehmensgruppe ist, so gehört zu den Aufzeichnungen auch ein Überblick über die Art der weltweiten Geschäftstätigkeit der Unternehmensgruppe und über die von ihr angewandte Systematik der Verrechnungspreisbestimmung, es sei denn, der Umsatz des Unternehmens hat im vorangegangenen Wirtschaftsjahr weniger als 100 Millionen Euro betragen. </w:t>
      </w:r>
      <w:r>
        <w:rPr>
          <w:rStyle w:val="Satznummer"/>
        </w:rPr>
        <w:t>4</w:t>
      </w:r>
      <w:r>
        <w:t xml:space="preserve">Eine multinationale Unternehmensgruppe besteht aus mindestens zwei in verschiedenen Staaten ansässigen, im Sinne des § 1 Absatz 2 des Außensteuergesetzes einander nahestehenden Unternehmen oder aus mindestens einem Unternehmen mit mindestens einer Betriebsstätte in einem anderen Staat. </w:t>
      </w:r>
      <w:r>
        <w:rPr>
          <w:rStyle w:val="Satznummer"/>
        </w:rPr>
        <w:t>5</w:t>
      </w:r>
      <w:r>
        <w:t xml:space="preserve">Zu außergewöhnlichen Geschäftsvorfällen sind zeitnah Aufzeichnungen zu erstellen. </w:t>
      </w:r>
      <w:r>
        <w:rPr>
          <w:rStyle w:val="Satznummer"/>
        </w:rPr>
        <w:t>6</w:t>
      </w:r>
      <w:r>
        <w:t>Die Aufzeichnungen im Sinne dieses Absatzes sind auf Anforderung der Finanzbehörde zu ergänzen.</w:t>
      </w:r>
    </w:p>
    <w:p>
      <w:r>
        <w:t xml:space="preserve">(4) </w:t>
      </w:r>
      <w:r>
        <w:rPr>
          <w:rStyle w:val="Satznummer"/>
        </w:rPr>
        <w:t>1</w:t>
      </w:r>
      <w:r>
        <w:t xml:space="preserve">Die Finanzbehörde kann jederzeit die Vorlage der Aufzeichnungen nach Absatz 3 verlangen; die Vorlage richtet sich nach </w:t>
      </w:r>
      <w:hyperlink w:anchor="b158" w:history="1">
        <w:r>
          <w:rPr>
            <w:color w:val="0A3A8C"/>
            <w:u w:val="single"/>
          </w:rPr>
          <w:t xml:space="preserve">§ 97</w:t>
        </w:r>
      </w:hyperlink>
      <w:r>
        <w:t xml:space="preserve">. </w:t>
      </w:r>
      <w:r>
        <w:rPr>
          <w:rStyle w:val="Satznummer"/>
        </w:rPr>
        <w:t>2</w:t>
      </w:r>
      <w:r>
        <w:t xml:space="preserve">Die Aufzeichnungen sind innerhalb einer Frist von 30 Tagen nach Anforderung vorzulegen. </w:t>
      </w:r>
      <w:r>
        <w:rPr>
          <w:rStyle w:val="Satznummer"/>
        </w:rPr>
        <w:t>3</w:t>
      </w:r>
      <w:r>
        <w:t xml:space="preserve">Im Fall einer Außenprüfung sind die Transaktionsmatrix nach Absatz 3 Satz 2 Nummer 1, eine nach Absatz 3 Satz 3 zu erstellende Stammdokumentation und die Aufzeichnungen über die außergewöhnlichen Geschäftsvorfälle ohne gesondertes Verlangen innerhalb von 30 Tagen nach Bekanntgabe der Prüfungsanordnung vorzulegen; hiervon bleibt das Recht der Finanzbehörde unberührt, im Rahmen der Außenprüfung jederzeit die Vorlage der Aufzeichnungen nach Absatz 3 entsprechend der Frist nach Satz 2 zu verlangen. </w:t>
      </w:r>
      <w:r>
        <w:rPr>
          <w:rStyle w:val="Satznummer"/>
        </w:rPr>
        <w:t>4</w:t>
      </w:r>
      <w:r>
        <w:t>In begründeten Einzelfällen kann die Vorlagefrist verlängert werden.</w:t>
      </w:r>
    </w:p>
    <w:p>
      <w:r>
        <w:t>(5) Um eine einheitliche Rechtsanwendung sicherzustellen, wird das Bundesministerium der Finanzen ermächtigt, mit Zustimmung des Bundesrates durch Rechtsverordnung Art, Inhalt und Umfang der nach den Absätzen 3 und 4 zu erstellenden Aufzeichnungen zu bestimmen.</w:t>
      </w:r>
    </w:p>
    <w:p>
      <w:pPr>
        <w:pStyle w:val="Heading5"/>
      </w:pPr>
      <w:bookmarkStart w:id="148" w:name="b146"/>
      <w:r>
        <w:t>§ 91 Anhörung Beteiligter</w:t>
      </w:r>
      <w:r>
        <w:t xml:space="preserve"> </w:t>
      </w:r>
      <w:r>
        <w:rPr>
          <w:rStyle w:val="Suchmarke"/>
        </w:rPr>
        <w:t>#91#</w:t>
      </w:r>
      <w:bookmarkEnd w:id="148"/>
    </w:p>
    <w:p>
      <w:r>
        <w:t xml:space="preserve">(1) </w:t>
      </w:r>
      <w:r>
        <w:rPr>
          <w:rStyle w:val="Satznummer"/>
        </w:rPr>
        <w:t>1</w:t>
      </w:r>
      <w:r>
        <w:t xml:space="preserve">Bevor ein Verwaltungsakt erlassen wird, der in Rechte eines Beteiligten eingreift, soll diesem Gelegenheit gegeben werden, sich zu den für die Entscheidung erheblichen Tatsachen zu äußern. </w:t>
      </w:r>
      <w:r>
        <w:rPr>
          <w:rStyle w:val="Satznummer"/>
        </w:rPr>
        <w:t>2</w:t>
      </w:r>
      <w:r>
        <w:t>Dies gilt insbesondere, wenn von dem in der Steuererklärung erklärten Sachverhalt zuungunsten des Steuerpflichtigen wesentlich abgewichen werden soll.</w:t>
      </w:r>
    </w:p>
    <w:p>
      <w:r>
        <w:t>(2) Von der Anhörung kann abgesehen werden, wenn sie nach den Umständen des Einzelfalls nicht geboten ist, insbesondere wenn</w:t>
      </w:r>
    </w:p>
    <w:p>
      <w:pPr>
        <w:tabs>
          <w:tab w:pos="567" w:val="left"/>
        </w:tabs>
        <w:ind w:left="567" w:hanging="567"/>
      </w:pPr>
      <w:r>
        <w:t>1.</w:t>
      </w:r>
      <w:r>
        <w:tab/>
      </w:r>
      <w:r>
        <w:t>eine sofortige Entscheidung wegen Gefahr im Verzug oder im öffentlichen Interesse notwendig erscheint,</w:t>
      </w:r>
    </w:p>
    <w:p>
      <w:pPr>
        <w:tabs>
          <w:tab w:pos="567" w:val="left"/>
        </w:tabs>
        <w:ind w:left="567" w:hanging="567"/>
      </w:pPr>
      <w:r>
        <w:t>2.</w:t>
      </w:r>
      <w:r>
        <w:tab/>
      </w:r>
      <w:r>
        <w:t>durch die Anhörung die Einhaltung einer für die Entscheidung maßgeblichen Frist in Frage gestellt würde,</w:t>
      </w:r>
    </w:p>
    <w:p>
      <w:pPr>
        <w:tabs>
          <w:tab w:pos="567" w:val="left"/>
        </w:tabs>
        <w:ind w:left="567" w:hanging="567"/>
      </w:pPr>
      <w:r>
        <w:t>3.</w:t>
      </w:r>
      <w:r>
        <w:tab/>
      </w:r>
      <w:r>
        <w:t>von den tatsächlichen Angaben eines Beteiligten, die dieser in einem Antrag oder einer Erklärung gemacht hat, nicht zu seinen Ungunsten abgewichen werden soll,</w:t>
      </w:r>
    </w:p>
    <w:p>
      <w:pPr>
        <w:tabs>
          <w:tab w:pos="567" w:val="left"/>
        </w:tabs>
        <w:ind w:left="567" w:hanging="567"/>
      </w:pPr>
      <w:r>
        <w:t>4.</w:t>
      </w:r>
      <w:r>
        <w:tab/>
      </w:r>
      <w:r>
        <w:t>die Finanzbehörde eine Allgemeinverfügung oder gleichartige Verwaltungsakte in größerer Zahl oder Verwaltungsakte mit Hilfe automatischer Einrichtungen erlassen will,</w:t>
      </w:r>
    </w:p>
    <w:p>
      <w:pPr>
        <w:tabs>
          <w:tab w:pos="567" w:val="left"/>
        </w:tabs>
        <w:ind w:left="567" w:hanging="567"/>
      </w:pPr>
      <w:r>
        <w:t>5.</w:t>
      </w:r>
      <w:r>
        <w:tab/>
      </w:r>
      <w:r>
        <w:t>Maßnahmen in der Vollstreckung getroffen werden sollen.</w:t>
      </w:r>
    </w:p>
    <w:p>
      <w:r>
        <w:t xml:space="preserve">(2a) </w:t>
      </w:r>
      <w:r>
        <w:rPr>
          <w:rStyle w:val="Satznummer"/>
        </w:rPr>
        <w:t>1</w:t>
      </w:r>
      <w:r>
        <w:t>Von der Anhörung soll abgesehen werden, wenn die Finanzbehörde bei Erlass eines Verwaltungsakts anstelle der in der Steuererklärung angegebenen Daten die auf Grund gesetzlicher Vorschriften von einer mitteilungspflichtigen Stelle (</w:t>
      </w:r>
      <w:hyperlink w:anchor="b152" w:history="1">
        <w:r>
          <w:rPr>
            <w:color w:val="0A3A8C"/>
            <w:u w:val="single"/>
          </w:rPr>
          <w:t xml:space="preserve">§ 93c</w:t>
        </w:r>
      </w:hyperlink>
      <w:r>
        <w:t xml:space="preserve"> Absatz 1) elektronisch übermittelten und dem Steuerpflichtigen gemäß </w:t>
      </w:r>
      <w:hyperlink w:anchor="b152" w:history="1">
        <w:r>
          <w:rPr>
            <w:color w:val="0A3A8C"/>
            <w:u w:val="single"/>
          </w:rPr>
          <w:t xml:space="preserve">§ 93c</w:t>
        </w:r>
      </w:hyperlink>
      <w:r>
        <w:t xml:space="preserve"> Absatz 1 Nummer 3 mitzuteilenden Daten verwendet; auf die Abweichung von den erklärten Daten ist im Verwaltungsakt hinzuweisen. </w:t>
      </w:r>
      <w:r>
        <w:rPr>
          <w:rStyle w:val="Satznummer"/>
        </w:rPr>
        <w:t>2</w:t>
      </w:r>
      <w:hyperlink w:anchor="b255" w:history="1">
        <w:r>
          <w:rPr>
            <w:color w:val="0A3A8C"/>
            <w:u w:val="single"/>
          </w:rPr>
          <w:t xml:space="preserve">§ 150</w:t>
        </w:r>
      </w:hyperlink>
      <w:r>
        <w:t xml:space="preserve"> Absatz 7 Satz 1 bleibt unberührt.</w:t>
      </w:r>
    </w:p>
    <w:p>
      <w:r>
        <w:t>(3) Eine Anhörung unterbleibt, wenn ihr ein zwingendes öffentliches Interesse entgegensteht.</w:t>
      </w:r>
    </w:p>
    <w:p>
      <w:pPr>
        <w:pStyle w:val="Heading5"/>
      </w:pPr>
      <w:bookmarkStart w:id="149" w:name="b147"/>
      <w:r>
        <w:t>§ 92 Beweismittel</w:t>
      </w:r>
      <w:r>
        <w:t xml:space="preserve"> </w:t>
      </w:r>
      <w:r>
        <w:rPr>
          <w:rStyle w:val="Suchmarke"/>
        </w:rPr>
        <w:t>#92#</w:t>
      </w:r>
      <w:bookmarkEnd w:id="149"/>
    </w:p>
    <w:p>
      <w:r>
        <w:rPr>
          <w:rStyle w:val="Satznummer"/>
        </w:rPr>
        <w:t>1</w:t>
      </w:r>
      <w:r>
        <w:t xml:space="preserve">Die Finanzbehörde bedient sich der Beweismittel, die sie nach pflichtgemäßem Ermessen zur Ermittlung des Sachverhalts für erforderlich hält. </w:t>
      </w:r>
      <w:r>
        <w:rPr>
          <w:rStyle w:val="Satznummer"/>
        </w:rPr>
        <w:t>2</w:t>
      </w:r>
      <w:r>
        <w:t>Sie kann insbesondere</w:t>
      </w:r>
    </w:p>
    <w:p>
      <w:pPr>
        <w:tabs>
          <w:tab w:pos="567" w:val="left"/>
        </w:tabs>
        <w:ind w:left="567" w:hanging="567"/>
      </w:pPr>
      <w:r>
        <w:t>1.</w:t>
      </w:r>
      <w:r>
        <w:tab/>
      </w:r>
      <w:r>
        <w:t>Auskünfte jeder Art von den Beteiligten und anderen Personen einholen,</w:t>
      </w:r>
    </w:p>
    <w:p>
      <w:pPr>
        <w:tabs>
          <w:tab w:pos="567" w:val="left"/>
        </w:tabs>
        <w:ind w:left="567" w:hanging="567"/>
      </w:pPr>
      <w:r>
        <w:t>2.</w:t>
      </w:r>
      <w:r>
        <w:tab/>
      </w:r>
      <w:r>
        <w:t>Sachverständige zuziehen,</w:t>
      </w:r>
    </w:p>
    <w:p>
      <w:pPr>
        <w:tabs>
          <w:tab w:pos="567" w:val="left"/>
        </w:tabs>
        <w:ind w:left="567" w:hanging="567"/>
      </w:pPr>
      <w:r>
        <w:t>3.</w:t>
      </w:r>
      <w:r>
        <w:tab/>
      </w:r>
      <w:r>
        <w:t>Urkunden und Akten beiziehen,</w:t>
      </w:r>
    </w:p>
    <w:p>
      <w:pPr>
        <w:tabs>
          <w:tab w:pos="567" w:val="left"/>
        </w:tabs>
        <w:ind w:left="567" w:hanging="567"/>
      </w:pPr>
      <w:r>
        <w:t>4.</w:t>
      </w:r>
      <w:r>
        <w:tab/>
      </w:r>
      <w:r>
        <w:t>den Augenschein einnehmen.</w:t>
      </w:r>
    </w:p>
    <w:p>
      <w:pPr>
        <w:pStyle w:val="Heading4"/>
      </w:pPr>
      <w:bookmarkStart w:id="150" w:name="b148"/>
      <w:r>
        <w:t>II. Beweis durch Auskünfte und Sachverständigengutachten</w:t>
      </w:r>
      <w:bookmarkEnd w:id="150"/>
    </w:p>
    <w:p>
      <w:pPr>
        <w:pStyle w:val="Heading5"/>
      </w:pPr>
      <w:bookmarkStart w:id="151" w:name="b149"/>
      <w:r>
        <w:t>§ 93 Auskunftspflicht der Beteiligten und anderer Personen</w:t>
      </w:r>
      <w:r>
        <w:t xml:space="preserve"> </w:t>
      </w:r>
      <w:r>
        <w:rPr>
          <w:rStyle w:val="Suchmarke"/>
        </w:rPr>
        <w:t>#93#</w:t>
      </w:r>
      <w:bookmarkEnd w:id="151"/>
    </w:p>
    <w:p>
      <w:r>
        <w:t xml:space="preserve">(1) </w:t>
      </w:r>
      <w:r>
        <w:rPr>
          <w:rStyle w:val="Satznummer"/>
        </w:rPr>
        <w:t>1</w:t>
      </w:r>
      <w:r>
        <w:t xml:space="preserve">Die Beteiligten und andere Personen haben der Finanzbehörde die zur Feststellung eines für die Besteuerung erheblichen Sachverhalts erforderlichen Auskünfte zu erteilen. </w:t>
      </w:r>
      <w:r>
        <w:rPr>
          <w:rStyle w:val="Satznummer"/>
        </w:rPr>
        <w:t>2</w:t>
      </w:r>
      <w:r>
        <w:t xml:space="preserve">Dies gilt auch für nicht rechtsfähige Vereinigungen, Vermögensmassen, Behörden und Betriebe gewerblicher Art der Körperschaften des öffentlichen Rechts. </w:t>
      </w:r>
      <w:r>
        <w:rPr>
          <w:rStyle w:val="Satznummer"/>
        </w:rPr>
        <w:t>3</w:t>
      </w:r>
      <w:r>
        <w:t>Andere Personen als die Beteiligten sollen erst dann zur Auskunft angehalten werden, wenn die Sachverhaltsaufklärung durch die Beteiligten nicht zum Ziel führt oder keinen Erfolg verspricht.</w:t>
      </w:r>
    </w:p>
    <w:p>
      <w:r>
        <w:t xml:space="preserve">(1a) </w:t>
      </w:r>
      <w:r>
        <w:rPr>
          <w:rStyle w:val="Satznummer"/>
        </w:rPr>
        <w:t>1</w:t>
      </w:r>
      <w:r>
        <w:t xml:space="preserve">Die Finanzbehörde darf an andere Personen als die Beteiligten Auskunftsersuchen über eine ihr noch unbekannte Anzahl von Sachverhalten mit dem Grunde nach bestimmbaren, ihr noch nicht bekannten Personen stellen (Sammelauskunftsersuchen). </w:t>
      </w:r>
      <w:r>
        <w:rPr>
          <w:rStyle w:val="Satznummer"/>
        </w:rPr>
        <w:t>2</w:t>
      </w:r>
      <w:r>
        <w:t xml:space="preserve">Voraussetzung für ein Sammelauskunftsersuchen ist, dass ein hinreichender Anlass für die Ermittlungen besteht und andere zumutbare Maßnahmen zur Sachverhaltsaufklärung keinen Erfolg versprechen. </w:t>
      </w:r>
      <w:r>
        <w:rPr>
          <w:rStyle w:val="Satznummer"/>
        </w:rPr>
        <w:t>3</w:t>
      </w:r>
      <w:r>
        <w:t>Absatz 1 Satz 3 ist nicht anzuwenden.</w:t>
      </w:r>
    </w:p>
    <w:p>
      <w:r>
        <w:t xml:space="preserve">(2) </w:t>
      </w:r>
      <w:r>
        <w:rPr>
          <w:rStyle w:val="Satznummer"/>
        </w:rPr>
        <w:t>1</w:t>
      </w:r>
      <w:r>
        <w:t xml:space="preserve">In dem Auskunftsersuchen ist anzugeben, worüber Auskünfte erteilt werden sollen und ob die Auskunft für die Besteuerung des Auskunftspflichtigen oder für die Besteuerung anderer Personen angefordert wird. </w:t>
      </w:r>
      <w:r>
        <w:rPr>
          <w:rStyle w:val="Satznummer"/>
        </w:rPr>
        <w:t>2</w:t>
      </w:r>
      <w:r>
        <w:t>Auskunftsersuchen haben auf Verlangen des Auskunftspflichtigen schriftlich zu ergehen.</w:t>
      </w:r>
    </w:p>
    <w:p>
      <w:r>
        <w:t xml:space="preserve">(3) </w:t>
      </w:r>
      <w:r>
        <w:rPr>
          <w:rStyle w:val="Satznummer"/>
        </w:rPr>
        <w:t>1</w:t>
      </w:r>
      <w:r>
        <w:t xml:space="preserve">Die Auskünfte sind wahrheitsgemäß nach bestem Wissen und Gewissen zu erteilen. </w:t>
      </w:r>
      <w:r>
        <w:rPr>
          <w:rStyle w:val="Satznummer"/>
        </w:rPr>
        <w:t>2</w:t>
      </w:r>
      <w:r>
        <w:t>Auskunftspflichtige, die nicht aus dem Gedächtnis Auskunft geben können, haben Bücher, Aufzeichnungen, Geschäftspapiere und andere Urkunden, die ihnen zur Verfügung stehen, einzusehen und, soweit nötig, Aufzeichnungen daraus zu entnehmen.</w:t>
      </w:r>
    </w:p>
    <w:p>
      <w:r>
        <w:t xml:space="preserve">(4) </w:t>
      </w:r>
      <w:r>
        <w:rPr>
          <w:rStyle w:val="Satznummer"/>
        </w:rPr>
        <w:t>1</w:t>
      </w:r>
      <w:r>
        <w:t xml:space="preserve">Der Auskunftspflichtige kann die Auskunft schriftlich, elektronisch, mündlich oder fernmündlich erteilen. </w:t>
      </w:r>
      <w:r>
        <w:rPr>
          <w:rStyle w:val="Satznummer"/>
        </w:rPr>
        <w:t>2</w:t>
      </w:r>
      <w:r>
        <w:t>Die Finanzbehörde kann verlangen, dass der Auskunftspflichtige schriftlich Auskunft erteilt, wenn dies sachdienlich ist.</w:t>
      </w:r>
    </w:p>
    <w:p>
      <w:r>
        <w:t xml:space="preserve">(5) </w:t>
      </w:r>
      <w:r>
        <w:rPr>
          <w:rStyle w:val="Satznummer"/>
        </w:rPr>
        <w:t>1</w:t>
      </w:r>
      <w:r>
        <w:t xml:space="preserve">Die Finanzbehörde kann anordnen, dass der Auskunftspflichtige eine mündliche Auskunft an Amtsstelle erteilt. </w:t>
      </w:r>
      <w:r>
        <w:rPr>
          <w:rStyle w:val="Satznummer"/>
        </w:rPr>
        <w:t>2</w:t>
      </w:r>
      <w:r>
        <w:t xml:space="preserve">Hierzu ist sie insbesondere dann befugt, wenn trotz Aufforderung eine schriftliche Auskunft nicht erteilt worden ist oder eine schriftliche Auskunft nicht zu einer Klärung des Sachverhalts geführt hat. </w:t>
      </w:r>
      <w:r>
        <w:rPr>
          <w:rStyle w:val="Satznummer"/>
        </w:rPr>
        <w:t>3</w:t>
      </w:r>
      <w:r>
        <w:t>Absatz 2 Satz 1 gilt entsprechend.</w:t>
      </w:r>
    </w:p>
    <w:p>
      <w:r>
        <w:t xml:space="preserve">(6) </w:t>
      </w:r>
      <w:r>
        <w:rPr>
          <w:rStyle w:val="Satznummer"/>
        </w:rPr>
        <w:t>1</w:t>
      </w:r>
      <w:r>
        <w:t xml:space="preserve">Auf Antrag des Auskunftspflichtigen ist über die mündliche Auskunft an Amtsstelle eine Niederschrift aufzunehmen. </w:t>
      </w:r>
      <w:r>
        <w:rPr>
          <w:rStyle w:val="Satznummer"/>
        </w:rPr>
        <w:t>2</w:t>
      </w:r>
      <w:r>
        <w:t xml:space="preserve">Die Niederschrift soll den Namen der anwesenden Personen, den Ort, den Tag und den wesentlichen Inhalt der Auskunft enthalten. </w:t>
      </w:r>
      <w:r>
        <w:rPr>
          <w:rStyle w:val="Satznummer"/>
        </w:rPr>
        <w:t>3</w:t>
      </w:r>
      <w:r>
        <w:t xml:space="preserve">Sie soll von dem Amtsträger, dem die mündliche Auskunft erteilt wird, und dem Auskunftspflichtigen unterschrieben werden. </w:t>
      </w:r>
      <w:r>
        <w:rPr>
          <w:rStyle w:val="Satznummer"/>
        </w:rPr>
        <w:t>4</w:t>
      </w:r>
      <w:r>
        <w:t>Den Beteiligten ist eine Abschrift der Niederschrift zu überlassen.</w:t>
      </w:r>
    </w:p>
    <w:p>
      <w:r>
        <w:t xml:space="preserve">(7) </w:t>
      </w:r>
      <w:r>
        <w:rPr>
          <w:rStyle w:val="Satznummer"/>
        </w:rPr>
        <w:t>1</w:t>
      </w:r>
      <w:r>
        <w:t xml:space="preserve">Ein automatisierter Abruf von Kontoinformationen nach </w:t>
      </w:r>
      <w:hyperlink w:anchor="b151" w:history="1">
        <w:r>
          <w:rPr>
            <w:color w:val="0A3A8C"/>
            <w:u w:val="single"/>
          </w:rPr>
          <w:t xml:space="preserve">§ 93b</w:t>
        </w:r>
      </w:hyperlink>
      <w:r>
        <w:t xml:space="preserve"> ist nur zulässig, soweit</w:t>
      </w:r>
    </w:p>
    <w:p>
      <w:pPr>
        <w:tabs>
          <w:tab w:pos="567" w:val="left"/>
        </w:tabs>
        <w:ind w:left="567" w:hanging="567"/>
      </w:pPr>
      <w:r>
        <w:t>1.</w:t>
      </w:r>
      <w:r>
        <w:tab/>
      </w:r>
      <w:r>
        <w:t>der Steuerpflichtige eine Steuerfestsetzung nach § 32d Absatz 6 des Einkommensteuergesetzes beantragt oder</w:t>
      </w:r>
    </w:p>
    <w:p>
      <w:pPr>
        <w:tabs>
          <w:tab w:pos="567" w:val="left"/>
        </w:tabs>
        <w:ind w:left="567" w:hanging="567"/>
      </w:pPr>
      <w:r>
        <w:t>2.</w:t>
      </w:r>
      <w:r>
        <w:tab/>
      </w:r>
      <w:r>
        <w:t>(weggefallen)</w:t>
      </w:r>
    </w:p>
    <w:p>
      <w:r>
        <w:t>und der Abruf in diesen Fällen zur Festsetzung der Einkommensteuer erforderlich ist oder er erforderlich ist</w:t>
      </w:r>
    </w:p>
    <w:p>
      <w:pPr>
        <w:tabs>
          <w:tab w:pos="567" w:val="left"/>
        </w:tabs>
        <w:ind w:left="567" w:hanging="567"/>
      </w:pPr>
      <w:r>
        <w:t>3.</w:t>
      </w:r>
      <w:r>
        <w:tab/>
      </w:r>
      <w:r>
        <w:t>zur Feststellung von Einkünften nach den §§ 20 und 23 Absatz 1 des Einkommensteuergesetzes in Veranlagungszeiträumen bis einschließlich des Jahres 2008 oder</w:t>
      </w:r>
    </w:p>
    <w:p>
      <w:pPr>
        <w:tabs>
          <w:tab w:pos="567" w:val="left"/>
        </w:tabs>
        <w:ind w:left="567" w:hanging="567"/>
      </w:pPr>
      <w:r>
        <w:t>4.</w:t>
      </w:r>
      <w:r>
        <w:tab/>
      </w:r>
      <w:r>
        <w:t>zur Erhebung von bundesgesetzlich geregelten Steuern oder Rückforderungsansprüchen bundesgesetzlich geregelter Steuererstattungen und Steuervergütungen oder</w:t>
      </w:r>
    </w:p>
    <w:p>
      <w:pPr>
        <w:tabs>
          <w:tab w:pos="567" w:val="left"/>
        </w:tabs>
        <w:ind w:left="567" w:hanging="567"/>
      </w:pPr>
      <w:r>
        <w:t>4a.</w:t>
      </w:r>
      <w:r>
        <w:tab/>
      </w:r>
      <w:r>
        <w:t>zur Ermittlung, in welchen Fällen ein inländischer Steuerpflichtiger im Sinne des § 138 Absatz 2 Satz 1 Verfügungsberechtigter oder wirtschaftlich Berechtigter im Sinne des Geldwäschegesetzes eines Kontos oder Depots einer natürlichen Person, Körperschaft, Personenvereinigung oder Vermögensmasse mit Wohnsitz, gewöhnlichem Aufenthalt, Sitz, Hauptniederlassung oder Geschäftsleitung außerhalb des Geltungsbereichs dieses Gesetzes ist, oder</w:t>
      </w:r>
    </w:p>
    <w:p>
      <w:pPr>
        <w:tabs>
          <w:tab w:pos="567" w:val="left"/>
        </w:tabs>
        <w:ind w:left="567" w:hanging="567"/>
      </w:pPr>
      <w:r>
        <w:t>4b.</w:t>
      </w:r>
      <w:r>
        <w:tab/>
      </w:r>
      <w:r>
        <w:t xml:space="preserve">zur Ermittlung der Besteuerungsgrundlagen in den Fällen des </w:t>
      </w:r>
      <w:hyperlink w:anchor="b335" w:history="1">
        <w:r>
          <w:rPr>
            <w:color w:val="0A3A8C"/>
            <w:u w:val="single"/>
          </w:rPr>
          <w:t xml:space="preserve">§ 208</w:t>
        </w:r>
      </w:hyperlink>
      <w:r>
        <w:t xml:space="preserve"> Absatz 1 Satz 1 Nummer 3 oder</w:t>
      </w:r>
    </w:p>
    <w:p>
      <w:pPr>
        <w:tabs>
          <w:tab w:pos="567" w:val="left"/>
        </w:tabs>
        <w:ind w:left="567" w:hanging="567"/>
      </w:pPr>
      <w:r>
        <w:t>4c.</w:t>
      </w:r>
      <w:r>
        <w:tab/>
      </w:r>
      <w:r>
        <w:t>zur Durchführung der Amtshilfe für andere Mitgliedstaaten der Europäischen Union nach § 3a des EU-Amtshilfegesetzes oder</w:t>
      </w:r>
    </w:p>
    <w:p>
      <w:pPr>
        <w:tabs>
          <w:tab w:pos="567" w:val="left"/>
        </w:tabs>
        <w:ind w:left="567" w:hanging="567"/>
      </w:pPr>
      <w:r>
        <w:t>4d.</w:t>
      </w:r>
      <w:r>
        <w:tab/>
      </w:r>
      <w:r>
        <w:t xml:space="preserve">zur Verifizierung der Kontoverbindung des Zuwendungsempfängers nach </w:t>
      </w:r>
      <w:hyperlink w:anchor="b95" w:history="1">
        <w:r>
          <w:rPr>
            <w:color w:val="0A3A8C"/>
            <w:u w:val="single"/>
          </w:rPr>
          <w:t xml:space="preserve">§ 60b</w:t>
        </w:r>
      </w:hyperlink>
      <w:r>
        <w:t xml:space="preserve"> Absatz 2 Nummer 10, wenn dieser eine Änderung oder Ergänzung von Kontoverbindungen nach </w:t>
      </w:r>
      <w:hyperlink w:anchor="b95" w:history="1">
        <w:r>
          <w:rPr>
            <w:color w:val="0A3A8C"/>
            <w:u w:val="single"/>
          </w:rPr>
          <w:t xml:space="preserve">§ 60b</w:t>
        </w:r>
      </w:hyperlink>
      <w:r>
        <w:t xml:space="preserve"> Absatz 5 beantragt,</w:t>
      </w:r>
    </w:p>
    <w:p>
      <w:r>
        <w:t>oder</w:t>
      </w:r>
    </w:p>
    <w:p>
      <w:pPr>
        <w:tabs>
          <w:tab w:pos="567" w:val="left"/>
        </w:tabs>
        <w:ind w:left="567" w:hanging="567"/>
      </w:pPr>
      <w:r>
        <w:t>5.</w:t>
      </w:r>
      <w:r>
        <w:tab/>
      </w:r>
      <w:r>
        <w:t xml:space="preserve">der Steuerpflichtige zustimmt oder die von ihm oder eine für ihn nach </w:t>
      </w:r>
      <w:hyperlink w:anchor="b234" w:history="1">
        <w:r>
          <w:rPr>
            <w:color w:val="0A3A8C"/>
            <w:u w:val="single"/>
          </w:rPr>
          <w:t xml:space="preserve">§ 139b</w:t>
        </w:r>
      </w:hyperlink>
      <w:r>
        <w:t xml:space="preserve"> Absatz 10 Satz 1 an das Bundeszentralamt für Steuern übermittelte Kontoverbindung verifiziert werden soll.</w:t>
      </w:r>
    </w:p>
    <w:p>
      <w:r>
        <w:rPr>
          <w:rStyle w:val="Satznummer"/>
        </w:rPr>
        <w:t>2</w:t>
      </w:r>
      <w:r>
        <w:t xml:space="preserve">In diesen Fällen darf die Finanzbehörde oder in den Fällen des </w:t>
      </w:r>
      <w:hyperlink w:anchor="b2" w:history="1">
        <w:r>
          <w:rPr>
            <w:color w:val="0A3A8C"/>
            <w:u w:val="single"/>
          </w:rPr>
          <w:t xml:space="preserve">§ 1</w:t>
        </w:r>
      </w:hyperlink>
      <w:r>
        <w:t xml:space="preserve"> Absatz 2 die Gemeinde das Bundeszentralamt für Steuern ersuchen, bei den Kreditinstituten einzelne Daten aus den nach </w:t>
      </w:r>
      <w:hyperlink w:anchor="b151" w:history="1">
        <w:r>
          <w:rPr>
            <w:color w:val="0A3A8C"/>
            <w:u w:val="single"/>
          </w:rPr>
          <w:t xml:space="preserve">§ 93b</w:t>
        </w:r>
      </w:hyperlink>
      <w:r>
        <w:t xml:space="preserve"> Absatz 1 und 1a zu führenden Dateisystemen abzurufen; in den Fällen des Satzes 1 Nummer 1 bis 4b darf ein Abrufersuchen nur dann erfolgen, wenn ein Auskunftsersuchen an den Steuerpflichtigen nicht zum Ziel geführt hat oder keinen Erfolg verspricht.</w:t>
      </w:r>
    </w:p>
    <w:p>
      <w:r>
        <w:t xml:space="preserve">(8) </w:t>
      </w:r>
      <w:r>
        <w:rPr>
          <w:rStyle w:val="Satznummer"/>
        </w:rPr>
        <w:t>1</w:t>
      </w:r>
      <w:r>
        <w:t xml:space="preserve">Das Bundeszentralamt für Steuern erteilt auf Ersuchen Auskunft über die in </w:t>
      </w:r>
      <w:hyperlink w:anchor="b151" w:history="1">
        <w:r>
          <w:rPr>
            <w:color w:val="0A3A8C"/>
            <w:u w:val="single"/>
          </w:rPr>
          <w:t xml:space="preserve">§ 93b</w:t>
        </w:r>
      </w:hyperlink>
      <w:r>
        <w:t xml:space="preserve"> Absatz 1 und 1a bezeichneten Daten, ausgenommen die Identifikationsnummer nach </w:t>
      </w:r>
      <w:hyperlink w:anchor="b234" w:history="1">
        <w:r>
          <w:rPr>
            <w:color w:val="0A3A8C"/>
            <w:u w:val="single"/>
          </w:rPr>
          <w:t xml:space="preserve">§ 139b</w:t>
        </w:r>
      </w:hyperlink>
      <w:r>
        <w:t>,</w:t>
      </w:r>
    </w:p>
    <w:p>
      <w:pPr>
        <w:tabs>
          <w:tab w:pos="567" w:val="left"/>
        </w:tabs>
        <w:ind w:left="567" w:hanging="567"/>
      </w:pPr>
      <w:r>
        <w:t>1.</w:t>
      </w:r>
      <w:r>
        <w:tab/>
      </w:r>
      <w:r>
        <w:t>den für die Verwaltung</w:t>
      </w:r>
    </w:p>
    <w:p>
      <w:pPr>
        <w:tabs>
          <w:tab w:pos="1134" w:val="left"/>
        </w:tabs>
        <w:ind w:left="1134" w:hanging="567"/>
      </w:pPr>
      <w:r>
        <w:t>a)</w:t>
      </w:r>
      <w:r>
        <w:tab/>
      </w:r>
      <w:r>
        <w:t>der Grundsicherung für Arbeitsuchende nach dem Zweiten Buch Sozialgesetzbuch,</w:t>
      </w:r>
    </w:p>
    <w:p>
      <w:pPr>
        <w:tabs>
          <w:tab w:pos="1134" w:val="left"/>
        </w:tabs>
        <w:ind w:left="1134" w:hanging="567"/>
      </w:pPr>
      <w:r>
        <w:t>b)</w:t>
      </w:r>
      <w:r>
        <w:tab/>
      </w:r>
      <w:r>
        <w:t>der Sozialhilfe nach dem Zwölften Buch Sozialgesetzbuch,</w:t>
      </w:r>
    </w:p>
    <w:p>
      <w:pPr>
        <w:tabs>
          <w:tab w:pos="1134" w:val="left"/>
        </w:tabs>
        <w:ind w:left="1134" w:hanging="567"/>
      </w:pPr>
      <w:r>
        <w:t>c)</w:t>
      </w:r>
      <w:r>
        <w:tab/>
      </w:r>
      <w:r>
        <w:t>der Ausbildungsförderung nach dem Bundesausbildungsförderungsgesetz,</w:t>
      </w:r>
    </w:p>
    <w:p>
      <w:pPr>
        <w:tabs>
          <w:tab w:pos="1134" w:val="left"/>
        </w:tabs>
        <w:ind w:left="1134" w:hanging="567"/>
      </w:pPr>
      <w:r>
        <w:t>d)</w:t>
      </w:r>
      <w:r>
        <w:tab/>
      </w:r>
      <w:r>
        <w:t>der Aufstiegsfortbildungsförderung nach dem Aufstiegsfortbildungsförderungsgesetz,</w:t>
      </w:r>
    </w:p>
    <w:p>
      <w:pPr>
        <w:tabs>
          <w:tab w:pos="1134" w:val="left"/>
        </w:tabs>
        <w:ind w:left="1134" w:hanging="567"/>
      </w:pPr>
      <w:r>
        <w:t>e)</w:t>
      </w:r>
      <w:r>
        <w:tab/>
      </w:r>
      <w:r>
        <w:t>des Wohngeldes nach dem Wohngeldgesetz,</w:t>
      </w:r>
    </w:p>
    <w:p>
      <w:pPr>
        <w:tabs>
          <w:tab w:pos="1134" w:val="left"/>
        </w:tabs>
        <w:ind w:left="1134" w:hanging="567"/>
      </w:pPr>
      <w:r>
        <w:t>f)</w:t>
      </w:r>
      <w:r>
        <w:tab/>
      </w:r>
      <w:r>
        <w:t>der Leistungen nach dem Asylbewerberleistungsgesetz und</w:t>
      </w:r>
    </w:p>
    <w:p>
      <w:pPr>
        <w:tabs>
          <w:tab w:pos="1134" w:val="left"/>
        </w:tabs>
        <w:ind w:left="1134" w:hanging="567"/>
      </w:pPr>
      <w:r>
        <w:t>g)</w:t>
      </w:r>
      <w:r>
        <w:tab/>
      </w:r>
      <w:r>
        <w:t>des Zuschlags an Entgeltpunkten für langjährige Versicherung nach dem Sechsten Buch Sozialgesetzbuch</w:t>
      </w:r>
    </w:p>
    <w:p>
      <w:pPr>
        <w:ind w:left="567"/>
      </w:pPr>
      <w:r>
        <w:t>zuständigen Behörden, soweit dies zur Überprüfung des Vorliegens der Anspruchsvoraussetzungen erforderlich ist und ein vorheriges Auskunftsersuchen an die betroffene Person nicht zum Ziel geführt hat oder keinen Erfolg verspricht;</w:t>
      </w:r>
    </w:p>
    <w:p>
      <w:pPr>
        <w:tabs>
          <w:tab w:pos="567" w:val="left"/>
        </w:tabs>
        <w:ind w:left="567" w:hanging="567"/>
      </w:pPr>
      <w:r>
        <w:t>2.</w:t>
      </w:r>
      <w:r>
        <w:tab/>
      </w:r>
      <w:r>
        <w:t>den Polizeivollzugsbehörden des Bundes und der Länder, soweit dies zur Abwehr einer erheblichen Gefahr für die öffentliche Sicherheit erforderlich ist, und</w:t>
      </w:r>
    </w:p>
    <w:p>
      <w:pPr>
        <w:tabs>
          <w:tab w:pos="567" w:val="left"/>
        </w:tabs>
        <w:ind w:left="567" w:hanging="567"/>
      </w:pPr>
      <w:r>
        <w:t>3.</w:t>
      </w:r>
      <w:r>
        <w:tab/>
      </w:r>
      <w:r>
        <w:t>den Verfassungsschutzbehörden der Länder, soweit dies für ihre Aufgabenerfüllung erforderlich ist und durch Landesgesetz ausdrücklich zugelassen ist.</w:t>
      </w:r>
    </w:p>
    <w:p>
      <w:r>
        <w:rPr>
          <w:rStyle w:val="Satznummer"/>
        </w:rPr>
        <w:t>2</w:t>
      </w:r>
      <w:r>
        <w:t xml:space="preserve">Die für die Vollstreckung nach dem Verwaltungs-Vollstreckungsgesetz und nach den Verwaltungsvollstreckungsgesetzen der Länder zuständigen Behörden dürfen zur Durchführung der Vollstreckung das Bundeszentralamt für Steuern ersuchen, bei den Kreditinstituten die in </w:t>
      </w:r>
      <w:hyperlink w:anchor="b151" w:history="1">
        <w:r>
          <w:rPr>
            <w:color w:val="0A3A8C"/>
            <w:u w:val="single"/>
          </w:rPr>
          <w:t xml:space="preserve">§ 93b</w:t>
        </w:r>
      </w:hyperlink>
      <w:r>
        <w:t xml:space="preserve"> Absatz 1 und 1a bezeichneten Daten, ausgenommen die Identifikationsnummer nach </w:t>
      </w:r>
      <w:hyperlink w:anchor="b234" w:history="1">
        <w:r>
          <w:rPr>
            <w:color w:val="0A3A8C"/>
            <w:u w:val="single"/>
          </w:rPr>
          <w:t xml:space="preserve">§ 139b</w:t>
        </w:r>
      </w:hyperlink>
      <w:r>
        <w:t>, abzurufen, wenn</w:t>
      </w:r>
    </w:p>
    <w:p>
      <w:pPr>
        <w:tabs>
          <w:tab w:pos="567" w:val="left"/>
        </w:tabs>
        <w:ind w:left="567" w:hanging="567"/>
      </w:pPr>
      <w:r>
        <w:t>1.</w:t>
      </w:r>
      <w:r>
        <w:tab/>
      </w:r>
      <w:r>
        <w:t>die Ladung zu dem Termin zur Abgabe der Vermögensauskunft an den Vollstreckungsschuldner nicht zustellbar ist und</w:t>
      </w:r>
    </w:p>
    <w:p>
      <w:pPr>
        <w:tabs>
          <w:tab w:pos="1134" w:val="left"/>
        </w:tabs>
        <w:ind w:left="1134" w:hanging="567"/>
      </w:pPr>
      <w:r>
        <w:t>a)</w:t>
      </w:r>
      <w:r>
        <w:tab/>
      </w:r>
      <w:r>
        <w:t>die Anschrift, unter der die Zustellung ausgeführt werden sollte, mit der Anschrift übereinstimmt, die von einer der in § 755 Absatz 1 und 2 der Zivilprozessordnung genannten Stellen innerhalb von drei Monaten vor oder nach dem Zustellungsversuch mitgeteilt wurde, oder</w:t>
      </w:r>
    </w:p>
    <w:p>
      <w:pPr>
        <w:tabs>
          <w:tab w:pos="1134" w:val="left"/>
        </w:tabs>
        <w:ind w:left="1134" w:hanging="567"/>
      </w:pPr>
      <w:r>
        <w:t>b)</w:t>
      </w:r>
      <w:r>
        <w:tab/>
      </w:r>
      <w:r>
        <w:t>die Meldebehörde nach dem Zustellungsversuch die Auskunft erteilt, dass ihr keine derzeitige Anschrift des Vollstreckungsschuldners bekannt ist, oder</w:t>
      </w:r>
    </w:p>
    <w:p>
      <w:pPr>
        <w:tabs>
          <w:tab w:pos="1134" w:val="left"/>
        </w:tabs>
        <w:ind w:left="1134" w:hanging="567"/>
      </w:pPr>
      <w:r>
        <w:t>c)</w:t>
      </w:r>
      <w:r>
        <w:tab/>
      </w:r>
      <w:r>
        <w:t>die Meldebehörde innerhalb von drei Monaten vor Erlass der Vollstreckungsanordnung die Auskunft erteilt hat, dass ihr keine derzeitige Anschrift des Vollstreckungsschuldners bekannt ist;</w:t>
      </w:r>
    </w:p>
    <w:p>
      <w:pPr>
        <w:tabs>
          <w:tab w:pos="567" w:val="left"/>
        </w:tabs>
        <w:ind w:left="567" w:hanging="567"/>
      </w:pPr>
      <w:r>
        <w:t>2.</w:t>
      </w:r>
      <w:r>
        <w:tab/>
      </w:r>
      <w:r>
        <w:t>der Vollstreckungsschuldner seiner Pflicht zur Abgabe der Vermögensauskunft in dem dem Ersuchen zugrundeliegenden Vollstreckungsverfahren nicht nachkommt oder</w:t>
      </w:r>
    </w:p>
    <w:p>
      <w:pPr>
        <w:tabs>
          <w:tab w:pos="567" w:val="left"/>
        </w:tabs>
        <w:ind w:left="567" w:hanging="567"/>
      </w:pPr>
      <w:r>
        <w:t>3.</w:t>
      </w:r>
      <w:r>
        <w:tab/>
      </w:r>
      <w:r>
        <w:t>bei einer Vollstreckung in die in der Vermögensauskunft aufgeführten Vermögensgegenstände eine vollständige Befriedigung der Forderung nicht zu erwarten ist.</w:t>
      </w:r>
    </w:p>
    <w:p>
      <w:r>
        <w:rPr>
          <w:rStyle w:val="Satznummer"/>
        </w:rPr>
        <w:t>3</w:t>
      </w:r>
      <w:r>
        <w:t xml:space="preserve">Für andere Zwecke ist ein Abrufersuchen an das Bundeszentralamt für Steuern hinsichtlich der in </w:t>
      </w:r>
      <w:hyperlink w:anchor="b151" w:history="1">
        <w:r>
          <w:rPr>
            <w:color w:val="0A3A8C"/>
            <w:u w:val="single"/>
          </w:rPr>
          <w:t xml:space="preserve">§ 93b</w:t>
        </w:r>
      </w:hyperlink>
      <w:r>
        <w:t xml:space="preserve"> Absatz 1 und 1a bezeichneten Daten, ausgenommen die Identifikationsnummer nach </w:t>
      </w:r>
      <w:hyperlink w:anchor="b234" w:history="1">
        <w:r>
          <w:rPr>
            <w:color w:val="0A3A8C"/>
            <w:u w:val="single"/>
          </w:rPr>
          <w:t xml:space="preserve">§ 139b</w:t>
        </w:r>
      </w:hyperlink>
      <w:r>
        <w:t>, nur zulässig, soweit dies durch ein Bundesgesetz ausdrücklich zugelassen ist.</w:t>
      </w:r>
    </w:p>
    <w:p>
      <w:r>
        <w:t xml:space="preserve">(8a) </w:t>
      </w:r>
      <w:r>
        <w:rPr>
          <w:rStyle w:val="Satznummer"/>
        </w:rPr>
        <w:t>1</w:t>
      </w:r>
      <w:r>
        <w:t xml:space="preserve">Kontenabrufersuchen an das Bundeszentralamt für Steuern sind nach amtlich vorgeschriebenem Datensatz über die amtlich bestimmten Schnittstellen zu übermitteln; </w:t>
      </w:r>
      <w:hyperlink w:anchor="b133" w:history="1">
        <w:r>
          <w:rPr>
            <w:color w:val="0A3A8C"/>
            <w:u w:val="single"/>
          </w:rPr>
          <w:t xml:space="preserve">§ 87a</w:t>
        </w:r>
      </w:hyperlink>
      <w:r>
        <w:t xml:space="preserve"> Absatz 6 und </w:t>
      </w:r>
      <w:hyperlink w:anchor="b134" w:history="1">
        <w:r>
          <w:rPr>
            <w:color w:val="0A3A8C"/>
            <w:u w:val="single"/>
          </w:rPr>
          <w:t xml:space="preserve">§ 87b</w:t>
        </w:r>
      </w:hyperlink>
      <w:r>
        <w:t xml:space="preserve"> Absatz 1 und 2 gelten entsprechend. </w:t>
      </w:r>
      <w:r>
        <w:rPr>
          <w:rStyle w:val="Satznummer"/>
        </w:rPr>
        <w:t>2</w:t>
      </w:r>
      <w:r>
        <w:t xml:space="preserve">Das Bundeszentralamt für Steuern kann Ausnahmen von der elektronischen Übermittlung zulassen. </w:t>
      </w:r>
      <w:r>
        <w:rPr>
          <w:rStyle w:val="Satznummer"/>
        </w:rPr>
        <w:t>3</w:t>
      </w:r>
      <w:r>
        <w:t xml:space="preserve">Das Bundeszentralamt für Steuern soll der ersuchenden Stelle die Ergebnisse des Kontenabrufs elektronisch übermitteln; </w:t>
      </w:r>
      <w:hyperlink w:anchor="b133" w:history="1">
        <w:r>
          <w:rPr>
            <w:color w:val="0A3A8C"/>
            <w:u w:val="single"/>
          </w:rPr>
          <w:t xml:space="preserve">§ 87a</w:t>
        </w:r>
      </w:hyperlink>
      <w:r>
        <w:t xml:space="preserve"> Absatz 7 und 8 gilt entsprechend.</w:t>
      </w:r>
    </w:p>
    <w:p>
      <w:r>
        <w:t xml:space="preserve">(9) </w:t>
      </w:r>
      <w:r>
        <w:rPr>
          <w:rStyle w:val="Satznummer"/>
        </w:rPr>
        <w:t>1</w:t>
      </w:r>
      <w:r>
        <w:t xml:space="preserve">Vor einem Abrufersuchen nach Absatz 7 oder Absatz 8 ist die betroffene Person auf die Möglichkeit eines Kontenabrufs hinzuweisen; dies kann auch durch ausdrücklichen Hinweis in amtlichen Vordrucken und Merkblättern geschehen. </w:t>
      </w:r>
      <w:r>
        <w:rPr>
          <w:rStyle w:val="Satznummer"/>
        </w:rPr>
        <w:t>2</w:t>
      </w:r>
      <w:r>
        <w:t xml:space="preserve">Nach Durchführung eines Kontenabrufs ist die betroffene Person vom Ersuchenden über die Durchführung zu benachrichtigen. </w:t>
      </w:r>
      <w:r>
        <w:rPr>
          <w:rStyle w:val="Satznummer"/>
        </w:rPr>
        <w:t>3</w:t>
      </w:r>
      <w:r>
        <w:t>Ein Hinweis nach Satz 1 erster Halbsatz und eine Benachrichtigung nach Satz 2 unterbleiben,</w:t>
      </w:r>
    </w:p>
    <w:p>
      <w:pPr>
        <w:tabs>
          <w:tab w:pos="567" w:val="left"/>
        </w:tabs>
        <w:ind w:left="567" w:hanging="567"/>
      </w:pPr>
      <w:r>
        <w:t>1.</w:t>
      </w:r>
      <w:r>
        <w:tab/>
      </w:r>
      <w:r>
        <w:t xml:space="preserve">soweit die Voraussetzungen des </w:t>
      </w:r>
      <w:hyperlink w:anchor="b51" w:history="1">
        <w:r>
          <w:rPr>
            <w:color w:val="0A3A8C"/>
            <w:u w:val="single"/>
          </w:rPr>
          <w:t xml:space="preserve">§ 32b</w:t>
        </w:r>
      </w:hyperlink>
      <w:r>
        <w:t xml:space="preserve"> Absatz 1 vorliegen,</w:t>
      </w:r>
    </w:p>
    <w:p>
      <w:pPr>
        <w:tabs>
          <w:tab w:pos="567" w:val="left"/>
        </w:tabs>
        <w:ind w:left="567" w:hanging="567"/>
      </w:pPr>
      <w:r>
        <w:t>2.</w:t>
      </w:r>
      <w:r>
        <w:tab/>
      </w:r>
      <w:r>
        <w:t xml:space="preserve">wenn die Überprüfung der Kontoverbindung ergibt, dass die betroffene Person über das nach </w:t>
      </w:r>
      <w:hyperlink w:anchor="b234" w:history="1">
        <w:r>
          <w:rPr>
            <w:color w:val="0A3A8C"/>
            <w:u w:val="single"/>
          </w:rPr>
          <w:t xml:space="preserve">§ 139b</w:t>
        </w:r>
      </w:hyperlink>
      <w:r>
        <w:t xml:space="preserve"> Absatz 10 übermittelte Konto verfügungsberechtigt ist, oder</w:t>
      </w:r>
    </w:p>
    <w:p>
      <w:pPr>
        <w:tabs>
          <w:tab w:pos="567" w:val="left"/>
        </w:tabs>
        <w:ind w:left="567" w:hanging="567"/>
      </w:pPr>
      <w:r>
        <w:t>3.</w:t>
      </w:r>
      <w:r>
        <w:tab/>
      </w:r>
      <w:r>
        <w:t>wenn die Information der betroffenen Person anderweitig gesetzlich ausgeschlossen ist.</w:t>
      </w:r>
    </w:p>
    <w:p>
      <w:r>
        <w:rPr>
          <w:rStyle w:val="Satznummer"/>
        </w:rPr>
        <w:t>4</w:t>
      </w:r>
      <w:hyperlink w:anchor="b52" w:history="1">
        <w:r>
          <w:rPr>
            <w:color w:val="0A3A8C"/>
            <w:u w:val="single"/>
          </w:rPr>
          <w:t xml:space="preserve">§ 32c</w:t>
        </w:r>
      </w:hyperlink>
      <w:r>
        <w:t xml:space="preserve"> Absatz 5 ist entsprechend anzuwenden. </w:t>
      </w:r>
      <w:r>
        <w:rPr>
          <w:rStyle w:val="Satznummer"/>
        </w:rPr>
        <w:t>5</w:t>
      </w:r>
      <w:r>
        <w:t xml:space="preserve">In den Fällen des Absatzes 8 gilt Satz 4 entsprechend, soweit gesetzlich nichts anderes bestimmt ist. </w:t>
      </w:r>
      <w:r>
        <w:rPr>
          <w:rStyle w:val="Satznummer"/>
        </w:rPr>
        <w:t>6</w:t>
      </w:r>
      <w:r>
        <w:t>Die Sätze 1 und 2 sind nicht anzuwenden in den Fällen des Absatzes 8 Satz 1 Nummer 2 oder 3 oder soweit dies bundesgesetzlich ausdrücklich bestimmt ist.</w:t>
      </w:r>
    </w:p>
    <w:p>
      <w:r>
        <w:t>(10) Ein Abrufersuchen nach Absatz 7 oder Absatz 8 und dessen Ergebnis sind vom Ersuchenden zu dokumentieren.</w:t>
      </w:r>
    </w:p>
    <w:p>
      <w:pPr>
        <w:pStyle w:val="Heading5"/>
      </w:pPr>
      <w:bookmarkStart w:id="152" w:name="b150"/>
      <w:r>
        <w:t>§ 93a Allgemeine Mitteilungspflichten</w:t>
      </w:r>
      <w:r>
        <w:t xml:space="preserve"> </w:t>
      </w:r>
      <w:r>
        <w:rPr>
          <w:rStyle w:val="Suchmarke"/>
        </w:rPr>
        <w:t>#93a#</w:t>
      </w:r>
      <w:bookmarkEnd w:id="152"/>
    </w:p>
    <w:p>
      <w:r>
        <w:t xml:space="preserve">(1) </w:t>
      </w:r>
      <w:r>
        <w:rPr>
          <w:rStyle w:val="Satznummer"/>
        </w:rPr>
        <w:t>1</w:t>
      </w:r>
      <w:r>
        <w:t xml:space="preserve">Zur Sicherung der Besteuerung nach </w:t>
      </w:r>
      <w:hyperlink w:anchor="b130" w:history="1">
        <w:r>
          <w:rPr>
            <w:color w:val="0A3A8C"/>
            <w:u w:val="single"/>
          </w:rPr>
          <w:t xml:space="preserve">§ 85</w:t>
        </w:r>
      </w:hyperlink>
      <w:r>
        <w:t xml:space="preserve"> kann die Bundesregierung durch Rechtsverordnung mit Zustimmung des Bundesrates Behörden und andere öffentliche Stellen einschließlich öffentlich-rechtlicher Rundfunkanstalten (</w:t>
      </w:r>
      <w:hyperlink w:anchor="b9" w:history="1">
        <w:r>
          <w:rPr>
            <w:color w:val="0A3A8C"/>
            <w:u w:val="single"/>
          </w:rPr>
          <w:t xml:space="preserve">§ 6</w:t>
        </w:r>
      </w:hyperlink>
      <w:r>
        <w:t xml:space="preserve"> Absatz 1 bis 1c) verpflichten,</w:t>
      </w:r>
    </w:p>
    <w:p>
      <w:pPr>
        <w:tabs>
          <w:tab w:pos="567" w:val="left"/>
        </w:tabs>
        <w:ind w:left="567" w:hanging="567"/>
      </w:pPr>
      <w:r>
        <w:t>1.</w:t>
      </w:r>
      <w:r>
        <w:tab/>
      </w:r>
      <w:r>
        <w:t>den Finanzbehörden Folgendes mitzuteilen:</w:t>
      </w:r>
    </w:p>
    <w:p>
      <w:pPr>
        <w:tabs>
          <w:tab w:pos="1134" w:val="left"/>
        </w:tabs>
        <w:ind w:left="1134" w:hanging="567"/>
      </w:pPr>
      <w:r>
        <w:t>a)</w:t>
      </w:r>
      <w:r>
        <w:tab/>
      </w:r>
      <w:r>
        <w:t>den Empfänger gewährter Leistungen sowie den Rechtsgrund, die Höhe, den Zeitpunkt dieser Leistungen und bei unbarer Auszahlung die Bankverbindung, auf die die Leistung erbracht wurde</w:t>
      </w:r>
    </w:p>
    <w:p>
      <w:pPr>
        <w:tabs>
          <w:tab w:pos="1134" w:val="left"/>
        </w:tabs>
        <w:ind w:left="1134" w:hanging="567"/>
      </w:pPr>
      <w:r>
        <w:t>b)</w:t>
      </w:r>
      <w:r>
        <w:tab/>
      </w:r>
      <w:r>
        <w:t>Verwaltungsakte und öffentlich-rechtliche Verträge, die für die betroffene Person die Versagung oder Einschränkung einer steuerlichen Vergünstigung zur Folge haben oder die der betroffenen Person steuerpflichtige Einnahmen ermöglichen,</w:t>
      </w:r>
    </w:p>
    <w:p>
      <w:pPr>
        <w:tabs>
          <w:tab w:pos="1134" w:val="left"/>
        </w:tabs>
        <w:ind w:left="1134" w:hanging="567"/>
      </w:pPr>
      <w:r>
        <w:t>c)</w:t>
      </w:r>
      <w:r>
        <w:tab/>
      </w:r>
      <w:r>
        <w:t>vergebene Subventionen und ähnliche Förderungsmaßnahmen sowie</w:t>
      </w:r>
    </w:p>
    <w:p>
      <w:pPr>
        <w:tabs>
          <w:tab w:pos="1134" w:val="left"/>
        </w:tabs>
        <w:ind w:left="1134" w:hanging="567"/>
      </w:pPr>
      <w:r>
        <w:t>d)</w:t>
      </w:r>
      <w:r>
        <w:tab/>
      </w:r>
      <w:r>
        <w:t>Anhaltspunkte für Schwarzarbeit, unerlaubte Arbeitnehmerüberlassung oder unerlaubte Ausländerbeschäftigung,</w:t>
      </w:r>
    </w:p>
    <w:p>
      <w:pPr>
        <w:tabs>
          <w:tab w:pos="1134" w:val="left"/>
        </w:tabs>
        <w:ind w:left="1134" w:hanging="567"/>
      </w:pPr>
      <w:r>
        <w:t>e)</w:t>
      </w:r>
      <w:r>
        <w:tab/>
      </w:r>
      <w:r>
        <w:t>die Adressaten und die Höhe von im Verfahren nach § 335 des Handelsgesetzbuchs festgesetzten Ordnungsgeldern;</w:t>
      </w:r>
    </w:p>
    <w:p>
      <w:pPr>
        <w:tabs>
          <w:tab w:pos="567" w:val="left"/>
        </w:tabs>
        <w:ind w:left="567" w:hanging="567"/>
      </w:pPr>
      <w:r>
        <w:t>2.</w:t>
      </w:r>
      <w:r>
        <w:tab/>
      </w:r>
      <w:r>
        <w:t>den Empfänger im Sinne der Nummer 1 Buchstabe a über die Summe der jährlichen Leistungen sowie über die Auffassung der Finanzbehörden zu den daraus entstehenden Steuerpflichten zu unterrichten.</w:t>
      </w:r>
    </w:p>
    <w:p>
      <w:r>
        <w:rPr>
          <w:rStyle w:val="Satznummer"/>
        </w:rPr>
        <w:t>2</w:t>
      </w:r>
      <w:r>
        <w:t xml:space="preserve">In der Rechtsverordnung kann auch bestimmt werden, inwieweit die Mitteilungen nach Maßgabe des </w:t>
      </w:r>
      <w:hyperlink w:anchor="b152" w:history="1">
        <w:r>
          <w:rPr>
            <w:color w:val="0A3A8C"/>
            <w:u w:val="single"/>
          </w:rPr>
          <w:t xml:space="preserve">§ 93c</w:t>
        </w:r>
      </w:hyperlink>
      <w:r>
        <w:t xml:space="preserve"> zu übermitteln sind oder übermittelt werden können; in diesem Fall ist </w:t>
      </w:r>
      <w:hyperlink w:anchor="b110" w:history="1">
        <w:r>
          <w:rPr>
            <w:color w:val="0A3A8C"/>
            <w:u w:val="single"/>
          </w:rPr>
          <w:t xml:space="preserve">§ 72a</w:t>
        </w:r>
      </w:hyperlink>
      <w:r>
        <w:t xml:space="preserve"> Absatz 4 nicht anzuwenden. </w:t>
      </w:r>
      <w:r>
        <w:rPr>
          <w:rStyle w:val="Satznummer"/>
        </w:rPr>
        <w:t>3</w:t>
      </w:r>
      <w:r>
        <w:t>Die Verpflichtung der Behörden, anderer öffentlicher Stellen und der öffentlich-rechtlichen Rundfunkanstalten zu Mitteilungen, Auskünften, Anzeigen und zur Amtshilfe auf Grund anderer Vorschriften bleibt unberührt.</w:t>
      </w:r>
    </w:p>
    <w:p>
      <w:r>
        <w:t xml:space="preserve">(2) </w:t>
      </w:r>
      <w:r>
        <w:rPr>
          <w:rStyle w:val="Satznummer"/>
        </w:rPr>
        <w:t>1</w:t>
      </w:r>
      <w:r>
        <w:t xml:space="preserve">Schuldenverwaltungen, Kreditinstitute, Betriebe gewerblicher Art von juristischen Personen des öffentlichen Rechts im Sinne des Körperschaftsteuergesetzes, öffentliche Beteiligungsunternehmen ohne Hoheitsbefugnisse, Berufskammern und Versicherungsunternehmen sind von der Mitteilungspflicht ausgenommen. </w:t>
      </w:r>
      <w:r>
        <w:rPr>
          <w:rStyle w:val="Satznummer"/>
        </w:rPr>
        <w:t>2</w:t>
      </w:r>
      <w:r>
        <w:t>Dies gilt nicht, soweit die in Satz 1 genannten Stellen Aufgaben der öffentlichen Verwaltung wahrnehmen.</w:t>
      </w:r>
    </w:p>
    <w:p>
      <w:r>
        <w:t xml:space="preserve">(3) </w:t>
      </w:r>
      <w:r>
        <w:rPr>
          <w:rStyle w:val="Satznummer"/>
        </w:rPr>
        <w:t>1</w:t>
      </w:r>
      <w:r>
        <w:t xml:space="preserve">In der Rechtsverordnung sind die mitteilenden Stellen, die Verpflichtung zur Unterrichtung der betroffenen Personen, die mitzuteilenden Angaben und die für die Entgegennahme der Mitteilungen zuständigen Finanzbehörden näher zu bestimmen sowie der Umfang, der Zeitpunkt und das Verfahren der Mitteilung zu regeln. </w:t>
      </w:r>
      <w:r>
        <w:rPr>
          <w:rStyle w:val="Satznummer"/>
        </w:rPr>
        <w:t>2</w:t>
      </w:r>
      <w:r>
        <w:t>In der Rechtsverordnung können Ausnahmen von der Mitteilungspflicht, insbesondere für Fälle geringer steuerlicher Bedeutung, zugelassen werden.</w:t>
      </w:r>
    </w:p>
    <w:p>
      <w:r>
        <w:t xml:space="preserve">(4) </w:t>
      </w:r>
      <w:r>
        <w:rPr>
          <w:rStyle w:val="Satznummer"/>
        </w:rPr>
        <w:t>1</w:t>
      </w:r>
      <w:r>
        <w:t xml:space="preserve">Ist die mitteilungspflichtige Stelle nach der Mitteilungsverordnung verpflichtet, in der Mitteilung die Identifikationsnummer nach </w:t>
      </w:r>
      <w:hyperlink w:anchor="b234" w:history="1">
        <w:r>
          <w:rPr>
            <w:color w:val="0A3A8C"/>
            <w:u w:val="single"/>
          </w:rPr>
          <w:t xml:space="preserve">§ 139b</w:t>
        </w:r>
      </w:hyperlink>
      <w:r>
        <w:t xml:space="preserve"> oder ein anderes steuerliches Ordnungsmerkmal</w:t>
      </w:r>
    </w:p>
    <w:p>
      <w:pPr>
        <w:tabs>
          <w:tab w:pos="567" w:val="left"/>
        </w:tabs>
        <w:ind w:left="567" w:hanging="567"/>
      </w:pPr>
      <w:r>
        <w:t>1.</w:t>
      </w:r>
      <w:r>
        <w:tab/>
      </w:r>
      <w:r>
        <w:t>des Empfängers der gewährten Leistung im Sinne des Absatzes 1 Satz 1 Nummer 1 Buchstabe a,</w:t>
      </w:r>
    </w:p>
    <w:p>
      <w:pPr>
        <w:tabs>
          <w:tab w:pos="567" w:val="left"/>
        </w:tabs>
        <w:ind w:left="567" w:hanging="567"/>
      </w:pPr>
      <w:r>
        <w:t>2.</w:t>
      </w:r>
      <w:r>
        <w:tab/>
      </w:r>
      <w:r>
        <w:t>des Inhaltsadressaten des Verwaltungsakts im Sinne des Absatzes 1 Satz 1 Nummer 1 Buchstabe b oder e,</w:t>
      </w:r>
    </w:p>
    <w:p>
      <w:pPr>
        <w:tabs>
          <w:tab w:pos="567" w:val="left"/>
        </w:tabs>
        <w:ind w:left="567" w:hanging="567"/>
      </w:pPr>
      <w:r>
        <w:t>3.</w:t>
      </w:r>
      <w:r>
        <w:tab/>
      </w:r>
      <w:r>
        <w:t>des Empfängers der vergebenen Subvention im Sinne des Absatzes 1 Satz 1 Nummer 1 Buchstabe c oder</w:t>
      </w:r>
    </w:p>
    <w:p>
      <w:pPr>
        <w:tabs>
          <w:tab w:pos="567" w:val="left"/>
        </w:tabs>
        <w:ind w:left="567" w:hanging="567"/>
      </w:pPr>
      <w:r>
        <w:t>4.</w:t>
      </w:r>
      <w:r>
        <w:tab/>
      </w:r>
      <w:r>
        <w:t>der betroffenen Personen im Sinne des Absatzes 1 Satz 1 Nummer 1 Buchstabe d</w:t>
      </w:r>
    </w:p>
    <w:p>
      <w:r>
        <w:t>anzugeben, haben die Mitwirkungspflichtigen (</w:t>
      </w:r>
      <w:hyperlink w:anchor="b145" w:history="1">
        <w:r>
          <w:rPr>
            <w:color w:val="0A3A8C"/>
            <w:u w:val="single"/>
          </w:rPr>
          <w:t xml:space="preserve">§ 90</w:t>
        </w:r>
      </w:hyperlink>
      <w:r>
        <w:t xml:space="preserve">) nach den Nummern 1 bis 4 der mitteilungspflichtigen Stelle diese Daten zu übermitteln. </w:t>
      </w:r>
      <w:r>
        <w:rPr>
          <w:rStyle w:val="Satznummer"/>
        </w:rPr>
        <w:t>2</w:t>
      </w:r>
      <w:r>
        <w:t xml:space="preserve">Wird der Mitwirkungspflicht nach Satz 1 nicht innerhalb von zwei Wochen nach Aufforderung durch die mitteilungspflichtige Stelle entsprochen und weder die Identifikationsnummer noch ein anderes steuerliches Ordnungsmerkmal übermittelt, hat die mitteilungspflichtige Stelle die Möglichkeit, die Identifikationsnummer der betroffenen Mitwirkungspflichtigen nach Satz 1 Nummer 1 bis 4 nach amtlich vorgeschriebenem Datensatz beim Bundeszentralamt für Steuern abzufragen. </w:t>
      </w:r>
      <w:r>
        <w:rPr>
          <w:rStyle w:val="Satznummer"/>
        </w:rPr>
        <w:t>3</w:t>
      </w:r>
      <w:r>
        <w:t xml:space="preserve">Die Abfrage ist mindestens zwei Wochen vor dem Zeitpunkt zu stellen, zu dem die Mitteilung nach der Mitteilungsverordnung zu übermitteln ist. </w:t>
      </w:r>
      <w:r>
        <w:rPr>
          <w:rStyle w:val="Satznummer"/>
        </w:rPr>
        <w:t>4</w:t>
      </w:r>
      <w:r>
        <w:t xml:space="preserve">In der Abfrage dürfen nur die in </w:t>
      </w:r>
      <w:hyperlink w:anchor="b234" w:history="1">
        <w:r>
          <w:rPr>
            <w:color w:val="0A3A8C"/>
            <w:u w:val="single"/>
          </w:rPr>
          <w:t xml:space="preserve">§ 139b</w:t>
        </w:r>
      </w:hyperlink>
      <w:r>
        <w:t xml:space="preserve"> Absatz 3 genannten Daten der betroffenen Mitwirkungspflichtigen nach Satz 1 Nummer 1 bis 4 angegeben werden. </w:t>
      </w:r>
      <w:r>
        <w:rPr>
          <w:rStyle w:val="Satznummer"/>
        </w:rPr>
        <w:t>5</w:t>
      </w:r>
      <w:r>
        <w:t>Das Bundeszentralamt für Steuern entspricht dem Ersuchen, wenn die übermittelten Daten den beim Bundeszentralamt für Steuern hinterlegten Daten entsprechen.</w:t>
      </w:r>
    </w:p>
    <w:p>
      <w:pPr>
        <w:pStyle w:val="Heading5"/>
      </w:pPr>
      <w:bookmarkStart w:id="153" w:name="b151"/>
      <w:r>
        <w:t>§ 93b Automatisierter Abruf von Kontoinformationen</w:t>
      </w:r>
      <w:r>
        <w:t xml:space="preserve"> </w:t>
      </w:r>
      <w:r>
        <w:rPr>
          <w:rStyle w:val="Suchmarke"/>
        </w:rPr>
        <w:t>#93b#</w:t>
      </w:r>
      <w:bookmarkEnd w:id="153"/>
    </w:p>
    <w:p>
      <w:r>
        <w:t xml:space="preserve">(1) Kreditinstitute haben das nach § 24c Absatz 1 des Kreditwesengesetzes zu führende Dateisystem auch für Abrufe nach </w:t>
      </w:r>
      <w:hyperlink w:anchor="b149" w:history="1">
        <w:r>
          <w:rPr>
            <w:color w:val="0A3A8C"/>
            <w:u w:val="single"/>
          </w:rPr>
          <w:t xml:space="preserve">§ 93</w:t>
        </w:r>
      </w:hyperlink>
      <w:r>
        <w:t xml:space="preserve"> Absatz 7 und 8 zu führen.</w:t>
      </w:r>
    </w:p>
    <w:p>
      <w:r>
        <w:t xml:space="preserve">(1a) </w:t>
      </w:r>
      <w:r>
        <w:rPr>
          <w:rStyle w:val="Satznummer"/>
        </w:rPr>
        <w:t>1</w:t>
      </w:r>
      <w:r>
        <w:t xml:space="preserve">Kreditinstitute haben für Kontenabrufersuchen nach </w:t>
      </w:r>
      <w:hyperlink w:anchor="b149" w:history="1">
        <w:r>
          <w:rPr>
            <w:color w:val="0A3A8C"/>
            <w:u w:val="single"/>
          </w:rPr>
          <w:t xml:space="preserve">§ 93</w:t>
        </w:r>
      </w:hyperlink>
      <w:r>
        <w:t xml:space="preserve"> Absatz 7 oder 8 zusätzlich zu den in § 24c Absatz 1 des Kreditwesengesetzes bezeichneten Daten für jeden Verfügungsberechtigten und jeden wirtschaftlich Berechtigten im Sinne des Geldwäschegesetzes auch die Adressen sowie die in </w:t>
      </w:r>
      <w:hyperlink w:anchor="b260" w:history="1">
        <w:r>
          <w:rPr>
            <w:color w:val="0A3A8C"/>
            <w:u w:val="single"/>
          </w:rPr>
          <w:t xml:space="preserve">§ 154</w:t>
        </w:r>
      </w:hyperlink>
      <w:r>
        <w:t xml:space="preserve"> Absatz 2a bezeichneten Daten zu speichern. </w:t>
      </w:r>
      <w:r>
        <w:rPr>
          <w:rStyle w:val="Satznummer"/>
        </w:rPr>
        <w:t>2</w:t>
      </w:r>
      <w:r>
        <w:t>§ 154 Absatz 2d und Artikel 97 § 26 Absatz 5 Nummer 3 und 4 des Einführungsgesetzes zur Abgabenordnung bleiben unberührt.</w:t>
      </w:r>
    </w:p>
    <w:p>
      <w:r>
        <w:t xml:space="preserve">(2) </w:t>
      </w:r>
      <w:r>
        <w:rPr>
          <w:rStyle w:val="Satznummer"/>
        </w:rPr>
        <w:t>1</w:t>
      </w:r>
      <w:r>
        <w:t xml:space="preserve">Das Bundeszentralamt für Steuern darf in den Fällen des </w:t>
      </w:r>
      <w:hyperlink w:anchor="b149" w:history="1">
        <w:r>
          <w:rPr>
            <w:color w:val="0A3A8C"/>
            <w:u w:val="single"/>
          </w:rPr>
          <w:t xml:space="preserve">§ 93</w:t>
        </w:r>
      </w:hyperlink>
      <w:r>
        <w:t xml:space="preserve"> Absatz 7 und 8 auf Ersuchen bei den Kreditinstituten einzelne Daten aus den nach den Absätzen 1 und 1a zu führenden Dateisystemen im automatisierten Verfahren abrufen und sie an den Ersuchenden übermitteln. </w:t>
      </w:r>
      <w:r>
        <w:rPr>
          <w:rStyle w:val="Satznummer"/>
        </w:rPr>
        <w:t>2</w:t>
      </w:r>
      <w:r>
        <w:t>Die Identifikationsnummer nach § 139b eines Verfügungsberechtigten oder eines wirtschaftlich Berechtigten darf das Bundeszentralamt für Steuern nur Finanzbehörden mitteilen.</w:t>
      </w:r>
    </w:p>
    <w:p>
      <w:r>
        <w:t>(3) Die Verantwortung für die Zulässigkeit des Datenabrufs und der Datenübermittlung trägt der Ersuchende.</w:t>
      </w:r>
    </w:p>
    <w:p>
      <w:r>
        <w:t>(4) § 24c Absatz 1 Satz 2 bis 6, Absatz 4 bis 8 des Kreditwesengesetzes gilt entsprechend.</w:t>
      </w:r>
    </w:p>
    <w:p>
      <w:pPr>
        <w:pStyle w:val="Heading5"/>
      </w:pPr>
      <w:bookmarkStart w:id="154" w:name="b152"/>
      <w:r>
        <w:t>§ 93c Datenübermittlung durch Dritte</w:t>
      </w:r>
      <w:r>
        <w:t xml:space="preserve"> </w:t>
      </w:r>
      <w:r>
        <w:rPr>
          <w:rStyle w:val="Suchmarke"/>
        </w:rPr>
        <w:t>#93c#</w:t>
      </w:r>
      <w:bookmarkEnd w:id="154"/>
    </w:p>
    <w:p>
      <w:r>
        <w:t>(1) Sind steuerliche Daten eines Steuerpflichtigen auf Grund gesetzlicher Vorschriften von einem Dritten (mitteilungspflichtige Stelle) an Finanzbehörden elektronisch zu übermitteln, so gilt vorbehaltlich abweichender Bestimmungen in den Steuergesetzen Folgendes:</w:t>
      </w:r>
    </w:p>
    <w:p>
      <w:pPr>
        <w:tabs>
          <w:tab w:pos="567" w:val="left"/>
        </w:tabs>
        <w:ind w:left="567" w:hanging="567"/>
      </w:pPr>
      <w:r>
        <w:t>1.</w:t>
      </w:r>
      <w:r>
        <w:tab/>
      </w:r>
      <w:r>
        <w:t>Die mitteilungspflichtige Stelle muss die Daten nach Ablauf des Besteuerungszeitraums bis zum letzten Tag des Monats Februar des folgenden Jahres nach amtlich vorgeschriebenem Datensatz durch Datenfernübertragung über die amtlich bestimmte Schnittstelle übermitteln; bezieht sich die Übermittlungspflicht auf einen Besteuerungszeitpunkt, sind die Daten bis zum Ablauf des zweiten Kalendermonats nach Ablauf des Monats zu übermitteln, in dem der Besteuerungszeitpunkt liegt.</w:t>
      </w:r>
    </w:p>
    <w:p>
      <w:pPr>
        <w:tabs>
          <w:tab w:pos="567" w:val="left"/>
        </w:tabs>
        <w:ind w:left="567" w:hanging="567"/>
      </w:pPr>
      <w:r>
        <w:t>2.</w:t>
      </w:r>
      <w:r>
        <w:tab/>
      </w:r>
      <w:r>
        <w:t>Der Datensatz muss folgende Angaben enthalten:</w:t>
      </w:r>
    </w:p>
    <w:p>
      <w:pPr>
        <w:tabs>
          <w:tab w:pos="1134" w:val="left"/>
        </w:tabs>
        <w:ind w:left="1134" w:hanging="567"/>
      </w:pPr>
      <w:r>
        <w:t>a)</w:t>
      </w:r>
      <w:r>
        <w:tab/>
      </w:r>
      <w:r>
        <w:t xml:space="preserve">den Namen, die Anschrift, das Ordnungsmerkmal und die Kontaktdaten der mitteilungspflichtigen Stelle sowie ihr Identifikationsmerkmal nach den </w:t>
      </w:r>
      <w:hyperlink w:anchor="b233" w:history="1">
        <w:r>
          <w:rPr>
            <w:color w:val="0A3A8C"/>
            <w:u w:val="single"/>
          </w:rPr>
          <w:t xml:space="preserve">§§ 139a</w:t>
        </w:r>
      </w:hyperlink>
      <w:r>
        <w:t xml:space="preserve"> bis </w:t>
      </w:r>
      <w:hyperlink w:anchor="b235" w:history="1">
        <w:r>
          <w:rPr>
            <w:color w:val="0A3A8C"/>
            <w:u w:val="single"/>
          </w:rPr>
          <w:t xml:space="preserve">139c</w:t>
        </w:r>
      </w:hyperlink>
      <w:r>
        <w:t xml:space="preserve"> oder, soweit dieses nicht vergeben wurde, ihre Steuernummer;</w:t>
      </w:r>
    </w:p>
    <w:p>
      <w:pPr>
        <w:tabs>
          <w:tab w:pos="1134" w:val="left"/>
        </w:tabs>
        <w:ind w:left="1134" w:hanging="567"/>
      </w:pPr>
      <w:r>
        <w:t>b)</w:t>
      </w:r>
      <w:r>
        <w:tab/>
      </w:r>
      <w:r>
        <w:t xml:space="preserve">hat die mitteilungspflichtige Stelle einen Auftragnehmer im Sinne des </w:t>
      </w:r>
      <w:hyperlink w:anchor="b136" w:history="1">
        <w:r>
          <w:rPr>
            <w:color w:val="0A3A8C"/>
            <w:u w:val="single"/>
          </w:rPr>
          <w:t xml:space="preserve">§ 87d</w:t>
        </w:r>
      </w:hyperlink>
      <w:r>
        <w:t xml:space="preserve"> mit der Datenübermittlung beauftragt, so sind zusätzlich zu den Angaben nach Buchstabe a der Name, die Anschrift und die Kontaktdaten des Auftragnehmers sowie dessen Identifikationsmerkmal nach den </w:t>
      </w:r>
      <w:hyperlink w:anchor="b233" w:history="1">
        <w:r>
          <w:rPr>
            <w:color w:val="0A3A8C"/>
            <w:u w:val="single"/>
          </w:rPr>
          <w:t xml:space="preserve">§§ 139a</w:t>
        </w:r>
      </w:hyperlink>
      <w:r>
        <w:t xml:space="preserve"> bis </w:t>
      </w:r>
      <w:hyperlink w:anchor="b235" w:history="1">
        <w:r>
          <w:rPr>
            <w:color w:val="0A3A8C"/>
            <w:u w:val="single"/>
          </w:rPr>
          <w:t xml:space="preserve">139c</w:t>
        </w:r>
      </w:hyperlink>
      <w:r>
        <w:t xml:space="preserve"> oder, wenn dieses nicht vergeben wurde, dessen Steuernummer anzugeben;</w:t>
      </w:r>
    </w:p>
    <w:p>
      <w:pPr>
        <w:tabs>
          <w:tab w:pos="1134" w:val="left"/>
        </w:tabs>
        <w:ind w:left="1134" w:hanging="567"/>
      </w:pPr>
      <w:r>
        <w:t>c)</w:t>
      </w:r>
      <w:r>
        <w:tab/>
      </w:r>
      <w:r>
        <w:t xml:space="preserve">den Familiennamen, den Vornamen, den Tag der Geburt, die Anschrift des Steuerpflichtigen und dessen Identifikationsnummer nach </w:t>
      </w:r>
      <w:hyperlink w:anchor="b234" w:history="1">
        <w:r>
          <w:rPr>
            <w:color w:val="0A3A8C"/>
            <w:u w:val="single"/>
          </w:rPr>
          <w:t xml:space="preserve">§ 139b</w:t>
        </w:r>
      </w:hyperlink>
      <w:r>
        <w:t>;</w:t>
      </w:r>
    </w:p>
    <w:p>
      <w:pPr>
        <w:tabs>
          <w:tab w:pos="1134" w:val="left"/>
        </w:tabs>
        <w:ind w:left="1134" w:hanging="567"/>
      </w:pPr>
      <w:r>
        <w:t>d)</w:t>
      </w:r>
      <w:r>
        <w:tab/>
      </w:r>
      <w:r>
        <w:t xml:space="preserve">handelt es sich bei dem Steuerpflichtigen nicht um eine natürliche Person, so sind dessen Firma oder Name, Anschrift und Wirtschafts-Identifikationsnummer nach </w:t>
      </w:r>
      <w:hyperlink w:anchor="b235" w:history="1">
        <w:r>
          <w:rPr>
            <w:color w:val="0A3A8C"/>
            <w:u w:val="single"/>
          </w:rPr>
          <w:t xml:space="preserve">§ 139c</w:t>
        </w:r>
      </w:hyperlink>
      <w:r>
        <w:t xml:space="preserve"> oder, wenn diese noch nicht vergeben wurde, dessen Steuernummer anzugeben;</w:t>
      </w:r>
    </w:p>
    <w:p>
      <w:pPr>
        <w:tabs>
          <w:tab w:pos="1134" w:val="left"/>
        </w:tabs>
        <w:ind w:left="1134" w:hanging="567"/>
      </w:pPr>
      <w:r>
        <w:t>e)</w:t>
      </w:r>
      <w:r>
        <w:tab/>
      </w:r>
      <w:r>
        <w:t>den Zeitpunkt der Erstellung des Datensatzes oder eines anderen Ereignisses, anhand dessen die Daten in der zeitlichen Reihenfolge geordnet werden können, die Art der Mitteilung, den betroffenen Besteuerungszeitraum oder Besteuerungszeitpunkt und die Angabe, ob es sich um eine erstmalige, korrigierte oder stornierende Mitteilung handelt.</w:t>
      </w:r>
    </w:p>
    <w:p>
      <w:pPr>
        <w:tabs>
          <w:tab w:pos="567" w:val="left"/>
        </w:tabs>
        <w:ind w:left="567" w:hanging="567"/>
      </w:pPr>
      <w:r>
        <w:t>3.</w:t>
      </w:r>
      <w:r>
        <w:tab/>
      </w:r>
      <w:r>
        <w:t xml:space="preserve">Die mitteilungspflichtige Stelle hat den Steuerpflichtigen darüber zu informieren, welche für seine Besteuerung relevanten Daten sie an die Finanzbehörden übermittelt hat oder übermitteln wird. </w:t>
      </w:r>
      <w:r>
        <w:rPr>
          <w:rStyle w:val="Satznummer"/>
        </w:rPr>
        <w:t>2</w:t>
      </w:r>
      <w:r>
        <w:t xml:space="preserve">Diese Information hat in geeigneter Weise, mit Zustimmung des Steuerpflichtigen elektronisch, und binnen angemessener Frist zu erfolgen. </w:t>
      </w:r>
      <w:r>
        <w:rPr>
          <w:rStyle w:val="Satznummer"/>
        </w:rPr>
        <w:t>3</w:t>
      </w:r>
      <w:r>
        <w:t>Auskunftspflichten nach anderen Gesetzen bleiben unberührt.</w:t>
      </w:r>
    </w:p>
    <w:p>
      <w:pPr>
        <w:tabs>
          <w:tab w:pos="567" w:val="left"/>
        </w:tabs>
        <w:ind w:left="567" w:hanging="567"/>
      </w:pPr>
      <w:r>
        <w:t>4.</w:t>
      </w:r>
      <w:r>
        <w:tab/>
      </w:r>
      <w:r>
        <w:t xml:space="preserve">Die mitteilungspflichtige Stelle hat die übermittelten Daten aufzuzeichnen und diese Aufzeichnungen sowie die der Mitteilung zugrunde liegenden Unterlagen bis zum Ablauf des siebten auf den Besteuerungszeitraum oder Besteuerungszeitpunkt folgenden Kalenderjahres aufzubewahren; die </w:t>
      </w:r>
      <w:hyperlink w:anchor="b246" w:history="1">
        <w:r>
          <w:rPr>
            <w:color w:val="0A3A8C"/>
            <w:u w:val="single"/>
          </w:rPr>
          <w:t xml:space="preserve">§§ 146</w:t>
        </w:r>
      </w:hyperlink>
      <w:r>
        <w:t xml:space="preserve"> und </w:t>
      </w:r>
      <w:hyperlink w:anchor="b249" w:history="1">
        <w:r>
          <w:rPr>
            <w:color w:val="0A3A8C"/>
            <w:u w:val="single"/>
          </w:rPr>
          <w:t xml:space="preserve">147</w:t>
        </w:r>
      </w:hyperlink>
      <w:r>
        <w:t xml:space="preserve"> Absatz 2, 5 und 6 gelten entsprechend.</w:t>
      </w:r>
    </w:p>
    <w:p>
      <w:r>
        <w:t>(2) Die mitteilungspflichtige Stelle soll Daten nicht übermitteln, wenn sie erst nach Ablauf des siebten auf den Besteuerungszeitraum oder Besteuerungszeitpunkt folgenden Kalenderjahres erkennt, dass sie zur Datenübermittlung verpflichtet war.</w:t>
      </w:r>
    </w:p>
    <w:p>
      <w:r>
        <w:t xml:space="preserve">(3) </w:t>
      </w:r>
      <w:r>
        <w:rPr>
          <w:rStyle w:val="Satznummer"/>
        </w:rPr>
        <w:t>1</w:t>
      </w:r>
      <w:r>
        <w:t>Stellt die mitteilungspflichtige Stelle bis zum Ablauf des siebten auf den Besteuerungszeitraum oder Besteuerungszeitpunkt folgenden Kalenderjahres fest, dass</w:t>
      </w:r>
    </w:p>
    <w:p>
      <w:pPr>
        <w:tabs>
          <w:tab w:pos="567" w:val="left"/>
        </w:tabs>
        <w:ind w:left="567" w:hanging="567"/>
      </w:pPr>
      <w:r>
        <w:t>1.</w:t>
      </w:r>
      <w:r>
        <w:tab/>
      </w:r>
      <w:r>
        <w:t>die nach Maßgabe des Absatzes 1 übermittelten Daten unzutreffend waren oder</w:t>
      </w:r>
    </w:p>
    <w:p>
      <w:pPr>
        <w:tabs>
          <w:tab w:pos="567" w:val="left"/>
        </w:tabs>
        <w:ind w:left="567" w:hanging="567"/>
      </w:pPr>
      <w:r>
        <w:t>2.</w:t>
      </w:r>
      <w:r>
        <w:tab/>
      </w:r>
      <w:r>
        <w:t>ein Datensatz übermittelt wurde, obwohl die Voraussetzungen hierfür nicht vorlagen,</w:t>
      </w:r>
    </w:p>
    <w:p>
      <w:r>
        <w:t xml:space="preserve">so hat die mitteilungspflichtige Stelle dies vorbehaltlich abweichender Bestimmungen in den Steuergesetzen unverzüglich durch Übermittlung eines weiteren Datensatzes zu korrigieren oder zu stornieren. </w:t>
      </w:r>
      <w:r>
        <w:rPr>
          <w:rStyle w:val="Satznummer"/>
        </w:rPr>
        <w:t>2</w:t>
      </w:r>
      <w:r>
        <w:t>Absatz 1 Nummer 2 bis 4 gilt entsprechend.</w:t>
      </w:r>
    </w:p>
    <w:p>
      <w:r>
        <w:t xml:space="preserve">(4) </w:t>
      </w:r>
      <w:r>
        <w:rPr>
          <w:rStyle w:val="Satznummer"/>
        </w:rPr>
        <w:t>1</w:t>
      </w:r>
      <w:r>
        <w:t>Die nach den Steuergesetzen zuständige Finanzbehörde kann ermitteln, ob die mitteilungspflichtige Stelle</w:t>
      </w:r>
    </w:p>
    <w:p>
      <w:pPr>
        <w:tabs>
          <w:tab w:pos="567" w:val="left"/>
        </w:tabs>
        <w:ind w:left="567" w:hanging="567"/>
      </w:pPr>
      <w:r>
        <w:t>1.</w:t>
      </w:r>
      <w:r>
        <w:tab/>
      </w:r>
      <w:r>
        <w:t>ihre Pflichten nach Absatz 1 Nummer 1, 2 und 4 und Absatz 3 erfüllt und</w:t>
      </w:r>
    </w:p>
    <w:p>
      <w:pPr>
        <w:tabs>
          <w:tab w:pos="567" w:val="left"/>
        </w:tabs>
        <w:ind w:left="567" w:hanging="567"/>
      </w:pPr>
      <w:r>
        <w:t>2.</w:t>
      </w:r>
      <w:r>
        <w:tab/>
      </w:r>
      <w:r>
        <w:t>den Inhalt des Datensatzes nach den Vorgaben des jeweiligen Steuergesetzes bestimmt hat.</w:t>
      </w:r>
    </w:p>
    <w:p>
      <w:r>
        <w:rPr>
          <w:rStyle w:val="Satznummer"/>
        </w:rPr>
        <w:t>2</w:t>
      </w:r>
      <w:r>
        <w:t>Die Rechte und Pflichten der für die Besteuerung des Steuerpflichtigen zuständigen Finanzbehörde hinsichtlich der Ermittlung des Sachverhalts bleiben unberührt.</w:t>
      </w:r>
    </w:p>
    <w:p>
      <w:r>
        <w:t xml:space="preserve">(5) Soweit gesetzlich nichts anderes bestimmt ist, ist die nach den Steuergesetzen für die Entgegennahme der Daten zuständige Finanzbehörde auch für die Anwendung des Absatzes 4 und des </w:t>
      </w:r>
      <w:hyperlink w:anchor="b110" w:history="1">
        <w:r>
          <w:rPr>
            <w:color w:val="0A3A8C"/>
            <w:u w:val="single"/>
          </w:rPr>
          <w:t xml:space="preserve">§ 72a</w:t>
        </w:r>
      </w:hyperlink>
      <w:r>
        <w:t xml:space="preserve"> Absatz 4 zuständig.</w:t>
      </w:r>
    </w:p>
    <w:p>
      <w:r>
        <w:t>(6) Die Finanzbehörden dürfen von den mitteilungspflichtigen Stellen mitgeteilte Daten im Sinne der Absätze 1 und 3 verarbeiten, wenn dies zur Erfüllung der ihnen obliegenden Aufgaben oder in Ausübung öffentlicher Gewalt, die ihnen übertragen wurde, erforderlich ist.</w:t>
      </w:r>
    </w:p>
    <w:p>
      <w:r>
        <w:t>(7) Soweit gesetzlich nichts anderes bestimmt ist, darf die mitteilungspflichtige Stelle die ausschließlich zum Zweck der Übermittlung erhobenen und gespeicherten Daten des Steuerpflichtigen nur für diesen Zweck verwenden.</w:t>
      </w:r>
    </w:p>
    <w:p>
      <w:r>
        <w:t>(8) Die Absätze 1 bis 7 sind nicht anzuwenden auf</w:t>
      </w:r>
    </w:p>
    <w:p>
      <w:pPr>
        <w:tabs>
          <w:tab w:pos="567" w:val="left"/>
        </w:tabs>
        <w:ind w:left="567" w:hanging="567"/>
      </w:pPr>
      <w:r>
        <w:t>1.</w:t>
      </w:r>
      <w:r>
        <w:tab/>
      </w:r>
      <w:r>
        <w:t>Datenübermittlungspflichten nach § 51a Absatz 2c oder Abschnitt XI des Einkommensteuergesetzes,</w:t>
      </w:r>
    </w:p>
    <w:p>
      <w:pPr>
        <w:tabs>
          <w:tab w:pos="567" w:val="left"/>
        </w:tabs>
        <w:ind w:left="567" w:hanging="567"/>
      </w:pPr>
      <w:r>
        <w:t>2.</w:t>
      </w:r>
      <w:r>
        <w:tab/>
      </w:r>
      <w:r>
        <w:t>Datenübermittlungspflichten gegenüber den Zollbehörden,</w:t>
      </w:r>
    </w:p>
    <w:p>
      <w:pPr>
        <w:tabs>
          <w:tab w:pos="567" w:val="left"/>
        </w:tabs>
        <w:ind w:left="567" w:hanging="567"/>
      </w:pPr>
      <w:r>
        <w:t>3.</w:t>
      </w:r>
      <w:r>
        <w:tab/>
      </w:r>
      <w:r>
        <w:t>Datenübermittlungen zwischen Finanzbehörden und</w:t>
      </w:r>
    </w:p>
    <w:p>
      <w:pPr>
        <w:tabs>
          <w:tab w:pos="567" w:val="left"/>
        </w:tabs>
        <w:ind w:left="567" w:hanging="567"/>
      </w:pPr>
      <w:r>
        <w:t>4.</w:t>
      </w:r>
      <w:r>
        <w:tab/>
      </w:r>
      <w:r>
        <w:t>Datenübermittlungspflichten ausländischer öffentlicher Stellen.</w:t>
      </w:r>
    </w:p>
    <w:p>
      <w:pPr>
        <w:pStyle w:val="Heading5"/>
      </w:pPr>
      <w:bookmarkStart w:id="155" w:name="b153"/>
      <w:r>
        <w:t>§ 93d Verordnungsermächtigung</w:t>
      </w:r>
      <w:r>
        <w:t xml:space="preserve"> </w:t>
      </w:r>
      <w:r>
        <w:rPr>
          <w:rStyle w:val="Suchmarke"/>
        </w:rPr>
        <w:t>#93d#</w:t>
      </w:r>
      <w:bookmarkEnd w:id="155"/>
    </w:p>
    <w:p>
      <w:r>
        <w:rPr>
          <w:rStyle w:val="Satznummer"/>
        </w:rPr>
        <w:t>1</w:t>
      </w:r>
      <w:r>
        <w:t xml:space="preserve">Das Bundesministerium der Finanzen kann durch Rechtsverordnung mit Zustimmung des Bundesrates bestimmen, dass Daten im Sinne des </w:t>
      </w:r>
      <w:hyperlink w:anchor="b152" w:history="1">
        <w:r>
          <w:rPr>
            <w:color w:val="0A3A8C"/>
            <w:u w:val="single"/>
          </w:rPr>
          <w:t xml:space="preserve">§ 93c</w:t>
        </w:r>
      </w:hyperlink>
      <w:r>
        <w:t xml:space="preserve"> vor der erstmaligen Übermittlung für Zwecke der Erprobung erhoben werden, soweit dies zur Entwicklung, Überprüfung oder Änderung von automatisierten Verfahren erforderlich ist. </w:t>
      </w:r>
      <w:r>
        <w:rPr>
          <w:rStyle w:val="Satznummer"/>
        </w:rPr>
        <w:t>2</w:t>
      </w:r>
      <w:r>
        <w:t>Die Daten dürfen in diesem Fall ausschließlich für Zwecke der Erprobung verarbeitet und müssen innerhalb eines Jahres nach Beendigung der Erprobung gelöscht werden.</w:t>
      </w:r>
    </w:p>
    <w:p>
      <w:pPr>
        <w:pStyle w:val="Heading5"/>
      </w:pPr>
      <w:bookmarkStart w:id="156" w:name="b154"/>
      <w:r>
        <w:t>§ 94 Eidliche Vernehmung</w:t>
      </w:r>
      <w:r>
        <w:t xml:space="preserve"> </w:t>
      </w:r>
      <w:r>
        <w:rPr>
          <w:rStyle w:val="Suchmarke"/>
        </w:rPr>
        <w:t>#94#</w:t>
      </w:r>
      <w:bookmarkEnd w:id="156"/>
    </w:p>
    <w:p>
      <w:r>
        <w:t xml:space="preserve">(1) </w:t>
      </w:r>
      <w:r>
        <w:rPr>
          <w:rStyle w:val="Satznummer"/>
        </w:rPr>
        <w:t>1</w:t>
      </w:r>
      <w:r>
        <w:t xml:space="preserve">Hält die Finanzbehörde mit Rücksicht auf die Bedeutung der Auskunft oder zur Herbeiführung einer wahrheitsgemäßen Auskunft die Beeidigung einer anderen Person als eines Beteiligten für geboten, so kann sie das für den Wohnsitz oder den Aufenthaltsort der zu beeidigenden Person zuständige Finanzgericht um die eidliche Vernehmung ersuchen. </w:t>
      </w:r>
      <w:r>
        <w:rPr>
          <w:rStyle w:val="Satznummer"/>
        </w:rPr>
        <w:t>2</w:t>
      </w:r>
      <w:r>
        <w:t>Befindet sich der Wohnsitz oder der Aufenthaltsort der zu beeidigenden Person nicht am Sitz eines Finanzgerichts oder eines besonders errichteten Senats, so kann auch das zuständige Amtsgericht um die eidliche Vernehmung ersucht werden.</w:t>
      </w:r>
    </w:p>
    <w:p>
      <w:r>
        <w:t xml:space="preserve">(2) </w:t>
      </w:r>
      <w:r>
        <w:rPr>
          <w:rStyle w:val="Satznummer"/>
        </w:rPr>
        <w:t>1</w:t>
      </w:r>
      <w:r>
        <w:t xml:space="preserve">In dem Ersuchen hat die Finanzbehörde den Gegenstand der Vernehmung sowie die Namen und Anschriften der Beteiligten anzugeben. </w:t>
      </w:r>
      <w:r>
        <w:rPr>
          <w:rStyle w:val="Satznummer"/>
        </w:rPr>
        <w:t>2</w:t>
      </w:r>
      <w:r>
        <w:t xml:space="preserve">Das Gericht hat die Beteiligten und die ersuchende Finanzbehörde von den Terminen zu benachrichtigen. </w:t>
      </w:r>
      <w:r>
        <w:rPr>
          <w:rStyle w:val="Satznummer"/>
        </w:rPr>
        <w:t>3</w:t>
      </w:r>
      <w:r>
        <w:t>Die Beteiligten und die ersuchende Finanzbehörde sind berechtigt, während der Vernehmung Fragen zu stellen.</w:t>
      </w:r>
    </w:p>
    <w:p>
      <w:r>
        <w:t>(3) Das Gericht entscheidet über die Rechtmäßigkeit der Verweigerung des Zeugnisses oder der Eidesleistung.</w:t>
      </w:r>
    </w:p>
    <w:p>
      <w:pPr>
        <w:pStyle w:val="Heading5"/>
      </w:pPr>
      <w:bookmarkStart w:id="157" w:name="b155"/>
      <w:r>
        <w:t>§ 95 Versicherung an Eides statt</w:t>
      </w:r>
      <w:r>
        <w:t xml:space="preserve"> </w:t>
      </w:r>
      <w:r>
        <w:rPr>
          <w:rStyle w:val="Suchmarke"/>
        </w:rPr>
        <w:t>#95#</w:t>
      </w:r>
      <w:bookmarkEnd w:id="157"/>
    </w:p>
    <w:p>
      <w:r>
        <w:t xml:space="preserve">(1) </w:t>
      </w:r>
      <w:r>
        <w:rPr>
          <w:rStyle w:val="Satznummer"/>
        </w:rPr>
        <w:t>1</w:t>
      </w:r>
      <w:r>
        <w:t xml:space="preserve">Die Finanzbehörde kann den Beteiligten auffordern, dass er die Richtigkeit von Tatsachen, die er behauptet, an Eides statt versichert. </w:t>
      </w:r>
      <w:r>
        <w:rPr>
          <w:rStyle w:val="Satznummer"/>
        </w:rPr>
        <w:t>2</w:t>
      </w:r>
      <w:r>
        <w:t xml:space="preserve">Eine Versicherung an Eides statt soll nur gefordert werden, wenn andere Mittel zur Erforschung der Wahrheit nicht vorhanden sind, zu keinem Ergebnis geführt haben oder einen unverhältnismäßigen Aufwand erfordern. </w:t>
      </w:r>
      <w:r>
        <w:rPr>
          <w:rStyle w:val="Satznummer"/>
        </w:rPr>
        <w:t>3</w:t>
      </w:r>
      <w:r>
        <w:t>Von eidesunfähigen Personen im Sinne des § 393 der Zivilprozessordnung darf eine eidesstattliche Versicherung nicht verlangt werden.</w:t>
      </w:r>
    </w:p>
    <w:p>
      <w:r>
        <w:t xml:space="preserve">(2) </w:t>
      </w:r>
      <w:r>
        <w:rPr>
          <w:rStyle w:val="Satznummer"/>
        </w:rPr>
        <w:t>1</w:t>
      </w:r>
      <w:r>
        <w:t xml:space="preserve">Die Versicherung an Eides statt wird von der Finanzbehörde zur Niederschrift aufgenommen. </w:t>
      </w:r>
      <w:r>
        <w:rPr>
          <w:rStyle w:val="Satznummer"/>
        </w:rPr>
        <w:t>2</w:t>
      </w:r>
      <w:r>
        <w:t xml:space="preserve">Zur Aufnahme sind der Behördenleiter, sein ständiger Vertreter sowie Angehörige des öffentlichen Dienstes befugt, welche die Befähigung zum Richteramt haben. </w:t>
      </w:r>
      <w:r>
        <w:rPr>
          <w:rStyle w:val="Satznummer"/>
        </w:rPr>
        <w:t>3</w:t>
      </w:r>
      <w:r>
        <w:t>Andere Angehörige des öffentlichen Dienstes kann der Behördenleiter oder sein ständiger Vertreter hierzu allgemein oder im Einzelfall schriftlich ermächtigen.</w:t>
      </w:r>
    </w:p>
    <w:p>
      <w:r>
        <w:t xml:space="preserve">(3) </w:t>
      </w:r>
      <w:r>
        <w:rPr>
          <w:rStyle w:val="Satznummer"/>
        </w:rPr>
        <w:t>1</w:t>
      </w:r>
      <w:r>
        <w:t xml:space="preserve">Die Angaben, deren Richtigkeit versichert werden soll, sind schriftlich festzustellen und dem Beteiligten mindestens eine Woche vor Aufnahme der Versicherung mitzuteilen. </w:t>
      </w:r>
      <w:r>
        <w:rPr>
          <w:rStyle w:val="Satznummer"/>
        </w:rPr>
        <w:t>2</w:t>
      </w:r>
      <w:r>
        <w:t xml:space="preserve">Die Versicherung besteht darin, dass der Beteiligte unter Wiederholung der behaupteten Tatsachen erklärt: „Ich versichere an Eides statt, dass ich nach bestem Wissen die reine Wahrheit gesagt und nichts verschwiegen habe“. </w:t>
      </w:r>
      <w:r>
        <w:rPr>
          <w:rStyle w:val="Satznummer"/>
        </w:rPr>
        <w:t>3</w:t>
      </w:r>
      <w:r>
        <w:t>Bevollmächtigte und Beistände des Beteiligten sind berechtigt, an der Aufnahme der Versicherung an Eides statt teilzunehmen.</w:t>
      </w:r>
    </w:p>
    <w:p>
      <w:r>
        <w:t xml:space="preserve">(4) </w:t>
      </w:r>
      <w:r>
        <w:rPr>
          <w:rStyle w:val="Satznummer"/>
        </w:rPr>
        <w:t>1</w:t>
      </w:r>
      <w:r>
        <w:t xml:space="preserve">Vor der Aufnahme der Versicherung an Eides statt ist der Beteiligte über die Bedeutung der eidesstattlichen Versicherung und die strafrechtlichen Folgen einer unrichtigen oder unvollständigen eidesstattlichen Versicherung zu belehren. </w:t>
      </w:r>
      <w:r>
        <w:rPr>
          <w:rStyle w:val="Satznummer"/>
        </w:rPr>
        <w:t>2</w:t>
      </w:r>
      <w:r>
        <w:t>Die Belehrung ist in der Niederschrift zu vermerken.</w:t>
      </w:r>
    </w:p>
    <w:p>
      <w:r>
        <w:t xml:space="preserve">(5) </w:t>
      </w:r>
      <w:r>
        <w:rPr>
          <w:rStyle w:val="Satznummer"/>
        </w:rPr>
        <w:t>1</w:t>
      </w:r>
      <w:r>
        <w:t xml:space="preserve">Die Niederschrift hat ferner die Namen der anwesenden Personen sowie den Ort und den Tag der Niederschrift zu enthalten. </w:t>
      </w:r>
      <w:r>
        <w:rPr>
          <w:rStyle w:val="Satznummer"/>
        </w:rPr>
        <w:t>2</w:t>
      </w:r>
      <w:r>
        <w:t xml:space="preserve">Die Niederschrift ist dem Beteiligten, der die eidesstattliche Versicherung abgibt, zur Genehmigung vorzulesen oder auf Verlangen zur Durchsicht vorzulegen. </w:t>
      </w:r>
      <w:r>
        <w:rPr>
          <w:rStyle w:val="Satznummer"/>
        </w:rPr>
        <w:t>3</w:t>
      </w:r>
      <w:r>
        <w:t xml:space="preserve">Die erteilte Genehmigung ist zu vermerken und von dem Beteiligten zu unterschreiben. </w:t>
      </w:r>
      <w:r>
        <w:rPr>
          <w:rStyle w:val="Satznummer"/>
        </w:rPr>
        <w:t>4</w:t>
      </w:r>
      <w:r>
        <w:t>Die Niederschrift ist sodann von dem Amtsträger, der die Versicherung an Eides statt aufgenommen hat, sowie von dem Schriftführer zu unterschreiben.</w:t>
      </w:r>
    </w:p>
    <w:p>
      <w:r>
        <w:t xml:space="preserve">(6) Die Versicherung an Eides statt kann nicht nach </w:t>
      </w:r>
      <w:hyperlink w:anchor="b482" w:history="1">
        <w:r>
          <w:rPr>
            <w:color w:val="0A3A8C"/>
            <w:u w:val="single"/>
          </w:rPr>
          <w:t xml:space="preserve">§ 328</w:t>
        </w:r>
      </w:hyperlink>
      <w:r>
        <w:t xml:space="preserve"> erzwungen werden.</w:t>
      </w:r>
    </w:p>
    <w:p>
      <w:pPr>
        <w:pStyle w:val="Heading5"/>
      </w:pPr>
      <w:bookmarkStart w:id="158" w:name="b156"/>
      <w:r>
        <w:t>§ 96 Hinzuziehung von Sachverständigen</w:t>
      </w:r>
      <w:r>
        <w:t xml:space="preserve"> </w:t>
      </w:r>
      <w:r>
        <w:rPr>
          <w:rStyle w:val="Suchmarke"/>
        </w:rPr>
        <w:t>#96#</w:t>
      </w:r>
      <w:bookmarkEnd w:id="158"/>
    </w:p>
    <w:p>
      <w:r>
        <w:t xml:space="preserve">(1) </w:t>
      </w:r>
      <w:r>
        <w:rPr>
          <w:rStyle w:val="Satznummer"/>
        </w:rPr>
        <w:t>1</w:t>
      </w:r>
      <w:r>
        <w:t xml:space="preserve">Die Finanzbehörde bestimmt, ob ein Sachverständiger zuzuziehen ist. </w:t>
      </w:r>
      <w:r>
        <w:rPr>
          <w:rStyle w:val="Satznummer"/>
        </w:rPr>
        <w:t>2</w:t>
      </w:r>
      <w:r>
        <w:t>Soweit nicht Gefahr im Verzug vorliegt, hat sie die Person, die sie zum Sachverständigen ernennen will, den Beteiligten vorher bekannt zu geben.</w:t>
      </w:r>
    </w:p>
    <w:p>
      <w:r>
        <w:t xml:space="preserve">(2) </w:t>
      </w:r>
      <w:r>
        <w:rPr>
          <w:rStyle w:val="Satznummer"/>
        </w:rPr>
        <w:t>1</w:t>
      </w:r>
      <w:r>
        <w:t xml:space="preserve">Die Beteiligten können einen Sachverständigen wegen Besorgnis der Befangenheit ablehnen, wenn ein Grund vorliegt, der geeignet ist, Zweifel an seiner Unparteilichkeit zu rechtfertigen oder wenn von seiner Tätigkeit die Verletzung eines Geschäfts- oder Betriebsgeheimnisses oder Schaden für die geschäftliche Tätigkeit eines Beteiligten zu befürchten ist. </w:t>
      </w:r>
      <w:r>
        <w:rPr>
          <w:rStyle w:val="Satznummer"/>
        </w:rPr>
        <w:t>2</w:t>
      </w:r>
      <w:r>
        <w:t xml:space="preserve">Die Ablehnung ist der Finanzbehörde gegenüber unverzüglich nach Bekanntgabe der Person des Sachverständigen, jedoch spätestens innerhalb von zwei Wochen unter Glaubhaftmachung der Ablehnungsgründe geltend zu machen. </w:t>
      </w:r>
      <w:r>
        <w:rPr>
          <w:rStyle w:val="Satznummer"/>
        </w:rPr>
        <w:t>3</w:t>
      </w:r>
      <w:r>
        <w:t xml:space="preserve">Nach diesem Zeitpunkt ist die Ablehnung nur zulässig, wenn glaubhaft gemacht wird, dass der Ablehnungsgrund vorher nicht geltend gemacht werden konnte. </w:t>
      </w:r>
      <w:r>
        <w:rPr>
          <w:rStyle w:val="Satznummer"/>
        </w:rPr>
        <w:t>4</w:t>
      </w:r>
      <w:r>
        <w:t xml:space="preserve">Über die Ablehnung entscheidet die Finanzbehörde, die den Sachverständigen ernannt hat oder ernennen will. </w:t>
      </w:r>
      <w:r>
        <w:rPr>
          <w:rStyle w:val="Satznummer"/>
        </w:rPr>
        <w:t>5</w:t>
      </w:r>
      <w:r>
        <w:t>Das Ablehnungsgesuch hat keine aufschiebende Wirkung.</w:t>
      </w:r>
    </w:p>
    <w:p>
      <w:r>
        <w:t xml:space="preserve">(3) </w:t>
      </w:r>
      <w:r>
        <w:rPr>
          <w:rStyle w:val="Satznummer"/>
        </w:rPr>
        <w:t>1</w:t>
      </w:r>
      <w:r>
        <w:t xml:space="preserve">Der zum Sachverständigen Ernannte hat der Ernennung Folge zu leisten, wenn er zur Erstattung von Gutachten der erforderlichen Art öffentlich bestellt ist oder wenn er die Wissenschaft, die Kunst oder das Gewerbe, deren Kenntnis Voraussetzung der Begutachtung ist, öffentlich zum Erwerb ausübt oder wenn er zur Ausübung derselben öffentlich bestellt oder ermächtigt ist. </w:t>
      </w:r>
      <w:r>
        <w:rPr>
          <w:rStyle w:val="Satznummer"/>
        </w:rPr>
        <w:t>2</w:t>
      </w:r>
      <w:r>
        <w:t>Zur Erstattung des Gutachtens ist auch derjenige verpflichtet, der sich hierzu der Finanzbehörde gegenüber bereit erklärt hat.</w:t>
      </w:r>
    </w:p>
    <w:p>
      <w:r>
        <w:t>(4) Der Sachverständige kann die Erstattung des Gutachtens unter Angabe der Gründe wegen Besorgnis der Befangenheit ablehnen.</w:t>
      </w:r>
    </w:p>
    <w:p>
      <w:r>
        <w:t>(5) Angehörige des öffentlichen Dienstes sind als Sachverständige nur dann zuzuziehen, wenn sie die nach dem Dienstrecht erforderliche Genehmigung erhalten.</w:t>
      </w:r>
    </w:p>
    <w:p>
      <w:r>
        <w:t>(6) Die Sachverständigen sind auf die Vorschriften über die Wahrung des Steuergeheimnisses hinzuweisen.</w:t>
      </w:r>
    </w:p>
    <w:p>
      <w:r>
        <w:t xml:space="preserve">(7) </w:t>
      </w:r>
      <w:r>
        <w:rPr>
          <w:rStyle w:val="Satznummer"/>
        </w:rPr>
        <w:t>1</w:t>
      </w:r>
      <w:r>
        <w:t xml:space="preserve">Das Gutachten ist regelmäßig schriftlich zu erstatten. </w:t>
      </w:r>
      <w:r>
        <w:rPr>
          <w:rStyle w:val="Satznummer"/>
        </w:rPr>
        <w:t>2</w:t>
      </w:r>
      <w:r>
        <w:t xml:space="preserve">Die mündliche Erstattung des Gutachtens kann zugelassen werden. </w:t>
      </w:r>
      <w:r>
        <w:rPr>
          <w:rStyle w:val="Satznummer"/>
        </w:rPr>
        <w:t>3</w:t>
      </w:r>
      <w:r>
        <w:t xml:space="preserve">Die Beeidigung des Gutachtens darf nur gefordert werden, wenn die Finanzbehörde dies mit Rücksicht auf die Bedeutung des Gutachtens für geboten hält. </w:t>
      </w:r>
      <w:r>
        <w:rPr>
          <w:rStyle w:val="Satznummer"/>
        </w:rPr>
        <w:t>4</w:t>
      </w:r>
      <w:r>
        <w:t xml:space="preserve">Ist der Sachverständige für die Erstattung von Gutachten der betreffenden Art im Allgemeinen beeidigt, so genügt die Berufung auf den geleisteten Eid; sie kann auch in einem schriftlichen Gutachten erklärt werden. </w:t>
      </w:r>
      <w:r>
        <w:rPr>
          <w:rStyle w:val="Satznummer"/>
        </w:rPr>
        <w:t>5</w:t>
      </w:r>
      <w:r>
        <w:t xml:space="preserve">Anderenfalls gilt für die Beeidigung </w:t>
      </w:r>
      <w:hyperlink w:anchor="b154" w:history="1">
        <w:r>
          <w:rPr>
            <w:color w:val="0A3A8C"/>
            <w:u w:val="single"/>
          </w:rPr>
          <w:t xml:space="preserve">§ 94</w:t>
        </w:r>
      </w:hyperlink>
      <w:r>
        <w:t xml:space="preserve"> sinngemäß.</w:t>
      </w:r>
    </w:p>
    <w:p>
      <w:pPr>
        <w:pStyle w:val="Heading4"/>
      </w:pPr>
      <w:bookmarkStart w:id="159" w:name="b157"/>
      <w:r>
        <w:t>III. Beweis durch Urkunden und Augenschein</w:t>
      </w:r>
      <w:bookmarkEnd w:id="159"/>
    </w:p>
    <w:p>
      <w:pPr>
        <w:pStyle w:val="Heading5"/>
      </w:pPr>
      <w:bookmarkStart w:id="160" w:name="b158"/>
      <w:r>
        <w:t>§ 97 Vorlage von Urkunden</w:t>
      </w:r>
      <w:r>
        <w:t xml:space="preserve"> </w:t>
      </w:r>
      <w:r>
        <w:rPr>
          <w:rStyle w:val="Suchmarke"/>
        </w:rPr>
        <w:t>#97#</w:t>
      </w:r>
      <w:bookmarkEnd w:id="160"/>
    </w:p>
    <w:p>
      <w:r>
        <w:t xml:space="preserve">(1) </w:t>
      </w:r>
      <w:r>
        <w:rPr>
          <w:rStyle w:val="Satznummer"/>
        </w:rPr>
        <w:t>1</w:t>
      </w:r>
      <w:r>
        <w:t xml:space="preserve">Die Beteiligten und andere Personen haben der Finanzbehörde auf Verlangen Bücher, Aufzeichnungen, Geschäftspapiere und andere Urkunden zur Einsicht und Prüfung vorzulegen. </w:t>
      </w:r>
      <w:r>
        <w:rPr>
          <w:rStyle w:val="Satznummer"/>
        </w:rPr>
        <w:t>2</w:t>
      </w:r>
      <w:r>
        <w:t xml:space="preserve">Im Vorlageverlangen ist anzugeben, ob die Urkunden für die Besteuerung des zur Vorlage Aufgeforderten oder für die Besteuerung anderer Personen benötigt werden. </w:t>
      </w:r>
      <w:r>
        <w:rPr>
          <w:rStyle w:val="Satznummer"/>
        </w:rPr>
        <w:t>3</w:t>
      </w:r>
      <w:hyperlink w:anchor="b149" w:history="1">
        <w:r>
          <w:rPr>
            <w:color w:val="0A3A8C"/>
            <w:u w:val="single"/>
          </w:rPr>
          <w:t xml:space="preserve">§ 93</w:t>
        </w:r>
      </w:hyperlink>
      <w:r>
        <w:t xml:space="preserve"> Absatz 1 Satz 2 und 3 gilt entsprechend.</w:t>
      </w:r>
    </w:p>
    <w:p>
      <w:r>
        <w:t xml:space="preserve">(2) </w:t>
      </w:r>
      <w:r>
        <w:rPr>
          <w:rStyle w:val="Satznummer"/>
        </w:rPr>
        <w:t>1</w:t>
      </w:r>
      <w:r>
        <w:t xml:space="preserve">Die Finanzbehörde kann die Vorlage der in Absatz 1 genannten Urkunden an Amtsstelle verlangen oder sie bei dem Vorlagepflichtigen einsehen, wenn dieser einverstanden ist oder die Urkunden für eine Vorlage an Amtsstelle ungeeignet sind. </w:t>
      </w:r>
      <w:r>
        <w:rPr>
          <w:rStyle w:val="Satznummer"/>
        </w:rPr>
        <w:t>2</w:t>
      </w:r>
      <w:hyperlink w:anchor="b249" w:history="1">
        <w:r>
          <w:rPr>
            <w:color w:val="0A3A8C"/>
            <w:u w:val="single"/>
          </w:rPr>
          <w:t xml:space="preserve">§ 147</w:t>
        </w:r>
      </w:hyperlink>
      <w:r>
        <w:t xml:space="preserve"> Absatz 5 gilt entsprechend.</w:t>
      </w:r>
    </w:p>
    <w:p>
      <w:pPr>
        <w:pStyle w:val="Heading5"/>
      </w:pPr>
      <w:bookmarkStart w:id="161" w:name="b159"/>
      <w:r>
        <w:t>§ 98 Einnahme des Augenscheins</w:t>
      </w:r>
      <w:r>
        <w:t xml:space="preserve"> </w:t>
      </w:r>
      <w:r>
        <w:rPr>
          <w:rStyle w:val="Suchmarke"/>
        </w:rPr>
        <w:t>#98#</w:t>
      </w:r>
      <w:bookmarkEnd w:id="161"/>
    </w:p>
    <w:p>
      <w:r>
        <w:t>(1) Führt die Finanzbehörde einen Augenschein durch, so ist das Ergebnis aktenkundig zu machen.</w:t>
      </w:r>
    </w:p>
    <w:p>
      <w:r>
        <w:t>(2) Bei der Einnahme des Augenscheins können Sachverständige zugezogen werden.</w:t>
      </w:r>
    </w:p>
    <w:p>
      <w:pPr>
        <w:pStyle w:val="Heading5"/>
      </w:pPr>
      <w:bookmarkStart w:id="162" w:name="b160"/>
      <w:r>
        <w:t>§ 99 Betreten von Grundstücken und Räumen</w:t>
      </w:r>
      <w:r>
        <w:t xml:space="preserve"> </w:t>
      </w:r>
      <w:r>
        <w:rPr>
          <w:rStyle w:val="Suchmarke"/>
        </w:rPr>
        <w:t>#99#</w:t>
      </w:r>
      <w:bookmarkEnd w:id="162"/>
    </w:p>
    <w:p>
      <w:r>
        <w:t xml:space="preserve">(1) </w:t>
      </w:r>
      <w:r>
        <w:rPr>
          <w:rStyle w:val="Satznummer"/>
        </w:rPr>
        <w:t>1</w:t>
      </w:r>
      <w:r>
        <w:t xml:space="preserve">Die von der Finanzbehörde mit der Einnahme des Augenscheins betrauten Amtsträger und die nach den </w:t>
      </w:r>
      <w:hyperlink w:anchor="b156" w:history="1">
        <w:r>
          <w:rPr>
            <w:color w:val="0A3A8C"/>
            <w:u w:val="single"/>
          </w:rPr>
          <w:t xml:space="preserve">§§ 96</w:t>
        </w:r>
      </w:hyperlink>
      <w:r>
        <w:t xml:space="preserve"> und </w:t>
      </w:r>
      <w:hyperlink w:anchor="b159" w:history="1">
        <w:r>
          <w:rPr>
            <w:color w:val="0A3A8C"/>
            <w:u w:val="single"/>
          </w:rPr>
          <w:t xml:space="preserve">98</w:t>
        </w:r>
      </w:hyperlink>
      <w:r>
        <w:t xml:space="preserve"> zugezogenen Sachverständigen sind berechtigt, Grundstücke, Räume, Schiffe, umschlossene Betriebsvorrichtungen und ähnliche Einrichtungen während der üblichen Geschäfts- und Arbeitszeit zu betreten, soweit dies erforderlich ist, um im Besteuerungsinteresse Feststellungen zu treffen. </w:t>
      </w:r>
      <w:r>
        <w:rPr>
          <w:rStyle w:val="Satznummer"/>
        </w:rPr>
        <w:t>2</w:t>
      </w:r>
      <w:r>
        <w:t xml:space="preserve">Die betroffenen Personen sollen angemessene Zeit vorher benachrichtigt werden. </w:t>
      </w:r>
      <w:r>
        <w:rPr>
          <w:rStyle w:val="Satznummer"/>
        </w:rPr>
        <w:t>3</w:t>
      </w:r>
      <w:r>
        <w:t>Wohnräume dürfen gegen den Willen des Inhabers nur zur Verhütung dringender Gefahren für die öffentliche Sicherheit und Ordnung betreten werden.</w:t>
      </w:r>
    </w:p>
    <w:p>
      <w:r>
        <w:t>(2) Maßnahmen nach Absatz 1 dürfen nicht zu dem Zweck angeordnet werden, nach unbekannten Gegenständen zu forschen.</w:t>
      </w:r>
    </w:p>
    <w:p>
      <w:pPr>
        <w:pStyle w:val="Heading5"/>
      </w:pPr>
      <w:bookmarkStart w:id="163" w:name="b161"/>
      <w:r>
        <w:t>§ 100 Vorlage von Wertsachen</w:t>
      </w:r>
      <w:r>
        <w:t xml:space="preserve"> </w:t>
      </w:r>
      <w:r>
        <w:rPr>
          <w:rStyle w:val="Suchmarke"/>
        </w:rPr>
        <w:t>#100#</w:t>
      </w:r>
      <w:bookmarkEnd w:id="163"/>
    </w:p>
    <w:p>
      <w:r>
        <w:t xml:space="preserve">(1) </w:t>
      </w:r>
      <w:r>
        <w:rPr>
          <w:rStyle w:val="Satznummer"/>
        </w:rPr>
        <w:t>1</w:t>
      </w:r>
      <w:r>
        <w:t xml:space="preserve">Der Beteiligte und andere Personen haben der Finanzbehörde auf Verlangen Wertsachen (Geld, Wertpapiere, Kostbarkeiten) vorzulegen, soweit dies erforderlich ist, um im Besteuerungsinteresse Feststellungen über ihre Beschaffenheit und ihren Wert zu treffen. </w:t>
      </w:r>
      <w:r>
        <w:rPr>
          <w:rStyle w:val="Satznummer"/>
        </w:rPr>
        <w:t>2</w:t>
      </w:r>
      <w:hyperlink w:anchor="b159" w:history="1">
        <w:r>
          <w:rPr>
            <w:color w:val="0A3A8C"/>
            <w:u w:val="single"/>
          </w:rPr>
          <w:t xml:space="preserve">§ 98</w:t>
        </w:r>
      </w:hyperlink>
      <w:r>
        <w:t xml:space="preserve"> Absatz 2 ist anzuwenden.</w:t>
      </w:r>
    </w:p>
    <w:p>
      <w:r>
        <w:t>(2) Die Vorlage von Wertsachen darf nicht angeordnet werden, um nach unbekannten Gegenständen zu forschen.</w:t>
      </w:r>
    </w:p>
    <w:p>
      <w:pPr>
        <w:pStyle w:val="Heading4"/>
      </w:pPr>
      <w:bookmarkStart w:id="164" w:name="b162"/>
      <w:r>
        <w:t>IV. Auskunfts- und Vorlageverweigerungsrechte</w:t>
      </w:r>
      <w:bookmarkEnd w:id="164"/>
    </w:p>
    <w:p>
      <w:pPr>
        <w:pStyle w:val="Heading5"/>
      </w:pPr>
      <w:bookmarkStart w:id="165" w:name="b163"/>
      <w:r>
        <w:t>§ 101 Auskunfts- und Eidesverweigerungsrecht der Angehörigen</w:t>
      </w:r>
      <w:r>
        <w:t xml:space="preserve"> </w:t>
      </w:r>
      <w:r>
        <w:rPr>
          <w:rStyle w:val="Suchmarke"/>
        </w:rPr>
        <w:t>#101#</w:t>
      </w:r>
      <w:bookmarkEnd w:id="165"/>
    </w:p>
    <w:p>
      <w:r>
        <w:t xml:space="preserve">(1) </w:t>
      </w:r>
      <w:r>
        <w:rPr>
          <w:rStyle w:val="Satznummer"/>
        </w:rPr>
        <w:t>1</w:t>
      </w:r>
      <w:r>
        <w:t>Die Angehörigen (</w:t>
      </w:r>
      <w:hyperlink w:anchor="b20" w:history="1">
        <w:r>
          <w:rPr>
            <w:color w:val="0A3A8C"/>
            <w:u w:val="single"/>
          </w:rPr>
          <w:t xml:space="preserve">§ 15</w:t>
        </w:r>
      </w:hyperlink>
      <w:r>
        <w:t xml:space="preserve">) eines Beteiligten können die Auskunft verweigern, soweit sie nicht selbst als Beteiligte über ihre eigenen steuerlichen Verhältnisse auskunftspflichtig sind oder die Auskunftspflicht für einen Beteiligten zu erfüllen haben. </w:t>
      </w:r>
      <w:r>
        <w:rPr>
          <w:rStyle w:val="Satznummer"/>
        </w:rPr>
        <w:t>2</w:t>
      </w:r>
      <w:r>
        <w:t xml:space="preserve">Die Angehörigen sind über das Auskunftsverweigerungsrecht zu belehren. </w:t>
      </w:r>
      <w:r>
        <w:rPr>
          <w:rStyle w:val="Satznummer"/>
        </w:rPr>
        <w:t>3</w:t>
      </w:r>
      <w:r>
        <w:t>Die Belehrung ist aktenkundig zu machen.</w:t>
      </w:r>
    </w:p>
    <w:p>
      <w:r>
        <w:t xml:space="preserve">(2) </w:t>
      </w:r>
      <w:r>
        <w:rPr>
          <w:rStyle w:val="Satznummer"/>
        </w:rPr>
        <w:t>1</w:t>
      </w:r>
      <w:r>
        <w:t xml:space="preserve">Die in Absatz 1 genannten Personen haben ferner das Recht, die Beeidigung ihrer Auskunft zu verweigern. </w:t>
      </w:r>
      <w:r>
        <w:rPr>
          <w:rStyle w:val="Satznummer"/>
        </w:rPr>
        <w:t>2</w:t>
      </w:r>
      <w:r>
        <w:t>Absatz 1 Sätze 2 und 3 gelten entsprechend.</w:t>
      </w:r>
    </w:p>
    <w:p>
      <w:pPr>
        <w:pStyle w:val="Heading5"/>
      </w:pPr>
      <w:bookmarkStart w:id="166" w:name="b164"/>
      <w:r>
        <w:t>§ 102 Auskunftsverweigerungsrecht zum Schutz bestimmter Berufsgeheimnisse</w:t>
      </w:r>
      <w:r>
        <w:t xml:space="preserve"> </w:t>
      </w:r>
      <w:r>
        <w:rPr>
          <w:rStyle w:val="Suchmarke"/>
        </w:rPr>
        <w:t>#102#</w:t>
      </w:r>
      <w:bookmarkEnd w:id="166"/>
    </w:p>
    <w:p>
      <w:r>
        <w:t>(1) Die Auskunft können ferner verweigern:</w:t>
      </w:r>
    </w:p>
    <w:p>
      <w:pPr>
        <w:tabs>
          <w:tab w:pos="567" w:val="left"/>
        </w:tabs>
        <w:ind w:left="567" w:hanging="567"/>
      </w:pPr>
      <w:r>
        <w:t>1.</w:t>
      </w:r>
      <w:r>
        <w:tab/>
      </w:r>
      <w:r>
        <w:t>Geistliche über das, was ihnen in ihrer Eigenschaft als Seelsorger anvertraut worden oder bekannt geworden ist,</w:t>
      </w:r>
    </w:p>
    <w:p>
      <w:pPr>
        <w:tabs>
          <w:tab w:pos="567" w:val="left"/>
        </w:tabs>
        <w:ind w:left="567" w:hanging="567"/>
      </w:pPr>
      <w:r>
        <w:t>2.</w:t>
      </w:r>
      <w:r>
        <w:tab/>
      </w:r>
      <w:r>
        <w:t>Mitglieder des Bundestages, eines Landtages oder einer zweiten Kammer über Personen, die ihnen in ihrer Eigenschaft als Mitglieder dieser Organe oder denen sie in dieser Eigenschaft Tatsachen anvertraut haben, sowie über diese Tatsachen selbst,</w:t>
      </w:r>
    </w:p>
    <w:p>
      <w:pPr>
        <w:tabs>
          <w:tab w:pos="567" w:val="left"/>
        </w:tabs>
        <w:ind w:left="567" w:hanging="567"/>
      </w:pPr>
      <w:r>
        <w:t>3.</w:t>
      </w:r>
      <w:r>
        <w:tab/>
      </w:r>
    </w:p>
    <w:p>
      <w:pPr>
        <w:tabs>
          <w:tab w:pos="1134" w:val="left"/>
        </w:tabs>
        <w:ind w:left="1134" w:hanging="567"/>
      </w:pPr>
      <w:r>
        <w:t>a)</w:t>
      </w:r>
      <w:r>
        <w:tab/>
      </w:r>
      <w:r>
        <w:t>Verteidiger,</w:t>
      </w:r>
    </w:p>
    <w:p>
      <w:pPr>
        <w:tabs>
          <w:tab w:pos="1134" w:val="left"/>
        </w:tabs>
        <w:ind w:left="1134" w:hanging="567"/>
      </w:pPr>
      <w:r>
        <w:t>b)</w:t>
      </w:r>
      <w:r>
        <w:tab/>
      </w:r>
      <w:r>
        <w:t>Rechtsanwälte, Patentanwälte, Notare, Steuerberater, Wirtschaftsprüfer, Steuerbevollmächtigte, vereidigte Buchprüfer,</w:t>
      </w:r>
    </w:p>
    <w:p>
      <w:pPr>
        <w:tabs>
          <w:tab w:pos="1134" w:val="left"/>
        </w:tabs>
        <w:ind w:left="1134" w:hanging="567"/>
      </w:pPr>
      <w:r>
        <w:t>c)</w:t>
      </w:r>
      <w:r>
        <w:tab/>
      </w:r>
      <w:r>
        <w:t>Ärzte, Zahnärzte, Psychotherapeuten, Psychologische Psychotherapeuten, Kinder- und Jugendlichenpsychotherapeuten, Apotheker und Hebammen,</w:t>
      </w:r>
    </w:p>
    <w:p>
      <w:pPr>
        <w:ind w:left="567"/>
      </w:pPr>
      <w:r>
        <w:t>über das, was ihnen in dieser Eigenschaft anvertraut worden oder bekannt geworden ist,</w:t>
      </w:r>
    </w:p>
    <w:p>
      <w:pPr>
        <w:tabs>
          <w:tab w:pos="567" w:val="left"/>
        </w:tabs>
        <w:ind w:left="567" w:hanging="567"/>
      </w:pPr>
      <w:r>
        <w:t>4.</w:t>
      </w:r>
      <w:r>
        <w:tab/>
      </w:r>
      <w:r>
        <w:t xml:space="preserve">Personen, die bei der Vorbereitung, Herstellung oder Verbreitung von periodischen Druckwerken oder Rundfunksendungen berufsmäßig mitwirken oder mitgewirkt haben, über die Person des Verfassers, Einsenders oder Gewährsmanns von Beiträgen und Unterlagen sowie über die ihnen im Hinblick auf ihre Tätigkeit gemachten Mitteilungen, soweit es sich um Beiträge, Unterlagen und Mitteilungen für den redaktionellen Teil handelt; </w:t>
      </w:r>
      <w:hyperlink w:anchor="b269" w:history="1">
        <w:r>
          <w:rPr>
            <w:color w:val="0A3A8C"/>
            <w:u w:val="single"/>
          </w:rPr>
          <w:t xml:space="preserve">§ 160</w:t>
        </w:r>
      </w:hyperlink>
      <w:r>
        <w:t xml:space="preserve"> bleibt unberührt.</w:t>
      </w:r>
    </w:p>
    <w:p>
      <w:r>
        <w:t xml:space="preserve">(2) </w:t>
      </w:r>
      <w:r>
        <w:rPr>
          <w:rStyle w:val="Satznummer"/>
        </w:rPr>
        <w:t>1</w:t>
      </w:r>
      <w:r>
        <w:t xml:space="preserve">Den im Absatz 1 Nummer 1 bis 3 genannten Personen stehen ihre Gehilfen und die Personen gleich, die zur Vorbereitung auf den Beruf an der berufsmäßigen Tätigkeit teilnehmen. </w:t>
      </w:r>
      <w:r>
        <w:rPr>
          <w:rStyle w:val="Satznummer"/>
        </w:rPr>
        <w:t>2</w:t>
      </w:r>
      <w:r>
        <w:t>Über die Ausübung des Rechts dieser Hilfspersonen, die Auskunft zu verweigern, entscheiden die im Absatz 1 Nummer 1 bis 3 genannten Personen, es sei denn, dass diese Entscheidung in absehbarer Zeit nicht herbeigeführt werden kann.</w:t>
      </w:r>
    </w:p>
    <w:p>
      <w:r>
        <w:t xml:space="preserve">(3) </w:t>
      </w:r>
      <w:r>
        <w:rPr>
          <w:rStyle w:val="Satznummer"/>
        </w:rPr>
        <w:t>1</w:t>
      </w:r>
      <w:r>
        <w:t xml:space="preserve">Die in Absatz 1 Nummer 3 genannten Personen dürfen die Auskunft nicht verweigern, wenn sie von der Verpflichtung zur Verschwiegenheit entbunden sind. </w:t>
      </w:r>
      <w:r>
        <w:rPr>
          <w:rStyle w:val="Satznummer"/>
        </w:rPr>
        <w:t>2</w:t>
      </w:r>
      <w:r>
        <w:t>Die Entbindung von der Verpflichtung zur Verschwiegenheit gilt auch für die Hilfspersonen.</w:t>
      </w:r>
    </w:p>
    <w:p>
      <w:r>
        <w:t xml:space="preserve">(4) </w:t>
      </w:r>
      <w:r>
        <w:rPr>
          <w:rStyle w:val="Satznummer"/>
        </w:rPr>
        <w:t>1</w:t>
      </w:r>
      <w:r>
        <w:t xml:space="preserve">Die gesetzlichen Anzeigepflichten der Notare und die Mitteilungspflichten der in Absatz 1 Nummer 3 Buchstabe b bezeichneten Personen nach der Zinsinformationsverordnung vom 26. Januar 2004 (BGBl. I S. 128), die zuletzt durch Artikel 4 Absatz 28 des Gesetzes vom 22. September 2005 (BGBl. I S. 2809) geändert worden ist, in der jeweils geltenden Fassung bleiben unberührt. </w:t>
      </w:r>
      <w:r>
        <w:rPr>
          <w:rStyle w:val="Satznummer"/>
        </w:rPr>
        <w:t>2</w:t>
      </w:r>
      <w:r>
        <w:t xml:space="preserve">Soweit die Anzeigepflichten bestehen, sind die Notare auch zur Vorlage von Urkunden und zur Erteilung weiterer Auskünfte verpflichtet. </w:t>
      </w:r>
      <w:r>
        <w:rPr>
          <w:rStyle w:val="Satznummer"/>
        </w:rPr>
        <w:t>3</w:t>
      </w:r>
      <w:r>
        <w:t xml:space="preserve">Die Mitteilungspflichten der in Absatz 1 Nummer 3 Buchstabe b bezeichneten Personen hinsichtlich der in </w:t>
      </w:r>
      <w:hyperlink w:anchor="b225" w:history="1">
        <w:r>
          <w:rPr>
            <w:color w:val="0A3A8C"/>
            <w:u w:val="single"/>
          </w:rPr>
          <w:t xml:space="preserve">§ 138f</w:t>
        </w:r>
      </w:hyperlink>
      <w:r>
        <w:t xml:space="preserve"> Absatz 3 Satz 1 Nummer 1 und 4 bis 9 bezeichneten Angaben bestehen auch dann, wenn mit diesen Angaben betroffene Nutzer identifizierbar sein sollten.</w:t>
      </w:r>
    </w:p>
    <w:p>
      <w:pPr>
        <w:pStyle w:val="Heading5"/>
      </w:pPr>
      <w:bookmarkStart w:id="167" w:name="b165"/>
      <w:r>
        <w:t>§ 103 Auskunftsverweigerungsrecht bei Gefahr der Verfolgung wegen einer Straftat oder einer Ordnungswidrigkeit</w:t>
      </w:r>
      <w:r>
        <w:t xml:space="preserve"> </w:t>
      </w:r>
      <w:r>
        <w:rPr>
          <w:rStyle w:val="Suchmarke"/>
        </w:rPr>
        <w:t>#103#</w:t>
      </w:r>
      <w:bookmarkEnd w:id="167"/>
    </w:p>
    <w:p>
      <w:r>
        <w:rPr>
          <w:rStyle w:val="Satznummer"/>
        </w:rPr>
        <w:t>1</w:t>
      </w:r>
      <w:r>
        <w:t>Personen, die nicht Beteiligte und nicht für einen Beteiligten auskunftspflichtig sind, können die Auskunft auf solche Fragen verweigern, deren Beantwortung sie selbst oder einen ihrer Angehörigen (</w:t>
      </w:r>
      <w:hyperlink w:anchor="b20" w:history="1">
        <w:r>
          <w:rPr>
            <w:color w:val="0A3A8C"/>
            <w:u w:val="single"/>
          </w:rPr>
          <w:t xml:space="preserve">§ 15</w:t>
        </w:r>
      </w:hyperlink>
      <w:r>
        <w:t xml:space="preserve">) der Gefahr aussetzen würde, wegen einer Straftat oder einer Ordnungswidrigkeit verfolgt zu werden. </w:t>
      </w:r>
      <w:r>
        <w:rPr>
          <w:rStyle w:val="Satznummer"/>
        </w:rPr>
        <w:t>2</w:t>
      </w:r>
      <w:r>
        <w:t xml:space="preserve">Über das Recht, die Auskunft zu verweigern, sind sie zu belehren. </w:t>
      </w:r>
      <w:r>
        <w:rPr>
          <w:rStyle w:val="Satznummer"/>
        </w:rPr>
        <w:t>3</w:t>
      </w:r>
      <w:r>
        <w:t>Die Belehrung ist aktenkundig zu machen.</w:t>
      </w:r>
    </w:p>
    <w:p>
      <w:pPr>
        <w:pStyle w:val="Heading5"/>
      </w:pPr>
      <w:bookmarkStart w:id="168" w:name="b166"/>
      <w:r>
        <w:t>§ 104 Verweigerung der Erstattung eines Gutachtens und der Vorlage von Urkunden</w:t>
      </w:r>
      <w:r>
        <w:t xml:space="preserve"> </w:t>
      </w:r>
      <w:r>
        <w:rPr>
          <w:rStyle w:val="Suchmarke"/>
        </w:rPr>
        <w:t>#104#</w:t>
      </w:r>
      <w:bookmarkEnd w:id="168"/>
    </w:p>
    <w:p>
      <w:r>
        <w:t xml:space="preserve">(1) </w:t>
      </w:r>
      <w:r>
        <w:rPr>
          <w:rStyle w:val="Satznummer"/>
        </w:rPr>
        <w:t>1</w:t>
      </w:r>
      <w:r>
        <w:t xml:space="preserve">Soweit die Auskunft verweigert werden darf, kann auch die Erstattung eines Gutachtens und die Vorlage von Urkunden oder Wertsachen verweigert werden. </w:t>
      </w:r>
      <w:r>
        <w:rPr>
          <w:rStyle w:val="Satznummer"/>
        </w:rPr>
        <w:t>2</w:t>
      </w:r>
      <w:hyperlink w:anchor="b164" w:history="1">
        <w:r>
          <w:rPr>
            <w:color w:val="0A3A8C"/>
            <w:u w:val="single"/>
          </w:rPr>
          <w:t xml:space="preserve">§ 102</w:t>
        </w:r>
      </w:hyperlink>
      <w:r>
        <w:t xml:space="preserve"> Absatz 4 Satz 2 bleibt unberührt.</w:t>
      </w:r>
    </w:p>
    <w:p>
      <w:r>
        <w:t xml:space="preserve">(2) </w:t>
      </w:r>
      <w:r>
        <w:rPr>
          <w:rStyle w:val="Satznummer"/>
        </w:rPr>
        <w:t>1</w:t>
      </w:r>
      <w:r>
        <w:t xml:space="preserve">Nicht verweigert werden kann die Vorlage von Urkunden und Wertsachen, die für den Beteiligten aufbewahrt werden, soweit der Beteiligte bei eigenem Gewahrsam zur Vorlage verpflichtet wäre. </w:t>
      </w:r>
      <w:r>
        <w:rPr>
          <w:rStyle w:val="Satznummer"/>
        </w:rPr>
        <w:t>2</w:t>
      </w:r>
      <w:r>
        <w:t>Für den Beteiligten aufbewahrt werden auch die für ihn geführten Geschäftsbücher und sonstigen Aufzeichnungen.</w:t>
      </w:r>
    </w:p>
    <w:p>
      <w:pPr>
        <w:pStyle w:val="Heading5"/>
      </w:pPr>
      <w:bookmarkStart w:id="169" w:name="b167"/>
      <w:r>
        <w:t>§ 105 Verhältnis der Auskunfts- und Vorlagepflicht zur Schweigepflicht öffentlicher Stellen</w:t>
      </w:r>
      <w:r>
        <w:t xml:space="preserve"> </w:t>
      </w:r>
      <w:r>
        <w:rPr>
          <w:rStyle w:val="Suchmarke"/>
        </w:rPr>
        <w:t>#105#</w:t>
      </w:r>
      <w:bookmarkEnd w:id="169"/>
    </w:p>
    <w:p>
      <w:r>
        <w:t>(1) Die Verpflichtung der Behörden oder sonstiger öffentlicher Stellen einschließlich der Deutschen Bundesbank, der Staatsbanken und der Schuldenverwaltungen sowie der Organe und Bediensteten dieser Stellen zur Verschwiegenheit gilt nicht für ihre Auskunfts- und Vorlagepflicht gegenüber den Finanzbehörden.</w:t>
      </w:r>
    </w:p>
    <w:p>
      <w:r>
        <w:t>(2) Absatz 1 gilt nicht, soweit die Behörden und die mit postdienstlichen Verrichtungen betrauten Personen gesetzlich verpflichtet sind, das Brief-, Post- und Fernmeldegeheimnis zu wahren.</w:t>
      </w:r>
    </w:p>
    <w:p>
      <w:pPr>
        <w:pStyle w:val="Heading5"/>
      </w:pPr>
      <w:bookmarkStart w:id="170" w:name="b168"/>
      <w:r>
        <w:t>§ 106 Beschränkung der Auskunfts- und Vorlagepflicht bei Beeinträchtigung des staatlichen Wohls</w:t>
      </w:r>
      <w:r>
        <w:t xml:space="preserve"> </w:t>
      </w:r>
      <w:r>
        <w:rPr>
          <w:rStyle w:val="Suchmarke"/>
        </w:rPr>
        <w:t>#106#</w:t>
      </w:r>
      <w:bookmarkEnd w:id="170"/>
    </w:p>
    <w:p>
      <w:r>
        <w:t>Eine Auskunft oder die Vorlage von Urkunden darf nicht gefordert werden, wenn die zuständige oberste Bundes- oder Landesbehörde erklärt, dass die Auskunft oder Vorlage dem Wohl des Bundes oder eines Landes erhebliche Nachteile bereiten würde.</w:t>
      </w:r>
    </w:p>
    <w:p>
      <w:pPr>
        <w:pStyle w:val="Heading4"/>
      </w:pPr>
      <w:bookmarkStart w:id="171" w:name="b169"/>
      <w:r>
        <w:t>V. Entschädigung der Auskunftspflichtigen und der Sachverständigen</w:t>
      </w:r>
      <w:bookmarkEnd w:id="171"/>
    </w:p>
    <w:p>
      <w:pPr>
        <w:pStyle w:val="Heading5"/>
      </w:pPr>
      <w:bookmarkStart w:id="172" w:name="b170"/>
      <w:r>
        <w:t>§ 107 Entschädigung der Auskunftspflichtigen und der Sachverständigen</w:t>
      </w:r>
      <w:r>
        <w:t xml:space="preserve"> </w:t>
      </w:r>
      <w:r>
        <w:rPr>
          <w:rStyle w:val="Suchmarke"/>
        </w:rPr>
        <w:t>#107#</w:t>
      </w:r>
      <w:bookmarkEnd w:id="172"/>
    </w:p>
    <w:p>
      <w:r>
        <w:rPr>
          <w:rStyle w:val="Satznummer"/>
        </w:rPr>
        <w:t>1</w:t>
      </w:r>
      <w:r>
        <w:t xml:space="preserve">Auskunftspflichtige, Vorlagepflichtige und Sachverständige, die die Finanzbehörde zu Beweiszwecken herangezogen hat, erhalten auf Antrag eine Entschädigung oder Vergütung in entsprechender Anwendung des Justizvergütungs- und -entschädigungsgesetzes. </w:t>
      </w:r>
      <w:r>
        <w:rPr>
          <w:rStyle w:val="Satznummer"/>
        </w:rPr>
        <w:t>2</w:t>
      </w:r>
      <w:r>
        <w:t>Dies gilt nicht für die Beteiligten und für die Personen, die für die Beteiligten die Auskunfts- oder Vorlagepflicht zu erfüllen haben.</w:t>
      </w:r>
    </w:p>
    <w:p>
      <w:pPr>
        <w:pStyle w:val="Heading3"/>
      </w:pPr>
      <w:bookmarkStart w:id="173" w:name="b171"/>
      <w:r>
        <w:t>4. Unterabschnitt Fristen, Termine, Wiedereinsetzung</w:t>
      </w:r>
      <w:bookmarkEnd w:id="173"/>
    </w:p>
    <w:p>
      <w:pPr>
        <w:pStyle w:val="Heading4"/>
      </w:pPr>
      <w:bookmarkStart w:id="174" w:name="b172"/>
      <w:r>
        <w:t>§ 108 Fristen und Termine</w:t>
      </w:r>
      <w:r>
        <w:t xml:space="preserve"> </w:t>
      </w:r>
      <w:r>
        <w:rPr>
          <w:rStyle w:val="Suchmarke"/>
        </w:rPr>
        <w:t>#108#</w:t>
      </w:r>
      <w:bookmarkEnd w:id="174"/>
    </w:p>
    <w:p>
      <w:r>
        <w:t>(1) Für die Berechnung von Fristen und für die Bestimmung von Terminen gelten die §§ 187 bis 193 des Bürgerlichen Gesetzbuchs entsprechend, soweit nicht durch die Absätze 2 bis 5 etwas anderes bestimmt ist.</w:t>
      </w:r>
    </w:p>
    <w:p>
      <w:r>
        <w:t>(2) Der Lauf einer Frist, die von einer Behörde gesetzt wird, beginnt mit dem Tag, der auf die Bekanntgabe der Frist folgt, außer wenn der betroffenen Person etwas anderes mitgeteilt wird.</w:t>
      </w:r>
    </w:p>
    <w:p>
      <w:r>
        <w:t>(3) Fällt das Ende einer Frist auf einen Sonntag, einen gesetzlichen Feiertag oder einen Sonnabend, so endet die Frist mit dem Ablauf des nächstfolgenden Werktags.</w:t>
      </w:r>
    </w:p>
    <w:p>
      <w:r>
        <w:t>(4) Hat eine Behörde Leistungen nur für einen bestimmten Zeitraum zu erbringen, so endet dieser Zeitraum auch dann mit dem Ablauf seines letzten Tages, wenn dieser auf einen Sonntag, einen gesetzlichen Feiertag oder einen Sonnabend fällt.</w:t>
      </w:r>
    </w:p>
    <w:p>
      <w:r>
        <w:t>(5) Der von einer Behörde gesetzte Termin ist auch dann einzuhalten, wenn er auf einen Sonntag, gesetzlichen Feiertag oder Sonnabend fällt.</w:t>
      </w:r>
    </w:p>
    <w:p>
      <w:r>
        <w:t>(6) Ist eine Frist nach Stunden bestimmt, so werden Sonntage, gesetzliche Feiertage oder Sonnabende mitgerechnet.</w:t>
      </w:r>
    </w:p>
    <w:p>
      <w:pPr>
        <w:pStyle w:val="Heading4"/>
      </w:pPr>
      <w:bookmarkStart w:id="175" w:name="b173"/>
      <w:r>
        <w:t>§ 109 Verlängerung von Fristen</w:t>
      </w:r>
      <w:r>
        <w:t xml:space="preserve"> </w:t>
      </w:r>
      <w:r>
        <w:rPr>
          <w:rStyle w:val="Suchmarke"/>
        </w:rPr>
        <w:t>#109#</w:t>
      </w:r>
      <w:bookmarkEnd w:id="175"/>
    </w:p>
    <w:p>
      <w:r>
        <w:t xml:space="preserve">(1) </w:t>
      </w:r>
      <w:r>
        <w:rPr>
          <w:rStyle w:val="Satznummer"/>
        </w:rPr>
        <w:t>1</w:t>
      </w:r>
      <w:r>
        <w:t xml:space="preserve">Fristen zur Einreichung von Steuererklärungen und Fristen, die von einer Finanzbehörde gesetzt sind, können vorbehaltlich des Absatzes 2 verlängert werden. </w:t>
      </w:r>
      <w:r>
        <w:rPr>
          <w:rStyle w:val="Satznummer"/>
        </w:rPr>
        <w:t>2</w:t>
      </w:r>
      <w:r>
        <w:t>Sind solche Fristen bereits abgelaufen, können sie vorbehaltlich des Absatzes 2 rückwirkend verlängert werden, insbesondere wenn es unbillig wäre, die durch den Fristablauf eingetretenen Rechtsfolgen bestehen zu lassen.</w:t>
      </w:r>
    </w:p>
    <w:p>
      <w:r>
        <w:t xml:space="preserve">(2) </w:t>
      </w:r>
      <w:r>
        <w:rPr>
          <w:rStyle w:val="Satznummer"/>
        </w:rPr>
        <w:t>1</w:t>
      </w:r>
      <w:r>
        <w:t>Absatz 1 ist</w:t>
      </w:r>
    </w:p>
    <w:p>
      <w:pPr>
        <w:tabs>
          <w:tab w:pos="567" w:val="left"/>
        </w:tabs>
        <w:ind w:left="567" w:hanging="567"/>
      </w:pPr>
      <w:r>
        <w:t>1.</w:t>
      </w:r>
      <w:r>
        <w:tab/>
      </w:r>
      <w:r>
        <w:t xml:space="preserve">in den Fällen des </w:t>
      </w:r>
      <w:hyperlink w:anchor="b254" w:history="1">
        <w:r>
          <w:rPr>
            <w:color w:val="0A3A8C"/>
            <w:u w:val="single"/>
          </w:rPr>
          <w:t xml:space="preserve">§ 149</w:t>
        </w:r>
      </w:hyperlink>
      <w:r>
        <w:t xml:space="preserve"> Absatz 3 auf Zeiträume nach dem letzten Tag des Monats Februar des zweiten auf den Besteuerungszeitraum folgenden Kalenderjahres und</w:t>
      </w:r>
    </w:p>
    <w:p>
      <w:pPr>
        <w:tabs>
          <w:tab w:pos="567" w:val="left"/>
        </w:tabs>
        <w:ind w:left="567" w:hanging="567"/>
      </w:pPr>
      <w:r>
        <w:t>2.</w:t>
      </w:r>
      <w:r>
        <w:tab/>
      </w:r>
      <w:r>
        <w:t xml:space="preserve">in den Fällen des </w:t>
      </w:r>
      <w:hyperlink w:anchor="b254" w:history="1">
        <w:r>
          <w:rPr>
            <w:color w:val="0A3A8C"/>
            <w:u w:val="single"/>
          </w:rPr>
          <w:t xml:space="preserve">§ 149</w:t>
        </w:r>
      </w:hyperlink>
      <w:r>
        <w:t xml:space="preserve"> Absatz 4 auf Zeiträume nach dem in der Anordnung bestimmten Zeitpunkt</w:t>
      </w:r>
    </w:p>
    <w:p>
      <w:r>
        <w:t xml:space="preserve">nur anzuwenden, falls der Steuerpflichtige ohne Verschulden verhindert ist oder war, die Steuererklärungsfrist einzuhalten. </w:t>
      </w:r>
      <w:r>
        <w:rPr>
          <w:rStyle w:val="Satznummer"/>
        </w:rPr>
        <w:t>2</w:t>
      </w:r>
      <w:r>
        <w:t xml:space="preserve">Bei Steuerpflichtigen, die ihren Gewinn aus Land- und Forstwirtschaft nach einem vom Kalenderjahr abweichenden Wirtschaftsjahr ermitteln, tritt an die Stelle des letzten Tages des Monats Februar der 31. Juli des zweiten auf den Besteuerungszeitraum folgenden Kalenderjahres. </w:t>
      </w:r>
      <w:r>
        <w:rPr>
          <w:rStyle w:val="Satznummer"/>
        </w:rPr>
        <w:t>3</w:t>
      </w:r>
      <w:r>
        <w:t>Das Verschulden eines Vertreters oder eines Erfüllungsgehilfen ist dem Steuerpflichtigen zuzurechnen.</w:t>
      </w:r>
    </w:p>
    <w:p>
      <w:r>
        <w:t>(3) Die Finanzbehörde kann die Verlängerung der Frist mit einer Nebenbestimmung versehen, insbesondere von einer Sicherheitsleistung abhängig machen.</w:t>
      </w:r>
    </w:p>
    <w:p>
      <w:r>
        <w:t xml:space="preserve">(4) Fristen zur Einreichung von Steuererklärungen und Fristen, die von einer Finanzbehörde gesetzt sind, können ausschließlich automationsgestützt verlängert werden, sofern zur Prüfung der Fristverlängerung ein automationsgestütztes Risikomanagementsystem nach </w:t>
      </w:r>
      <w:hyperlink w:anchor="b138" w:history="1">
        <w:r>
          <w:rPr>
            <w:color w:val="0A3A8C"/>
            <w:u w:val="single"/>
          </w:rPr>
          <w:t xml:space="preserve">§ 88</w:t>
        </w:r>
      </w:hyperlink>
      <w:r>
        <w:t xml:space="preserve"> Absatz 5 eingesetzt wird und kein Anlass dazu besteht, den Einzelfall durch Amtsträger zu bearbeiten.</w:t>
      </w:r>
    </w:p>
    <w:p>
      <w:pPr>
        <w:pStyle w:val="Heading4"/>
      </w:pPr>
      <w:bookmarkStart w:id="176" w:name="b174"/>
      <w:r>
        <w:t>§ 110 Wiedereinsetzung in den vorigen Stand</w:t>
      </w:r>
      <w:r>
        <w:t xml:space="preserve"> </w:t>
      </w:r>
      <w:r>
        <w:rPr>
          <w:rStyle w:val="Suchmarke"/>
        </w:rPr>
        <w:t>#110#</w:t>
      </w:r>
      <w:bookmarkEnd w:id="176"/>
    </w:p>
    <w:p>
      <w:r>
        <w:t xml:space="preserve">(1) </w:t>
      </w:r>
      <w:r>
        <w:rPr>
          <w:rStyle w:val="Satznummer"/>
        </w:rPr>
        <w:t>1</w:t>
      </w:r>
      <w:r>
        <w:t xml:space="preserve">War jemand ohne Verschulden verhindert, eine gesetzliche Frist einzuhalten, so ist ihm auf Antrag Wiedereinsetzung in den vorigen Stand zu gewähren. </w:t>
      </w:r>
      <w:r>
        <w:rPr>
          <w:rStyle w:val="Satznummer"/>
        </w:rPr>
        <w:t>2</w:t>
      </w:r>
      <w:r>
        <w:t>Das Verschulden eines Vertreters ist dem Vertretenen zuzurechnen.</w:t>
      </w:r>
    </w:p>
    <w:p>
      <w:r>
        <w:t xml:space="preserve">(2) </w:t>
      </w:r>
      <w:r>
        <w:rPr>
          <w:rStyle w:val="Satznummer"/>
        </w:rPr>
        <w:t>1</w:t>
      </w:r>
      <w:r>
        <w:t xml:space="preserve">Der Antrag ist innerhalb eines Monats nach Wegfall des Hindernisses zu stellen. </w:t>
      </w:r>
      <w:r>
        <w:rPr>
          <w:rStyle w:val="Satznummer"/>
        </w:rPr>
        <w:t>2</w:t>
      </w:r>
      <w:r>
        <w:t xml:space="preserve">Die Tatsachen zur Begründung des Antrags sind bei der Antragstellung oder im Verfahren über den Antrag glaubhaft zu machen. </w:t>
      </w:r>
      <w:r>
        <w:rPr>
          <w:rStyle w:val="Satznummer"/>
        </w:rPr>
        <w:t>3</w:t>
      </w:r>
      <w:r>
        <w:t xml:space="preserve">Innerhalb der Antragsfrist ist die versäumte Handlung nachzuholen. </w:t>
      </w:r>
      <w:r>
        <w:rPr>
          <w:rStyle w:val="Satznummer"/>
        </w:rPr>
        <w:t>4</w:t>
      </w:r>
      <w:r>
        <w:t>Ist dies geschehen, so kann Wiedereinsetzung auch ohne Antrag gewährt werden.</w:t>
      </w:r>
    </w:p>
    <w:p>
      <w:r>
        <w:t>(3) Nach einem Jahr seit dem Ende der versäumten Frist kann die Wiedereinsetzung nicht mehr beantragt oder die versäumte Handlung nicht mehr nachgeholt werden, außer wenn dies vor Ablauf der Jahresfrist infolge höherer Gewalt unmöglich war.</w:t>
      </w:r>
    </w:p>
    <w:p>
      <w:r>
        <w:t>(4) Über den Antrag auf Wiedereinsetzung entscheidet die Finanzbehörde, die über die versäumte Handlung zu befinden hat.</w:t>
      </w:r>
    </w:p>
    <w:p>
      <w:pPr>
        <w:pStyle w:val="Heading3"/>
      </w:pPr>
      <w:bookmarkStart w:id="177" w:name="b175"/>
      <w:r>
        <w:t>5. Unterabschnitt Rechts- und Amtshilfe</w:t>
      </w:r>
      <w:bookmarkEnd w:id="177"/>
    </w:p>
    <w:p>
      <w:pPr>
        <w:pStyle w:val="Heading4"/>
      </w:pPr>
      <w:bookmarkStart w:id="178" w:name="b176"/>
      <w:r>
        <w:t>§ 111 Amtshilfepflicht</w:t>
      </w:r>
      <w:r>
        <w:t xml:space="preserve"> </w:t>
      </w:r>
      <w:r>
        <w:rPr>
          <w:rStyle w:val="Suchmarke"/>
        </w:rPr>
        <w:t>#111#</w:t>
      </w:r>
      <w:bookmarkEnd w:id="178"/>
    </w:p>
    <w:p>
      <w:r>
        <w:t xml:space="preserve">(1) </w:t>
      </w:r>
      <w:r>
        <w:rPr>
          <w:rStyle w:val="Satznummer"/>
        </w:rPr>
        <w:t>1</w:t>
      </w:r>
      <w:r>
        <w:t xml:space="preserve">Alle Gerichte und Behörden haben die zur Durchführung der Besteuerung erforderliche Amtshilfe zu leisten. </w:t>
      </w:r>
      <w:r>
        <w:rPr>
          <w:rStyle w:val="Satznummer"/>
        </w:rPr>
        <w:t>2</w:t>
      </w:r>
      <w:hyperlink w:anchor="b164" w:history="1">
        <w:r>
          <w:rPr>
            <w:color w:val="0A3A8C"/>
            <w:u w:val="single"/>
          </w:rPr>
          <w:t xml:space="preserve">§ 102</w:t>
        </w:r>
      </w:hyperlink>
      <w:r>
        <w:t xml:space="preserve"> bleibt unberührt.</w:t>
      </w:r>
    </w:p>
    <w:p>
      <w:r>
        <w:t>(2) Amtshilfe liegt nicht vor, wenn</w:t>
      </w:r>
    </w:p>
    <w:p>
      <w:pPr>
        <w:tabs>
          <w:tab w:pos="567" w:val="left"/>
        </w:tabs>
        <w:ind w:left="567" w:hanging="567"/>
      </w:pPr>
      <w:r>
        <w:t>1.</w:t>
      </w:r>
      <w:r>
        <w:tab/>
      </w:r>
      <w:r>
        <w:t>Behörden einander innerhalb eines bestehenden Weisungsverhältnisses Hilfe leisten,</w:t>
      </w:r>
    </w:p>
    <w:p>
      <w:pPr>
        <w:tabs>
          <w:tab w:pos="567" w:val="left"/>
        </w:tabs>
        <w:ind w:left="567" w:hanging="567"/>
      </w:pPr>
      <w:r>
        <w:t>2.</w:t>
      </w:r>
      <w:r>
        <w:tab/>
      </w:r>
      <w:r>
        <w:t>die Hilfeleistung in Handlungen besteht, die der ersuchten Behörde als eigene Aufgabe obliegen.</w:t>
      </w:r>
    </w:p>
    <w:p>
      <w:r>
        <w:t>(3) Schuldenverwaltungen, Kreditinstitute sowie Betriebe gewerblicher Art der Körperschaften des öffentlichen Rechts fallen nicht unter diese Vorschrift.</w:t>
      </w:r>
    </w:p>
    <w:p>
      <w:r>
        <w:t>(4) Auf dem Gebiet der Zollverwaltung erstreckt sich die Amtshilfepflicht auch auf diejenigen dem öffentlichen Verkehr oder dem öffentlichen Warenumschlag dienenden Unternehmen, die das Bundesministerium der Finanzen als Zollhilfsorgane besonders bestellt hat, und auf die Bediensteten dieser Unternehmen.</w:t>
      </w:r>
    </w:p>
    <w:p>
      <w:r>
        <w:t xml:space="preserve">(5) Die </w:t>
      </w:r>
      <w:hyperlink w:anchor="b167" w:history="1">
        <w:r>
          <w:rPr>
            <w:color w:val="0A3A8C"/>
            <w:u w:val="single"/>
          </w:rPr>
          <w:t xml:space="preserve">§§ 105</w:t>
        </w:r>
      </w:hyperlink>
      <w:r>
        <w:t xml:space="preserve"> und </w:t>
      </w:r>
      <w:hyperlink w:anchor="b168" w:history="1">
        <w:r>
          <w:rPr>
            <w:color w:val="0A3A8C"/>
            <w:u w:val="single"/>
          </w:rPr>
          <w:t xml:space="preserve">106</w:t>
        </w:r>
      </w:hyperlink>
      <w:r>
        <w:t xml:space="preserve"> sind entsprechend anzuwenden.</w:t>
      </w:r>
    </w:p>
    <w:p>
      <w:pPr>
        <w:pStyle w:val="Heading4"/>
      </w:pPr>
      <w:bookmarkStart w:id="179" w:name="b177"/>
      <w:r>
        <w:t>§ 112 Voraussetzungen und Grenzen der Amtshilfe</w:t>
      </w:r>
      <w:r>
        <w:t xml:space="preserve"> </w:t>
      </w:r>
      <w:r>
        <w:rPr>
          <w:rStyle w:val="Suchmarke"/>
        </w:rPr>
        <w:t>#112#</w:t>
      </w:r>
      <w:bookmarkEnd w:id="179"/>
    </w:p>
    <w:p>
      <w:r>
        <w:t>(1) Eine Finanzbehörde kann um Amtshilfe insbesondere dann ersuchen, wenn sie</w:t>
      </w:r>
    </w:p>
    <w:p>
      <w:pPr>
        <w:tabs>
          <w:tab w:pos="567" w:val="left"/>
        </w:tabs>
        <w:ind w:left="567" w:hanging="567"/>
      </w:pPr>
      <w:r>
        <w:t>1.</w:t>
      </w:r>
      <w:r>
        <w:tab/>
      </w:r>
      <w:r>
        <w:t>aus rechtlichen Gründen die Amtshandlung nicht selbst vornehmen kann,</w:t>
      </w:r>
    </w:p>
    <w:p>
      <w:pPr>
        <w:tabs>
          <w:tab w:pos="567" w:val="left"/>
        </w:tabs>
        <w:ind w:left="567" w:hanging="567"/>
      </w:pPr>
      <w:r>
        <w:t>2.</w:t>
      </w:r>
      <w:r>
        <w:tab/>
      </w:r>
      <w:r>
        <w:t>aus tatsächlichen Gründen, besonders weil die zur Vornahme der Amtshandlung erforderlichen Dienstkräfte oder Einrichtungen fehlen, die Amtshandlung nicht selbst vornehmen kann,</w:t>
      </w:r>
    </w:p>
    <w:p>
      <w:pPr>
        <w:tabs>
          <w:tab w:pos="567" w:val="left"/>
        </w:tabs>
        <w:ind w:left="567" w:hanging="567"/>
      </w:pPr>
      <w:r>
        <w:t>3.</w:t>
      </w:r>
      <w:r>
        <w:tab/>
      </w:r>
      <w:r>
        <w:t>zur Durchführung ihrer Aufgaben auf die Kenntnis von Tatsachen angewiesen ist, die ihr unbekannt sind und die sie selbst nicht ermitteln kann,</w:t>
      </w:r>
    </w:p>
    <w:p>
      <w:pPr>
        <w:tabs>
          <w:tab w:pos="567" w:val="left"/>
        </w:tabs>
        <w:ind w:left="567" w:hanging="567"/>
      </w:pPr>
      <w:r>
        <w:t>4.</w:t>
      </w:r>
      <w:r>
        <w:tab/>
      </w:r>
      <w:r>
        <w:t>zur Durchführung ihrer Aufgaben Urkunden oder sonstige Beweismittel benötigt, die sich im Besitz der ersuchten Behörde befinden,</w:t>
      </w:r>
    </w:p>
    <w:p>
      <w:pPr>
        <w:tabs>
          <w:tab w:pos="567" w:val="left"/>
        </w:tabs>
        <w:ind w:left="567" w:hanging="567"/>
      </w:pPr>
      <w:r>
        <w:t>5.</w:t>
      </w:r>
      <w:r>
        <w:tab/>
      </w:r>
      <w:r>
        <w:t>die Amtshandlung nur mit wesentlich größerem Aufwand vornehmen könnte als die ersuchte Behörde.</w:t>
      </w:r>
    </w:p>
    <w:p>
      <w:r>
        <w:t>(2) Die ersuchte Behörde darf Hilfe nicht leisten, wenn sie hierzu aus rechtlichen Gründen nicht in der Lage ist.</w:t>
      </w:r>
    </w:p>
    <w:p>
      <w:r>
        <w:t>(3) Die ersuchte Behörde braucht Hilfe nicht zu leisten, wenn</w:t>
      </w:r>
    </w:p>
    <w:p>
      <w:pPr>
        <w:tabs>
          <w:tab w:pos="567" w:val="left"/>
        </w:tabs>
        <w:ind w:left="567" w:hanging="567"/>
      </w:pPr>
      <w:r>
        <w:t>1.</w:t>
      </w:r>
      <w:r>
        <w:tab/>
      </w:r>
      <w:r>
        <w:t>eine andere Behörde die Hilfe wesentlich einfacher oder mit wesentlich geringerem Aufwand leisten kann,</w:t>
      </w:r>
    </w:p>
    <w:p>
      <w:pPr>
        <w:tabs>
          <w:tab w:pos="567" w:val="left"/>
        </w:tabs>
        <w:ind w:left="567" w:hanging="567"/>
      </w:pPr>
      <w:r>
        <w:t>2.</w:t>
      </w:r>
      <w:r>
        <w:tab/>
      </w:r>
      <w:r>
        <w:t>sie die Hilfe nur mit unverhältnismäßig großem Aufwand leisten könnte,</w:t>
      </w:r>
    </w:p>
    <w:p>
      <w:pPr>
        <w:tabs>
          <w:tab w:pos="567" w:val="left"/>
        </w:tabs>
        <w:ind w:left="567" w:hanging="567"/>
      </w:pPr>
      <w:r>
        <w:t>3.</w:t>
      </w:r>
      <w:r>
        <w:tab/>
      </w:r>
      <w:r>
        <w:t>sie unter Berücksichtigung der Aufgaben der ersuchenden Finanzbehörde durch den Umfang der Hilfeleistung die Erfüllung ihrer eigenen Aufgaben ernstlich gefährden würde.</w:t>
      </w:r>
    </w:p>
    <w:p>
      <w:r>
        <w:t>(4) Die ersuchte Behörde darf die Hilfe nicht deshalb verweigern, weil sie das Ersuchen aus anderen als den in Absatz 3 genannten Gründen oder weil sie die mit der Amtshilfe zu verwirklichende Maßnahme für unzweckmäßig hält.</w:t>
      </w:r>
    </w:p>
    <w:p>
      <w:r>
        <w:t xml:space="preserve">(5) </w:t>
      </w:r>
      <w:r>
        <w:rPr>
          <w:rStyle w:val="Satznummer"/>
        </w:rPr>
        <w:t>1</w:t>
      </w:r>
      <w:r>
        <w:t xml:space="preserve">Hält die ersuchte Behörde sich zur Hilfe nicht für verpflichtet, so teilt sie der ersuchenden Finanzbehörde ihre Auffassung mit. </w:t>
      </w:r>
      <w:r>
        <w:rPr>
          <w:rStyle w:val="Satznummer"/>
        </w:rPr>
        <w:t>2</w:t>
      </w:r>
      <w:r>
        <w:t>Besteht diese auf der Amtshilfe, so entscheidet über die Verpflichtung zur Amtshilfe die gemeinsame fachlich zuständige Aufsichtsbehörde oder, sofern eine solche nicht besteht, die für die ersuchte Behörde fachlich zuständige Aufsichtsbehörde.</w:t>
      </w:r>
    </w:p>
    <w:p>
      <w:pPr>
        <w:pStyle w:val="Heading4"/>
      </w:pPr>
      <w:bookmarkStart w:id="180" w:name="b178"/>
      <w:r>
        <w:t>§ 113 Auswahl der Behörde</w:t>
      </w:r>
      <w:r>
        <w:t xml:space="preserve"> </w:t>
      </w:r>
      <w:r>
        <w:rPr>
          <w:rStyle w:val="Suchmarke"/>
        </w:rPr>
        <w:t>#113#</w:t>
      </w:r>
      <w:bookmarkEnd w:id="180"/>
    </w:p>
    <w:p>
      <w:r>
        <w:t>Kommen für die Amtshilfe mehrere Behörden in Betracht, so soll nach Möglichkeit eine Behörde der untersten Verwaltungsstufe des Verwaltungszweigs ersucht werden, dem die ersuchende Finanzbehörde angehört.</w:t>
      </w:r>
    </w:p>
    <w:p>
      <w:pPr>
        <w:pStyle w:val="Heading4"/>
      </w:pPr>
      <w:bookmarkStart w:id="181" w:name="b179"/>
      <w:r>
        <w:t>§ 114 Durchführung der Amtshilfe</w:t>
      </w:r>
      <w:r>
        <w:t xml:space="preserve"> </w:t>
      </w:r>
      <w:r>
        <w:rPr>
          <w:rStyle w:val="Suchmarke"/>
        </w:rPr>
        <w:t>#114#</w:t>
      </w:r>
      <w:bookmarkEnd w:id="181"/>
    </w:p>
    <w:p>
      <w:r>
        <w:t>(1) Die Zulässigkeit der Maßnahme, die durch die Amtshilfe verwirklicht werden soll, richtet sich nach dem für die ersuchende Finanzbehörde, die Durchführung der Amtshilfe nach dem für die ersuchte Behörde geltenden Recht.</w:t>
      </w:r>
    </w:p>
    <w:p>
      <w:r>
        <w:t xml:space="preserve">(2) </w:t>
      </w:r>
      <w:r>
        <w:rPr>
          <w:rStyle w:val="Satznummer"/>
        </w:rPr>
        <w:t>1</w:t>
      </w:r>
      <w:r>
        <w:t xml:space="preserve">Die ersuchende Finanzbehörde trägt gegenüber der ersuchten Behörde die Verantwortung für die Rechtmäßigkeit der zu treffenden Maßnahme. </w:t>
      </w:r>
      <w:r>
        <w:rPr>
          <w:rStyle w:val="Satznummer"/>
        </w:rPr>
        <w:t>2</w:t>
      </w:r>
      <w:r>
        <w:t>Die ersuchte Behörde ist für die Durchführung der Amtshilfe verantwortlich.</w:t>
      </w:r>
    </w:p>
    <w:p>
      <w:pPr>
        <w:pStyle w:val="Heading4"/>
      </w:pPr>
      <w:bookmarkStart w:id="182" w:name="b180"/>
      <w:r>
        <w:t>§ 115 Kosten der Amtshilfe</w:t>
      </w:r>
      <w:r>
        <w:t xml:space="preserve"> </w:t>
      </w:r>
      <w:r>
        <w:rPr>
          <w:rStyle w:val="Suchmarke"/>
        </w:rPr>
        <w:t>#115#</w:t>
      </w:r>
      <w:bookmarkEnd w:id="182"/>
    </w:p>
    <w:p>
      <w:r>
        <w:t xml:space="preserve">(1) </w:t>
      </w:r>
      <w:r>
        <w:rPr>
          <w:rStyle w:val="Satznummer"/>
        </w:rPr>
        <w:t>1</w:t>
      </w:r>
      <w:r>
        <w:t xml:space="preserve">Die ersuchende Finanzbehörde hat der ersuchten Behörde für die Amtshilfe keine Verwaltungsgebühr zu entrichten. </w:t>
      </w:r>
      <w:r>
        <w:rPr>
          <w:rStyle w:val="Satznummer"/>
        </w:rPr>
        <w:t>2</w:t>
      </w:r>
      <w:r>
        <w:t xml:space="preserve">Auslagen hat sie der ersuchten Behörde auf Anforderung zu erstatten, wenn sie im Einzelfall 25 Euro übersteigen. </w:t>
      </w:r>
      <w:r>
        <w:rPr>
          <w:rStyle w:val="Satznummer"/>
        </w:rPr>
        <w:t>3</w:t>
      </w:r>
      <w:r>
        <w:t>Leisten Behörden desselben Rechtsträgers einander Amtshilfe, so werden die Auslagen nicht erstattet.</w:t>
      </w:r>
    </w:p>
    <w:p>
      <w:r>
        <w:t>(2) Nimmt die ersuchte Behörde zur Durchführung der Amtshilfe eine kostenpflichtige Amtshandlung vor, so stehen ihr die von einem Dritten hierfür geschuldeten Kosten (Verwaltungsgebühren, Benutzungsgebühren und Auslagen) zu.</w:t>
      </w:r>
    </w:p>
    <w:p>
      <w:pPr>
        <w:pStyle w:val="Heading4"/>
      </w:pPr>
      <w:bookmarkStart w:id="183" w:name="b181"/>
      <w:r>
        <w:t>§ 116 Anzeige von Steuerstraftaten</w:t>
      </w:r>
      <w:r>
        <w:t xml:space="preserve"> </w:t>
      </w:r>
      <w:r>
        <w:rPr>
          <w:rStyle w:val="Suchmarke"/>
        </w:rPr>
        <w:t>#116#</w:t>
      </w:r>
      <w:bookmarkEnd w:id="183"/>
    </w:p>
    <w:p>
      <w:r>
        <w:t xml:space="preserve">(1) </w:t>
      </w:r>
      <w:r>
        <w:rPr>
          <w:rStyle w:val="Satznummer"/>
        </w:rPr>
        <w:t>1</w:t>
      </w:r>
      <w:r>
        <w:t xml:space="preserve">Gerichte und die Behörden von Bund, Ländern und kommunalen Trägern der öffentlichen Verwaltung, die nicht Finanzbehörden sind, haben Tatsachen, die sie dienstlich erfahren und die auf eine Steuerstraftat schließen lassen, dem Bundeszentralamt für Steuern oder, soweit bekannt, den für das Steuerstrafverfahren zuständigen Finanzbehörden mitzuteilen. </w:t>
      </w:r>
      <w:r>
        <w:rPr>
          <w:rStyle w:val="Satznummer"/>
        </w:rPr>
        <w:t>2</w:t>
      </w:r>
      <w:r>
        <w:t xml:space="preserve">Soweit die für das Steuerstrafverfahren zuständigen Finanzbehörden nicht bereits erkennbar unmittelbar informiert worden sind, teilt das Bundeszentralamt für Steuern ihnen diese Tatsachen mit. </w:t>
      </w:r>
      <w:r>
        <w:rPr>
          <w:rStyle w:val="Satznummer"/>
        </w:rPr>
        <w:t>3</w:t>
      </w:r>
      <w:r>
        <w:t>Die für das Steuerstrafverfahren zuständigen Finanzbehörden, ausgenommen die Behörden der Bundeszollverwaltung, übermitteln die Mitteilung an das Bundeszentralamt für Steuern, soweit dieses nicht bereits erkennbar unmittelbar in Kenntnis gesetzt worden ist.</w:t>
      </w:r>
    </w:p>
    <w:p>
      <w:r>
        <w:t xml:space="preserve">(2) </w:t>
      </w:r>
      <w:hyperlink w:anchor="b167" w:history="1">
        <w:r>
          <w:rPr>
            <w:color w:val="0A3A8C"/>
            <w:u w:val="single"/>
          </w:rPr>
          <w:t xml:space="preserve">§ 105</w:t>
        </w:r>
      </w:hyperlink>
      <w:r>
        <w:t xml:space="preserve"> Absatz 2 gilt entsprechend.</w:t>
      </w:r>
    </w:p>
    <w:p>
      <w:pPr>
        <w:pStyle w:val="Heading4"/>
      </w:pPr>
      <w:bookmarkStart w:id="184" w:name="b182"/>
      <w:r>
        <w:t>§ 117 Zwischenstaatliche Rechts- und Amtshilfe in Steuersachen</w:t>
      </w:r>
      <w:r>
        <w:t xml:space="preserve"> </w:t>
      </w:r>
      <w:r>
        <w:rPr>
          <w:rStyle w:val="Suchmarke"/>
        </w:rPr>
        <w:t>#117#</w:t>
      </w:r>
      <w:bookmarkEnd w:id="184"/>
    </w:p>
    <w:p>
      <w:r>
        <w:t>(1) Die Finanzbehörden können zwischenstaatliche Rechts- und Amtshilfe nach Maßgabe des deutschen Rechts in Anspruch nehmen.</w:t>
      </w:r>
    </w:p>
    <w:p>
      <w:r>
        <w:t>(2) Die Finanzbehörden können zwischenstaatliche Rechts- und Amtshilfe auf Grund innerstaatlich anwendbarer völkerrechtlicher Vereinbarungen, innerstaatlich anwendbarer Rechtsakte der Europäischen Union sowie des EU-Amtshilfegesetzes leisten.</w:t>
      </w:r>
    </w:p>
    <w:p>
      <w:r>
        <w:t xml:space="preserve">(3) </w:t>
      </w:r>
      <w:r>
        <w:rPr>
          <w:rStyle w:val="Satznummer"/>
        </w:rPr>
        <w:t>1</w:t>
      </w:r>
      <w:r>
        <w:t>Die Finanzbehörden können nach pflichtgemäßem Ermessen zwischenstaatliche Rechts- und Amtshilfe auf Ersuchen auch in anderen Fällen leisten, wenn</w:t>
      </w:r>
    </w:p>
    <w:p>
      <w:pPr>
        <w:tabs>
          <w:tab w:pos="567" w:val="left"/>
        </w:tabs>
        <w:ind w:left="567" w:hanging="567"/>
      </w:pPr>
      <w:r>
        <w:t>1.</w:t>
      </w:r>
      <w:r>
        <w:tab/>
      </w:r>
      <w:r>
        <w:t>die Gegenseitigkeit verbürgt ist,</w:t>
      </w:r>
    </w:p>
    <w:p>
      <w:pPr>
        <w:tabs>
          <w:tab w:pos="567" w:val="left"/>
        </w:tabs>
        <w:ind w:left="567" w:hanging="567"/>
      </w:pPr>
      <w:r>
        <w:t>2.</w:t>
      </w:r>
      <w:r>
        <w:tab/>
      </w:r>
      <w:r>
        <w:t>der ersuchende Staat gewährleistet, dass die übermittelten Auskünfte und Unterlagen nur für Zwecke seines Besteuerungs- oder Steuerstrafverfahrens (einschließlich Ordnungswidrigkeitenverfahren) verwendet werden, und dass die übermittelten Auskünfte und Unterlagen nur solchen Personen, Behörden oder Gerichten zugänglich gemacht werden, die mit der Bearbeitung der Steuersache oder Verfolgung der Steuerstraftat befasst sind,</w:t>
      </w:r>
    </w:p>
    <w:p>
      <w:pPr>
        <w:tabs>
          <w:tab w:pos="567" w:val="left"/>
        </w:tabs>
        <w:ind w:left="567" w:hanging="567"/>
      </w:pPr>
      <w:r>
        <w:t>3.</w:t>
      </w:r>
      <w:r>
        <w:tab/>
      </w:r>
      <w:r>
        <w:t>der ersuchende Staat zusichert, dass er bereit ist, bei den Steuern vom Einkommen, Ertrag und Vermögen eine mögliche Doppelbesteuerung im Verständigungswege durch eine sachgerechte Abgrenzung der Besteuerungsgrundlagen zu vermeiden und</w:t>
      </w:r>
    </w:p>
    <w:p>
      <w:pPr>
        <w:tabs>
          <w:tab w:pos="567" w:val="left"/>
        </w:tabs>
        <w:ind w:left="567" w:hanging="567"/>
      </w:pPr>
      <w:r>
        <w:t>4.</w:t>
      </w:r>
      <w:r>
        <w:tab/>
      </w:r>
      <w:r>
        <w:t>die Erledigung des Ersuchens die Souveränität, die Sicherheit, die öffentliche Ordnung oder andere wesentliche Interessen des Bundes oder seiner Gebietskörperschaften nicht beeinträchtigt und keine Gefahr besteht, dass ein Handels-, Industrie-, Gewerbe- oder Berufsgeheimnis oder ein Geschäftsverfahren, das auf Grund des Ersuchens offenbart werden soll, preisgegeben wird.</w:t>
      </w:r>
    </w:p>
    <w:p>
      <w:r>
        <w:rPr>
          <w:rStyle w:val="Satznummer"/>
        </w:rPr>
        <w:t>2</w:t>
      </w:r>
      <w:r>
        <w:t>Soweit die zwischenstaatliche Rechts- und Amtshilfe Steuern betrifft, die von den Landesfinanzbehörden verwaltet werden, entscheidet das Bundesministerium der Finanzen im Einvernehmen mit der zuständigen obersten Landesbehörde.</w:t>
      </w:r>
    </w:p>
    <w:p>
      <w:r>
        <w:t xml:space="preserve">(4) </w:t>
      </w:r>
      <w:r>
        <w:rPr>
          <w:rStyle w:val="Satznummer"/>
        </w:rPr>
        <w:t>1</w:t>
      </w:r>
      <w:r>
        <w:t xml:space="preserve">Bei der Durchführung der Rechts- und Amtshilfe richten sich die Befugnisse der Finanzbehörden sowie die Rechte und Pflichten der Beteiligten und anderer Personen nach den für Steuern im Sinne von </w:t>
      </w:r>
      <w:hyperlink w:anchor="b2" w:history="1">
        <w:r>
          <w:rPr>
            <w:color w:val="0A3A8C"/>
            <w:u w:val="single"/>
          </w:rPr>
          <w:t xml:space="preserve">§ 1</w:t>
        </w:r>
      </w:hyperlink>
      <w:r>
        <w:t xml:space="preserve"> Absatz 1 geltenden Vorschriften. </w:t>
      </w:r>
      <w:r>
        <w:rPr>
          <w:rStyle w:val="Satznummer"/>
        </w:rPr>
        <w:t>2</w:t>
      </w:r>
      <w:hyperlink w:anchor="b179" w:history="1">
        <w:r>
          <w:rPr>
            <w:color w:val="0A3A8C"/>
            <w:u w:val="single"/>
          </w:rPr>
          <w:t xml:space="preserve">§ 114</w:t>
        </w:r>
      </w:hyperlink>
      <w:r>
        <w:t xml:space="preserve"> findet entsprechende Anwendung. </w:t>
      </w:r>
      <w:r>
        <w:rPr>
          <w:rStyle w:val="Satznummer"/>
        </w:rPr>
        <w:t>3</w:t>
      </w:r>
      <w:r>
        <w:t xml:space="preserve">Bei der Übermittlung von Auskünften und Unterlagen gilt für inländische Beteiligte </w:t>
      </w:r>
      <w:hyperlink w:anchor="b146" w:history="1">
        <w:r>
          <w:rPr>
            <w:color w:val="0A3A8C"/>
            <w:u w:val="single"/>
          </w:rPr>
          <w:t xml:space="preserve">§ 91</w:t>
        </w:r>
      </w:hyperlink>
      <w:r>
        <w:t xml:space="preserve"> entsprechend; soweit die Rechts- und Amtshilfe Steuern betrifft, die von den Landesfinanzbehörden verwaltet werden, hat eine Anhörung des inländischen Beteiligten abweichend von </w:t>
      </w:r>
      <w:hyperlink w:anchor="b146" w:history="1">
        <w:r>
          <w:rPr>
            <w:color w:val="0A3A8C"/>
            <w:u w:val="single"/>
          </w:rPr>
          <w:t xml:space="preserve">§ 91</w:t>
        </w:r>
      </w:hyperlink>
      <w:r>
        <w:t xml:space="preserve"> Absatz 1 stets stattzufinden, es sei denn, die Umsatzsteuer ist betroffen, es findet ein Informationsaustausch auf Grund des EU-Amtshilfegesetzes statt oder es liegt eine Ausnahme nach </w:t>
      </w:r>
      <w:hyperlink w:anchor="b146" w:history="1">
        <w:r>
          <w:rPr>
            <w:color w:val="0A3A8C"/>
            <w:u w:val="single"/>
          </w:rPr>
          <w:t xml:space="preserve">§ 91</w:t>
        </w:r>
      </w:hyperlink>
      <w:r>
        <w:t xml:space="preserve"> Absatz 2 oder 3 vor.</w:t>
      </w:r>
    </w:p>
    <w:p>
      <w:r>
        <w:t>(5) Das Bundesministerium der Finanzen wird ermächtigt, zur Förderung der zwischenstaatlichen Zusammenarbeit durch Rechtsverordnung mit Zustimmung des Bundesrates völkerrechtliche Vereinbarungen über die gegenseitige Rechts- und Amtshilfe auf dem Gebiete des Zollwesens in Kraft zu setzen, wenn sich die darin übernommenen Verpflichtungen im Rahmen der nach diesem Gesetz zulässigen zwischenstaatlichen Rechts- und Amtshilfe halten.</w:t>
      </w:r>
    </w:p>
    <w:p>
      <w:r>
        <w:t xml:space="preserve">(6) </w:t>
      </w:r>
      <w:hyperlink w:anchor="b4" w:history="1">
        <w:r>
          <w:rPr>
            <w:color w:val="0A3A8C"/>
            <w:u w:val="single"/>
          </w:rPr>
          <w:t xml:space="preserve">§ 2a</w:t>
        </w:r>
      </w:hyperlink>
      <w:r>
        <w:t xml:space="preserve"> Absatz 5 Nummer 2 gilt nicht, soweit seine Anwendung der Inanspruchnahme oder der Leistung der zwischenstaatlichen Amtshilfe entgegensteht; die Pflicht zur Wahrung des Steuergeheimnisses bleibt unberührt.</w:t>
      </w:r>
    </w:p>
    <w:p>
      <w:pPr>
        <w:pStyle w:val="Heading4"/>
      </w:pPr>
      <w:bookmarkStart w:id="185" w:name="b183"/>
      <w:r>
        <w:t>§ 117a Umsetzung innerstaatlich anwendbarer völkerrechtlicher Vereinbarungen zur Förderung der Steuerehrlichkeit bei internationalen Sachverhalten; Verordnungsermächtigung</w:t>
      </w:r>
      <w:r>
        <w:t xml:space="preserve"> </w:t>
      </w:r>
      <w:r>
        <w:rPr>
          <w:rStyle w:val="Suchmarke"/>
        </w:rPr>
        <w:t>#117a#</w:t>
      </w:r>
      <w:bookmarkEnd w:id="185"/>
    </w:p>
    <w:p>
      <w:r>
        <w:t xml:space="preserve">(1) </w:t>
      </w:r>
      <w:r>
        <w:rPr>
          <w:rStyle w:val="Satznummer"/>
        </w:rPr>
        <w:t>1</w:t>
      </w:r>
      <w:r>
        <w:t>Das Bundesministerium der Finanzen wird ermächtigt, zur Erfüllung der Verpflichtungen aus innerstaatlich anwendbaren völkerrechtlichen Vereinbarungen, die der Förderung der Steuerehrlichkeit durch systematische Erhebung und Übermittlung steuerlich relevanter Daten dienen, durch Rechtsverordnungen mit Zustimmung des Bundesrates Regelungen zu treffen über</w:t>
      </w:r>
    </w:p>
    <w:p>
      <w:pPr>
        <w:tabs>
          <w:tab w:pos="567" w:val="left"/>
        </w:tabs>
        <w:ind w:left="567" w:hanging="567"/>
      </w:pPr>
      <w:r>
        <w:t>1.</w:t>
      </w:r>
      <w:r>
        <w:tab/>
      </w:r>
      <w:r>
        <w:t>die Erhebung der nach diesen Vereinbarungen erforderlichen Daten durch in diesen Vereinbarungen dem Grunde nach bestimmte Dritte,</w:t>
      </w:r>
    </w:p>
    <w:p>
      <w:pPr>
        <w:tabs>
          <w:tab w:pos="567" w:val="left"/>
        </w:tabs>
        <w:ind w:left="567" w:hanging="567"/>
      </w:pPr>
      <w:r>
        <w:t>2.</w:t>
      </w:r>
      <w:r>
        <w:tab/>
      </w:r>
      <w:r>
        <w:t>die Übermittlung dieser Daten nach amtlich vorgeschriebenem Datensatz im Wege der Datenfernübertragung an das Bundeszentralamt für Steuern,</w:t>
      </w:r>
    </w:p>
    <w:p>
      <w:pPr>
        <w:tabs>
          <w:tab w:pos="567" w:val="left"/>
        </w:tabs>
        <w:ind w:left="567" w:hanging="567"/>
      </w:pPr>
      <w:r>
        <w:t>2a.</w:t>
      </w:r>
      <w:r>
        <w:tab/>
      </w:r>
      <w:r>
        <w:t>in Bezug auf US-amerikanische meldepflichtige Konten im Sinne von Artikel 1 Absatz 1 Doppelbuchstabe dd des Abkommens vom 31. Mai 2013 zwischen der Bundesrepublik Deutschland und den Vereinigten Staaten von Amerika zur Förderung der Steuerehrlichkeit bei internationalen Sachverhalten und hinsichtlich der als Gesetz über die Steuerehrlichkeit bezüglich Auslandskonten bekannten US-amerikanischen Informations- und Meldebestimmungen für jede im Sinne von Artikel 1 Absatz 1 Doppelbuchstabe gg dieses Abkommens spezifizierte US-amerikanische Person, für die die US-amerikanische Steueridentifikationsnummer nicht vorliegt, die Übermittlung</w:t>
      </w:r>
    </w:p>
    <w:p>
      <w:pPr>
        <w:tabs>
          <w:tab w:pos="1134" w:val="left"/>
        </w:tabs>
        <w:ind w:left="1134" w:hanging="567"/>
      </w:pPr>
      <w:r>
        <w:t>a)</w:t>
      </w:r>
      <w:r>
        <w:tab/>
      </w:r>
      <w:r>
        <w:t>der Steueridentifikationsnummer oder eines funktionalen Äquivalents jedes Ansässigkeitsstaates, wenn die elektronisch durchsuchbaren Kontoinformationen des in dem Abkommen dem Grunde nach bestimmten Dritten diese Angaben enthalten, und</w:t>
      </w:r>
    </w:p>
    <w:p>
      <w:pPr>
        <w:tabs>
          <w:tab w:pos="1134" w:val="left"/>
        </w:tabs>
        <w:ind w:left="1134" w:hanging="567"/>
      </w:pPr>
      <w:r>
        <w:t>b)</w:t>
      </w:r>
      <w:r>
        <w:tab/>
      </w:r>
      <w:r>
        <w:t>des Geburtsdatums</w:t>
      </w:r>
    </w:p>
    <w:p>
      <w:pPr>
        <w:ind w:left="567"/>
      </w:pPr>
      <w:r>
        <w:t>durch in dem Abkommen dem Grunde nach bestimmte Dritte nach amtlich vorgeschriebenem Datensatz im Wege der Datenfernübertragung an das Bundeszentralamt für Steuern,</w:t>
      </w:r>
    </w:p>
    <w:p>
      <w:pPr>
        <w:tabs>
          <w:tab w:pos="567" w:val="left"/>
        </w:tabs>
        <w:ind w:left="567" w:hanging="567"/>
      </w:pPr>
      <w:r>
        <w:t>3.</w:t>
      </w:r>
      <w:r>
        <w:tab/>
      </w:r>
      <w:r>
        <w:t>die Weiterleitung dieser Daten an die zuständige Behörde des anderen Vertragsstaates sowie</w:t>
      </w:r>
    </w:p>
    <w:p>
      <w:pPr>
        <w:tabs>
          <w:tab w:pos="567" w:val="left"/>
        </w:tabs>
        <w:ind w:left="567" w:hanging="567"/>
      </w:pPr>
      <w:r>
        <w:t>4.</w:t>
      </w:r>
      <w:r>
        <w:tab/>
      </w:r>
      <w:r>
        <w:t xml:space="preserve">die Entgegennahme entsprechender Daten von dem anderen Vertragsstaat und deren Weiterleitung nach Maßgabe des </w:t>
      </w:r>
      <w:hyperlink w:anchor="b138" w:history="1">
        <w:r>
          <w:rPr>
            <w:color w:val="0A3A8C"/>
            <w:u w:val="single"/>
          </w:rPr>
          <w:t xml:space="preserve">§ 88</w:t>
        </w:r>
      </w:hyperlink>
      <w:r>
        <w:t xml:space="preserve"> Absatz 3 und 4 an die zuständige Landesfinanzbehörde.</w:t>
      </w:r>
    </w:p>
    <w:p>
      <w:r>
        <w:rPr>
          <w:rStyle w:val="Satznummer"/>
        </w:rPr>
        <w:t>2</w:t>
      </w:r>
      <w:r>
        <w:t xml:space="preserve">In einer Rechtsverordnung nach Satz 1 kann dem Bundeszentralamt für Steuern das Recht eingeräumt werden, die Daten und Meldungen nach § 9 Absatz 1 und 2 der FATCA-USA-Umsetzungsverordnung zur Erfüllung der dem Bundeszentralamt für Steuern gesetzlich übertragenen Aufgaben auszuwerten. </w:t>
      </w:r>
      <w:r>
        <w:rPr>
          <w:rStyle w:val="Satznummer"/>
        </w:rPr>
        <w:t>3</w:t>
      </w:r>
      <w:r>
        <w:t>Auswertungen der Meldungen nach § 9 Absatz 2 der FATCA-USA-Umsetzungsverordnung durch die jeweils zuständige Landesfinanzbehörde bleiben hiervon unberührt.</w:t>
      </w:r>
    </w:p>
    <w:p>
      <w:r>
        <w:t>(2) Bei der Übermittlung von Daten durch das Bundeszentralamt für Steuern an die zuständige Finanzbehörde des anderen Vertragsstaates nach einer auf Grund des Absatzes 1 Satz 1 erlassenen Rechtsverordnung findet eine Anhörung der Beteiligten nicht statt.</w:t>
      </w:r>
    </w:p>
    <w:p>
      <w:r>
        <w:t xml:space="preserve">(3) </w:t>
      </w:r>
      <w:r>
        <w:rPr>
          <w:rStyle w:val="Satznummer"/>
        </w:rPr>
        <w:t>1</w:t>
      </w:r>
      <w:r>
        <w:t xml:space="preserve">Das Bundeszentralamt für Steuern ist berechtigt, Verhältnisse, die für die Erfüllung der Pflichten zur Erhebung und Übermittlung von Daten nach einer auf Grund des Absatzes 1 erlassenen Rechtsverordnung von Bedeutung sind oder der Aufklärung bedürfen, bei den zur Erhebung dieser Daten und deren Übermittlung an das Bundeszentralamt für Steuern Verpflichteten zu prüfen. </w:t>
      </w:r>
      <w:r>
        <w:rPr>
          <w:rStyle w:val="Satznummer"/>
        </w:rPr>
        <w:t>2</w:t>
      </w:r>
      <w:r>
        <w:t xml:space="preserve">Die </w:t>
      </w:r>
      <w:hyperlink w:anchor="b316" w:history="1">
        <w:r>
          <w:rPr>
            <w:color w:val="0A3A8C"/>
            <w:u w:val="single"/>
          </w:rPr>
          <w:t xml:space="preserve">§§ 193</w:t>
        </w:r>
      </w:hyperlink>
      <w:r>
        <w:t xml:space="preserve"> bis </w:t>
      </w:r>
      <w:hyperlink w:anchor="b327" w:history="1">
        <w:r>
          <w:rPr>
            <w:color w:val="0A3A8C"/>
            <w:u w:val="single"/>
          </w:rPr>
          <w:t xml:space="preserve">203</w:t>
        </w:r>
      </w:hyperlink>
      <w:r>
        <w:t xml:space="preserve"> gelten sinngemäß.</w:t>
      </w:r>
    </w:p>
    <w:p>
      <w:r>
        <w:t xml:space="preserve">(4) </w:t>
      </w:r>
      <w:r>
        <w:rPr>
          <w:rStyle w:val="Satznummer"/>
        </w:rPr>
        <w:t>1</w:t>
      </w:r>
      <w:r>
        <w:t xml:space="preserve">Die auf Grund einer Rechtsverordnung nach Absatz 1 oder im Rahmen einer Prüfung nach Absatz 3 vom Bundeszentralamt für Steuern erhobenen Daten dürfen nur für die in den zugrunde liegenden völkerrechtlichen Vereinbarungen festgelegten Zwecke verwendet werden. </w:t>
      </w:r>
      <w:r>
        <w:rPr>
          <w:rStyle w:val="Satznummer"/>
        </w:rPr>
        <w:t>2</w:t>
      </w:r>
      <w:r>
        <w:t xml:space="preserve">Bei der Übermittlung der länderbezogenen Berichte durch das Bundeszentralamt für Steuern gemäß </w:t>
      </w:r>
      <w:hyperlink w:anchor="b220" w:history="1">
        <w:r>
          <w:rPr>
            <w:color w:val="0A3A8C"/>
            <w:u w:val="single"/>
          </w:rPr>
          <w:t xml:space="preserve">§ 138a</w:t>
        </w:r>
      </w:hyperlink>
      <w:r>
        <w:t xml:space="preserve"> Absatz 7 Satz 1 bis 3 findet keine Anhörung der Beteiligten statt.</w:t>
      </w:r>
    </w:p>
    <w:p>
      <w:pPr>
        <w:pStyle w:val="Heading4"/>
      </w:pPr>
      <w:bookmarkStart w:id="186" w:name="b184"/>
      <w:r>
        <w:t>§ 117b Besondere Formen der Amtshilfe mit Drittstaaten</w:t>
      </w:r>
      <w:r>
        <w:t xml:space="preserve"> </w:t>
      </w:r>
      <w:r>
        <w:rPr>
          <w:rStyle w:val="Suchmarke"/>
        </w:rPr>
        <w:t>#117b#</w:t>
      </w:r>
      <w:bookmarkEnd w:id="186"/>
    </w:p>
    <w:p>
      <w:r>
        <w:t xml:space="preserve">(1) </w:t>
      </w:r>
      <w:r>
        <w:rPr>
          <w:rStyle w:val="Satznummer"/>
        </w:rPr>
        <w:t>1</w:t>
      </w:r>
      <w:r>
        <w:t xml:space="preserve">Die Finanzbehörden können im Verhältnis zu Staaten und Hoheitsgebieten, die nicht Mitgliedstaaten der Europäischen Union sind (Drittstaaten), in entsprechender Anwendung von </w:t>
      </w:r>
      <w:hyperlink w:anchor="b3" w:history="1">
        <w:r>
          <w:rPr>
            <w:color w:val="0A3A8C"/>
            <w:u w:val="single"/>
          </w:rPr>
          <w:t xml:space="preserve">§ 2</w:t>
        </w:r>
      </w:hyperlink>
      <w:r>
        <w:t xml:space="preserve"> Absatz 1 und 13, </w:t>
      </w:r>
      <w:hyperlink w:anchor="b6" w:history="1">
        <w:r>
          <w:rPr>
            <w:color w:val="0A3A8C"/>
            <w:u w:val="single"/>
          </w:rPr>
          <w:t xml:space="preserve">§ 3</w:t>
        </w:r>
      </w:hyperlink>
      <w:r>
        <w:t xml:space="preserve"> Absatz 2 Satz 3 und 4 und Absatz 3a sowie der §§ 10 bis 12a des EU-Amtshilfegesetzes nach Maßgabe des Absatzes 2 besondere Formen der zwischenstaatlichen Amtshilfe in Anspruch nehmen und unter der Voraussetzung der Gegenseitigkeit leisten. </w:t>
      </w:r>
      <w:r>
        <w:rPr>
          <w:rStyle w:val="Satznummer"/>
        </w:rPr>
        <w:t>2</w:t>
      </w:r>
      <w:hyperlink w:anchor="b182" w:history="1">
        <w:r>
          <w:rPr>
            <w:color w:val="0A3A8C"/>
            <w:u w:val="single"/>
          </w:rPr>
          <w:t xml:space="preserve">§ 117</w:t>
        </w:r>
      </w:hyperlink>
      <w:r>
        <w:t xml:space="preserve"> bleibt unberührt, soweit diese Vorschrift nichts anderes bestimmt.</w:t>
      </w:r>
    </w:p>
    <w:p>
      <w:r>
        <w:t xml:space="preserve">(2) </w:t>
      </w:r>
      <w:r>
        <w:rPr>
          <w:rStyle w:val="Satznummer"/>
        </w:rPr>
        <w:t>1</w:t>
      </w:r>
      <w:r>
        <w:t>Abweichend von</w:t>
      </w:r>
    </w:p>
    <w:p>
      <w:pPr>
        <w:tabs>
          <w:tab w:pos="567" w:val="left"/>
        </w:tabs>
        <w:ind w:left="567" w:hanging="567"/>
      </w:pPr>
      <w:r>
        <w:t>1.</w:t>
      </w:r>
      <w:r>
        <w:tab/>
      </w:r>
      <w:hyperlink w:anchor="b13" w:history="1">
        <w:r>
          <w:rPr>
            <w:color w:val="0A3A8C"/>
            <w:u w:val="single"/>
          </w:rPr>
          <w:t xml:space="preserve">§ 10</w:t>
        </w:r>
      </w:hyperlink>
      <w:r>
        <w:t xml:space="preserve"> Absatz 1 Satz 2 erster Halbsatz des EU-Amtshilfegesetzes kann die Teilnahme an behördlichen Ermittlungen mittels elektronischer Kommunikation gestattet werden,</w:t>
      </w:r>
    </w:p>
    <w:p>
      <w:pPr>
        <w:tabs>
          <w:tab w:pos="567" w:val="left"/>
        </w:tabs>
        <w:ind w:left="567" w:hanging="567"/>
      </w:pPr>
      <w:r>
        <w:t>2.</w:t>
      </w:r>
      <w:r>
        <w:tab/>
      </w:r>
      <w:r>
        <w:t>§ 10 Absatz 1 Satz 3 und § 12 Absatz 5 Satz 2 des EU-Amtshilfegesetzes soll die Bestätigung oder die Ablehnung innerhalb von 60 Tagen nach Erhalt des Ersuchens übermittelt werden,</w:t>
      </w:r>
    </w:p>
    <w:p>
      <w:pPr>
        <w:tabs>
          <w:tab w:pos="567" w:val="left"/>
        </w:tabs>
        <w:ind w:left="567" w:hanging="567"/>
      </w:pPr>
      <w:r>
        <w:t>3.</w:t>
      </w:r>
      <w:r>
        <w:tab/>
      </w:r>
      <w:r>
        <w:t xml:space="preserve">§ 10 Absatz 2 Satz 1 und § 12 Absatz 2 Satz 2 bis 5 des EU-Amtshilfegesetzes bestimmt sich die Zulässigkeit des Austausches von Informationen nach den im Einzelfall innerstaatlich anwendbaren völkerrechtlichen Vereinbarungen oder, in Ermangelung solcher, nach </w:t>
      </w:r>
      <w:hyperlink w:anchor="b182" w:history="1">
        <w:r>
          <w:rPr>
            <w:color w:val="0A3A8C"/>
            <w:u w:val="single"/>
          </w:rPr>
          <w:t xml:space="preserve">§ 117</w:t>
        </w:r>
      </w:hyperlink>
      <w:r>
        <w:t xml:space="preserve"> Absatz 3,</w:t>
      </w:r>
    </w:p>
    <w:p>
      <w:pPr>
        <w:tabs>
          <w:tab w:pos="567" w:val="left"/>
        </w:tabs>
        <w:ind w:left="567" w:hanging="567"/>
      </w:pPr>
      <w:r>
        <w:t>4.</w:t>
      </w:r>
      <w:r>
        <w:tab/>
      </w:r>
      <w:r>
        <w:t>§ 12a Absatz 4 Satz 2 erster Halbsatz des EU-Amtshilfegesetzes sollen die Feststellungen in einem gemeinsamen Prüfbericht festgehalten werden,</w:t>
      </w:r>
    </w:p>
    <w:p>
      <w:pPr>
        <w:tabs>
          <w:tab w:pos="567" w:val="left"/>
        </w:tabs>
        <w:ind w:left="567" w:hanging="567"/>
      </w:pPr>
      <w:r>
        <w:t>5.</w:t>
      </w:r>
      <w:r>
        <w:tab/>
      </w:r>
      <w:r>
        <w:t>§ 12a Absatz 4 Satz 4 des EU-Amtshilfegesetzes können die beteiligten Behörden, sofern die Gegenseitigkeit verbürgt ist, mit der zuständigen Behörde des Drittstaates vereinbaren, die Beweisführung der entsprechenden Behörde des Drittstaates zu unterstützen.</w:t>
      </w:r>
    </w:p>
    <w:p>
      <w:r>
        <w:rPr>
          <w:rStyle w:val="Satznummer"/>
        </w:rPr>
        <w:t>2</w:t>
      </w:r>
      <w:r>
        <w:t xml:space="preserve">An die Stelle des zentralen Verbindungsbüros treten im Inland das Bundeszentralamt für Steuern und im Drittstaat die jeweils zuständige Behörde. </w:t>
      </w:r>
      <w:r>
        <w:rPr>
          <w:rStyle w:val="Satznummer"/>
        </w:rPr>
        <w:t>3</w:t>
      </w:r>
      <w:r>
        <w:t xml:space="preserve">§ 12 Absatz 7 des EU-Amtshilfegesetzes gilt nicht; zielen die behördlichen Ermittlungen im Inland auf ein Verfahren nach den </w:t>
      </w:r>
      <w:hyperlink w:anchor="b316" w:history="1">
        <w:r>
          <w:rPr>
            <w:color w:val="0A3A8C"/>
            <w:u w:val="single"/>
          </w:rPr>
          <w:t xml:space="preserve">§§ 193</w:t>
        </w:r>
      </w:hyperlink>
      <w:r>
        <w:t xml:space="preserve"> bis </w:t>
      </w:r>
      <w:hyperlink w:anchor="b333" w:history="1">
        <w:r>
          <w:rPr>
            <w:color w:val="0A3A8C"/>
            <w:u w:val="single"/>
          </w:rPr>
          <w:t xml:space="preserve">207</w:t>
        </w:r>
      </w:hyperlink>
      <w:r>
        <w:t>, kann auf die Anhörung des inländischen Beteiligten bis zur Bekanntgabe der Prüfungsanordnung verzichtet werden, sofern andernfalls der Erfolg der gleichzeitigen oder gemeinsamen Prüfung gefährdet würde.</w:t>
      </w:r>
    </w:p>
    <w:p>
      <w:r>
        <w:t>(3) Hinsichtlich der Einfuhr- und Ausfuhrabgaben nach Artikel 5 Nummer 20 und 21 des Zollkodex der Union sowie hinsichtlich der Verbrauch- und Verkehrsteuern kann das Zollkriminalamt als Zentralstelle gemäß § 3 Absatz 7 Satz 1 Nummer 1 des Zollfahndungsdienstgesetzes entsprechend den Absätzen 1 und 2 zwischenstaatliche Amtshilfe für den Zuständigkeitsbereich der Zollverwaltung bewilligen und ersuchen, soweit das Bundesministerium der Finanzen die Aufgabe nicht selbst wahrnimmt oder eine abweichende Zuweisung vorsieht.</w:t>
      </w:r>
    </w:p>
    <w:p>
      <w:pPr>
        <w:pStyle w:val="Heading4"/>
      </w:pPr>
      <w:bookmarkStart w:id="187" w:name="b185"/>
      <w:r>
        <w:t>§ 117c Übermittlung von Informationen einschließlich personenbezogener Daten auf Ersuchen an einen anderen Mitgliedstaat der Europäischen Union zur Verhütung von Straftaten</w:t>
      </w:r>
      <w:r>
        <w:t xml:space="preserve"> </w:t>
      </w:r>
      <w:r>
        <w:rPr>
          <w:rStyle w:val="Suchmarke"/>
        </w:rPr>
        <w:t>#117c#</w:t>
      </w:r>
      <w:bookmarkEnd w:id="187"/>
    </w:p>
    <w:p>
      <w:r>
        <w:t>(1) Auf ein Ersuchen einer Strafverfolgungsbehörde eines Mitgliedstaates der Europäischen Union, das nach Maßgabe der Richtlinie (EU) 2023/977 gestellt worden ist, oder auf Ersuchen einer nach Artikel 14 dieser Richtlinie benannten zentralen Kontaktstelle eines anderen Mitgliedstaates der Europäischen Union dürfen die mit der Steuerfahndung betrauten Dienststellen der Finanzbehörden dem ersuchenden Mitgliedstaat der Europäischen Union verfügbare Informationen einschließlich personenbezogener Daten zum Zweck der Verhütung von Straftaten übermitteln.</w:t>
      </w:r>
    </w:p>
    <w:p>
      <w:r>
        <w:t>(2) Eine Information ist im Sinne des Absatzes 1 verfügbar,</w:t>
      </w:r>
    </w:p>
    <w:p>
      <w:pPr>
        <w:tabs>
          <w:tab w:pos="567" w:val="left"/>
        </w:tabs>
        <w:ind w:left="567" w:hanging="567"/>
      </w:pPr>
      <w:r>
        <w:t>1.</w:t>
      </w:r>
      <w:r>
        <w:tab/>
      </w:r>
      <w:r>
        <w:t>wenn sie in einer Datenbank verfügbar ist, auf die die ersuchte mit der Steuerfahndung betraute Dienststelle der Finanzbehörde unmittelbar zugreifen kann, oder</w:t>
      </w:r>
    </w:p>
    <w:p>
      <w:pPr>
        <w:tabs>
          <w:tab w:pos="567" w:val="left"/>
        </w:tabs>
        <w:ind w:left="567" w:hanging="567"/>
      </w:pPr>
      <w:r>
        <w:t>2.</w:t>
      </w:r>
      <w:r>
        <w:tab/>
      </w:r>
      <w:r>
        <w:t>wenn die ersuchte mit der Steuerfahndung betraute Dienststelle der Finanzbehörde nach Maßgabe von Bundes- und Landesrecht von anderen Behörden oder privaten Parteien, die in der Bundesrepublik Deutschland ansässig sind, diese ohne Zwangsmaßnahmen einholen kann.</w:t>
      </w:r>
    </w:p>
    <w:p>
      <w:r>
        <w:t xml:space="preserve">(3) </w:t>
      </w:r>
      <w:r>
        <w:rPr>
          <w:rStyle w:val="Satznummer"/>
        </w:rPr>
        <w:t>1</w:t>
      </w:r>
      <w:r>
        <w:t xml:space="preserve">Die Übermittlung nach Absatz 1 erfolgt unter den gleichen gesetzlichen Voraussetzungen, unter denen die Übermittlung auch ohne Ersuchen an deutsche Polizei-, Finanz- oder Zollbehörden, ein deutsches Gericht oder eine deutsche Staatsanwaltschaft zulässig wäre. </w:t>
      </w:r>
      <w:r>
        <w:rPr>
          <w:rStyle w:val="Satznummer"/>
        </w:rPr>
        <w:t>2</w:t>
      </w:r>
      <w:r>
        <w:t xml:space="preserve">Eine Anhörung des inländischen Beteiligten erfolgt nicht. </w:t>
      </w:r>
      <w:r>
        <w:rPr>
          <w:rStyle w:val="Satznummer"/>
        </w:rPr>
        <w:t>3</w:t>
      </w:r>
      <w:r>
        <w:t>Die Regelungen des § 3 des Bundeskriminalamtgesetzes über den internationalen Dienstverkehr der Polizeien des Bundes und der Länder bleiben unberührt.</w:t>
      </w:r>
    </w:p>
    <w:p>
      <w:r>
        <w:t xml:space="preserve">(4) </w:t>
      </w:r>
      <w:r>
        <w:rPr>
          <w:rStyle w:val="Satznummer"/>
        </w:rPr>
        <w:t>1</w:t>
      </w:r>
      <w:r>
        <w:t>Bei der Übermittlung von Daten ist mitzuteilen, dass die Verwendung als Beweismittel in einem Gerichtsverfahren unzulässig ist, es sei denn,</w:t>
      </w:r>
    </w:p>
    <w:p>
      <w:pPr>
        <w:tabs>
          <w:tab w:pos="567" w:val="left"/>
        </w:tabs>
        <w:ind w:left="567" w:hanging="567"/>
      </w:pPr>
      <w:r>
        <w:t>1.</w:t>
      </w:r>
      <w:r>
        <w:tab/>
      </w:r>
      <w:r>
        <w:t>die nach § 92 Absatz 4 des Gesetzes über die internationale Rechtshilfe in Strafsachen zuständige Stelle hat ihre Zustimmung zur Verwendung als Beweismittel erteilt oder</w:t>
      </w:r>
    </w:p>
    <w:p>
      <w:pPr>
        <w:tabs>
          <w:tab w:pos="567" w:val="left"/>
        </w:tabs>
        <w:ind w:left="567" w:hanging="567"/>
      </w:pPr>
      <w:r>
        <w:t>2.</w:t>
      </w:r>
      <w:r>
        <w:tab/>
      </w:r>
      <w:r>
        <w:t>die Verwendung als Beweismittel ist durch eine anwendbare völkerrechtliche Vereinbarung oder einen unmittelbar anwendbaren Rechtsakt der Europäischen Union zugelassen.</w:t>
      </w:r>
    </w:p>
    <w:p>
      <w:r>
        <w:rPr>
          <w:rStyle w:val="Satznummer"/>
        </w:rPr>
        <w:t>2</w:t>
      </w:r>
      <w:r>
        <w:t>Die Zuständigkeit für die Zustimmung zu einer Verwendung als Beweismittel nach Satz 1 Nummer 1 richtet sich nach den Vorschriften des Gesetzes über die internationale Rechtshilfe in Strafsachen.</w:t>
      </w:r>
    </w:p>
    <w:p>
      <w:r>
        <w:t xml:space="preserve">(5) </w:t>
      </w:r>
      <w:r>
        <w:rPr>
          <w:rStyle w:val="Satznummer"/>
        </w:rPr>
        <w:t>1</w:t>
      </w:r>
      <w:r>
        <w:t xml:space="preserve">Die ersuchten Informationen werden in der Sprache übermittelt, in der das Ersuchen übermittelt wurde, wenn es in einer der Bundesrepublik Deutschland nach Artikel 11 der Richtlinie (EU) 2023/977 benannten Sprache übermittelt wurde. </w:t>
      </w:r>
      <w:r>
        <w:rPr>
          <w:rStyle w:val="Satznummer"/>
        </w:rPr>
        <w:t>2</w:t>
      </w:r>
      <w:r>
        <w:t xml:space="preserve">Die Informationen können in einer der Sprachen übermittelt werden, die der ersuchende Mitgliedstaat der Europäischen Union nach Artikel 11 der Richtlinie (EU) 2023/977 benannt hat. </w:t>
      </w:r>
      <w:r>
        <w:rPr>
          <w:rStyle w:val="Satznummer"/>
        </w:rPr>
        <w:t>3</w:t>
      </w:r>
      <w:r>
        <w:t>Satz 1 gilt entsprechend für andere Mitteilungen der Europäischen Union, einschließlich der begründeten Ablehnung von Ersuchen, Bitten um ergänzende Informationen und Mitteilungen.</w:t>
      </w:r>
    </w:p>
    <w:p>
      <w:pPr>
        <w:pStyle w:val="Heading4"/>
      </w:pPr>
      <w:bookmarkStart w:id="188" w:name="b186"/>
      <w:r>
        <w:t>§ 117d Inhalt des Ersuchens</w:t>
      </w:r>
      <w:r>
        <w:t xml:space="preserve"> </w:t>
      </w:r>
      <w:r>
        <w:rPr>
          <w:rStyle w:val="Suchmarke"/>
        </w:rPr>
        <w:t>#117d#</w:t>
      </w:r>
      <w:bookmarkEnd w:id="188"/>
    </w:p>
    <w:p>
      <w:r>
        <w:t xml:space="preserve">Ein Ersuchen nach </w:t>
      </w:r>
      <w:hyperlink w:anchor="b185" w:history="1">
        <w:r>
          <w:rPr>
            <w:color w:val="0A3A8C"/>
            <w:u w:val="single"/>
          </w:rPr>
          <w:t xml:space="preserve">§ 117c</w:t>
        </w:r>
      </w:hyperlink>
      <w:r>
        <w:t xml:space="preserve"> Absatz 1 soll Angaben zu Folgendem enthalten:</w:t>
      </w:r>
    </w:p>
    <w:p>
      <w:pPr>
        <w:tabs>
          <w:tab w:pos="567" w:val="left"/>
        </w:tabs>
        <w:ind w:left="567" w:hanging="567"/>
      </w:pPr>
      <w:r>
        <w:t>1.</w:t>
      </w:r>
      <w:r>
        <w:tab/>
      </w:r>
      <w:r>
        <w:t>eine Präzisierung der angeforderten Informationen, die so detailliert ist, wie dies unter den gegebenen Umständen in angemessener Weise möglich ist,</w:t>
      </w:r>
    </w:p>
    <w:p>
      <w:pPr>
        <w:tabs>
          <w:tab w:pos="567" w:val="left"/>
        </w:tabs>
        <w:ind w:left="567" w:hanging="567"/>
      </w:pPr>
      <w:r>
        <w:t>2.</w:t>
      </w:r>
      <w:r>
        <w:tab/>
      </w:r>
      <w:r>
        <w:t>die Beschreibung des Sachverhalts und der dem Ersuchen zugrunde liegenden Straftat,</w:t>
      </w:r>
    </w:p>
    <w:p>
      <w:pPr>
        <w:tabs>
          <w:tab w:pos="567" w:val="left"/>
        </w:tabs>
        <w:ind w:left="567" w:hanging="567"/>
      </w:pPr>
      <w:r>
        <w:t>3.</w:t>
      </w:r>
      <w:r>
        <w:tab/>
      </w:r>
      <w:r>
        <w:t>die Benennung des Zwecks, zu dem die Informationen erbeten werden,</w:t>
      </w:r>
    </w:p>
    <w:p>
      <w:pPr>
        <w:tabs>
          <w:tab w:pos="567" w:val="left"/>
        </w:tabs>
        <w:ind w:left="567" w:hanging="567"/>
      </w:pPr>
      <w:r>
        <w:t>4.</w:t>
      </w:r>
      <w:r>
        <w:tab/>
      </w:r>
      <w:r>
        <w:t>Einzelheiten zur Identität der betroffenen Person, sofern sich das Ersuchen auf eine bekannte Person bezieht,</w:t>
      </w:r>
    </w:p>
    <w:p>
      <w:pPr>
        <w:tabs>
          <w:tab w:pos="567" w:val="left"/>
        </w:tabs>
        <w:ind w:left="567" w:hanging="567"/>
      </w:pPr>
      <w:r>
        <w:t>5.</w:t>
      </w:r>
      <w:r>
        <w:tab/>
      </w:r>
      <w:r>
        <w:t>soweit angemessen, eine Erläuterung des Zusammenhangs zwischen dem Zweck, zu dem die Informationen angefordert werden, und allen natürlichen oder juristischen Personen oder Organisationen, auf die sich die Informationen beziehen,</w:t>
      </w:r>
    </w:p>
    <w:p>
      <w:pPr>
        <w:tabs>
          <w:tab w:pos="567" w:val="left"/>
        </w:tabs>
        <w:ind w:left="567" w:hanging="567"/>
      </w:pPr>
      <w:r>
        <w:t>6.</w:t>
      </w:r>
      <w:r>
        <w:tab/>
      </w:r>
      <w:r>
        <w:t>etwaige Beschränkungen einer Verwendung der in dem Ersuchen enthaltenen Informationen zu anderen Zwecken als denen, für die sie übermittelt wurden.</w:t>
      </w:r>
    </w:p>
    <w:p>
      <w:pPr>
        <w:pStyle w:val="Heading4"/>
      </w:pPr>
      <w:bookmarkStart w:id="189" w:name="b187"/>
      <w:r>
        <w:t>§ 117e Ablehnungsgründe</w:t>
      </w:r>
      <w:r>
        <w:t xml:space="preserve"> </w:t>
      </w:r>
      <w:r>
        <w:rPr>
          <w:rStyle w:val="Suchmarke"/>
        </w:rPr>
        <w:t>#117e#</w:t>
      </w:r>
      <w:bookmarkEnd w:id="189"/>
    </w:p>
    <w:p>
      <w:r>
        <w:t xml:space="preserve">(1) Die Übermittlung von Informationen einschließlich personenbezogener Daten nach </w:t>
      </w:r>
      <w:hyperlink w:anchor="b185" w:history="1">
        <w:r>
          <w:rPr>
            <w:color w:val="0A3A8C"/>
            <w:u w:val="single"/>
          </w:rPr>
          <w:t xml:space="preserve">§ 117c</w:t>
        </w:r>
      </w:hyperlink>
      <w:r>
        <w:t xml:space="preserve"> ist unzulässig, soweit</w:t>
      </w:r>
    </w:p>
    <w:p>
      <w:pPr>
        <w:tabs>
          <w:tab w:pos="567" w:val="left"/>
        </w:tabs>
        <w:ind w:left="567" w:hanging="567"/>
      </w:pPr>
      <w:r>
        <w:t>1.</w:t>
      </w:r>
      <w:r>
        <w:tab/>
      </w:r>
      <w:r>
        <w:t>eine nach deutschem Recht erforderliche Genehmigung durch die zuständige Staatsanwaltschaft oder das zuständige Gericht verweigert wurde,</w:t>
      </w:r>
    </w:p>
    <w:p>
      <w:pPr>
        <w:tabs>
          <w:tab w:pos="567" w:val="left"/>
        </w:tabs>
        <w:ind w:left="567" w:hanging="567"/>
      </w:pPr>
      <w:r>
        <w:t>2.</w:t>
      </w:r>
      <w:r>
        <w:tab/>
      </w:r>
      <w:r>
        <w:t xml:space="preserve">die angeforderten Informationen bei der ersuchten mit der Steuerfahndung betrauten Dienststelle der Finanzbehörde nicht nach </w:t>
      </w:r>
      <w:hyperlink w:anchor="b185" w:history="1">
        <w:r>
          <w:rPr>
            <w:color w:val="0A3A8C"/>
            <w:u w:val="single"/>
          </w:rPr>
          <w:t xml:space="preserve">§ 117c</w:t>
        </w:r>
      </w:hyperlink>
      <w:r>
        <w:t xml:space="preserve"> Absatz 2 verfügbar sind und nur durch Ergreifen von Zwangsmaßnahmen erlangt werden können,</w:t>
      </w:r>
    </w:p>
    <w:p>
      <w:pPr>
        <w:tabs>
          <w:tab w:pos="567" w:val="left"/>
        </w:tabs>
        <w:ind w:left="567" w:hanging="567"/>
      </w:pPr>
      <w:r>
        <w:t>3.</w:t>
      </w:r>
      <w:r>
        <w:tab/>
      </w:r>
      <w:r>
        <w:t>die Übermittlung der Informationen unverhältnismäßig wäre oder die Informationen für die Zwecke, für die sie übermittelt werden sollen, nicht erforderlich sind,</w:t>
      </w:r>
    </w:p>
    <w:p>
      <w:pPr>
        <w:tabs>
          <w:tab w:pos="567" w:val="left"/>
        </w:tabs>
        <w:ind w:left="567" w:hanging="567"/>
      </w:pPr>
      <w:r>
        <w:t>4.</w:t>
      </w:r>
      <w:r>
        <w:tab/>
      </w:r>
      <w:r>
        <w:t>es sich bei den ersuchten Informationen um andere personenbezogene Daten handelt als jene, die unter die in Anhang II Abschnitt B zu der Verordnung (EU) 2016/794 genannten Kategorien personenbezogener Daten fallen,</w:t>
      </w:r>
    </w:p>
    <w:p>
      <w:pPr>
        <w:tabs>
          <w:tab w:pos="567" w:val="left"/>
        </w:tabs>
        <w:ind w:left="567" w:hanging="567"/>
      </w:pPr>
      <w:r>
        <w:t>5.</w:t>
      </w:r>
      <w:r>
        <w:tab/>
      </w:r>
      <w:r>
        <w:t>die ersuchten Informationen sich als unrichtig, unvollständig oder nicht mehr aktuell erwiesen haben,</w:t>
      </w:r>
    </w:p>
    <w:p>
      <w:pPr>
        <w:tabs>
          <w:tab w:pos="567" w:val="left"/>
        </w:tabs>
        <w:ind w:left="567" w:hanging="567"/>
      </w:pPr>
      <w:r>
        <w:t>6.</w:t>
      </w:r>
      <w:r>
        <w:tab/>
      </w:r>
      <w:r>
        <w:t>objektive Anhaltspunkte dafür vorliegen, dass die Bereitstellung der ersuchten Informationen</w:t>
      </w:r>
    </w:p>
    <w:p>
      <w:pPr>
        <w:tabs>
          <w:tab w:pos="1134" w:val="left"/>
        </w:tabs>
        <w:ind w:left="1134" w:hanging="567"/>
      </w:pPr>
      <w:r>
        <w:t>a)</w:t>
      </w:r>
      <w:r>
        <w:tab/>
      </w:r>
      <w:r>
        <w:t>den grundlegenden Sicherheitsinteressen des Bundes oder der Länder zuwiderlaufen oder sie schädigen würde,</w:t>
      </w:r>
    </w:p>
    <w:p>
      <w:pPr>
        <w:tabs>
          <w:tab w:pos="1134" w:val="left"/>
        </w:tabs>
        <w:ind w:left="1134" w:hanging="567"/>
      </w:pPr>
      <w:r>
        <w:t>b)</w:t>
      </w:r>
      <w:r>
        <w:tab/>
      </w:r>
      <w:r>
        <w:t>den Erfolg eines laufenden strafrechtlichen Ermittlungsverfahrens oder die Sicherheit einer Person gefährden würde,</w:t>
      </w:r>
    </w:p>
    <w:p>
      <w:pPr>
        <w:tabs>
          <w:tab w:pos="567" w:val="left"/>
        </w:tabs>
        <w:ind w:left="567" w:hanging="567"/>
      </w:pPr>
      <w:r>
        <w:t>7.</w:t>
      </w:r>
      <w:r>
        <w:tab/>
      </w:r>
      <w:r>
        <w:t>die ersuchten Informationen ursprünglich von einem anderen Mitgliedstaat der Europäischen Union oder einem Drittstaat erlangt wurden und dieser Staat der Übermittlung der Informationen nicht zugestimmt hat.</w:t>
      </w:r>
    </w:p>
    <w:p>
      <w:r>
        <w:t>(2) Die Übermittlung von Informationen einschließlich personenbezogener Daten kann unterbleiben, soweit</w:t>
      </w:r>
    </w:p>
    <w:p>
      <w:pPr>
        <w:tabs>
          <w:tab w:pos="567" w:val="left"/>
        </w:tabs>
        <w:ind w:left="567" w:hanging="567"/>
      </w:pPr>
      <w:r>
        <w:t>1.</w:t>
      </w:r>
      <w:r>
        <w:tab/>
      </w:r>
      <w:r>
        <w:t xml:space="preserve">die angeforderten Informationen bei der ersuchten mit der Steuerfahndung betrauten Dienststelle der Finanzbehörde nicht nach </w:t>
      </w:r>
      <w:hyperlink w:anchor="b185" w:history="1">
        <w:r>
          <w:rPr>
            <w:color w:val="0A3A8C"/>
            <w:u w:val="single"/>
          </w:rPr>
          <w:t xml:space="preserve">§ 117c</w:t>
        </w:r>
      </w:hyperlink>
      <w:r>
        <w:t xml:space="preserve"> Absatz 2 Nummer 1 verfügbar sind, jedoch ohne das Ergreifen von Zwangsmaßnahmen nach </w:t>
      </w:r>
      <w:hyperlink w:anchor="b185" w:history="1">
        <w:r>
          <w:rPr>
            <w:color w:val="0A3A8C"/>
            <w:u w:val="single"/>
          </w:rPr>
          <w:t xml:space="preserve">§ 117c</w:t>
        </w:r>
      </w:hyperlink>
      <w:r>
        <w:t xml:space="preserve"> Absatz 2 Nummer 2 eingeholt werden können,</w:t>
      </w:r>
    </w:p>
    <w:p>
      <w:pPr>
        <w:tabs>
          <w:tab w:pos="567" w:val="left"/>
        </w:tabs>
        <w:ind w:left="567" w:hanging="567"/>
      </w:pPr>
      <w:r>
        <w:t>2.</w:t>
      </w:r>
      <w:r>
        <w:tab/>
      </w:r>
      <w:r>
        <w:t>das Ersuchen</w:t>
      </w:r>
    </w:p>
    <w:p>
      <w:pPr>
        <w:tabs>
          <w:tab w:pos="1134" w:val="left"/>
        </w:tabs>
        <w:ind w:left="1134" w:hanging="567"/>
      </w:pPr>
      <w:r>
        <w:t>a)</w:t>
      </w:r>
      <w:r>
        <w:tab/>
      </w:r>
      <w:r>
        <w:t>eine Straftat betrifft, die nach deutschem Recht mit Freiheitsstrafe von höchstens einem Jahr oder weniger geahndet werden kann, oder</w:t>
      </w:r>
    </w:p>
    <w:p>
      <w:pPr>
        <w:tabs>
          <w:tab w:pos="1134" w:val="left"/>
        </w:tabs>
        <w:ind w:left="1134" w:hanging="567"/>
      </w:pPr>
      <w:r>
        <w:t>b)</w:t>
      </w:r>
      <w:r>
        <w:tab/>
      </w:r>
      <w:r>
        <w:t>eine Angelegenheit betrifft, die nach deutschem Recht keine Straftat darstellt,</w:t>
      </w:r>
    </w:p>
    <w:p>
      <w:pPr>
        <w:tabs>
          <w:tab w:pos="567" w:val="left"/>
        </w:tabs>
        <w:ind w:left="567" w:hanging="567"/>
      </w:pPr>
      <w:r>
        <w:t>3.</w:t>
      </w:r>
      <w:r>
        <w:tab/>
      </w:r>
      <w:r>
        <w:t xml:space="preserve">das Ersuchen nicht den Anforderungen des </w:t>
      </w:r>
      <w:hyperlink w:anchor="b186" w:history="1">
        <w:r>
          <w:rPr>
            <w:color w:val="0A3A8C"/>
            <w:u w:val="single"/>
          </w:rPr>
          <w:t xml:space="preserve">§ 117d</w:t>
        </w:r>
      </w:hyperlink>
      <w:r>
        <w:t xml:space="preserve"> entspricht.</w:t>
      </w:r>
    </w:p>
    <w:p>
      <w:r>
        <w:t>(3) Ein Ersuchen, das in einer anderen Sprache als den Sprachen, die von der Bundesrepublik Deutschland nach Artikel 11 der Richtlinie (EU) 2023/977 benannt werden, abgefasst ist, kann abgelehnt werden.</w:t>
      </w:r>
    </w:p>
    <w:p>
      <w:r>
        <w:t>(4) Vor Ablehnung eines Ersuchens soll den ersuchenden Behörden die Möglichkeit gegeben werden, ergänzende Klarstellungen oder Präzisierungen beizubringen.</w:t>
      </w:r>
    </w:p>
    <w:p>
      <w:r>
        <w:t>(5) Soweit die Übermittlung von Informationen die Genehmigung der Staatsanwaltschaft oder eines Gerichtes voraussetzt, unternimmt die zuständige mit der Steuerfahndung betraute Dienststelle der Finanzbehörde unverzüglich alle erforderlichen Schritte, um diese Genehmigung so schnell wie möglich einzuholen.</w:t>
      </w:r>
    </w:p>
    <w:p>
      <w:pPr>
        <w:pStyle w:val="Heading4"/>
      </w:pPr>
      <w:bookmarkStart w:id="190" w:name="b188"/>
      <w:r>
        <w:t>§ 117f Zusammenarbeit mit zentralen Kontaktstellen</w:t>
      </w:r>
      <w:r>
        <w:t xml:space="preserve"> </w:t>
      </w:r>
      <w:r>
        <w:rPr>
          <w:rStyle w:val="Suchmarke"/>
        </w:rPr>
        <w:t>#117f#</w:t>
      </w:r>
      <w:bookmarkEnd w:id="190"/>
    </w:p>
    <w:p>
      <w:r>
        <w:t xml:space="preserve">(1) Auf ein Ersuchen hin, das bei der nach Artikel 14 der Richtlinie (EU) 2023/977 für die Bundesrepublik Deutschland benannten nationalen zentralen Kontaktstelle eingegangen ist, haben die mit der Steuerfahndung betrauten Dienststellen der Finanzbehörden der zentralen Kontaktstelle verfügbare Informationen im Sinne des </w:t>
      </w:r>
      <w:hyperlink w:anchor="b185" w:history="1">
        <w:r>
          <w:rPr>
            <w:color w:val="0A3A8C"/>
            <w:u w:val="single"/>
          </w:rPr>
          <w:t xml:space="preserve">§ 117c</w:t>
        </w:r>
      </w:hyperlink>
      <w:r>
        <w:t xml:space="preserve"> Absatz 2 nach </w:t>
      </w:r>
      <w:hyperlink w:anchor="b185" w:history="1">
        <w:r>
          <w:rPr>
            <w:color w:val="0A3A8C"/>
            <w:u w:val="single"/>
          </w:rPr>
          <w:t xml:space="preserve">§ 117c</w:t>
        </w:r>
      </w:hyperlink>
      <w:r>
        <w:t xml:space="preserve"> Absatz 3 zu übermitteln.</w:t>
      </w:r>
    </w:p>
    <w:p>
      <w:r>
        <w:t xml:space="preserve">(2) </w:t>
      </w:r>
      <w:r>
        <w:rPr>
          <w:rStyle w:val="Satznummer"/>
        </w:rPr>
        <w:t>1</w:t>
      </w:r>
      <w:r>
        <w:t xml:space="preserve">Nach </w:t>
      </w:r>
      <w:hyperlink w:anchor="b185" w:history="1">
        <w:r>
          <w:rPr>
            <w:color w:val="0A3A8C"/>
            <w:u w:val="single"/>
          </w:rPr>
          <w:t xml:space="preserve">§ 117c</w:t>
        </w:r>
      </w:hyperlink>
      <w:r>
        <w:t xml:space="preserve"> übermittelte Informationen werden in Kopie auch der für die Bundesrepublik Deutschland benannten nationalen zentralen Kontaktstelle übermittelt. </w:t>
      </w:r>
      <w:r>
        <w:rPr>
          <w:rStyle w:val="Satznummer"/>
        </w:rPr>
        <w:t>2</w:t>
      </w:r>
      <w:r>
        <w:t xml:space="preserve">Wenn die nach </w:t>
      </w:r>
      <w:hyperlink w:anchor="b185" w:history="1">
        <w:r>
          <w:rPr>
            <w:color w:val="0A3A8C"/>
            <w:u w:val="single"/>
          </w:rPr>
          <w:t xml:space="preserve">§ 117c</w:t>
        </w:r>
      </w:hyperlink>
      <w:r>
        <w:t xml:space="preserve"> ersuchten Informationen zur Beantwortung nicht der nach Artikel 14 der Richtlinie (EU) 2023/977 benannten zentralen Kontaktstelle des ersuchenden Mitgliedstaates der Europäischen Union übermittelt wurden, wird auch dieser zentralen Kontaktstelle eine Kopie der Informationen übermittelt.</w:t>
      </w:r>
    </w:p>
    <w:p>
      <w:r>
        <w:t>(3) Die Übermittlung an die zentrale Kontaktstelle des ersuchenden Mitgliedstaates nach Absatz 2 Satz 2 unterbleibt, wenn dadurch Folgendes gefährdet wird:</w:t>
      </w:r>
    </w:p>
    <w:p>
      <w:pPr>
        <w:tabs>
          <w:tab w:pos="567" w:val="left"/>
        </w:tabs>
        <w:ind w:left="567" w:hanging="567"/>
      </w:pPr>
      <w:r>
        <w:t>1.</w:t>
      </w:r>
      <w:r>
        <w:tab/>
      </w:r>
      <w:r>
        <w:t>eine laufende hochsensible Ermittlung, bei der die Verarbeitung von Informationen ein angemessenes Maß an Vertraulichkeit erfordert,</w:t>
      </w:r>
    </w:p>
    <w:p>
      <w:pPr>
        <w:tabs>
          <w:tab w:pos="567" w:val="left"/>
        </w:tabs>
        <w:ind w:left="567" w:hanging="567"/>
      </w:pPr>
      <w:r>
        <w:t>2.</w:t>
      </w:r>
      <w:r>
        <w:tab/>
      </w:r>
      <w:r>
        <w:t>Terrorismusfälle, bei denen es sich nicht um Not- oder Krisenmanagementsituationen handelt, oder</w:t>
      </w:r>
    </w:p>
    <w:p>
      <w:pPr>
        <w:tabs>
          <w:tab w:pos="567" w:val="left"/>
        </w:tabs>
        <w:ind w:left="567" w:hanging="567"/>
      </w:pPr>
      <w:r>
        <w:t>3.</w:t>
      </w:r>
      <w:r>
        <w:tab/>
      </w:r>
      <w:r>
        <w:t>die Sicherheit einer oder mehrerer Personen.</w:t>
      </w:r>
    </w:p>
    <w:p>
      <w:pPr>
        <w:pStyle w:val="Heading4"/>
      </w:pPr>
      <w:bookmarkStart w:id="191" w:name="b189"/>
      <w:r>
        <w:t>§ 117g Informationsübermittlung ohne Ersuchen</w:t>
      </w:r>
      <w:r>
        <w:t xml:space="preserve"> </w:t>
      </w:r>
      <w:r>
        <w:rPr>
          <w:rStyle w:val="Suchmarke"/>
        </w:rPr>
        <w:t>#117g#</w:t>
      </w:r>
      <w:bookmarkEnd w:id="191"/>
    </w:p>
    <w:p>
      <w:r>
        <w:t xml:space="preserve">(1) </w:t>
      </w:r>
      <w:r>
        <w:rPr>
          <w:rStyle w:val="Satznummer"/>
        </w:rPr>
        <w:t>1</w:t>
      </w:r>
      <w:r>
        <w:t xml:space="preserve">Nach Maßgabe der Richtlinie (EU) 2023/977 dürfen die mit der Steuerfahndung betrauten Dienststellen der Finanzbehörden gemäß </w:t>
      </w:r>
      <w:hyperlink w:anchor="b185" w:history="1">
        <w:r>
          <w:rPr>
            <w:color w:val="0A3A8C"/>
            <w:u w:val="single"/>
          </w:rPr>
          <w:t xml:space="preserve">§ 117c</w:t>
        </w:r>
      </w:hyperlink>
      <w:r>
        <w:t xml:space="preserve"> Absatz 2 verfügbare Informationen einschließlich personenbezogener Daten, ohne Ersuchen an die zuständigen Strafverfolgungsbehörden anderer Mitgliedstaaten der Europäischen Union aus eigener Initiative übermitteln, wenn objektive Anhaltspunkte dafür vorliegen, dass die Informationen für den anderen Mitgliedstaat der Europäischen Union zum Zweck der Verhütung von Straftaten relevant sein könnten. </w:t>
      </w:r>
      <w:r>
        <w:rPr>
          <w:rStyle w:val="Satznummer"/>
        </w:rPr>
        <w:t>2</w:t>
      </w:r>
      <w:r>
        <w:t>Satz 1 gilt auch für die Übermittlung an nach Artikel 14 der Richtlinie (EU) 2023/977 benannte zentrale Kontaktstellen anderer Mitgliedstaaten der Europäischen Union.</w:t>
      </w:r>
    </w:p>
    <w:p>
      <w:r>
        <w:t xml:space="preserve">(2) </w:t>
      </w:r>
      <w:r>
        <w:rPr>
          <w:rStyle w:val="Satznummer"/>
        </w:rPr>
        <w:t>1</w:t>
      </w:r>
      <w:r>
        <w:t xml:space="preserve">Die Übermittlung nach Absatz 1 erfolgt unter den gleichen gesetzlichen Voraussetzungen, unter denen die Übermittlung auch ohne Ersuchen an deutsche Polizei-, Finanz- oder Zollbehörden, ein deutsches Gericht oder eine deutsche Staatsanwaltschaft zulässig wäre. </w:t>
      </w:r>
      <w:r>
        <w:rPr>
          <w:rStyle w:val="Satznummer"/>
        </w:rPr>
        <w:t>2</w:t>
      </w:r>
      <w:hyperlink w:anchor="b187" w:history="1">
        <w:r>
          <w:rPr>
            <w:color w:val="0A3A8C"/>
            <w:u w:val="single"/>
          </w:rPr>
          <w:t xml:space="preserve">§ 117e</w:t>
        </w:r>
      </w:hyperlink>
      <w:r>
        <w:t xml:space="preserve"> Absatz 1 und 2 ist entsprechend anzuwenden.</w:t>
      </w:r>
    </w:p>
    <w:p>
      <w:r>
        <w:t xml:space="preserve">(3) </w:t>
      </w:r>
      <w:r>
        <w:rPr>
          <w:rStyle w:val="Satznummer"/>
        </w:rPr>
        <w:t>1</w:t>
      </w:r>
      <w:r>
        <w:t xml:space="preserve">Die Regelungen des § 3 des Bundeskriminalamtgesetzes über den internationalen Dienstverkehr der Polizeien des Bundes und der Länder bleiben unberührt. </w:t>
      </w:r>
      <w:r>
        <w:rPr>
          <w:rStyle w:val="Satznummer"/>
        </w:rPr>
        <w:t>2</w:t>
      </w:r>
      <w:r>
        <w:t>Wenn die Übermittlung an die zentrale Kontaktstelle eines anderen Mitgliedstaates der Europäischen Union erfolgt, sind die Informationen in einer der Sprachen zu übermitteln, die von diesem Mitgliedstaat der Europäischen Union nach Artikel 11 der Richtlinie (EU) 2023/977 benannt wurden.</w:t>
      </w:r>
    </w:p>
    <w:p>
      <w:r>
        <w:t xml:space="preserve">(4) </w:t>
      </w:r>
      <w:hyperlink w:anchor="b185" w:history="1">
        <w:r>
          <w:rPr>
            <w:color w:val="0A3A8C"/>
            <w:u w:val="single"/>
          </w:rPr>
          <w:t xml:space="preserve">§ 117c</w:t>
        </w:r>
      </w:hyperlink>
      <w:r>
        <w:t xml:space="preserve"> Absatz 3 Satz 2 und </w:t>
      </w:r>
      <w:hyperlink w:anchor="b188" w:history="1">
        <w:r>
          <w:rPr>
            <w:color w:val="0A3A8C"/>
            <w:u w:val="single"/>
          </w:rPr>
          <w:t xml:space="preserve">§ 117f</w:t>
        </w:r>
      </w:hyperlink>
      <w:r>
        <w:t xml:space="preserve"> sind entsprechend anzuwenden.</w:t>
      </w:r>
    </w:p>
    <w:p>
      <w:pPr>
        <w:pStyle w:val="Heading4"/>
      </w:pPr>
      <w:bookmarkStart w:id="192" w:name="b190"/>
      <w:r>
        <w:t>§ 117h Verpflichtung zur Übermittlung von Informationen ohne Ersuchen</w:t>
      </w:r>
      <w:r>
        <w:t xml:space="preserve"> </w:t>
      </w:r>
      <w:r>
        <w:rPr>
          <w:rStyle w:val="Suchmarke"/>
        </w:rPr>
        <w:t>#117h#</w:t>
      </w:r>
      <w:bookmarkEnd w:id="192"/>
    </w:p>
    <w:p>
      <w:r>
        <w:t>(1) Nach Maßgabe der Richtlinie (EU) 2023/977 sind die mit der Steuerfahndung betrauten Dienststellen der Finanzbehörden verpflichtet, ohne Ersuchen von ihnen selbst erhobene Informationen einschließlich personenbezogener Daten an die zentrale Kontaktstelle nach Artikel 14 der Richtlinie (EU) 2023/977 oder die zuständigen Strafverfolgungsbehörden anderer Mitgliedstaaten der Europäischen Union aus eigener Initiative zu übermitteln, wenn objektive Anhaltspunkte dafür vorliegen, dass die Informationen für den anderen Mitgliedstaat der Europäischen Union zum Zweck der Verhütung von schweren Straftaten im Sinne von Artikel 2 Absatz 3 der Richtlinie (EU) 2023/977 relevant sein könnten.</w:t>
      </w:r>
    </w:p>
    <w:p>
      <w:r>
        <w:t xml:space="preserve">(2) </w:t>
      </w:r>
      <w:r>
        <w:rPr>
          <w:rStyle w:val="Satznummer"/>
        </w:rPr>
        <w:t>1</w:t>
      </w:r>
      <w:r>
        <w:t xml:space="preserve">Die Übermittlung nach Absatz 1 erfolgt unter den gleichen gesetzlichen Voraussetzungen, unter denen die Übermittlung auch ohne Ersuchen an deutsche Polizei-, Finanz- oder Zollbehörden, ein deutsches Gericht oder eine deutsche Staatsanwaltschaft zulässig wäre. </w:t>
      </w:r>
      <w:r>
        <w:rPr>
          <w:rStyle w:val="Satznummer"/>
        </w:rPr>
        <w:t>2</w:t>
      </w:r>
      <w:hyperlink w:anchor="b185" w:history="1">
        <w:r>
          <w:rPr>
            <w:color w:val="0A3A8C"/>
            <w:u w:val="single"/>
          </w:rPr>
          <w:t xml:space="preserve">§ 117c</w:t>
        </w:r>
      </w:hyperlink>
      <w:r>
        <w:t xml:space="preserve"> Absatz 3 Satz 2 ist entsprechend anzuwenden.</w:t>
      </w:r>
    </w:p>
    <w:p>
      <w:r>
        <w:t xml:space="preserve">(3) </w:t>
      </w:r>
      <w:hyperlink w:anchor="b187" w:history="1">
        <w:r>
          <w:rPr>
            <w:color w:val="0A3A8C"/>
            <w:u w:val="single"/>
          </w:rPr>
          <w:t xml:space="preserve">§ 117e</w:t>
        </w:r>
      </w:hyperlink>
      <w:r>
        <w:t xml:space="preserve"> Absatz 1, die </w:t>
      </w:r>
      <w:hyperlink w:anchor="b188" w:history="1">
        <w:r>
          <w:rPr>
            <w:color w:val="0A3A8C"/>
            <w:u w:val="single"/>
          </w:rPr>
          <w:t xml:space="preserve">§§ 117f</w:t>
        </w:r>
      </w:hyperlink>
      <w:r>
        <w:t xml:space="preserve"> und </w:t>
      </w:r>
      <w:hyperlink w:anchor="b189" w:history="1">
        <w:r>
          <w:rPr>
            <w:color w:val="0A3A8C"/>
            <w:u w:val="single"/>
          </w:rPr>
          <w:t xml:space="preserve">117g</w:t>
        </w:r>
      </w:hyperlink>
      <w:r>
        <w:t xml:space="preserve"> Absatz 3 finden entsprechende Anwendung.</w:t>
      </w:r>
    </w:p>
    <w:p>
      <w:pPr>
        <w:pStyle w:val="Heading4"/>
      </w:pPr>
      <w:bookmarkStart w:id="193" w:name="b191"/>
      <w:r>
        <w:t>§ 117i Informationsübermittlung an Schengen-assoziierte Staaten</w:t>
      </w:r>
      <w:r>
        <w:t xml:space="preserve"> </w:t>
      </w:r>
      <w:r>
        <w:rPr>
          <w:rStyle w:val="Suchmarke"/>
        </w:rPr>
        <w:t>#117i#</w:t>
      </w:r>
      <w:bookmarkEnd w:id="193"/>
    </w:p>
    <w:p>
      <w:r>
        <w:t xml:space="preserve">Die </w:t>
      </w:r>
      <w:hyperlink w:anchor="b185" w:history="1">
        <w:r>
          <w:rPr>
            <w:color w:val="0A3A8C"/>
            <w:u w:val="single"/>
          </w:rPr>
          <w:t xml:space="preserve">§§ 117c</w:t>
        </w:r>
      </w:hyperlink>
      <w:r>
        <w:t xml:space="preserve"> bis </w:t>
      </w:r>
      <w:hyperlink w:anchor="b190" w:history="1">
        <w:r>
          <w:rPr>
            <w:color w:val="0A3A8C"/>
            <w:u w:val="single"/>
          </w:rPr>
          <w:t xml:space="preserve">117h</w:t>
        </w:r>
      </w:hyperlink>
      <w:r>
        <w:t xml:space="preserve"> gelten für die Übermittlung von Informationen an Strafverfolgungsbehörden von Staaten, die die Bestimmungen des Schengen-Besitzstandes aufgrund eines Assoziierungsabkommens mit der Europäischen Union über die Umsetzung, Anwendung und Entwicklung des Schengen-Besitzstandes anwenden, entsprechend.</w:t>
      </w:r>
    </w:p>
    <w:p>
      <w:pPr>
        <w:pStyle w:val="Heading4"/>
      </w:pPr>
      <w:bookmarkStart w:id="194" w:name="b192"/>
      <w:r>
        <w:t>§ 117j Ausgehende Ersuchen um Übermittlung von Informationen einschließlich personenbezogener Daten an Strafverfolgungsbehörden eines anderen Mitgliedstaates der Europäischen Union</w:t>
      </w:r>
      <w:r>
        <w:t xml:space="preserve"> </w:t>
      </w:r>
      <w:r>
        <w:rPr>
          <w:rStyle w:val="Suchmarke"/>
        </w:rPr>
        <w:t>#117j#</w:t>
      </w:r>
      <w:bookmarkEnd w:id="194"/>
    </w:p>
    <w:p>
      <w:r>
        <w:t xml:space="preserve">(1) </w:t>
      </w:r>
      <w:r>
        <w:rPr>
          <w:rStyle w:val="Satznummer"/>
        </w:rPr>
        <w:t>1</w:t>
      </w:r>
      <w:r>
        <w:t xml:space="preserve">Die mit der Steuerfahndung betrauten Dienststellen der Finanzbehörden dürfen Ersuchen um Übermittlung von Informationen einschließlich personenbezogener Daten an die Strafverfolgungsbehörden eines anderen Mitgliedstaates der Europäischen Union zum Zweck der Verhütung von Straftaten richten. </w:t>
      </w:r>
      <w:r>
        <w:rPr>
          <w:rStyle w:val="Satznummer"/>
        </w:rPr>
        <w:t>2</w:t>
      </w:r>
      <w:r>
        <w:t>Die Regelungen des § 3 des Bundeskriminalamtgesetzes über den internationalen Dienstverkehr der Polizeien des Bundes und der Länder bleiben unberührt.</w:t>
      </w:r>
    </w:p>
    <w:p>
      <w:r>
        <w:t xml:space="preserve">(2) </w:t>
      </w:r>
      <w:r>
        <w:rPr>
          <w:rStyle w:val="Satznummer"/>
        </w:rPr>
        <w:t>1</w:t>
      </w:r>
      <w:r>
        <w:t xml:space="preserve">Eine Kopie eines Ersuchens nach Absatz 1 wird der für die Bundesrepublik Deutschland nach Artikel 14 der Richtlinie (EU) 2023/977 benannten nationalen zentrale Kontaktstelle sowie der nach Artikel 14 der Richtlinie (EU) 2023/977 benannten zentralen Kontaktstelle des ersuchten Mitgliedstaates der Europäischen Union übermittelt. </w:t>
      </w:r>
      <w:r>
        <w:rPr>
          <w:rStyle w:val="Satznummer"/>
        </w:rPr>
        <w:t>2</w:t>
      </w:r>
      <w:r>
        <w:t xml:space="preserve">Für die Übermittlung nach Satz 1 gilt </w:t>
      </w:r>
      <w:hyperlink w:anchor="b188" w:history="1">
        <w:r>
          <w:rPr>
            <w:color w:val="0A3A8C"/>
            <w:u w:val="single"/>
          </w:rPr>
          <w:t xml:space="preserve">§ 117f</w:t>
        </w:r>
      </w:hyperlink>
      <w:r>
        <w:t xml:space="preserve"> Absatz 3 entsprechend.</w:t>
      </w:r>
    </w:p>
    <w:p>
      <w:r>
        <w:t xml:space="preserve">(3) Bei Ersuchen nach Absatz 1 sollen die Anforderungen des </w:t>
      </w:r>
      <w:hyperlink w:anchor="b186" w:history="1">
        <w:r>
          <w:rPr>
            <w:color w:val="0A3A8C"/>
            <w:u w:val="single"/>
          </w:rPr>
          <w:t xml:space="preserve">§ 117d</w:t>
        </w:r>
      </w:hyperlink>
      <w:r>
        <w:t xml:space="preserve"> eingehalten werden.</w:t>
      </w:r>
    </w:p>
    <w:p>
      <w:pPr>
        <w:pStyle w:val="Heading4"/>
      </w:pPr>
      <w:bookmarkStart w:id="195" w:name="b193"/>
      <w:r>
        <w:t>§ 117k Verwendung von nach der Richtlinie (EU) 2023/977 übermittelten Informationen</w:t>
      </w:r>
      <w:r>
        <w:t xml:space="preserve"> </w:t>
      </w:r>
      <w:r>
        <w:rPr>
          <w:rStyle w:val="Suchmarke"/>
        </w:rPr>
        <w:t>#117k#</w:t>
      </w:r>
      <w:bookmarkEnd w:id="195"/>
    </w:p>
    <w:p>
      <w:r>
        <w:rPr>
          <w:rStyle w:val="Satznummer"/>
        </w:rPr>
        <w:t>1</w:t>
      </w:r>
      <w:r>
        <w:t xml:space="preserve">Informationen einschließlich personenbezogener Daten, die nach der Richtlinie (EU) 2023/977 an eine mit der Steuerfahndung betraute Dienststelle der Finanzbehörden übermittelt worden sind, dürfen nur für die Zwecke, für die sie übermittelt wurden, oder zur Abwehr einer gegenwärtigen und erheblichen Gefahr für die öffentliche Sicherheit verwendet werden. </w:t>
      </w:r>
      <w:r>
        <w:rPr>
          <w:rStyle w:val="Satznummer"/>
        </w:rPr>
        <w:t>2</w:t>
      </w:r>
      <w:r>
        <w:t xml:space="preserve">Für einen anderen Zweck oder als Beweismittel in einem gerichtlichen Verfahren dürfen sie nur verwendet werden, wenn der übermittelnde Staat zugestimmt hat oder diese auf Ersuchen nachträglich genehmigt. </w:t>
      </w:r>
      <w:r>
        <w:rPr>
          <w:rStyle w:val="Satznummer"/>
        </w:rPr>
        <w:t>3</w:t>
      </w:r>
      <w:r>
        <w:t>Von dem übermittelnden Staat für die Verwendung der Informationen gestellte Bedingungen sind zu beachten.</w:t>
      </w:r>
    </w:p>
    <w:p>
      <w:pPr>
        <w:pStyle w:val="Heading4"/>
      </w:pPr>
      <w:bookmarkStart w:id="196" w:name="b194"/>
      <w:r>
        <w:t>§ 117l Statistiken über die zwischenstaatliche Amts- und Rechtshilfe</w:t>
      </w:r>
      <w:r>
        <w:t xml:space="preserve"> </w:t>
      </w:r>
      <w:r>
        <w:rPr>
          <w:rStyle w:val="Suchmarke"/>
        </w:rPr>
        <w:t>#117l#</w:t>
      </w:r>
      <w:bookmarkEnd w:id="196"/>
    </w:p>
    <w:p>
      <w:r>
        <w:rPr>
          <w:rStyle w:val="Satznummer"/>
        </w:rPr>
        <w:t>1</w:t>
      </w:r>
      <w:r>
        <w:t xml:space="preserve">Informationen, die im Zuge der zwischenstaatlichen Amts- und Rechtshilfe verarbeitet werden, dürfen statistisch pseudonymisiert oder anonymisiert aufbereitet werden. </w:t>
      </w:r>
      <w:r>
        <w:rPr>
          <w:rStyle w:val="Satznummer"/>
        </w:rPr>
        <w:t>2</w:t>
      </w:r>
      <w:r>
        <w:t>Diese statistischen Daten dürfen öffentlich zugänglich gemacht werden.</w:t>
      </w:r>
    </w:p>
    <w:p>
      <w:pPr>
        <w:pStyle w:val="Heading2"/>
      </w:pPr>
      <w:bookmarkStart w:id="197" w:name="b195"/>
      <w:r>
        <w:t>Zweiter Abschnitt Verwaltungsakte</w:t>
      </w:r>
      <w:bookmarkEnd w:id="197"/>
    </w:p>
    <w:p>
      <w:pPr>
        <w:pStyle w:val="Heading3"/>
      </w:pPr>
      <w:bookmarkStart w:id="198" w:name="b196"/>
      <w:r>
        <w:t>§ 118 Begriff des Verwaltungsakts</w:t>
      </w:r>
      <w:r>
        <w:t xml:space="preserve"> </w:t>
      </w:r>
      <w:r>
        <w:rPr>
          <w:rStyle w:val="Suchmarke"/>
        </w:rPr>
        <w:t>#118#</w:t>
      </w:r>
      <w:bookmarkEnd w:id="198"/>
    </w:p>
    <w:p>
      <w:r>
        <w:rPr>
          <w:rStyle w:val="Satznummer"/>
        </w:rPr>
        <w:t>1</w:t>
      </w:r>
      <w:r>
        <w:t xml:space="preserve">Verwaltungsakt ist jede Verfügung, Entscheidung oder andere hoheitliche Maßnahme, die eine Behörde zur Regelung eines Einzelfalls auf dem Gebiet des öffentlichen Rechts trifft und die auf unmittelbare Rechtswirkung nach außen gerichtet ist. </w:t>
      </w:r>
      <w:r>
        <w:rPr>
          <w:rStyle w:val="Satznummer"/>
        </w:rPr>
        <w:t>2</w:t>
      </w:r>
      <w:r>
        <w:t>Allgemeinverfügung ist ein Verwaltungsakt, der sich an einen nach allgemeinen Merkmalen bestimmten oder bestimmbaren Personenkreis richtet oder die öffentlich-rechtliche Eigenschaft einer Sache oder ihre Benutzung durch die Allgemeinheit betrifft.</w:t>
      </w:r>
    </w:p>
    <w:p>
      <w:pPr>
        <w:pStyle w:val="Heading3"/>
      </w:pPr>
      <w:bookmarkStart w:id="199" w:name="b197"/>
      <w:r>
        <w:t>§ 119 Bestimmtheit und Form des Verwaltungsakts</w:t>
      </w:r>
      <w:r>
        <w:t xml:space="preserve"> </w:t>
      </w:r>
      <w:r>
        <w:rPr>
          <w:rStyle w:val="Suchmarke"/>
        </w:rPr>
        <w:t>#119#</w:t>
      </w:r>
      <w:bookmarkEnd w:id="199"/>
    </w:p>
    <w:p>
      <w:r>
        <w:t>(1) Ein Verwaltungsakt muss inhaltlich hinreichend bestimmt sein.</w:t>
      </w:r>
    </w:p>
    <w:p>
      <w:r>
        <w:t xml:space="preserve">(2) </w:t>
      </w:r>
      <w:r>
        <w:rPr>
          <w:rStyle w:val="Satznummer"/>
        </w:rPr>
        <w:t>1</w:t>
      </w:r>
      <w:r>
        <w:t xml:space="preserve">Ein Verwaltungsakt kann schriftlich, elektronisch, mündlich oder in anderer Weise erlassen werden. </w:t>
      </w:r>
      <w:r>
        <w:rPr>
          <w:rStyle w:val="Satznummer"/>
        </w:rPr>
        <w:t>2</w:t>
      </w:r>
      <w:r>
        <w:t>Ein mündlicher Verwaltungsakt ist schriftlich oder elektronisch zu bestätigen, wenn hieran ein berechtigtes Interesse besteht und die betroffene Person dies unverzüglich verlangt.</w:t>
      </w:r>
    </w:p>
    <w:p>
      <w:r>
        <w:t xml:space="preserve">(3) </w:t>
      </w:r>
      <w:r>
        <w:rPr>
          <w:rStyle w:val="Satznummer"/>
        </w:rPr>
        <w:t>1</w:t>
      </w:r>
      <w:r>
        <w:t xml:space="preserve">Ein schriftlich oder elektronisch erlassener Verwaltungsakt muss die erlassende Behörde erkennen lassen. </w:t>
      </w:r>
      <w:r>
        <w:rPr>
          <w:rStyle w:val="Satznummer"/>
        </w:rPr>
        <w:t>2</w:t>
      </w:r>
      <w:r>
        <w:t xml:space="preserve">Ferner muss er die Unterschrift oder die Namenswiedergabe des Behördenleiters, seines Vertreters oder seines Beauftragten enthalten; dies gilt nicht für einen Verwaltungsakt, der formularmäßig oder mit Hilfe automatischer Einrichtungen erlassen wird. </w:t>
      </w:r>
      <w:r>
        <w:rPr>
          <w:rStyle w:val="Satznummer"/>
        </w:rPr>
        <w:t>3</w:t>
      </w:r>
      <w:r>
        <w:t xml:space="preserve">Wird für einen Verwaltungsakt, für den gesetzlich die Schriftform angeordnet ist, nach </w:t>
      </w:r>
      <w:hyperlink w:anchor="b133" w:history="1">
        <w:r>
          <w:rPr>
            <w:color w:val="0A3A8C"/>
            <w:u w:val="single"/>
          </w:rPr>
          <w:t xml:space="preserve">§ 87a</w:t>
        </w:r>
      </w:hyperlink>
      <w:r>
        <w:t xml:space="preserve"> Absatz 4 Satz 2 die elektronische Form mit einer qualifizierten elektronischen Signatur verwendet, muss das der Signatur zugrunde liegende qualifizierte Zertifikat oder ein zugehöriges qualifiziertes Attributzertifikat die erlassende Behörde erkennen lassen.</w:t>
      </w:r>
    </w:p>
    <w:p>
      <w:r>
        <w:t>(4) Wird für einen Verwaltungsakt die elektronische Form mit einer qualifizierten elektronischen Signatur oder einem qualifizierten elektronischen Siegel verwendet, muss sie oder muss es so lange überprüfbar sein, wie der Verwaltungsakt von der Finanzbehörde gespeichert wird.</w:t>
      </w:r>
    </w:p>
    <w:p>
      <w:pPr>
        <w:pStyle w:val="Heading3"/>
      </w:pPr>
      <w:bookmarkStart w:id="200" w:name="b198"/>
      <w:r>
        <w:t>§ 120 Nebenbestimmungen zum Verwaltungsakt</w:t>
      </w:r>
      <w:r>
        <w:t xml:space="preserve"> </w:t>
      </w:r>
      <w:r>
        <w:rPr>
          <w:rStyle w:val="Suchmarke"/>
        </w:rPr>
        <w:t>#120#</w:t>
      </w:r>
      <w:bookmarkEnd w:id="200"/>
    </w:p>
    <w:p>
      <w:r>
        <w:t>(1) Ein Verwaltungsakt, auf den ein Anspruch besteht, darf mit einer Nebenbestimmung nur versehen werden, wenn sie durch Rechtsvorschrift zugelassen ist oder wenn sie sicherstellen soll, dass die gesetzlichen Voraussetzungen des Verwaltungsakts erfüllt werden.</w:t>
      </w:r>
    </w:p>
    <w:p>
      <w:r>
        <w:t>(2) Unbeschadet des Absatzes 1 darf ein Verwaltungsakt nach pflichtgemäßem Ermessen erlassen werden mit</w:t>
      </w:r>
    </w:p>
    <w:p>
      <w:pPr>
        <w:tabs>
          <w:tab w:pos="567" w:val="left"/>
        </w:tabs>
        <w:ind w:left="567" w:hanging="567"/>
      </w:pPr>
      <w:r>
        <w:t>1.</w:t>
      </w:r>
      <w:r>
        <w:tab/>
      </w:r>
      <w:r>
        <w:t>einer Bestimmung, nach der eine Vergünstigung oder Belastung zu einem bestimmten Zeitpunkt beginnt, endet oder für einen bestimmten Zeitraum gilt (Befristung),</w:t>
      </w:r>
    </w:p>
    <w:p>
      <w:pPr>
        <w:tabs>
          <w:tab w:pos="567" w:val="left"/>
        </w:tabs>
        <w:ind w:left="567" w:hanging="567"/>
      </w:pPr>
      <w:r>
        <w:t>2.</w:t>
      </w:r>
      <w:r>
        <w:tab/>
      </w:r>
      <w:r>
        <w:t>einer Bestimmung, nach der der Eintritt oder der Wegfall einer Vergünstigung oder einer Belastung von dem ungewissen Eintritt eines zukünftigen Ereignisses abhängt (Bedingung),</w:t>
      </w:r>
    </w:p>
    <w:p>
      <w:pPr>
        <w:tabs>
          <w:tab w:pos="567" w:val="left"/>
        </w:tabs>
        <w:ind w:left="567" w:hanging="567"/>
      </w:pPr>
      <w:r>
        <w:t>3.</w:t>
      </w:r>
      <w:r>
        <w:tab/>
      </w:r>
      <w:r>
        <w:t>einem Vorbehalt des Widerrufs</w:t>
      </w:r>
    </w:p>
    <w:p>
      <w:r>
        <w:t>oder verbunden werden mit</w:t>
      </w:r>
    </w:p>
    <w:p>
      <w:pPr>
        <w:tabs>
          <w:tab w:pos="567" w:val="left"/>
        </w:tabs>
        <w:ind w:left="567" w:hanging="567"/>
      </w:pPr>
      <w:r>
        <w:t>4.</w:t>
      </w:r>
      <w:r>
        <w:tab/>
      </w:r>
      <w:r>
        <w:t>einer Bestimmung, durch die dem Begünstigten ein Tun, Dulden oder Unterlassen vorgeschrieben wird (Auflage),</w:t>
      </w:r>
    </w:p>
    <w:p>
      <w:pPr>
        <w:tabs>
          <w:tab w:pos="567" w:val="left"/>
        </w:tabs>
        <w:ind w:left="567" w:hanging="567"/>
      </w:pPr>
      <w:r>
        <w:t>5.</w:t>
      </w:r>
      <w:r>
        <w:tab/>
      </w:r>
      <w:r>
        <w:t>einem Vorbehalt der nachträglichen Aufnahme, Änderung oder Ergänzung einer Auflage.</w:t>
      </w:r>
    </w:p>
    <w:p>
      <w:r>
        <w:t>(3) Eine Nebenbestimmung darf dem Zweck des Verwaltungsakts nicht zuwiderlaufen.</w:t>
      </w:r>
    </w:p>
    <w:p>
      <w:pPr>
        <w:pStyle w:val="Heading3"/>
      </w:pPr>
      <w:bookmarkStart w:id="201" w:name="b199"/>
      <w:r>
        <w:t>§ 121 Begründung des Verwaltungsakts</w:t>
      </w:r>
      <w:r>
        <w:t xml:space="preserve"> </w:t>
      </w:r>
      <w:r>
        <w:rPr>
          <w:rStyle w:val="Suchmarke"/>
        </w:rPr>
        <w:t>#121#</w:t>
      </w:r>
      <w:bookmarkEnd w:id="201"/>
    </w:p>
    <w:p>
      <w:r>
        <w:t>(1) Ein schriftlicher, elektronischer sowie ein schriftlich oder elektronisch bestätigter Verwaltungsakt ist mit einer Begründung zu versehen, soweit dies zu seinem Verständnis erforderlich ist.</w:t>
      </w:r>
    </w:p>
    <w:p>
      <w:r>
        <w:t>(2) Einer Begründung bedarf es nicht,</w:t>
      </w:r>
    </w:p>
    <w:p>
      <w:pPr>
        <w:tabs>
          <w:tab w:pos="567" w:val="left"/>
        </w:tabs>
        <w:ind w:left="567" w:hanging="567"/>
      </w:pPr>
      <w:r>
        <w:t>1.</w:t>
      </w:r>
      <w:r>
        <w:tab/>
      </w:r>
      <w:r>
        <w:t>soweit die Finanzbehörde einem Antrag entspricht oder einer Erklärung folgt und der Verwaltungsakt nicht in Rechte eines anderen eingreift,</w:t>
      </w:r>
    </w:p>
    <w:p>
      <w:pPr>
        <w:tabs>
          <w:tab w:pos="567" w:val="left"/>
        </w:tabs>
        <w:ind w:left="567" w:hanging="567"/>
      </w:pPr>
      <w:r>
        <w:t>2.</w:t>
      </w:r>
      <w:r>
        <w:tab/>
      </w:r>
      <w:r>
        <w:t>soweit demjenigen, für den der Verwaltungsakt bestimmt ist oder der von ihm betroffen wird, die Auffassung der Finanzbehörde über die Sach- und Rechtslage bereits bekannt oder auch ohne Begründung für ihn ohne weiteres erkennbar ist,</w:t>
      </w:r>
    </w:p>
    <w:p>
      <w:pPr>
        <w:tabs>
          <w:tab w:pos="567" w:val="left"/>
        </w:tabs>
        <w:ind w:left="567" w:hanging="567"/>
      </w:pPr>
      <w:r>
        <w:t>3.</w:t>
      </w:r>
      <w:r>
        <w:tab/>
      </w:r>
      <w:r>
        <w:t>wenn die Finanzbehörde gleichartige Verwaltungsakte in größerer Zahl oder Verwaltungsakte mit Hilfe automatischer Einrichtungen erlässt und die Begründung nach den Umständen des Einzelfalls nicht geboten ist,</w:t>
      </w:r>
    </w:p>
    <w:p>
      <w:pPr>
        <w:tabs>
          <w:tab w:pos="567" w:val="left"/>
        </w:tabs>
        <w:ind w:left="567" w:hanging="567"/>
      </w:pPr>
      <w:r>
        <w:t>4.</w:t>
      </w:r>
      <w:r>
        <w:tab/>
      </w:r>
      <w:r>
        <w:t>wenn sich dies aus einer Rechtsvorschrift ergibt,</w:t>
      </w:r>
    </w:p>
    <w:p>
      <w:pPr>
        <w:tabs>
          <w:tab w:pos="567" w:val="left"/>
        </w:tabs>
        <w:ind w:left="567" w:hanging="567"/>
      </w:pPr>
      <w:r>
        <w:t>5.</w:t>
      </w:r>
      <w:r>
        <w:tab/>
      </w:r>
      <w:r>
        <w:t>wenn eine Allgemeinverfügung öffentlich bekannt gegeben wird.</w:t>
      </w:r>
    </w:p>
    <w:p>
      <w:pPr>
        <w:pStyle w:val="Heading3"/>
      </w:pPr>
      <w:bookmarkStart w:id="202" w:name="b200"/>
      <w:r>
        <w:t>§ 122 Bekanntgabe des Verwaltungsakts</w:t>
      </w:r>
      <w:r>
        <w:t xml:space="preserve"> </w:t>
      </w:r>
      <w:r>
        <w:rPr>
          <w:rStyle w:val="Suchmarke"/>
        </w:rPr>
        <w:t>#122#</w:t>
      </w:r>
      <w:bookmarkEnd w:id="202"/>
    </w:p>
    <w:p>
      <w:r>
        <w:t xml:space="preserve">(1) </w:t>
      </w:r>
      <w:r>
        <w:rPr>
          <w:rStyle w:val="Satznummer"/>
        </w:rPr>
        <w:t>1</w:t>
      </w:r>
      <w:r>
        <w:t xml:space="preserve">Ein Verwaltungsakt ist demjenigen Beteiligten bekannt zu geben, für den er bestimmt ist oder der von ihm betroffen wird. </w:t>
      </w:r>
      <w:r>
        <w:rPr>
          <w:rStyle w:val="Satznummer"/>
        </w:rPr>
        <w:t>2</w:t>
      </w:r>
      <w:hyperlink w:anchor="b64" w:history="1">
        <w:r>
          <w:rPr>
            <w:color w:val="0A3A8C"/>
            <w:u w:val="single"/>
          </w:rPr>
          <w:t xml:space="preserve">§ 34</w:t>
        </w:r>
      </w:hyperlink>
      <w:r>
        <w:t xml:space="preserve"> Absatz 2 ist entsprechend anzuwenden. </w:t>
      </w:r>
      <w:r>
        <w:rPr>
          <w:rStyle w:val="Satznummer"/>
        </w:rPr>
        <w:t>3</w:t>
      </w:r>
      <w:r>
        <w:t xml:space="preserve">Der Verwaltungsakt kann auch gegenüber einem Bevollmächtigten bekannt gegeben werden. </w:t>
      </w:r>
      <w:r>
        <w:rPr>
          <w:rStyle w:val="Satznummer"/>
        </w:rPr>
        <w:t>4</w:t>
      </w:r>
      <w:r>
        <w:t xml:space="preserve">Er soll dem Bevollmächtigten bekannt gegeben werden, wenn der Finanzbehörde eine schriftliche oder eine nach amtlich vorgeschriebenem Datensatz elektronisch übermittelte Empfangsvollmacht vorliegt, solange dem Bevollmächtigten nicht eine Zurückweisung nach </w:t>
      </w:r>
      <w:hyperlink w:anchor="b121" w:history="1">
        <w:r>
          <w:rPr>
            <w:color w:val="0A3A8C"/>
            <w:u w:val="single"/>
          </w:rPr>
          <w:t xml:space="preserve">§ 80</w:t>
        </w:r>
      </w:hyperlink>
      <w:r>
        <w:t xml:space="preserve"> Absatz 7 bekannt gegeben worden ist.</w:t>
      </w:r>
    </w:p>
    <w:p>
      <w:r>
        <w:t>(2) Ein schriftlicher Verwaltungsakt, der durch die Post übermittelt wird, gilt als bekannt gegeben</w:t>
      </w:r>
    </w:p>
    <w:p>
      <w:pPr>
        <w:tabs>
          <w:tab w:pos="567" w:val="left"/>
        </w:tabs>
        <w:ind w:left="567" w:hanging="567"/>
      </w:pPr>
      <w:r>
        <w:t>1.</w:t>
      </w:r>
      <w:r>
        <w:tab/>
      </w:r>
      <w:r>
        <w:t>bei einer Übermittlung im Inland am vierten Tage nach der Aufgabe zur Post,</w:t>
      </w:r>
    </w:p>
    <w:p>
      <w:pPr>
        <w:tabs>
          <w:tab w:pos="567" w:val="left"/>
        </w:tabs>
        <w:ind w:left="567" w:hanging="567"/>
      </w:pPr>
      <w:r>
        <w:t>2.</w:t>
      </w:r>
      <w:r>
        <w:tab/>
      </w:r>
      <w:r>
        <w:t>bei einer Übermittlung im Ausland einen Monat nach der Aufgabe zur Post,</w:t>
      </w:r>
    </w:p>
    <w:p>
      <w:r>
        <w:t>außer wenn er nicht oder zu einem späteren Zeitpunkt zugegangen ist; im Zweifel hat die Behörde den Zugang des Verwaltungsakts und den Zeitpunkt des Zugangs nachzuweisen.</w:t>
      </w:r>
    </w:p>
    <w:p>
      <w:r>
        <w:t>(2a) Ein elektronisch übermittelter Verwaltungsakt gilt am vierten Tage nach der Absendung als bekannt gegeben, außer wenn er nicht oder zu einem späteren Zeitpunkt zugegangen ist; im Zweifel hat die Behörde den Zugang des Verwaltungsakts und den Zeitpunkt des Zugangs nachzuweisen.</w:t>
      </w:r>
    </w:p>
    <w:p>
      <w:r>
        <w:t xml:space="preserve">(3) </w:t>
      </w:r>
      <w:r>
        <w:rPr>
          <w:rStyle w:val="Satznummer"/>
        </w:rPr>
        <w:t>1</w:t>
      </w:r>
      <w:r>
        <w:t xml:space="preserve">Ein Verwaltungsakt darf öffentlich bekannt gegeben werden, wenn dies durch Rechtsvorschrift zugelassen ist. </w:t>
      </w:r>
      <w:r>
        <w:rPr>
          <w:rStyle w:val="Satznummer"/>
        </w:rPr>
        <w:t>2</w:t>
      </w:r>
      <w:r>
        <w:t>Eine Allgemeinverfügung darf auch dann öffentlich bekannt gegeben werden, wenn eine Bekanntgabe an die Beteiligten untunlich ist.</w:t>
      </w:r>
    </w:p>
    <w:p>
      <w:r>
        <w:t xml:space="preserve">(4) </w:t>
      </w:r>
      <w:r>
        <w:rPr>
          <w:rStyle w:val="Satznummer"/>
        </w:rPr>
        <w:t>1</w:t>
      </w:r>
      <w:r>
        <w:t xml:space="preserve">Die öffentliche Bekanntgabe eines Verwaltungsakts wird dadurch bewirkt, dass sein verfügender Teil ortsüblich bekannt gemacht wird. </w:t>
      </w:r>
      <w:r>
        <w:rPr>
          <w:rStyle w:val="Satznummer"/>
        </w:rPr>
        <w:t>2</w:t>
      </w:r>
      <w:r>
        <w:t xml:space="preserve">In der ortsüblichen Bekanntmachung ist anzugeben, wo der Verwaltungsakt und seine Begründung eingesehen werden können. </w:t>
      </w:r>
      <w:r>
        <w:rPr>
          <w:rStyle w:val="Satznummer"/>
        </w:rPr>
        <w:t>3</w:t>
      </w:r>
      <w:r>
        <w:t xml:space="preserve">Der Verwaltungsakt gilt zwei Wochen nach dem Tag der ortsüblichen Bekanntmachung als bekannt gegeben. </w:t>
      </w:r>
      <w:r>
        <w:rPr>
          <w:rStyle w:val="Satznummer"/>
        </w:rPr>
        <w:t>4</w:t>
      </w:r>
      <w:r>
        <w:t>In einer Allgemeinverfügung kann ein hiervon abweichender Tag, jedoch frühestens der auf die Bekanntmachung folgende Tag bestimmt werden.</w:t>
      </w:r>
    </w:p>
    <w:p>
      <w:r>
        <w:t xml:space="preserve">(5) </w:t>
      </w:r>
      <w:r>
        <w:rPr>
          <w:rStyle w:val="Satznummer"/>
        </w:rPr>
        <w:t>1</w:t>
      </w:r>
      <w:r>
        <w:t xml:space="preserve">Ein Verwaltungsakt wird zugestellt, wenn dies gesetzlich vorgeschrieben ist oder behördlich angeordnet wird. </w:t>
      </w:r>
      <w:r>
        <w:rPr>
          <w:rStyle w:val="Satznummer"/>
        </w:rPr>
        <w:t>2</w:t>
      </w:r>
      <w:r>
        <w:t xml:space="preserve">Die Zustellung richtet sich vorbehaltlich der Sätze 3 und 4 nach den Vorschriften des Verwaltungszustellungsgesetzes. </w:t>
      </w:r>
      <w:r>
        <w:rPr>
          <w:rStyle w:val="Satznummer"/>
        </w:rPr>
        <w:t>3</w:t>
      </w:r>
      <w:r>
        <w:t xml:space="preserve">Für die Zustellung an einen Bevollmächtigten gilt abweichend von § 7 Absatz 1 Satz 2 des Verwaltungszustellungsgesetzes Absatz 1 Satz 4 entsprechend. </w:t>
      </w:r>
      <w:r>
        <w:rPr>
          <w:rStyle w:val="Satznummer"/>
        </w:rPr>
        <w:t>4</w:t>
      </w:r>
      <w:r>
        <w:t>Erfolgt die öffentliche Zustellung durch Bekanntmachung einer Benachrichtigung auf der Internetseite oder in einem elektronischen Portal der Finanzbehörden, können die Anordnung und die Dokumentation nach § 10 Absatz 1 Satz 2 und Absatz 2 Satz 5 des Verwaltungszustellungsgesetzes elektronisch erfolgen.</w:t>
      </w:r>
    </w:p>
    <w:p>
      <w:r>
        <w:t>(6) Die Bekanntgabe eines Verwaltungsakts an einen Beteiligten zugleich mit Wirkung für und gegen andere Beteiligte ist zulässig, soweit die Beteiligten einverstanden sind; diese Beteiligten können nachträglich eine Abschrift des Verwaltungsakts verlangen.</w:t>
      </w:r>
    </w:p>
    <w:p>
      <w:r>
        <w:t xml:space="preserve">(7) </w:t>
      </w:r>
      <w:r>
        <w:rPr>
          <w:rStyle w:val="Satznummer"/>
        </w:rPr>
        <w:t>1</w:t>
      </w:r>
      <w:r>
        <w:t>Betreffen Verwaltungsakte</w:t>
      </w:r>
    </w:p>
    <w:p>
      <w:pPr>
        <w:tabs>
          <w:tab w:pos="567" w:val="left"/>
        </w:tabs>
        <w:ind w:left="567" w:hanging="567"/>
      </w:pPr>
      <w:r>
        <w:t>1.</w:t>
      </w:r>
      <w:r>
        <w:tab/>
      </w:r>
      <w:r>
        <w:t>Ehegatten oder Lebenspartner oder</w:t>
      </w:r>
    </w:p>
    <w:p>
      <w:pPr>
        <w:tabs>
          <w:tab w:pos="567" w:val="left"/>
        </w:tabs>
        <w:ind w:left="567" w:hanging="567"/>
      </w:pPr>
      <w:r>
        <w:t>2.</w:t>
      </w:r>
      <w:r>
        <w:tab/>
      </w:r>
      <w:r>
        <w:t>Ehegatten mit ihren Kindern, Lebenspartner mit ihren Kindern oder Alleinstehende mit ihren Kindern,</w:t>
      </w:r>
    </w:p>
    <w:p>
      <w:r>
        <w:t xml:space="preserve">so reicht es für die Bekanntgabe an alle Beteiligten aus, wenn ihnen eine Ausfertigung unter ihrer gemeinsamen Anschrift übermittelt wird. </w:t>
      </w:r>
      <w:r>
        <w:rPr>
          <w:rStyle w:val="Satznummer"/>
        </w:rPr>
        <w:t>2</w:t>
      </w:r>
      <w:r>
        <w:t xml:space="preserve">Betreffen Verwaltungsakte Ehegatten oder Lebenspartner mit gemeinsamer Anschrift, so reicht es für die Bekanntgabe durch Bereitstellung zum Datenabruf nach </w:t>
      </w:r>
      <w:hyperlink w:anchor="b201" w:history="1">
        <w:r>
          <w:rPr>
            <w:color w:val="0A3A8C"/>
            <w:u w:val="single"/>
          </w:rPr>
          <w:t xml:space="preserve">§ 122a</w:t>
        </w:r>
      </w:hyperlink>
      <w:r>
        <w:t xml:space="preserve"> an alle Beteiligten aus, wenn einem der Beteiligten eine Ausfertigung zum Datenabruf nach </w:t>
      </w:r>
      <w:hyperlink w:anchor="b201" w:history="1">
        <w:r>
          <w:rPr>
            <w:color w:val="0A3A8C"/>
            <w:u w:val="single"/>
          </w:rPr>
          <w:t xml:space="preserve">§ 122a</w:t>
        </w:r>
      </w:hyperlink>
      <w:r>
        <w:t xml:space="preserve"> bereitgestellt wird und dieser Beteiligte nach </w:t>
      </w:r>
      <w:hyperlink w:anchor="b201" w:history="1">
        <w:r>
          <w:rPr>
            <w:color w:val="0A3A8C"/>
            <w:u w:val="single"/>
          </w:rPr>
          <w:t xml:space="preserve">§ 122a</w:t>
        </w:r>
      </w:hyperlink>
      <w:r>
        <w:t xml:space="preserve"> Absatz 1 Satz 3 informiert wurde, sofern nicht einer der Beteiligten einen Antrag nach </w:t>
      </w:r>
      <w:hyperlink w:anchor="b201" w:history="1">
        <w:r>
          <w:rPr>
            <w:color w:val="0A3A8C"/>
            <w:u w:val="single"/>
          </w:rPr>
          <w:t xml:space="preserve">§ 122a</w:t>
        </w:r>
      </w:hyperlink>
      <w:r>
        <w:t xml:space="preserve"> Absatz 2 gestellt hat. </w:t>
      </w:r>
      <w:r>
        <w:rPr>
          <w:rStyle w:val="Satznummer"/>
        </w:rPr>
        <w:t>3</w:t>
      </w:r>
      <w:r>
        <w:t>Die Verwaltungsakte sind den Beteiligten einzeln bekannt zu geben, soweit sie dies beantragt haben oder soweit der Finanzbehörde bekannt ist, dass zwischen ihnen ernstliche Meinungsverschiedenheiten bestehen.</w:t>
      </w:r>
    </w:p>
    <w:p>
      <w:pPr>
        <w:pStyle w:val="Heading3"/>
      </w:pPr>
      <w:bookmarkStart w:id="203" w:name="b201"/>
      <w:r>
        <w:t>§ 122a Bekanntgabe von Verwaltungsakten durch Bereitstellung zum Datenabruf</w:t>
      </w:r>
      <w:r>
        <w:t xml:space="preserve"> </w:t>
      </w:r>
      <w:r>
        <w:rPr>
          <w:rStyle w:val="Suchmarke"/>
        </w:rPr>
        <w:t>#122a#</w:t>
      </w:r>
      <w:bookmarkEnd w:id="203"/>
    </w:p>
    <w:p>
      <w:r>
        <w:t xml:space="preserve">(1) </w:t>
      </w:r>
      <w:r>
        <w:rPr>
          <w:rStyle w:val="Satznummer"/>
        </w:rPr>
        <w:t>1</w:t>
      </w:r>
      <w:r>
        <w:t xml:space="preserve">Verwaltungsakte können dem Beteiligten oder der von ihm bevollmächtigten Person bekannt gegeben werden, indem sie nach § 87a Absatz 8 zum Datenabruf bereitgestellt werden. </w:t>
      </w:r>
      <w:r>
        <w:rPr>
          <w:rStyle w:val="Satznummer"/>
        </w:rPr>
        <w:t>2</w:t>
      </w:r>
      <w:r>
        <w:t xml:space="preserve">Mittels Bereitstellung soll insbesondere bekannt gegeben werden, wenn ein Steuerbescheid, Steuermessbescheid oder Feststellungsbescheid auf einer nach </w:t>
      </w:r>
      <w:hyperlink w:anchor="b133" w:history="1">
        <w:r>
          <w:rPr>
            <w:color w:val="0A3A8C"/>
            <w:u w:val="single"/>
          </w:rPr>
          <w:t xml:space="preserve">§ 87a</w:t>
        </w:r>
      </w:hyperlink>
      <w:r>
        <w:t xml:space="preserve"> Absatz 6 elektronisch übermittelten Steuererklärung oder Feststellungserklärung beruht und sie</w:t>
      </w:r>
    </w:p>
    <w:p>
      <w:pPr>
        <w:tabs>
          <w:tab w:pos="567" w:val="left"/>
        </w:tabs>
        <w:ind w:left="567" w:hanging="567"/>
      </w:pPr>
      <w:r>
        <w:t>1.</w:t>
      </w:r>
      <w:r>
        <w:tab/>
      </w:r>
      <w:r>
        <w:t>vom Beteiligten selbst über ein von der Finanzverwaltung bereitgestelltes Nutzerkonto übermittelt wurde oder</w:t>
      </w:r>
    </w:p>
    <w:p>
      <w:pPr>
        <w:tabs>
          <w:tab w:pos="567" w:val="left"/>
        </w:tabs>
        <w:ind w:left="567" w:hanging="567"/>
      </w:pPr>
      <w:r>
        <w:t>2.</w:t>
      </w:r>
      <w:r>
        <w:tab/>
      </w:r>
      <w:r>
        <w:t xml:space="preserve">durch eine Person im Sinne des </w:t>
      </w:r>
      <w:hyperlink w:anchor="b121" w:history="1">
        <w:r>
          <w:rPr>
            <w:color w:val="0A3A8C"/>
            <w:u w:val="single"/>
          </w:rPr>
          <w:t xml:space="preserve">§ 80</w:t>
        </w:r>
      </w:hyperlink>
      <w:r>
        <w:t xml:space="preserve"> Absatz 2 übermittelt wurde, der gegenüber der Bescheid nach </w:t>
      </w:r>
      <w:hyperlink w:anchor="b200" w:history="1">
        <w:r>
          <w:rPr>
            <w:color w:val="0A3A8C"/>
            <w:u w:val="single"/>
          </w:rPr>
          <w:t xml:space="preserve">§ 122</w:t>
        </w:r>
      </w:hyperlink>
      <w:r>
        <w:t xml:space="preserve"> Absatz 1 Satz 4 bekanntzugeben ist.</w:t>
      </w:r>
    </w:p>
    <w:p>
      <w:r>
        <w:rPr>
          <w:rStyle w:val="Satznummer"/>
        </w:rPr>
        <w:t>3</w:t>
      </w:r>
      <w:r>
        <w:t>Die abrufberechtigte Person ist am Tag der Bereitstellung elektronisch über die Abrufmöglichkeit und ihre Rechtswirkungen zu benachrichtigen.</w:t>
      </w:r>
    </w:p>
    <w:p>
      <w:r>
        <w:t xml:space="preserve">(2) </w:t>
      </w:r>
      <w:r>
        <w:rPr>
          <w:rStyle w:val="Satznummer"/>
        </w:rPr>
        <w:t>1</w:t>
      </w:r>
      <w:r>
        <w:t xml:space="preserve">Absatz 1 ist nicht anzuwenden, wenn der Beteiligte eine einmalige oder dauerhafte postalische Bekanntgabe nach </w:t>
      </w:r>
      <w:hyperlink w:anchor="b200" w:history="1">
        <w:r>
          <w:rPr>
            <w:color w:val="0A3A8C"/>
            <w:u w:val="single"/>
          </w:rPr>
          <w:t xml:space="preserve">§ 122</w:t>
        </w:r>
      </w:hyperlink>
      <w:r>
        <w:t xml:space="preserve"> Absatz 2 beantragt hat. </w:t>
      </w:r>
      <w:r>
        <w:rPr>
          <w:rStyle w:val="Satznummer"/>
        </w:rPr>
        <w:t>2</w:t>
      </w:r>
      <w:r>
        <w:t>Der Antrag wirkt, ebenso wie dessen Widerruf, nur für die Zukunft; sie werden der Finanzbehörde gegenüber erst wirksam, wenn sie ihr zugehen.</w:t>
      </w:r>
    </w:p>
    <w:p>
      <w:r>
        <w:t xml:space="preserve">(3) Für den Datenabruf hat sich die abrufberechtigte Person nach Maßgabe des </w:t>
      </w:r>
      <w:hyperlink w:anchor="b133" w:history="1">
        <w:r>
          <w:rPr>
            <w:color w:val="0A3A8C"/>
            <w:u w:val="single"/>
          </w:rPr>
          <w:t xml:space="preserve">§ 87a</w:t>
        </w:r>
      </w:hyperlink>
      <w:r>
        <w:t xml:space="preserve"> Absatz 8 zu authentisieren.</w:t>
      </w:r>
    </w:p>
    <w:p>
      <w:r>
        <w:t xml:space="preserve">(4) </w:t>
      </w:r>
      <w:r>
        <w:rPr>
          <w:rStyle w:val="Satznummer"/>
        </w:rPr>
        <w:t>1</w:t>
      </w:r>
      <w:r>
        <w:t xml:space="preserve">Ein zum Abruf bereitgestellter Verwaltungsakt gilt am vierten Tag nach der Bereitstellung zum Abruf als bekannt gegeben. </w:t>
      </w:r>
      <w:r>
        <w:rPr>
          <w:rStyle w:val="Satznummer"/>
        </w:rPr>
        <w:t>2</w:t>
      </w:r>
      <w:r>
        <w:t>Im Zweifel hat die Behörde den Zeitpunkt der Bereitstellung zum Abruf nachzuweisen.</w:t>
      </w:r>
    </w:p>
    <w:p>
      <w:r>
        <w:t>(5) Die Absätze 1 bis 4 sind auch dann anzuwenden, wenn die Finanzbehörde den Verwaltungsakt im Postfach des Nutzerkontos nach dem Onlinezugangsgesetz zum Abruf bereitstellen will.</w:t>
      </w:r>
    </w:p>
    <w:p>
      <w:pPr>
        <w:pStyle w:val="Heading3"/>
      </w:pPr>
      <w:bookmarkStart w:id="204" w:name="b202"/>
      <w:r>
        <w:t>§ 123 Bestellung eines Empfangsbevollmächtigten</w:t>
      </w:r>
      <w:r>
        <w:t xml:space="preserve"> </w:t>
      </w:r>
      <w:r>
        <w:rPr>
          <w:rStyle w:val="Suchmarke"/>
        </w:rPr>
        <w:t>#123#</w:t>
      </w:r>
      <w:bookmarkEnd w:id="204"/>
    </w:p>
    <w:p>
      <w:r>
        <w:rPr>
          <w:rStyle w:val="Satznummer"/>
        </w:rPr>
        <w:t>1</w:t>
      </w:r>
      <w:r>
        <w:t xml:space="preserve">Ein Beteiligter ohne Wohnsitz oder gewöhnlichen Aufenthalt, Sitz oder Geschäftsleitung im Inland, in einem anderen Mitgliedstaat der Europäischen Union oder in einem Staat, auf den das Abkommen über den Europäischen Wirtschaftsraum anwendbar ist, hat der Finanzbehörde auf Verlangen innerhalb einer angemessenen Frist einen Empfangsbevollmächtigten im Inland zu benennen. </w:t>
      </w:r>
      <w:r>
        <w:rPr>
          <w:rStyle w:val="Satznummer"/>
        </w:rPr>
        <w:t>2</w:t>
      </w:r>
      <w:r>
        <w:t xml:space="preserve">Unterlässt er dies, so gilt ein an ihn gerichtetes Schriftstück einen Monat nach der Aufgabe zur Post und ein elektronisch übermitteltes Dokument am vierten Tage nach der Absendung als zugegangen. </w:t>
      </w:r>
      <w:r>
        <w:rPr>
          <w:rStyle w:val="Satznummer"/>
        </w:rPr>
        <w:t>3</w:t>
      </w:r>
      <w:r>
        <w:t xml:space="preserve">Dies gilt nicht, wenn feststeht, dass das Schriftstück oder das elektronische Dokument den Empfänger nicht oder zu einem späteren Zeitpunkt erreicht hat. </w:t>
      </w:r>
      <w:r>
        <w:rPr>
          <w:rStyle w:val="Satznummer"/>
        </w:rPr>
        <w:t>4</w:t>
      </w:r>
      <w:r>
        <w:t>Auf die Rechtsfolgen der Unterlassung ist der Beteiligte hinzuweisen.</w:t>
      </w:r>
    </w:p>
    <w:p>
      <w:pPr>
        <w:pStyle w:val="Heading3"/>
      </w:pPr>
      <w:bookmarkStart w:id="205" w:name="b203"/>
      <w:r>
        <w:t>§ 124 Wirksamkeit des Verwaltungsakts</w:t>
      </w:r>
      <w:r>
        <w:t xml:space="preserve"> </w:t>
      </w:r>
      <w:r>
        <w:rPr>
          <w:rStyle w:val="Suchmarke"/>
        </w:rPr>
        <w:t>#124#</w:t>
      </w:r>
      <w:bookmarkEnd w:id="205"/>
    </w:p>
    <w:p>
      <w:r>
        <w:t xml:space="preserve">(1) </w:t>
      </w:r>
      <w:r>
        <w:rPr>
          <w:rStyle w:val="Satznummer"/>
        </w:rPr>
        <w:t>1</w:t>
      </w:r>
      <w:r>
        <w:t xml:space="preserve">Ein Verwaltungsakt wird gegenüber demjenigen, für den er bestimmt ist oder der von ihm betroffen wird, in dem Zeitpunkt wirksam, in dem er ihm bekannt gegeben wird. </w:t>
      </w:r>
      <w:r>
        <w:rPr>
          <w:rStyle w:val="Satznummer"/>
        </w:rPr>
        <w:t>2</w:t>
      </w:r>
      <w:r>
        <w:t>Der Verwaltungsakt wird mit dem Inhalt wirksam, mit dem er bekannt gegeben wird.</w:t>
      </w:r>
    </w:p>
    <w:p>
      <w:r>
        <w:t>(2) Ein Verwaltungsakt bleibt wirksam, solange und soweit er nicht zurückgenommen, widerrufen, anderweitig aufgehoben oder durch Zeitablauf oder auf andere Weise erledigt ist.</w:t>
      </w:r>
    </w:p>
    <w:p>
      <w:r>
        <w:t>(3) Ein nichtiger Verwaltungsakt ist unwirksam.</w:t>
      </w:r>
    </w:p>
    <w:p>
      <w:pPr>
        <w:pStyle w:val="Heading3"/>
      </w:pPr>
      <w:bookmarkStart w:id="206" w:name="b204"/>
      <w:r>
        <w:t>§ 125 Nichtigkeit des Verwaltungsakts</w:t>
      </w:r>
      <w:r>
        <w:t xml:space="preserve"> </w:t>
      </w:r>
      <w:r>
        <w:rPr>
          <w:rStyle w:val="Suchmarke"/>
        </w:rPr>
        <w:t>#125#</w:t>
      </w:r>
      <w:bookmarkEnd w:id="206"/>
    </w:p>
    <w:p>
      <w:r>
        <w:t>(1) Ein Verwaltungsakt ist nichtig, soweit er an einem besonders schwerwiegenden Fehler leidet und dies bei verständiger Würdigung aller in Betracht kommenden Umstände offenkundig ist.</w:t>
      </w:r>
    </w:p>
    <w:p>
      <w:r>
        <w:t>(2) Ohne Rücksicht auf das Vorliegen der Voraussetzungen des Absatzes 1 ist ein Verwaltungsakt nichtig,</w:t>
      </w:r>
    </w:p>
    <w:p>
      <w:pPr>
        <w:tabs>
          <w:tab w:pos="567" w:val="left"/>
        </w:tabs>
        <w:ind w:left="567" w:hanging="567"/>
      </w:pPr>
      <w:r>
        <w:t>1.</w:t>
      </w:r>
      <w:r>
        <w:tab/>
      </w:r>
      <w:r>
        <w:t>der schriftlich oder elektronisch erlassen worden ist, die erlassende Finanzbehörde aber nicht erkennen lässt,</w:t>
      </w:r>
    </w:p>
    <w:p>
      <w:pPr>
        <w:tabs>
          <w:tab w:pos="567" w:val="left"/>
        </w:tabs>
        <w:ind w:left="567" w:hanging="567"/>
      </w:pPr>
      <w:r>
        <w:t>2.</w:t>
      </w:r>
      <w:r>
        <w:tab/>
      </w:r>
      <w:r>
        <w:t>den aus tatsächlichen Gründen niemand befolgen kann,</w:t>
      </w:r>
    </w:p>
    <w:p>
      <w:pPr>
        <w:tabs>
          <w:tab w:pos="567" w:val="left"/>
        </w:tabs>
        <w:ind w:left="567" w:hanging="567"/>
      </w:pPr>
      <w:r>
        <w:t>3.</w:t>
      </w:r>
      <w:r>
        <w:tab/>
      </w:r>
      <w:r>
        <w:t>der die Begehung einer rechtswidrigen Tat verlangt, die einen Straf- oder Bußgeldtatbestand verwirklicht,</w:t>
      </w:r>
    </w:p>
    <w:p>
      <w:pPr>
        <w:tabs>
          <w:tab w:pos="567" w:val="left"/>
        </w:tabs>
        <w:ind w:left="567" w:hanging="567"/>
      </w:pPr>
      <w:r>
        <w:t>4.</w:t>
      </w:r>
      <w:r>
        <w:tab/>
      </w:r>
      <w:r>
        <w:t>der gegen die guten Sitten verstößt.</w:t>
      </w:r>
    </w:p>
    <w:p>
      <w:r>
        <w:t>(3) Ein Verwaltungsakt ist nicht schon deshalb nichtig, weil</w:t>
      </w:r>
    </w:p>
    <w:p>
      <w:pPr>
        <w:tabs>
          <w:tab w:pos="567" w:val="left"/>
        </w:tabs>
        <w:ind w:left="567" w:hanging="567"/>
      </w:pPr>
      <w:r>
        <w:t>1.</w:t>
      </w:r>
      <w:r>
        <w:tab/>
      </w:r>
      <w:r>
        <w:t>Vorschriften über die örtliche Zuständigkeit nicht eingehalten worden sind,</w:t>
      </w:r>
    </w:p>
    <w:p>
      <w:pPr>
        <w:tabs>
          <w:tab w:pos="567" w:val="left"/>
        </w:tabs>
        <w:ind w:left="567" w:hanging="567"/>
      </w:pPr>
      <w:r>
        <w:t>2.</w:t>
      </w:r>
      <w:r>
        <w:tab/>
      </w:r>
      <w:r>
        <w:t xml:space="preserve">eine nach </w:t>
      </w:r>
      <w:hyperlink w:anchor="b125" w:history="1">
        <w:r>
          <w:rPr>
            <w:color w:val="0A3A8C"/>
            <w:u w:val="single"/>
          </w:rPr>
          <w:t xml:space="preserve">§ 82</w:t>
        </w:r>
      </w:hyperlink>
      <w:r>
        <w:t xml:space="preserve"> Absatz 1 Satz 1 Nummer 2 bis 6 und Satz 2 ausgeschlossene Person mitgewirkt hat,</w:t>
      </w:r>
    </w:p>
    <w:p>
      <w:pPr>
        <w:tabs>
          <w:tab w:pos="567" w:val="left"/>
        </w:tabs>
        <w:ind w:left="567" w:hanging="567"/>
      </w:pPr>
      <w:r>
        <w:t>3.</w:t>
      </w:r>
      <w:r>
        <w:tab/>
      </w:r>
      <w:r>
        <w:t>ein durch Rechtsvorschrift zur Mitwirkung berufener Ausschuss den für den Erlass des Verwaltungsakts vorgeschriebenen Beschluss nicht gefasst hat oder nicht beschlussfähig war,</w:t>
      </w:r>
    </w:p>
    <w:p>
      <w:pPr>
        <w:tabs>
          <w:tab w:pos="567" w:val="left"/>
        </w:tabs>
        <w:ind w:left="567" w:hanging="567"/>
      </w:pPr>
      <w:r>
        <w:t>4.</w:t>
      </w:r>
      <w:r>
        <w:tab/>
      </w:r>
      <w:r>
        <w:t>die nach einer Rechtsvorschrift erforderliche Mitwirkung einer anderen Behörde unterblieben ist.</w:t>
      </w:r>
    </w:p>
    <w:p>
      <w:r>
        <w:t>(4) Betrifft die Nichtigkeit nur einen Teil des Verwaltungsakts, so ist er im Ganzen nichtig, wenn der nichtige Teil so wesentlich ist, dass die Finanzbehörde den Verwaltungsakt ohne den nichtigen Teil nicht erlassen hätte.</w:t>
      </w:r>
    </w:p>
    <w:p>
      <w:r>
        <w:t>(5) Die Finanzbehörde kann die Nichtigkeit jederzeit von Amts wegen feststellen; auf Antrag ist sie festzustellen, wenn der Antragsteller hieran ein berechtigtes Interesse hat.</w:t>
      </w:r>
    </w:p>
    <w:p>
      <w:pPr>
        <w:pStyle w:val="Heading3"/>
      </w:pPr>
      <w:bookmarkStart w:id="207" w:name="b205"/>
      <w:r>
        <w:t>§ 126 Heilung von Verfahrens- und Formfehlern</w:t>
      </w:r>
      <w:r>
        <w:t xml:space="preserve"> </w:t>
      </w:r>
      <w:r>
        <w:rPr>
          <w:rStyle w:val="Suchmarke"/>
        </w:rPr>
        <w:t>#126#</w:t>
      </w:r>
      <w:bookmarkEnd w:id="207"/>
    </w:p>
    <w:p>
      <w:r>
        <w:t xml:space="preserve">(1) Eine Verletzung von Verfahrens- oder Formvorschriften, die nicht den Verwaltungsakt nach </w:t>
      </w:r>
      <w:hyperlink w:anchor="b204" w:history="1">
        <w:r>
          <w:rPr>
            <w:color w:val="0A3A8C"/>
            <w:u w:val="single"/>
          </w:rPr>
          <w:t xml:space="preserve">§ 125</w:t>
        </w:r>
      </w:hyperlink>
      <w:r>
        <w:t xml:space="preserve"> nichtig macht, ist unbeachtlich, wenn</w:t>
      </w:r>
    </w:p>
    <w:p>
      <w:pPr>
        <w:tabs>
          <w:tab w:pos="567" w:val="left"/>
        </w:tabs>
        <w:ind w:left="567" w:hanging="567"/>
      </w:pPr>
      <w:r>
        <w:t>1.</w:t>
      </w:r>
      <w:r>
        <w:tab/>
      </w:r>
      <w:r>
        <w:t>der für den Verwaltungsakt erforderliche Antrag nachträglich gestellt wird,</w:t>
      </w:r>
    </w:p>
    <w:p>
      <w:pPr>
        <w:tabs>
          <w:tab w:pos="567" w:val="left"/>
        </w:tabs>
        <w:ind w:left="567" w:hanging="567"/>
      </w:pPr>
      <w:r>
        <w:t>2.</w:t>
      </w:r>
      <w:r>
        <w:tab/>
      </w:r>
      <w:r>
        <w:t>die erforderliche Begründung nachträglich gegeben wird,</w:t>
      </w:r>
    </w:p>
    <w:p>
      <w:pPr>
        <w:tabs>
          <w:tab w:pos="567" w:val="left"/>
        </w:tabs>
        <w:ind w:left="567" w:hanging="567"/>
      </w:pPr>
      <w:r>
        <w:t>3.</w:t>
      </w:r>
      <w:r>
        <w:tab/>
      </w:r>
      <w:r>
        <w:t>die erforderliche Anhörung eines Beteiligten nachgeholt wird,</w:t>
      </w:r>
    </w:p>
    <w:p>
      <w:pPr>
        <w:tabs>
          <w:tab w:pos="567" w:val="left"/>
        </w:tabs>
        <w:ind w:left="567" w:hanging="567"/>
      </w:pPr>
      <w:r>
        <w:t>4.</w:t>
      </w:r>
      <w:r>
        <w:tab/>
      </w:r>
      <w:r>
        <w:t>der Beschluss eines Ausschusses, dessen Mitwirkung für den Erlass des Verwaltungsakts erforderlich ist, nachträglich gefasst wird,</w:t>
      </w:r>
    </w:p>
    <w:p>
      <w:pPr>
        <w:tabs>
          <w:tab w:pos="567" w:val="left"/>
        </w:tabs>
        <w:ind w:left="567" w:hanging="567"/>
      </w:pPr>
      <w:r>
        <w:t>5.</w:t>
      </w:r>
      <w:r>
        <w:tab/>
      </w:r>
      <w:r>
        <w:t>die erforderliche Mitwirkung einer anderen Behörde nachgeholt wird.</w:t>
      </w:r>
    </w:p>
    <w:p>
      <w:r>
        <w:t>(2) Handlungen nach Absatz 1 Nummer 2 bis 5 können bis zum Abschluss der Tatsacheninstanz eines finanzgerichtlichen Verfahrens nachgeholt werden.</w:t>
      </w:r>
    </w:p>
    <w:p>
      <w:r>
        <w:t xml:space="preserve">(3) </w:t>
      </w:r>
      <w:r>
        <w:rPr>
          <w:rStyle w:val="Satznummer"/>
        </w:rPr>
        <w:t>1</w:t>
      </w:r>
      <w:r>
        <w:t xml:space="preserve">Fehlt einem Verwaltungsakt die erforderliche Begründung oder ist die erforderliche Anhörung eines Beteiligten vor Erlass des Verwaltungsakts unterblieben und ist dadurch die rechtzeitige Anfechtung des Verwaltungsakts versäumt worden, so gilt die Versäumung der Einspruchsfrist als nicht verschuldet. </w:t>
      </w:r>
      <w:r>
        <w:rPr>
          <w:rStyle w:val="Satznummer"/>
        </w:rPr>
        <w:t>2</w:t>
      </w:r>
      <w:r>
        <w:t xml:space="preserve">Das für die Wiedereinsetzungsfrist nach </w:t>
      </w:r>
      <w:hyperlink w:anchor="b174" w:history="1">
        <w:r>
          <w:rPr>
            <w:color w:val="0A3A8C"/>
            <w:u w:val="single"/>
          </w:rPr>
          <w:t xml:space="preserve">§ 110</w:t>
        </w:r>
      </w:hyperlink>
      <w:r>
        <w:t xml:space="preserve"> Absatz 2 maßgebende Ereignis tritt im Zeitpunkt der Nachholung der unterlassenen Verfahrenshandlung ein.</w:t>
      </w:r>
    </w:p>
    <w:p>
      <w:pPr>
        <w:pStyle w:val="Heading3"/>
      </w:pPr>
      <w:bookmarkStart w:id="208" w:name="b206"/>
      <w:r>
        <w:t>§ 127 Folgen von Verfahrens- und Formfehlern</w:t>
      </w:r>
      <w:r>
        <w:t xml:space="preserve"> </w:t>
      </w:r>
      <w:r>
        <w:rPr>
          <w:rStyle w:val="Suchmarke"/>
        </w:rPr>
        <w:t>#127#</w:t>
      </w:r>
      <w:bookmarkEnd w:id="208"/>
    </w:p>
    <w:p>
      <w:r>
        <w:t xml:space="preserve">Die Aufhebung eines Verwaltungsakts, der nicht nach </w:t>
      </w:r>
      <w:hyperlink w:anchor="b204" w:history="1">
        <w:r>
          <w:rPr>
            <w:color w:val="0A3A8C"/>
            <w:u w:val="single"/>
          </w:rPr>
          <w:t xml:space="preserve">§ 125</w:t>
        </w:r>
      </w:hyperlink>
      <w:r>
        <w:t xml:space="preserve"> nichtig ist, kann nicht allein deshalb beansprucht werden, weil er unter Verletzung von Vorschriften über das Verfahren, die Form oder die örtliche Zuständigkeit zustande gekommen ist, wenn keine andere Entscheidung in der Sache hätte getroffen werden können.</w:t>
      </w:r>
    </w:p>
    <w:p>
      <w:pPr>
        <w:pStyle w:val="Heading3"/>
      </w:pPr>
      <w:bookmarkStart w:id="209" w:name="b207"/>
      <w:r>
        <w:t>§ 128 Umdeutung eines fehlerhaften Verwaltungsakts</w:t>
      </w:r>
      <w:r>
        <w:t xml:space="preserve"> </w:t>
      </w:r>
      <w:r>
        <w:rPr>
          <w:rStyle w:val="Suchmarke"/>
        </w:rPr>
        <w:t>#128#</w:t>
      </w:r>
      <w:bookmarkEnd w:id="209"/>
    </w:p>
    <w:p>
      <w:r>
        <w:t>(1) Ein fehlerhafter Verwaltungsakt kann in einen anderen Verwaltungsakt umgedeutet werden, wenn er auf das gleiche Ziel gerichtet ist, von der erlassenden Finanzbehörde in der geschehenen Verfahrensweise und Form rechtmäßig hätte erlassen werden können und wenn die Voraussetzungen für dessen Erlass erfüllt sind.</w:t>
      </w:r>
    </w:p>
    <w:p>
      <w:r>
        <w:t xml:space="preserve">(2) </w:t>
      </w:r>
      <w:r>
        <w:rPr>
          <w:rStyle w:val="Satznummer"/>
        </w:rPr>
        <w:t>1</w:t>
      </w:r>
      <w:r>
        <w:t xml:space="preserve">Absatz 1 gilt nicht, wenn der Verwaltungsakt, in den der fehlerhafte Verwaltungsakt umzudeuten wäre, der erkennbaren Absicht der erlassenden Finanzbehörde widerspräche oder seine Rechtsfolgen für die betroffene Person ungünstiger wären als die des fehlerhaften Verwaltungsakts. </w:t>
      </w:r>
      <w:r>
        <w:rPr>
          <w:rStyle w:val="Satznummer"/>
        </w:rPr>
        <w:t>2</w:t>
      </w:r>
      <w:r>
        <w:t>Eine Umdeutung ist ferner unzulässig, wenn der fehlerhafte Verwaltungsakt nicht zurückgenommen werden dürfte.</w:t>
      </w:r>
    </w:p>
    <w:p>
      <w:r>
        <w:t>(3) Eine Entscheidung, die nur als gesetzlich gebundene Entscheidung ergehen kann, kann nicht in eine Ermessensentscheidung umgedeutet werden.</w:t>
      </w:r>
    </w:p>
    <w:p>
      <w:r>
        <w:t xml:space="preserve">(4) </w:t>
      </w:r>
      <w:hyperlink w:anchor="b146" w:history="1">
        <w:r>
          <w:rPr>
            <w:color w:val="0A3A8C"/>
            <w:u w:val="single"/>
          </w:rPr>
          <w:t xml:space="preserve">§ 91</w:t>
        </w:r>
      </w:hyperlink>
      <w:r>
        <w:t xml:space="preserve"> ist entsprechend anzuwenden.</w:t>
      </w:r>
    </w:p>
    <w:p>
      <w:pPr>
        <w:pStyle w:val="Heading3"/>
      </w:pPr>
      <w:bookmarkStart w:id="210" w:name="b208"/>
      <w:r>
        <w:t>§ 129 Offenbare Unrichtigkeiten beim Erlass eines Verwaltungsakts</w:t>
      </w:r>
      <w:r>
        <w:t xml:space="preserve"> </w:t>
      </w:r>
      <w:r>
        <w:rPr>
          <w:rStyle w:val="Suchmarke"/>
        </w:rPr>
        <w:t>#129#</w:t>
      </w:r>
      <w:bookmarkEnd w:id="210"/>
    </w:p>
    <w:p>
      <w:r>
        <w:rPr>
          <w:rStyle w:val="Satznummer"/>
        </w:rPr>
        <w:t>1</w:t>
      </w:r>
      <w:r>
        <w:t xml:space="preserve">Die Finanzbehörde kann Schreibfehler, Rechenfehler und ähnliche offenbare Unrichtigkeiten, die beim Erlass eines Verwaltungsakts unterlaufen sind, jederzeit berichtigen. </w:t>
      </w:r>
      <w:r>
        <w:rPr>
          <w:rStyle w:val="Satznummer"/>
        </w:rPr>
        <w:t>2</w:t>
      </w:r>
      <w:r>
        <w:t xml:space="preserve">Bei berechtigtem Interesse des Beteiligten ist zu berichtigen. </w:t>
      </w:r>
      <w:r>
        <w:rPr>
          <w:rStyle w:val="Satznummer"/>
        </w:rPr>
        <w:t>3</w:t>
      </w:r>
      <w:r>
        <w:t>Wird zu einem schriftlich ergangenen Verwaltungsakt die Berichtigung begehrt, ist die Finanzbehörde berechtigt, die Vorlage des Schriftstücks zu verlangen, das berichtigt werden soll.</w:t>
      </w:r>
    </w:p>
    <w:p>
      <w:pPr>
        <w:pStyle w:val="Heading3"/>
      </w:pPr>
      <w:bookmarkStart w:id="211" w:name="b209"/>
      <w:r>
        <w:t>§ 130 Rücknahme eines rechtswidrigen Verwaltungsakts</w:t>
      </w:r>
      <w:r>
        <w:t xml:space="preserve"> </w:t>
      </w:r>
      <w:r>
        <w:rPr>
          <w:rStyle w:val="Suchmarke"/>
        </w:rPr>
        <w:t>#130#</w:t>
      </w:r>
      <w:bookmarkEnd w:id="211"/>
    </w:p>
    <w:p>
      <w:r>
        <w:t>(1) Ein rechtswidriger Verwaltungsakt kann, auch nachdem er unanfechtbar geworden ist, ganz oder teilweise mit Wirkung für die Zukunft oder für die Vergangenheit zurückgenommen werden.</w:t>
      </w:r>
    </w:p>
    <w:p>
      <w:r>
        <w:t>(2) Ein Verwaltungsakt, der ein Recht oder einen rechtlich erheblichen Vorteil begründet oder bestätigt hat (begünstigender Verwaltungsakt), darf nur dann zurückgenommen werden, wenn</w:t>
      </w:r>
    </w:p>
    <w:p>
      <w:pPr>
        <w:tabs>
          <w:tab w:pos="567" w:val="left"/>
        </w:tabs>
        <w:ind w:left="567" w:hanging="567"/>
      </w:pPr>
      <w:r>
        <w:t>1.</w:t>
      </w:r>
      <w:r>
        <w:tab/>
      </w:r>
      <w:r>
        <w:t>er von einer sachlich unzuständigen Behörde erlassen worden ist,</w:t>
      </w:r>
    </w:p>
    <w:p>
      <w:pPr>
        <w:tabs>
          <w:tab w:pos="567" w:val="left"/>
        </w:tabs>
        <w:ind w:left="567" w:hanging="567"/>
      </w:pPr>
      <w:r>
        <w:t>2.</w:t>
      </w:r>
      <w:r>
        <w:tab/>
      </w:r>
      <w:r>
        <w:t>er durch unlautere Mittel, wie arglistige Täuschung, Drohung oder Bestechung erwirkt worden ist,</w:t>
      </w:r>
    </w:p>
    <w:p>
      <w:pPr>
        <w:tabs>
          <w:tab w:pos="567" w:val="left"/>
        </w:tabs>
        <w:ind w:left="567" w:hanging="567"/>
      </w:pPr>
      <w:r>
        <w:t>3.</w:t>
      </w:r>
      <w:r>
        <w:tab/>
      </w:r>
      <w:r>
        <w:t>ihn der Begünstigte durch Angaben erwirkt hat, die in wesentlicher Beziehung unrichtig oder unvollständig waren,</w:t>
      </w:r>
    </w:p>
    <w:p>
      <w:pPr>
        <w:tabs>
          <w:tab w:pos="567" w:val="left"/>
        </w:tabs>
        <w:ind w:left="567" w:hanging="567"/>
      </w:pPr>
      <w:r>
        <w:t>4.</w:t>
      </w:r>
      <w:r>
        <w:tab/>
      </w:r>
      <w:r>
        <w:t>seine Rechtswidrigkeit dem Begünstigten bekannt oder infolge grober Fahrlässigkeit nicht bekannt war.</w:t>
      </w:r>
    </w:p>
    <w:p>
      <w:r>
        <w:t xml:space="preserve">(3) </w:t>
      </w:r>
      <w:r>
        <w:rPr>
          <w:rStyle w:val="Satznummer"/>
        </w:rPr>
        <w:t>1</w:t>
      </w:r>
      <w:r>
        <w:t xml:space="preserve">Erhält die Finanzbehörde von Tatsachen Kenntnis, welche die Rücknahme eines rechtswidrigen begünstigenden Verwaltungsakts rechtfertigen, so ist die Rücknahme nur innerhalb eines Jahres seit dem Zeitpunkt der Kenntnisnahme zulässig. </w:t>
      </w:r>
      <w:r>
        <w:rPr>
          <w:rStyle w:val="Satznummer"/>
        </w:rPr>
        <w:t>2</w:t>
      </w:r>
      <w:r>
        <w:t>Dies gilt nicht im Fall des Absatzes 2 Nummer 2.</w:t>
      </w:r>
    </w:p>
    <w:p>
      <w:r>
        <w:t xml:space="preserve">(4) Über die Rücknahme entscheidet nach Unanfechtbarkeit des Verwaltungsakts die nach den Vorschriften über die örtliche Zuständigkeit zuständige Finanzbehörde; dies gilt auch dann, wenn der zurückzunehmende Verwaltungsakt von einer anderen Finanzbehörde erlassen worden ist; </w:t>
      </w:r>
      <w:hyperlink w:anchor="b34" w:history="1">
        <w:r>
          <w:rPr>
            <w:color w:val="0A3A8C"/>
            <w:u w:val="single"/>
          </w:rPr>
          <w:t xml:space="preserve">§ 26</w:t>
        </w:r>
      </w:hyperlink>
      <w:r>
        <w:t xml:space="preserve"> Satz 2 bleibt unberührt.</w:t>
      </w:r>
    </w:p>
    <w:p>
      <w:pPr>
        <w:pStyle w:val="Heading3"/>
      </w:pPr>
      <w:bookmarkStart w:id="212" w:name="b210"/>
      <w:r>
        <w:t>§ 131 Widerruf eines rechtmäßigen Verwaltungsakts</w:t>
      </w:r>
      <w:r>
        <w:t xml:space="preserve"> </w:t>
      </w:r>
      <w:r>
        <w:rPr>
          <w:rStyle w:val="Suchmarke"/>
        </w:rPr>
        <w:t>#131#</w:t>
      </w:r>
      <w:bookmarkEnd w:id="212"/>
    </w:p>
    <w:p>
      <w:r>
        <w:t>(1) Ein rechtmäßiger nicht begünstigender Verwaltungsakt kann, auch nachdem er unanfechtbar geworden ist, ganz oder teilweise mit Wirkung für die Zukunft widerrufen werden, außer wenn ein Verwaltungsakt gleichen Inhalts erneut erlassen werden müsste oder aus anderen Gründen ein Widerruf unzulässig ist.</w:t>
      </w:r>
    </w:p>
    <w:p>
      <w:r>
        <w:t xml:space="preserve">(2) </w:t>
      </w:r>
      <w:r>
        <w:rPr>
          <w:rStyle w:val="Satznummer"/>
        </w:rPr>
        <w:t>1</w:t>
      </w:r>
      <w:r>
        <w:t>Ein rechtmäßiger begünstigender Verwaltungsakt darf, auch nachdem er unanfechtbar geworden ist, ganz oder teilweise mit Wirkung für die Zukunft nur widerrufen werden,</w:t>
      </w:r>
    </w:p>
    <w:p>
      <w:pPr>
        <w:tabs>
          <w:tab w:pos="567" w:val="left"/>
        </w:tabs>
        <w:ind w:left="567" w:hanging="567"/>
      </w:pPr>
      <w:r>
        <w:t>1.</w:t>
      </w:r>
      <w:r>
        <w:tab/>
      </w:r>
      <w:r>
        <w:t>wenn der Widerruf durch Rechtsvorschrift zugelassen oder im Verwaltungsakt vorbehalten ist,</w:t>
      </w:r>
    </w:p>
    <w:p>
      <w:pPr>
        <w:tabs>
          <w:tab w:pos="567" w:val="left"/>
        </w:tabs>
        <w:ind w:left="567" w:hanging="567"/>
      </w:pPr>
      <w:r>
        <w:t>2.</w:t>
      </w:r>
      <w:r>
        <w:tab/>
      </w:r>
      <w:r>
        <w:t>wenn mit dem Verwaltungsakt eine Auflage verbunden ist und der Begünstigte diese nicht oder nicht innerhalb einer ihm gesetzten Frist erfüllt hat,</w:t>
      </w:r>
    </w:p>
    <w:p>
      <w:pPr>
        <w:tabs>
          <w:tab w:pos="567" w:val="left"/>
        </w:tabs>
        <w:ind w:left="567" w:hanging="567"/>
      </w:pPr>
      <w:r>
        <w:t>3.</w:t>
      </w:r>
      <w:r>
        <w:tab/>
      </w:r>
      <w:r>
        <w:t>wenn die Finanzbehörde auf Grund nachträglich eingetretener Tatsachen berechtigt wäre, den Verwaltungsakt nicht zu erlassen, und wenn ohne den Widerruf das öffentliche Interesse gefährdet würde.</w:t>
      </w:r>
    </w:p>
    <w:p>
      <w:r>
        <w:rPr>
          <w:rStyle w:val="Satznummer"/>
        </w:rPr>
        <w:t>2</w:t>
      </w:r>
      <w:hyperlink w:anchor="b209" w:history="1">
        <w:r>
          <w:rPr>
            <w:color w:val="0A3A8C"/>
            <w:u w:val="single"/>
          </w:rPr>
          <w:t xml:space="preserve">§ 130</w:t>
        </w:r>
      </w:hyperlink>
      <w:r>
        <w:t xml:space="preserve"> Absatz 3 gilt entsprechend.</w:t>
      </w:r>
    </w:p>
    <w:p>
      <w:r>
        <w:t>(3) Der widerrufene Verwaltungsakt wird mit dem Wirksamwerden des Widerrufs unwirksam, wenn die Finanzbehörde keinen späteren Zeitpunkt bestimmt.</w:t>
      </w:r>
    </w:p>
    <w:p>
      <w:r>
        <w:t>(4) Über den Widerruf entscheidet nach Unanfechtbarkeit des Verwaltungsakts die nach den Vorschriften über die örtliche Zuständigkeit zuständige Finanzbehörde; dies gilt auch dann, wenn der zu widerrufende Verwaltungsakt von einer anderen Finanzbehörde erlassen worden ist.</w:t>
      </w:r>
    </w:p>
    <w:p>
      <w:pPr>
        <w:pStyle w:val="Heading3"/>
      </w:pPr>
      <w:bookmarkStart w:id="213" w:name="b211"/>
      <w:r>
        <w:t>§ 132 Rücknahme, Widerruf, Aufhebung und Änderung im Rechtsbehelfsverfahren</w:t>
      </w:r>
      <w:r>
        <w:t xml:space="preserve"> </w:t>
      </w:r>
      <w:r>
        <w:rPr>
          <w:rStyle w:val="Suchmarke"/>
        </w:rPr>
        <w:t>#132#</w:t>
      </w:r>
      <w:bookmarkEnd w:id="213"/>
    </w:p>
    <w:p>
      <w:r>
        <w:rPr>
          <w:rStyle w:val="Satznummer"/>
        </w:rPr>
        <w:t>1</w:t>
      </w:r>
      <w:r>
        <w:t xml:space="preserve">Die Vorschriften über Rücknahme, Widerruf, Aufhebung und Änderung von Verwaltungsakten gelten auch während eines Einspruchsverfahrens und während eines finanzgerichtlichen Verfahrens. </w:t>
      </w:r>
      <w:r>
        <w:rPr>
          <w:rStyle w:val="Satznummer"/>
        </w:rPr>
        <w:t>2</w:t>
      </w:r>
      <w:hyperlink w:anchor="b209" w:history="1">
        <w:r>
          <w:rPr>
            <w:color w:val="0A3A8C"/>
            <w:u w:val="single"/>
          </w:rPr>
          <w:t xml:space="preserve">§ 130</w:t>
        </w:r>
      </w:hyperlink>
      <w:r>
        <w:t xml:space="preserve"> Absatz 2 und 3 und </w:t>
      </w:r>
      <w:hyperlink w:anchor="b210" w:history="1">
        <w:r>
          <w:rPr>
            <w:color w:val="0A3A8C"/>
            <w:u w:val="single"/>
          </w:rPr>
          <w:t xml:space="preserve">§ 131</w:t>
        </w:r>
      </w:hyperlink>
      <w:r>
        <w:t xml:space="preserve"> Absatz 2 und 3 stehen der Rücknahme und dem Widerruf eines von einem Dritten angefochtenen begünstigenden Verwaltungsakts während des Einspruchsverfahrens oder des finanzgerichtlichen Verfahrens nicht entgegen, soweit dadurch dem Einspruch oder der Klage abgeholfen wird.</w:t>
      </w:r>
    </w:p>
    <w:p>
      <w:pPr>
        <w:pStyle w:val="Heading3"/>
      </w:pPr>
      <w:bookmarkStart w:id="214" w:name="b212"/>
      <w:r>
        <w:t>§ 133 Rückgabe von Urkunden und Sachen</w:t>
      </w:r>
      <w:r>
        <w:t xml:space="preserve"> </w:t>
      </w:r>
      <w:r>
        <w:rPr>
          <w:rStyle w:val="Suchmarke"/>
        </w:rPr>
        <w:t>#133#</w:t>
      </w:r>
      <w:bookmarkEnd w:id="214"/>
    </w:p>
    <w:p>
      <w:r>
        <w:rPr>
          <w:rStyle w:val="Satznummer"/>
        </w:rPr>
        <w:t>1</w:t>
      </w:r>
      <w:r>
        <w:t xml:space="preserve">Ist ein Verwaltungsakt unanfechtbar widerrufen oder zurückgenommen oder ist seine Wirksamkeit aus einem anderen Grund nicht oder nicht mehr gegeben, so kann die Finanzbehörde die auf Grund dieses Verwaltungsakts erteilten Urkunden oder Sachen, die zum Nachweis der Rechte aus dem Verwaltungsakt oder zu deren Ausübung bestimmt sind, zurückfordern. </w:t>
      </w:r>
      <w:r>
        <w:rPr>
          <w:rStyle w:val="Satznummer"/>
        </w:rPr>
        <w:t>2</w:t>
      </w:r>
      <w:r>
        <w:t xml:space="preserve">Der Inhaber und, sofern er nicht der Besitzer ist, auch der Besitzer dieser Urkunden oder Sachen sind zu ihrer Herausgabe verpflichtet. </w:t>
      </w:r>
      <w:r>
        <w:rPr>
          <w:rStyle w:val="Satznummer"/>
        </w:rPr>
        <w:t>3</w:t>
      </w:r>
      <w:r>
        <w:t>Der Inhaber oder der Besitzer kann jedoch verlangen, dass ihm die Urkunden oder Sachen wieder ausgehändigt werden, nachdem sie von der Finanzbehörde als ungültig gekennzeichnet sind; dies gilt nicht bei Sachen, bei denen eine solche Kennzeichnung nicht oder nicht mit der erforderlichen Offensichtlichkeit oder Dauerhaftigkeit möglich ist.</w:t>
      </w:r>
    </w:p>
    <w:p>
      <w:pPr>
        <w:pStyle w:val="Heading1"/>
      </w:pPr>
      <w:bookmarkStart w:id="215" w:name="b213"/>
      <w:r>
        <w:t>Vierter Teil Durchführung der Besteuerung</w:t>
      </w:r>
      <w:bookmarkEnd w:id="215"/>
    </w:p>
    <w:p>
      <w:pPr>
        <w:pStyle w:val="Heading2"/>
      </w:pPr>
      <w:bookmarkStart w:id="216" w:name="b214"/>
      <w:r>
        <w:t>Erster Abschnitt Erfassung der Steuerpflichtigen</w:t>
      </w:r>
      <w:bookmarkEnd w:id="216"/>
    </w:p>
    <w:p>
      <w:pPr>
        <w:pStyle w:val="Heading3"/>
      </w:pPr>
      <w:bookmarkStart w:id="217" w:name="b215"/>
      <w:r>
        <w:t>1. Unterabschnitt Personenstands- und Betriebsaufnahme</w:t>
      </w:r>
      <w:bookmarkEnd w:id="217"/>
    </w:p>
    <w:p>
      <w:pPr>
        <w:pStyle w:val="Heading4"/>
      </w:pPr>
      <w:bookmarkStart w:id="218" w:name="b216"/>
      <w:r>
        <w:t>§§ 134 bis 136 (weggefallen)</w:t>
      </w:r>
      <w:bookmarkEnd w:id="218"/>
    </w:p>
    <w:p>
      <w:pPr>
        <w:pStyle w:val="Heading3"/>
      </w:pPr>
      <w:bookmarkStart w:id="219" w:name="b217"/>
      <w:r>
        <w:t>2. Unterabschnitt Anzeigepflichten</w:t>
      </w:r>
      <w:bookmarkEnd w:id="219"/>
    </w:p>
    <w:p>
      <w:pPr>
        <w:pStyle w:val="Heading4"/>
      </w:pPr>
      <w:bookmarkStart w:id="220" w:name="b218"/>
      <w:r>
        <w:t>§ 137 Steuerliche Erfassung von Körperschaften, Vereinigungen und Vermögensmassen</w:t>
      </w:r>
      <w:r>
        <w:t xml:space="preserve"> </w:t>
      </w:r>
      <w:r>
        <w:rPr>
          <w:rStyle w:val="Suchmarke"/>
        </w:rPr>
        <w:t>#137#</w:t>
      </w:r>
      <w:bookmarkEnd w:id="220"/>
    </w:p>
    <w:p>
      <w:r>
        <w:t xml:space="preserve">(1) Steuerpflichtige, die nicht natürliche Personen sind, haben dem nach </w:t>
      </w:r>
      <w:hyperlink w:anchor="b26" w:history="1">
        <w:r>
          <w:rPr>
            <w:color w:val="0A3A8C"/>
            <w:u w:val="single"/>
          </w:rPr>
          <w:t xml:space="preserve">§ 20</w:t>
        </w:r>
      </w:hyperlink>
      <w:r>
        <w:t xml:space="preserve"> zuständigen Finanzamt und den für die Erhebung der Realsteuern zuständigen Gemeinden die Umstände anzuzeigen, die für die steuerliche Erfassung von Bedeutung sind, insbesondere die Gründung, den Erwerb der Rechtsfähigkeit, die Änderung der Rechtsform, die Verlegung der Geschäftsleitung oder des Sitzes und die Auflösung.</w:t>
      </w:r>
    </w:p>
    <w:p>
      <w:r>
        <w:t>(2) Die Mitteilungen sind innerhalb eines Monats seit dem meldepflichtigen Ereignis zu erstatten.</w:t>
      </w:r>
    </w:p>
    <w:p>
      <w:pPr>
        <w:pStyle w:val="Heading4"/>
      </w:pPr>
      <w:bookmarkStart w:id="221" w:name="b219"/>
      <w:r>
        <w:t>§ 138 Anzeigen über die Erwerbstätigkeit</w:t>
      </w:r>
      <w:r>
        <w:t xml:space="preserve"> </w:t>
      </w:r>
      <w:r>
        <w:rPr>
          <w:rStyle w:val="Suchmarke"/>
        </w:rPr>
        <w:t>#138#</w:t>
      </w:r>
      <w:bookmarkEnd w:id="221"/>
    </w:p>
    <w:p>
      <w:r>
        <w:t xml:space="preserve">(1) </w:t>
      </w:r>
      <w:r>
        <w:rPr>
          <w:rStyle w:val="Satznummer"/>
        </w:rPr>
        <w:t>1</w:t>
      </w:r>
      <w:r>
        <w:t xml:space="preserve">Wer einen Betrieb der Land- und Forstwirtschaft, einen gewerblichen Betrieb oder eine Betriebstätte eröffnet, hat dies nach amtlich vorgeschriebenem Vordruck der Gemeinde mitzuteilen, in der der Betrieb oder die Betriebstätte eröffnet wird; die Gemeinde unterrichtet unverzüglich das nach </w:t>
      </w:r>
      <w:hyperlink w:anchor="b29" w:history="1">
        <w:r>
          <w:rPr>
            <w:color w:val="0A3A8C"/>
            <w:u w:val="single"/>
          </w:rPr>
          <w:t xml:space="preserve">§ 22</w:t>
        </w:r>
      </w:hyperlink>
      <w:r>
        <w:t xml:space="preserve"> Absatz 1 zuständige Finanzamt von dem Inhalt der Mitteilung. </w:t>
      </w:r>
      <w:r>
        <w:rPr>
          <w:rStyle w:val="Satznummer"/>
        </w:rPr>
        <w:t>2</w:t>
      </w:r>
      <w:r>
        <w:t xml:space="preserve">Ist die Festsetzung der Realsteuern den Gemeinden nicht übertragen worden, so tritt an die Stelle der Gemeinde das nach </w:t>
      </w:r>
      <w:hyperlink w:anchor="b29" w:history="1">
        <w:r>
          <w:rPr>
            <w:color w:val="0A3A8C"/>
            <w:u w:val="single"/>
          </w:rPr>
          <w:t xml:space="preserve">§ 22</w:t>
        </w:r>
      </w:hyperlink>
      <w:r>
        <w:t xml:space="preserve"> Absatz 2 zuständige Finanzamt. </w:t>
      </w:r>
      <w:r>
        <w:rPr>
          <w:rStyle w:val="Satznummer"/>
        </w:rPr>
        <w:t>3</w:t>
      </w:r>
      <w:r>
        <w:t xml:space="preserve">Wer eine freiberufliche Tätigkeit aufnimmt, hat dies dem nach </w:t>
      </w:r>
      <w:hyperlink w:anchor="b25" w:history="1">
        <w:r>
          <w:rPr>
            <w:color w:val="0A3A8C"/>
            <w:u w:val="single"/>
          </w:rPr>
          <w:t xml:space="preserve">§ 19</w:t>
        </w:r>
      </w:hyperlink>
      <w:r>
        <w:t xml:space="preserve"> zuständigen Finanzamt mitzuteilen. </w:t>
      </w:r>
      <w:r>
        <w:rPr>
          <w:rStyle w:val="Satznummer"/>
        </w:rPr>
        <w:t>4</w:t>
      </w:r>
      <w:r>
        <w:t xml:space="preserve">Das Gleiche gilt für die Verlegung und die Aufgabe eines Betriebs, einer Betriebstätte oder einer freiberuflichen Tätigkeit. </w:t>
      </w:r>
      <w:r>
        <w:rPr>
          <w:rStyle w:val="Satznummer"/>
        </w:rPr>
        <w:t>5</w:t>
      </w:r>
      <w:r>
        <w:t xml:space="preserve">Unternehmer im Sinne des </w:t>
      </w:r>
      <w:hyperlink w:anchor="b28" w:history="1">
        <w:r>
          <w:rPr>
            <w:color w:val="0A3A8C"/>
            <w:u w:val="single"/>
          </w:rPr>
          <w:t xml:space="preserve">§ 21</w:t>
        </w:r>
      </w:hyperlink>
      <w:r>
        <w:t xml:space="preserve"> Absatz 1 Satz 2 haben die Aufnahme einer im Geltungsbereich des Gesetzes umsatzsteuerbaren Tätigkeit dem nach der Umsatzsteuer-Zuständigkeitsverordnung zuständigen Finanzamt anzuzeigen, es sei denn, diese Unternehmer erbringen in Deutschland ausschließlich steuerbare und steuerpflichtige Umsätze, die in den besonderen Besteuerungsverfahren nach den §§ 18i bis 18k des Umsatzsteuergesetzes zu erklären sind.</w:t>
      </w:r>
    </w:p>
    <w:p>
      <w:r>
        <w:t>(1a) Unternehmer im Sinne des § 2 des Umsatzsteuergesetzes können ihre Anzeigepflichten nach Absatz 1 zusätzlich bei der für die Umsatzbesteuerung zuständigen Finanzbehörde elektronisch erfüllen.</w:t>
      </w:r>
    </w:p>
    <w:p>
      <w:r>
        <w:t xml:space="preserve">(1b) </w:t>
      </w:r>
      <w:r>
        <w:rPr>
          <w:rStyle w:val="Satznummer"/>
        </w:rPr>
        <w:t>1</w:t>
      </w:r>
      <w:r>
        <w:t xml:space="preserve">Sofern Steuerpflichtige gemäß Absatz 1 Satz 1 bis 3 verpflichtet sind, eine Betriebseröffnung oder Aufnahme einer freiberuflichen Tätigkeit mitzuteilen, haben sie dem in Absatz 1 bezeichneten Finanzamt weitere Auskünfte über die für die Besteuerung erheblichen rechtlichen und tatsächlichen Verhältnisse zu erteilen. </w:t>
      </w:r>
      <w:r>
        <w:rPr>
          <w:rStyle w:val="Satznummer"/>
        </w:rPr>
        <w:t>2</w:t>
      </w:r>
      <w:r>
        <w:t xml:space="preserve">Die Auskünfte im Sinne des Satzes 1 sind nach amtlich vorgeschriebenem Datensatz über die amtlich bestimmte Schnittstelle zu übermitteln. </w:t>
      </w:r>
      <w:r>
        <w:rPr>
          <w:rStyle w:val="Satznummer"/>
        </w:rPr>
        <w:t>3</w:t>
      </w:r>
      <w:r>
        <w:t xml:space="preserve">Auf Antrag kann das Finanzamt zur Vermeidung unbilliger Härten auf eine Übermittlung gemäß Satz 2 verzichten; in diesem Fall sind die Auskünfte im Sinne des Satzes 1 nach amtlich vorgeschriebenem Vordruck zu erteilen. </w:t>
      </w:r>
      <w:r>
        <w:rPr>
          <w:rStyle w:val="Satznummer"/>
        </w:rPr>
        <w:t>4</w:t>
      </w:r>
      <w:r>
        <w:t xml:space="preserve">Die Sätze 1 bis 3 gelten entsprechend für Steuerpflichtige im Sinne des </w:t>
      </w:r>
      <w:hyperlink w:anchor="b218" w:history="1">
        <w:r>
          <w:rPr>
            <w:color w:val="0A3A8C"/>
            <w:u w:val="single"/>
          </w:rPr>
          <w:t xml:space="preserve">§ 137</w:t>
        </w:r>
      </w:hyperlink>
      <w:r>
        <w:t>, die nicht nach Absatz 1 zur Anzeige verpflichtet sind.</w:t>
      </w:r>
    </w:p>
    <w:p>
      <w:r>
        <w:t>(1c) Das Bundesministerium der Finanzen kann im Einvernehmen mit den obersten Finanzbehörden der Länder durch ein im Bundessteuerblatt zu veröffentlichendes Schreiben Ausnahmen von der Verpflichtung zur Anzeige einer Erwerbstätigkeit nach Absatz 1 und der Auskunftspflicht nach Absatz 1b gegenüber dem zuständigen Finanzamt bestimmen, soweit die anzuzeigende Tätigkeit keine oder nur geringfügige steuerliche Auswirkung hat.</w:t>
      </w:r>
    </w:p>
    <w:p>
      <w:r>
        <w:t xml:space="preserve">(2) </w:t>
      </w:r>
      <w:r>
        <w:rPr>
          <w:rStyle w:val="Satznummer"/>
        </w:rPr>
        <w:t>1</w:t>
      </w:r>
      <w:r>
        <w:t xml:space="preserve">Steuerpflichtige mit Wohnsitz, gewöhnlichem Aufenthalt, Geschäftsleitung oder Sitz im Geltungsbereich dieses Gesetzes (inländische Steuerpflichtige) haben dem für sie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zuständigen Finanzamt mitzuteilen:</w:t>
      </w:r>
    </w:p>
    <w:p>
      <w:pPr>
        <w:tabs>
          <w:tab w:pos="567" w:val="left"/>
        </w:tabs>
        <w:ind w:left="567" w:hanging="567"/>
      </w:pPr>
      <w:r>
        <w:t>1.</w:t>
      </w:r>
      <w:r>
        <w:tab/>
      </w:r>
      <w:r>
        <w:t>die Gründung und den Erwerb von Betrieben und Betriebstätten im Ausland;</w:t>
      </w:r>
    </w:p>
    <w:p>
      <w:pPr>
        <w:tabs>
          <w:tab w:pos="567" w:val="left"/>
        </w:tabs>
        <w:ind w:left="567" w:hanging="567"/>
      </w:pPr>
      <w:r>
        <w:t>2.</w:t>
      </w:r>
      <w:r>
        <w:tab/>
      </w:r>
      <w:r>
        <w:t>den Erwerb, die Aufgabe oder die Veränderung einer Beteiligung an ausländischen Personengesellschaften;</w:t>
      </w:r>
    </w:p>
    <w:p>
      <w:pPr>
        <w:tabs>
          <w:tab w:pos="567" w:val="left"/>
        </w:tabs>
        <w:ind w:left="567" w:hanging="567"/>
      </w:pPr>
      <w:r>
        <w:t>3.</w:t>
      </w:r>
      <w:r>
        <w:tab/>
      </w:r>
      <w:r>
        <w:t>den Erwerb oder die Veräußerung von Beteiligungen an einer Körperschaft, Personenvereinigung oder Vermögensmasse mit Sitz und Geschäftsleitung außerhalb des Geltungsbereichs dieses Gesetzes, wenn</w:t>
      </w:r>
    </w:p>
    <w:p>
      <w:pPr>
        <w:tabs>
          <w:tab w:pos="1134" w:val="left"/>
        </w:tabs>
        <w:ind w:left="1134" w:hanging="567"/>
      </w:pPr>
      <w:r>
        <w:t>a)</w:t>
      </w:r>
      <w:r>
        <w:tab/>
      </w:r>
      <w:r>
        <w:t>damit eine Beteiligung von mindestens 10 Prozent am Kapital oder am Vermögen der Körperschaft, Personenvereinigung oder Vermögensmasse erreicht wird oder</w:t>
      </w:r>
    </w:p>
    <w:p>
      <w:pPr>
        <w:tabs>
          <w:tab w:pos="1134" w:val="left"/>
        </w:tabs>
        <w:ind w:left="1134" w:hanging="567"/>
      </w:pPr>
      <w:r>
        <w:t>b)</w:t>
      </w:r>
      <w:r>
        <w:tab/>
      </w:r>
      <w:r>
        <w:t xml:space="preserve">die Summe der Anschaffungskosten aller Beteiligungen mehr als 150 000 Euro beträgt. </w:t>
      </w:r>
      <w:r>
        <w:rPr>
          <w:rStyle w:val="Satznummer"/>
        </w:rPr>
        <w:t>2</w:t>
      </w:r>
      <w:r>
        <w:t xml:space="preserve">Dies gilt nicht für den Erwerb und die Veräußerung von Beteiligungen von weniger als 1 Prozent am Kapital oder am Vermögen der Körperschaft, Personenvereinigung oder Vermögensmasse, wenn mit der Hauptgattung der Aktien der ausländischen Gesellschaft ein wesentlicher und regelmäßiger Handel an einer Börse in einem Mitgliedstaat der Europäischen Union oder in einem Vertragsstaat des EWR-Abkommens stattfindet oder an einer Börse, die in einem anderen Staat nach § 193 Absatz 1 Satz 1 Nummer 2 und 4 des Kapitalanlagegesetzbuchs von der Bundesanstalt für Finanzdienstleistungsaufsicht zugelassen ist. </w:t>
      </w:r>
      <w:r>
        <w:rPr>
          <w:rStyle w:val="Satznummer"/>
        </w:rPr>
        <w:t>3</w:t>
      </w:r>
      <w:r>
        <w:t xml:space="preserve">Für die Ermittlung der Beteiligungshöhe im Sinne des Satzes 2 sind alle gehaltenen Beteiligungen zu berücksichtigen. </w:t>
      </w:r>
      <w:r>
        <w:rPr>
          <w:rStyle w:val="Satznummer"/>
        </w:rPr>
        <w:t>4</w:t>
      </w:r>
      <w:r>
        <w:t>Nicht mitteilungspflichtige Erwerbe und nicht mitteilungspflichtige Veräußerungen im Sinne des Satzes 2 sind bei der Ermittlung der Summe der Anschaffungskosten im Sinne des Satzes 1 außer Betracht zu lassen;</w:t>
      </w:r>
    </w:p>
    <w:p>
      <w:pPr>
        <w:tabs>
          <w:tab w:pos="567" w:val="left"/>
        </w:tabs>
        <w:ind w:left="567" w:hanging="567"/>
      </w:pPr>
      <w:r>
        <w:t>4.</w:t>
      </w:r>
      <w:r>
        <w:tab/>
      </w:r>
      <w:r>
        <w:t>die Tatsache, dass sie allein oder zusammen mit nahestehenden Personen im Sinne des § 1 Absatz 2 des Außensteuergesetzes erstmals unmittelbar oder mittelbar einen beherrschenden oder bestimmenden Einfluss auf die gesellschaftsrechtlichen, finanziellen oder geschäftlichen Angelegenheiten einer Drittstaat-Gesellschaft ausüben können.</w:t>
      </w:r>
    </w:p>
    <w:p>
      <w:r>
        <w:rPr>
          <w:rStyle w:val="Satznummer"/>
        </w:rPr>
        <w:t>2</w:t>
      </w:r>
      <w:r>
        <w:t xml:space="preserve">In den Fällen des Satzes 1 Nummer 1 bis 4 ist auch die Art der wirtschaftlichen Tätigkeit des Betriebs, der Betriebsstätte, der Körperschaft, Personenvereinigung, Vermögensmasse oder der Drittstaat-Gesellschaft mitzuteilen. </w:t>
      </w:r>
      <w:r>
        <w:rPr>
          <w:rStyle w:val="Satznummer"/>
        </w:rPr>
        <w:t>3</w:t>
      </w:r>
      <w:r>
        <w:t>In den Fällen des Satzes 1 Nummer 3 sind unmittelbare und mittelbare Beteiligungen zusammenzurechnen.</w:t>
      </w:r>
    </w:p>
    <w:p>
      <w:r>
        <w:t>(3) Drittstaat-Gesellschaft ist eine Körperschaft, Personenvereinigung oder Vermögensmasse mit Sitz oder Geschäftsleitung in Staaten oder Territorien, die nicht Mitglieder der Europäischen Union oder der Europäischen Freihandelsassoziation sind.</w:t>
      </w:r>
    </w:p>
    <w:p>
      <w:r>
        <w:t>(4) Mitteilungen nach den Absätzen 1, 1a und 1b sind innerhalb eines Monats nach dem meldepflichtigen Ereignis zu erstatten.</w:t>
      </w:r>
    </w:p>
    <w:p>
      <w:r>
        <w:t xml:space="preserve">(5) </w:t>
      </w:r>
      <w:r>
        <w:rPr>
          <w:rStyle w:val="Satznummer"/>
        </w:rPr>
        <w:t>1</w:t>
      </w:r>
      <w:r>
        <w:t xml:space="preserve">Mitteilungen nach Absatz 2 sind zusammen mit der Einkommensteuer-, Körperschaftsteuer- oder Feststellungserklärung für den Besteuerungszeitraum, in dem der mitzuteilende Sachverhalt verwirklicht wurde, spätestens jedoch bis zum Ablauf von 14 Monaten nach Ablauf dieses Besteuerungszeitraums, nach amtlich vorgeschriebenem Datensatz über die amtlich bestimmten Schnittstellen zu erstatten. </w:t>
      </w:r>
      <w:r>
        <w:rPr>
          <w:rStyle w:val="Satznummer"/>
        </w:rPr>
        <w:t>2</w:t>
      </w:r>
      <w:r>
        <w:t xml:space="preserve">Inländische Steuerpflichtige, die nicht dazu verpflichtet sind, ihre Einkommensteuer-, Körperschaftsteuer- oder Feststellungserklärung nach amtlich vorgeschriebenem Datensatz über die amtlich bestimmte Schnittstelle abzugeben, haben die Mitteilungen nach amtlich vorgeschriebenem Vordruck zu erstatten, es sei denn, sie geben ihre Einkommensteuer-, Körperschaftsteuer- oder Feststellungserklärung freiwillig nach amtlich vorgeschriebenem Datensatz über die amtlich bestimmte Schnittstelle ab. </w:t>
      </w:r>
      <w:r>
        <w:rPr>
          <w:rStyle w:val="Satznummer"/>
        </w:rPr>
        <w:t>3</w:t>
      </w:r>
      <w:r>
        <w:t>Inländische Steuerpflichtige, die nicht dazu verpflichtet sind, eine Einkommensteuer-, Körperschaftsteuer- oder Feststellungserklärung abzugeben, haben die Mitteilungen nach amtlich vorgeschriebenem Vordruck bis zum Ablauf von 14 Monaten nach Ablauf des Kalenderjahrs zu erstatten, in dem der mitzuteilende Sachverhalt verwirklicht worden ist.</w:t>
      </w:r>
    </w:p>
    <w:p>
      <w:pPr>
        <w:pStyle w:val="Heading4"/>
      </w:pPr>
      <w:bookmarkStart w:id="222" w:name="b220"/>
      <w:r>
        <w:t>§ 138a Länderbezogener Bericht multinationaler Unternehmensgruppen</w:t>
      </w:r>
      <w:r>
        <w:t xml:space="preserve"> </w:t>
      </w:r>
      <w:r>
        <w:rPr>
          <w:rStyle w:val="Suchmarke"/>
        </w:rPr>
        <w:t>#138a#</w:t>
      </w:r>
      <w:bookmarkEnd w:id="222"/>
    </w:p>
    <w:p>
      <w:r>
        <w:t xml:space="preserve">(1) </w:t>
      </w:r>
      <w:r>
        <w:rPr>
          <w:rStyle w:val="Satznummer"/>
        </w:rPr>
        <w:t>1</w:t>
      </w:r>
      <w:r>
        <w:t>Ein Unternehmen mit Sitz oder Geschäftsleitung im Inland (inländisches Unternehmen), das einen Konzernabschluss aufstellt oder nach anderen Regelungen als den Steuergesetzen aufzustellen hat (inländische Konzernobergesellschaft), hat nach Ablauf eines Wirtschaftsjahres für dieses Wirtschaftsjahr einen länderbezogenen Bericht dieses Konzerns zu erstellen und dem Bundeszentralamt für Steuern zu übermitteln, wenn</w:t>
      </w:r>
    </w:p>
    <w:p>
      <w:pPr>
        <w:tabs>
          <w:tab w:pos="567" w:val="left"/>
        </w:tabs>
        <w:ind w:left="567" w:hanging="567"/>
      </w:pPr>
      <w:r>
        <w:t>1.</w:t>
      </w:r>
      <w:r>
        <w:tab/>
      </w:r>
      <w:r>
        <w:t>der Konzernabschluss mindestens ein Unternehmen mit Sitz und Geschäftsleitung im Ausland (ausländisches Unternehmen) oder eine ausländische Betriebsstätte umfasst und</w:t>
      </w:r>
    </w:p>
    <w:p>
      <w:pPr>
        <w:tabs>
          <w:tab w:pos="567" w:val="left"/>
        </w:tabs>
        <w:ind w:left="567" w:hanging="567"/>
      </w:pPr>
      <w:r>
        <w:t>2.</w:t>
      </w:r>
      <w:r>
        <w:tab/>
      </w:r>
      <w:r>
        <w:t>die im Konzernabschluss ausgewiesenen, konsolidierten Umsatzerlöse im vorangegangenen Wirtschaftsjahr mindestens 750 Millionen Euro betragen.</w:t>
      </w:r>
    </w:p>
    <w:p>
      <w:r>
        <w:rPr>
          <w:rStyle w:val="Satznummer"/>
        </w:rPr>
        <w:t>2</w:t>
      </w:r>
      <w:r>
        <w:t>Die Verpflichtung nach Satz 1 besteht vorbehaltlich der Absätze 3 und 4 nicht, wenn das inländische Unternehmen im Sinne des Satzes 1 in den Konzernabschluss eines anderen Unternehmens einbezogen wird.</w:t>
      </w:r>
    </w:p>
    <w:p>
      <w:r>
        <w:t>(2) Der länderbezogene Bericht im Sinne von Absatz 1 enthält</w:t>
      </w:r>
    </w:p>
    <w:p>
      <w:pPr>
        <w:tabs>
          <w:tab w:pos="567" w:val="left"/>
        </w:tabs>
        <w:ind w:left="567" w:hanging="567"/>
      </w:pPr>
      <w:r>
        <w:t>1.</w:t>
      </w:r>
      <w:r>
        <w:tab/>
      </w:r>
      <w:r>
        <w:t>eine nach Steuerhoheitsgebieten gegliederte Übersicht, wie sich die Geschäftstätigkeit des Konzerns auf die Steuerhoheitsgebiete verteilt, in denen der Konzern durch Unternehmen oder Betriebsstätten tätig ist; zu diesem Zweck sind in der Übersicht folgende Positionen auszuweisen:</w:t>
      </w:r>
    </w:p>
    <w:p>
      <w:pPr>
        <w:tabs>
          <w:tab w:pos="1134" w:val="left"/>
        </w:tabs>
        <w:ind w:left="1134" w:hanging="567"/>
      </w:pPr>
      <w:r>
        <w:t>a)</w:t>
      </w:r>
      <w:r>
        <w:tab/>
      </w:r>
      <w:r>
        <w:t>die Umsatzerlöse und sonstigen Erträge aus Geschäftsvorfällen mit nahestehenden Unternehmen,</w:t>
      </w:r>
    </w:p>
    <w:p>
      <w:pPr>
        <w:tabs>
          <w:tab w:pos="1134" w:val="left"/>
        </w:tabs>
        <w:ind w:left="1134" w:hanging="567"/>
      </w:pPr>
      <w:r>
        <w:t>b)</w:t>
      </w:r>
      <w:r>
        <w:tab/>
      </w:r>
      <w:r>
        <w:t>die Umsatzerlöse und sonstigen Erträge aus Geschäftsvorfällen mit fremden Unternehmen,</w:t>
      </w:r>
    </w:p>
    <w:p>
      <w:pPr>
        <w:tabs>
          <w:tab w:pos="1134" w:val="left"/>
        </w:tabs>
        <w:ind w:left="1134" w:hanging="567"/>
      </w:pPr>
      <w:r>
        <w:t>c)</w:t>
      </w:r>
      <w:r>
        <w:tab/>
      </w:r>
      <w:r>
        <w:t>die Summe aus den Umsatzerlösen und sonstigen Erträgen gemäß den Buchstaben a und b,</w:t>
      </w:r>
    </w:p>
    <w:p>
      <w:pPr>
        <w:tabs>
          <w:tab w:pos="1134" w:val="left"/>
        </w:tabs>
        <w:ind w:left="1134" w:hanging="567"/>
      </w:pPr>
      <w:r>
        <w:t>d)</w:t>
      </w:r>
      <w:r>
        <w:tab/>
      </w:r>
      <w:r>
        <w:t>die im Wirtschaftsjahr gezahlten Ertragsteuern,</w:t>
      </w:r>
    </w:p>
    <w:p>
      <w:pPr>
        <w:tabs>
          <w:tab w:pos="1134" w:val="left"/>
        </w:tabs>
        <w:ind w:left="1134" w:hanging="567"/>
      </w:pPr>
      <w:r>
        <w:t>e)</w:t>
      </w:r>
      <w:r>
        <w:tab/>
      </w:r>
      <w:r>
        <w:t>die im Wirtschaftsjahr für dieses Wirtschaftsjahr gezahlten und zurückgestellten Ertragsteuern,</w:t>
      </w:r>
    </w:p>
    <w:p>
      <w:pPr>
        <w:tabs>
          <w:tab w:pos="1134" w:val="left"/>
        </w:tabs>
        <w:ind w:left="1134" w:hanging="567"/>
      </w:pPr>
      <w:r>
        <w:t>f)</w:t>
      </w:r>
      <w:r>
        <w:tab/>
      </w:r>
      <w:r>
        <w:t>das Jahresergebnis vor Ertragsteuern,</w:t>
      </w:r>
    </w:p>
    <w:p>
      <w:pPr>
        <w:tabs>
          <w:tab w:pos="1134" w:val="left"/>
        </w:tabs>
        <w:ind w:left="1134" w:hanging="567"/>
      </w:pPr>
      <w:r>
        <w:t>g)</w:t>
      </w:r>
      <w:r>
        <w:tab/>
      </w:r>
      <w:r>
        <w:t>das Eigenkapital,</w:t>
      </w:r>
    </w:p>
    <w:p>
      <w:pPr>
        <w:tabs>
          <w:tab w:pos="1134" w:val="left"/>
        </w:tabs>
        <w:ind w:left="1134" w:hanging="567"/>
      </w:pPr>
      <w:r>
        <w:t>h)</w:t>
      </w:r>
      <w:r>
        <w:tab/>
      </w:r>
      <w:r>
        <w:t>der einbehaltene Gewinn,</w:t>
      </w:r>
    </w:p>
    <w:p>
      <w:pPr>
        <w:tabs>
          <w:tab w:pos="1134" w:val="left"/>
        </w:tabs>
        <w:ind w:left="1134" w:hanging="567"/>
      </w:pPr>
      <w:r>
        <w:t>i)</w:t>
      </w:r>
      <w:r>
        <w:tab/>
      </w:r>
      <w:r>
        <w:t>die Zahl der Beschäftigten und</w:t>
      </w:r>
    </w:p>
    <w:p>
      <w:pPr>
        <w:tabs>
          <w:tab w:pos="1134" w:val="left"/>
        </w:tabs>
        <w:ind w:left="1134" w:hanging="567"/>
      </w:pPr>
      <w:r>
        <w:t>j)</w:t>
      </w:r>
      <w:r>
        <w:tab/>
      </w:r>
      <w:r>
        <w:t>die materiellen Vermögenswerte;</w:t>
      </w:r>
    </w:p>
    <w:p>
      <w:pPr>
        <w:tabs>
          <w:tab w:pos="567" w:val="left"/>
        </w:tabs>
        <w:ind w:left="567" w:hanging="567"/>
      </w:pPr>
      <w:r>
        <w:t>2.</w:t>
      </w:r>
      <w:r>
        <w:tab/>
      </w:r>
      <w:r>
        <w:t>eine nach Steuerhoheitsgebieten gegliederte Auflistung aller Unternehmen und Betriebsstätten, zu denen Angaben in der Übersicht nach Nummer 1 erfasst sind, jeweils unter Angabe deren wichtigster Geschäftstätigkeiten sowie</w:t>
      </w:r>
    </w:p>
    <w:p>
      <w:pPr>
        <w:tabs>
          <w:tab w:pos="567" w:val="left"/>
        </w:tabs>
        <w:ind w:left="567" w:hanging="567"/>
      </w:pPr>
      <w:r>
        <w:t>3.</w:t>
      </w:r>
      <w:r>
        <w:tab/>
      </w:r>
      <w:r>
        <w:t>zusätzliche Informationen, die nach Ansicht der inländischen Konzernobergesellschaft zum Verständnis der Übersicht nach Nummer 1 und der Auflistung nach Nummer 2 erforderlich sind.</w:t>
      </w:r>
    </w:p>
    <w:p>
      <w:r>
        <w:t>(3) Umfasst der Konzernabschluss eines ausländischen Unternehmens, das nach Absatz 1 zur Abgabe des länderbezogenen Berichts verpflichtet wäre, wenn es Sitz oder Geschäftsleitung im Inland hätte (ausländische Konzernobergesellschaft), ein inländisches Unternehmen (einbezogene inländische Konzerngesellschaft) und beauftragt die ausländische Konzernobergesellschaft die einbezogene inländische Konzerngesellschaft damit, einen länderbezogenen Bericht für den Konzern abzugeben (beauftragte Gesellschaft), so hat die beauftragte Gesellschaft den länderbezogenen Bericht dem Bundeszentralamt für Steuern zu übermitteln.</w:t>
      </w:r>
    </w:p>
    <w:p>
      <w:r>
        <w:t xml:space="preserve">(4) </w:t>
      </w:r>
      <w:r>
        <w:rPr>
          <w:rStyle w:val="Satznummer"/>
        </w:rPr>
        <w:t>1</w:t>
      </w:r>
      <w:r>
        <w:t xml:space="preserve">Eine einbezogene inländische Konzerngesellschaft ist im Regelfall verpflichtet, den länderbezogenen Bericht für einen Konzern mit einer ausländischen Konzernobergesellschaft, die nach Absatz 1 zur Übermittlung des länderbezogenen Berichts verpflichtet wäre, wenn sie Sitz oder Geschäftsleitung im Inland hätte, dem Bundeszentralamt für Steuern zu übermitteln, wenn das Bundeszentralamt für Steuern keinen länderbezogenen Bericht erhalten hat. </w:t>
      </w:r>
      <w:r>
        <w:rPr>
          <w:rStyle w:val="Satznummer"/>
        </w:rPr>
        <w:t>2</w:t>
      </w:r>
      <w:r>
        <w:t xml:space="preserve">Übermittelt eine einbezogene inländische Konzerngesellschaft den länderbezogenen Bericht, entfällt die Verpflichtung für alle anderen einbezogenen inländischen Konzerngesellschaften dieses Konzerns. </w:t>
      </w:r>
      <w:r>
        <w:rPr>
          <w:rStyle w:val="Satznummer"/>
        </w:rPr>
        <w:t>3</w:t>
      </w:r>
      <w:r>
        <w:t xml:space="preserve">Kann eine einbezogene inländische Konzerngesellschaft die Übermittlung innerhalb der Frist des Absatzes 6 Satz 1 nicht sicherstellen, insbesondere weil sie den länderbezogenen Bericht weder beschaffen noch erstellen kann, so hat sie dies innerhalb der Frist des Absatzes 6 Satz 1 dem Bundeszentralamt für Steuern mitzuteilen und dabei alle Angaben im Sinne von Absatz 2 zu machen, über die sie verfügt oder die sie beschaffen kann. </w:t>
      </w:r>
      <w:r>
        <w:rPr>
          <w:rStyle w:val="Satznummer"/>
        </w:rPr>
        <w:t>4</w:t>
      </w:r>
      <w:r>
        <w:t xml:space="preserve">Konnte eine einbezogene inländische Konzerngesellschaft davon ausgehen, dass der länderbezogene Bericht fristgerecht übermittelt wird, und stellt sich nachträglich heraus, dass dies ohne Verschulden der einbezogenen inländischen Konzerngesellschaft nicht geschehen ist, so hat diese ihre Pflichten nach Satz 1 oder Satz 3 innerhalb eines Monats nach Bekanntwerden der Nichtübermittlung zu erfüllen. </w:t>
      </w:r>
      <w:r>
        <w:rPr>
          <w:rStyle w:val="Satznummer"/>
        </w:rPr>
        <w:t>5</w:t>
      </w:r>
      <w:r>
        <w:t>Die Sätze 1 bis 4 gelten entsprechend für die inländische Betriebsstätte eines ausländischen Unternehmens, das als ausländische Konzernobergesellschaft oder als einbezogene ausländische Konzerngesellschaft in einen Konzernabschluss einbezogen wird.</w:t>
      </w:r>
    </w:p>
    <w:p>
      <w:r>
        <w:t xml:space="preserve">(5) </w:t>
      </w:r>
      <w:r>
        <w:rPr>
          <w:rStyle w:val="Satznummer"/>
        </w:rPr>
        <w:t>1</w:t>
      </w:r>
      <w:r>
        <w:t>Ein inländisches Unternehmen hat in der Steuererklärung anzugeben, ob es</w:t>
      </w:r>
    </w:p>
    <w:p>
      <w:pPr>
        <w:tabs>
          <w:tab w:pos="567" w:val="left"/>
        </w:tabs>
        <w:ind w:left="567" w:hanging="567"/>
      </w:pPr>
      <w:r>
        <w:t>1.</w:t>
      </w:r>
      <w:r>
        <w:tab/>
      </w:r>
      <w:r>
        <w:t>eine inländische Konzernobergesellschaft im Sinne von Absatz 1 ist,</w:t>
      </w:r>
    </w:p>
    <w:p>
      <w:pPr>
        <w:tabs>
          <w:tab w:pos="567" w:val="left"/>
        </w:tabs>
        <w:ind w:left="567" w:hanging="567"/>
      </w:pPr>
      <w:r>
        <w:t>2.</w:t>
      </w:r>
      <w:r>
        <w:tab/>
      </w:r>
      <w:r>
        <w:t>eine beauftragte Gesellschaft ist oder</w:t>
      </w:r>
    </w:p>
    <w:p>
      <w:pPr>
        <w:tabs>
          <w:tab w:pos="567" w:val="left"/>
        </w:tabs>
        <w:ind w:left="567" w:hanging="567"/>
      </w:pPr>
      <w:r>
        <w:t>3.</w:t>
      </w:r>
      <w:r>
        <w:tab/>
      </w:r>
      <w:r>
        <w:t>eine einbezogene inländische Konzerngesellschaft eines Konzerns mit ausländischer Konzernobergesellschaft ist.</w:t>
      </w:r>
    </w:p>
    <w:p>
      <w:r>
        <w:rPr>
          <w:rStyle w:val="Satznummer"/>
        </w:rPr>
        <w:t>2</w:t>
      </w:r>
      <w:r>
        <w:t xml:space="preserve">In den Fällen von Satz 1 Nummer 3 ist auch anzugeben, bei welcher Finanzbehörde und von welchem Unternehmen der länderbezogene Bericht des Konzerns abgegeben wird. </w:t>
      </w:r>
      <w:r>
        <w:rPr>
          <w:rStyle w:val="Satznummer"/>
        </w:rPr>
        <w:t>3</w:t>
      </w:r>
      <w:r>
        <w:t xml:space="preserve">Fehlt diese Angabe, ist die einbezogene inländische Konzerngesellschaft selbst zur fristgerechten Übermittlung des länderbezogenen Berichts verpflichtet. </w:t>
      </w:r>
      <w:r>
        <w:rPr>
          <w:rStyle w:val="Satznummer"/>
        </w:rPr>
        <w:t>4</w:t>
      </w:r>
      <w:r>
        <w:t>Die Sätze 1 bis 3 gelten entsprechend für die inländische Betriebsstätte eines ausländischen Unternehmens, das als ausländische Konzernobergesellschaft oder als einbezogene ausländische Konzerngesellschaft in einen Konzernabschluss einbezogen wird.</w:t>
      </w:r>
    </w:p>
    <w:p>
      <w:r>
        <w:t xml:space="preserve">(6) </w:t>
      </w:r>
      <w:r>
        <w:rPr>
          <w:rStyle w:val="Satznummer"/>
        </w:rPr>
        <w:t>1</w:t>
      </w:r>
      <w:r>
        <w:t xml:space="preserve">Die Übermittlung des länderbezogenen Berichts an das Bundeszentralamt für Steuern hat spätestens ein Jahr nach Ablauf des Wirtschaftsjahres zu erfolgen, für das der länderbezogene Bericht zu erstellen ist. </w:t>
      </w:r>
      <w:r>
        <w:rPr>
          <w:rStyle w:val="Satznummer"/>
        </w:rPr>
        <w:t>2</w:t>
      </w:r>
      <w:r>
        <w:t xml:space="preserve">Abweichend von Satz 1 gilt in den Fällen von Absatz 4 Satz 4 die dort genannte Frist für die Übermittlung des länderbezogenen Berichts. </w:t>
      </w:r>
      <w:r>
        <w:rPr>
          <w:rStyle w:val="Satznummer"/>
        </w:rPr>
        <w:t>3</w:t>
      </w:r>
      <w:r>
        <w:t>Die Übermittlung hat nach amtlich vorgeschriebenem Datensatz durch Datenfernübertragung zu erfolgen.</w:t>
      </w:r>
    </w:p>
    <w:p>
      <w:r>
        <w:t xml:space="preserve">(7) </w:t>
      </w:r>
      <w:r>
        <w:rPr>
          <w:rStyle w:val="Satznummer"/>
        </w:rPr>
        <w:t>1</w:t>
      </w:r>
      <w:r>
        <w:t xml:space="preserve">Das Bundeszentralamt für Steuern übermittelt alle ihm zugegangenen länderbezogenen Berichte an die jeweils zuständige Finanzbehörde. </w:t>
      </w:r>
      <w:r>
        <w:rPr>
          <w:rStyle w:val="Satznummer"/>
        </w:rPr>
        <w:t>2</w:t>
      </w:r>
      <w:r>
        <w:t xml:space="preserve">Enthält ein länderbezogener Bericht Angaben im Sinne von Absatz 2 für einen Vertragsstaat der völkerrechtlichen Vereinbarungen, übermittelt das Bundeszentralamt für Steuern auf Grundlage dieser völkerrechtlichen Vereinbarungen den ihm zugegangenen länderbezogenen Bericht an die zuständige Behörde des jeweiligen Vertragsstaates. </w:t>
      </w:r>
      <w:r>
        <w:rPr>
          <w:rStyle w:val="Satznummer"/>
        </w:rPr>
        <w:t>3</w:t>
      </w:r>
      <w:r>
        <w:t xml:space="preserve">Das Bundeszentralamt für Steuern nimmt die länderbezogenen Berichte entgegen, die ihm von den zuständigen Behörden der in Satz 2 genannten Vertragsstaaten übermittelt worden sind, und übermittelt diese an die jeweils zuständige Finanzbehörde. </w:t>
      </w:r>
      <w:r>
        <w:rPr>
          <w:rStyle w:val="Satznummer"/>
        </w:rPr>
        <w:t>4</w:t>
      </w:r>
      <w:r>
        <w:t xml:space="preserve">Das Bundeszentralamt für Steuern kann länderbezogene Berichte im Rahmen der ihm gesetzlich übertragenen Aufgaben auswerten. </w:t>
      </w:r>
      <w:r>
        <w:rPr>
          <w:rStyle w:val="Satznummer"/>
        </w:rPr>
        <w:t>5</w:t>
      </w:r>
      <w:r>
        <w:t>Das Bundeszentralamt für Steuern speichert die länderbezogenen Berichte und löscht sie mit Ablauf des 15. Jahres, das dem Jahr der Übermittlung folgt.</w:t>
      </w:r>
    </w:p>
    <w:p>
      <w:pPr>
        <w:pStyle w:val="Heading4"/>
      </w:pPr>
      <w:bookmarkStart w:id="223" w:name="b221"/>
      <w:r>
        <w:t>§ 138b Mitteilungspflicht Dritter über Beziehungen inländischer Steuerpflichtiger zu Drittstaat-Gesellschaften</w:t>
      </w:r>
      <w:r>
        <w:t xml:space="preserve"> </w:t>
      </w:r>
      <w:r>
        <w:rPr>
          <w:rStyle w:val="Suchmarke"/>
        </w:rPr>
        <w:t>#138b#</w:t>
      </w:r>
      <w:bookmarkEnd w:id="223"/>
    </w:p>
    <w:p>
      <w:r>
        <w:t xml:space="preserve">(1) </w:t>
      </w:r>
      <w:r>
        <w:rPr>
          <w:rStyle w:val="Satznummer"/>
        </w:rPr>
        <w:t>1</w:t>
      </w:r>
      <w:r>
        <w:t xml:space="preserve">Verpflichtete im Sinne des § 2 Absatz 1 Nummer 1 bis 3 und 6 des Geldwäschegesetzes (mitteilungspflichtige Stelle) haben dem für sie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zuständigen Finanzamt von ihnen hergestellte oder vermittelte Beziehungen von inländischen Steuerpflichtigen im Sinne des </w:t>
      </w:r>
      <w:hyperlink w:anchor="b219" w:history="1">
        <w:r>
          <w:rPr>
            <w:color w:val="0A3A8C"/>
            <w:u w:val="single"/>
          </w:rPr>
          <w:t xml:space="preserve">§ 138</w:t>
        </w:r>
      </w:hyperlink>
      <w:r>
        <w:t xml:space="preserve"> Absatz 2 Satz 1 zu Drittstaat-Gesellschaften im Sinne des </w:t>
      </w:r>
      <w:hyperlink w:anchor="b219" w:history="1">
        <w:r>
          <w:rPr>
            <w:color w:val="0A3A8C"/>
            <w:u w:val="single"/>
          </w:rPr>
          <w:t xml:space="preserve">§ 138</w:t>
        </w:r>
      </w:hyperlink>
      <w:r>
        <w:t xml:space="preserve"> Absatz 3 mitzuteilen. </w:t>
      </w:r>
      <w:r>
        <w:rPr>
          <w:rStyle w:val="Satznummer"/>
        </w:rPr>
        <w:t>2</w:t>
      </w:r>
      <w:r>
        <w:t>Dies gilt für die Fälle, in denen</w:t>
      </w:r>
    </w:p>
    <w:p>
      <w:pPr>
        <w:tabs>
          <w:tab w:pos="567" w:val="left"/>
        </w:tabs>
        <w:ind w:left="567" w:hanging="567"/>
      </w:pPr>
      <w:r>
        <w:t>1.</w:t>
      </w:r>
      <w:r>
        <w:tab/>
      </w:r>
      <w:r>
        <w:t>der mitteilungspflichtigen Stelle bekannt ist, dass der inländische Steuerpflichtige auf Grund der von ihr hergestellten oder vermittelten Beziehung allein oder zusammen mit nahestehenden Personen im Sinne des § 1 Absatz 2 des Außensteuergesetzes erstmals unmittelbar oder mittelbar einen beherrschenden oder bestimmenden Einfluss auf die gesellschaftsrechtlichen, finanziellen oder geschäftlichen Angelegenheiten einer Drittstaat-Gesellschaft ausüben kann, oder</w:t>
      </w:r>
    </w:p>
    <w:p>
      <w:pPr>
        <w:tabs>
          <w:tab w:pos="567" w:val="left"/>
        </w:tabs>
        <w:ind w:left="567" w:hanging="567"/>
      </w:pPr>
      <w:r>
        <w:t>2.</w:t>
      </w:r>
      <w:r>
        <w:tab/>
      </w:r>
      <w:r>
        <w:t>der inländische Steuerpflichtige eine von der mitteilungspflichtigen Stelle hergestellte oder vermittelte Beziehung zu einer Drittstaat-Gesellschaft erlangt, wodurch eine unmittelbare Beteiligung von insgesamt mindestens 30 Prozent am Kapital oder am Vermögen der Drittstaat-Gesellschaft erreicht wird; anderweitige Erwerbe hinsichtlich der gleichen Drittstaat-Gesellschaft sind miteinzubeziehen, soweit sie der mitteilungspflichtigen Stelle bekannt sind oder bekannt sein mussten.</w:t>
      </w:r>
    </w:p>
    <w:p>
      <w:r>
        <w:t>(2) Die Mitteilungen sind für jeden inländischen Steuerpflichtigen und jeden mitteilungspflichtigen Sachverhalt gesondert zu erstatten.</w:t>
      </w:r>
    </w:p>
    <w:p>
      <w:r>
        <w:t xml:space="preserve">(3) </w:t>
      </w:r>
      <w:r>
        <w:rPr>
          <w:rStyle w:val="Satznummer"/>
        </w:rPr>
        <w:t>1</w:t>
      </w:r>
      <w:r>
        <w:t>Zu jedem inländischen Steuerpflichtigen ist anzugeben:</w:t>
      </w:r>
    </w:p>
    <w:p>
      <w:pPr>
        <w:tabs>
          <w:tab w:pos="567" w:val="left"/>
        </w:tabs>
        <w:ind w:left="567" w:hanging="567"/>
      </w:pPr>
      <w:r>
        <w:t>1.</w:t>
      </w:r>
      <w:r>
        <w:tab/>
      </w:r>
      <w:r>
        <w:t xml:space="preserve">die Identifikationsnummer nach </w:t>
      </w:r>
      <w:hyperlink w:anchor="b234" w:history="1">
        <w:r>
          <w:rPr>
            <w:color w:val="0A3A8C"/>
            <w:u w:val="single"/>
          </w:rPr>
          <w:t xml:space="preserve">§ 139b</w:t>
        </w:r>
      </w:hyperlink>
      <w:r>
        <w:t xml:space="preserve"> und</w:t>
      </w:r>
    </w:p>
    <w:p>
      <w:pPr>
        <w:tabs>
          <w:tab w:pos="567" w:val="left"/>
        </w:tabs>
        <w:ind w:left="567" w:hanging="567"/>
      </w:pPr>
      <w:r>
        <w:t>2.</w:t>
      </w:r>
      <w:r>
        <w:tab/>
      </w:r>
      <w:r>
        <w:t xml:space="preserve">die Wirtschafts-Identifikationsnummer nach </w:t>
      </w:r>
      <w:hyperlink w:anchor="b235" w:history="1">
        <w:r>
          <w:rPr>
            <w:color w:val="0A3A8C"/>
            <w:u w:val="single"/>
          </w:rPr>
          <w:t xml:space="preserve">§ 139c</w:t>
        </w:r>
      </w:hyperlink>
      <w:r>
        <w:t xml:space="preserve"> oder, wenn noch keine Wirtschafts-Identifikationsnummer vergeben wurde und es sich nicht um eine natürliche Person handelt, die für die Besteuerung nach dem Einkommen geltende Steuernummer.</w:t>
      </w:r>
    </w:p>
    <w:p>
      <w:r>
        <w:rPr>
          <w:rStyle w:val="Satznummer"/>
        </w:rPr>
        <w:t>2</w:t>
      </w:r>
      <w:r>
        <w:t>Kann die mitteilungspflichtige Stelle die Identifikationsnummer und die Wirtschafts-Identifikationsnummer oder die Steuernummer nicht in Erfahrung bringen, so hat sie stattdessen ein Ersatzmerkmal anzugeben, das vom Bundesministerium der Finanzen im Einvernehmen mit den obersten Finanzbehörden der Länder bestimmt worden ist.</w:t>
      </w:r>
    </w:p>
    <w:p>
      <w:r>
        <w:t xml:space="preserve">(4) </w:t>
      </w:r>
      <w:r>
        <w:rPr>
          <w:rStyle w:val="Satznummer"/>
        </w:rPr>
        <w:t>1</w:t>
      </w:r>
      <w:r>
        <w:t xml:space="preserve">Die Mitteilungen sind dem Finanzamt nach amtlich vorgeschriebenem Vordruck zu erstatten, und zwar bis zum Ablauf des Monats Februar des Jahres, das auf das Kalenderjahr folgt, in dem der mitzuteilende Sachverhalt verwirklicht wurde. </w:t>
      </w:r>
      <w:r>
        <w:rPr>
          <w:rStyle w:val="Satznummer"/>
        </w:rPr>
        <w:t>2</w:t>
      </w:r>
      <w:hyperlink w:anchor="b110" w:history="1">
        <w:r>
          <w:rPr>
            <w:color w:val="0A3A8C"/>
            <w:u w:val="single"/>
          </w:rPr>
          <w:t xml:space="preserve">§ 72a</w:t>
        </w:r>
      </w:hyperlink>
      <w:r>
        <w:t xml:space="preserve"> Absatz 4, </w:t>
      </w:r>
      <w:hyperlink w:anchor="b152" w:history="1">
        <w:r>
          <w:rPr>
            <w:color w:val="0A3A8C"/>
            <w:u w:val="single"/>
          </w:rPr>
          <w:t xml:space="preserve">§ 93c</w:t>
        </w:r>
      </w:hyperlink>
      <w:r>
        <w:t xml:space="preserve"> Absatz 1 Nummer 3 und Absatz 4 bis 7, </w:t>
      </w:r>
      <w:hyperlink w:anchor="b281" w:history="1">
        <w:r>
          <w:rPr>
            <w:color w:val="0A3A8C"/>
            <w:u w:val="single"/>
          </w:rPr>
          <w:t xml:space="preserve">§ 171</w:t>
        </w:r>
      </w:hyperlink>
      <w:r>
        <w:t xml:space="preserve"> Absatz 10a, </w:t>
      </w:r>
      <w:hyperlink w:anchor="b289" w:history="1">
        <w:r>
          <w:rPr>
            <w:color w:val="0A3A8C"/>
            <w:u w:val="single"/>
          </w:rPr>
          <w:t xml:space="preserve">§ 175b</w:t>
        </w:r>
      </w:hyperlink>
      <w:r>
        <w:t xml:space="preserve"> Absatz 1 und </w:t>
      </w:r>
      <w:hyperlink w:anchor="b328" w:history="1">
        <w:r>
          <w:rPr>
            <w:color w:val="0A3A8C"/>
            <w:u w:val="single"/>
          </w:rPr>
          <w:t xml:space="preserve">§ 203a</w:t>
        </w:r>
      </w:hyperlink>
      <w:r>
        <w:t xml:space="preserve"> gelten entsprechend.</w:t>
      </w:r>
    </w:p>
    <w:p>
      <w:r>
        <w:t xml:space="preserve">(5) </w:t>
      </w:r>
      <w:r>
        <w:rPr>
          <w:rStyle w:val="Satznummer"/>
        </w:rPr>
        <w:t>1</w:t>
      </w:r>
      <w:r>
        <w:t xml:space="preserve">Das für die mitteilungspflichtige Stelle zuständige Finanzamt hat die Mitteilungen an das für den inländischen Steuerpflichtigen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zuständige Finanzamt weiterzuleiten. </w:t>
      </w:r>
      <w:r>
        <w:rPr>
          <w:rStyle w:val="Satznummer"/>
        </w:rPr>
        <w:t>2</w:t>
      </w:r>
      <w:hyperlink w:anchor="b45" w:history="1">
        <w:r>
          <w:rPr>
            <w:color w:val="0A3A8C"/>
            <w:u w:val="single"/>
          </w:rPr>
          <w:t xml:space="preserve">§ 31b</w:t>
        </w:r>
      </w:hyperlink>
      <w:r>
        <w:t xml:space="preserve"> bleibt unberührt.</w:t>
      </w:r>
    </w:p>
    <w:p>
      <w:r>
        <w:t>(6) Der inländische Steuerpflichtige hat der mitteilungspflichtigen Stelle</w:t>
      </w:r>
    </w:p>
    <w:p>
      <w:pPr>
        <w:tabs>
          <w:tab w:pos="567" w:val="left"/>
        </w:tabs>
        <w:ind w:left="567" w:hanging="567"/>
      </w:pPr>
      <w:r>
        <w:t>1.</w:t>
      </w:r>
      <w:r>
        <w:tab/>
      </w:r>
      <w:r>
        <w:t xml:space="preserve">seine Identifikationsnummer nach </w:t>
      </w:r>
      <w:hyperlink w:anchor="b234" w:history="1">
        <w:r>
          <w:rPr>
            <w:color w:val="0A3A8C"/>
            <w:u w:val="single"/>
          </w:rPr>
          <w:t xml:space="preserve">§ 139b</w:t>
        </w:r>
      </w:hyperlink>
      <w:r>
        <w:t xml:space="preserve"> mitzuteilen und</w:t>
      </w:r>
    </w:p>
    <w:p>
      <w:pPr>
        <w:tabs>
          <w:tab w:pos="567" w:val="left"/>
        </w:tabs>
        <w:ind w:left="567" w:hanging="567"/>
      </w:pPr>
      <w:r>
        <w:t>2.</w:t>
      </w:r>
      <w:r>
        <w:tab/>
      </w:r>
      <w:r>
        <w:t xml:space="preserve">seine Wirtschafts-Identifikationsnummer nach </w:t>
      </w:r>
      <w:hyperlink w:anchor="b235" w:history="1">
        <w:r>
          <w:rPr>
            <w:color w:val="0A3A8C"/>
            <w:u w:val="single"/>
          </w:rPr>
          <w:t xml:space="preserve">§ 139c</w:t>
        </w:r>
      </w:hyperlink>
      <w:r>
        <w:t xml:space="preserve"> oder, wenn diese noch nicht vergeben wurde und er keine natürliche Person ist, seine für die Besteuerung nach dem Einkommen geltende Steuernummer mitzuteilen.</w:t>
      </w:r>
    </w:p>
    <w:p>
      <w:pPr>
        <w:pStyle w:val="Heading4"/>
      </w:pPr>
      <w:bookmarkStart w:id="224" w:name="b222"/>
      <w:r>
        <w:t>§ 138c Verordnungsermächtigung</w:t>
      </w:r>
      <w:r>
        <w:t xml:space="preserve"> </w:t>
      </w:r>
      <w:r>
        <w:rPr>
          <w:rStyle w:val="Suchmarke"/>
        </w:rPr>
        <w:t>#138c#</w:t>
      </w:r>
      <w:bookmarkEnd w:id="224"/>
    </w:p>
    <w:p>
      <w:r>
        <w:t xml:space="preserve">(1) </w:t>
      </w:r>
      <w:r>
        <w:rPr>
          <w:rStyle w:val="Satznummer"/>
        </w:rPr>
        <w:t>1</w:t>
      </w:r>
      <w:r>
        <w:t xml:space="preserve">Das Bundesministerium der Finanzen kann durch Rechtsverordnung mit Zustimmung des Bundesrates bestimmen, dass Mitteilungen gemäß </w:t>
      </w:r>
      <w:hyperlink w:anchor="b221" w:history="1">
        <w:r>
          <w:rPr>
            <w:color w:val="0A3A8C"/>
            <w:u w:val="single"/>
          </w:rPr>
          <w:t xml:space="preserve">§ 138b</w:t>
        </w:r>
      </w:hyperlink>
      <w:r>
        <w:t xml:space="preserve"> nach amtlich vorgeschriebenem Datensatz über amtlich bestimmte Schnittstellen zu erstatten sind. </w:t>
      </w:r>
      <w:r>
        <w:rPr>
          <w:rStyle w:val="Satznummer"/>
        </w:rPr>
        <w:t>2</w:t>
      </w:r>
      <w:r>
        <w:t xml:space="preserve">In der Rechtsverordnung nach Satz 1 kann auch bestimmt werden, dass die Mitteilungen abweichend von </w:t>
      </w:r>
      <w:hyperlink w:anchor="b221" w:history="1">
        <w:r>
          <w:rPr>
            <w:color w:val="0A3A8C"/>
            <w:u w:val="single"/>
          </w:rPr>
          <w:t xml:space="preserve">§ 138b</w:t>
        </w:r>
      </w:hyperlink>
      <w:r>
        <w:t xml:space="preserve"> Absatz 1 Satz 1 an eine andere Finanzbehörde zu übermitteln und von dieser Finanzbehörde an das für den inländischen Steuerpflichtigen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zuständige Finanzamt weiterzuleiten sind.</w:t>
      </w:r>
    </w:p>
    <w:p>
      <w:r>
        <w:t xml:space="preserve">(2) </w:t>
      </w:r>
      <w:r>
        <w:rPr>
          <w:rStyle w:val="Satznummer"/>
        </w:rPr>
        <w:t>1</w:t>
      </w:r>
      <w:r>
        <w:t xml:space="preserve">Hat das Bundesministerium der Finanzen eine Rechtsverordnung nach Absatz 1 erlassen, dürfen die mitteilungspflichtigen Stellen beim Bundeszentralamt für Steuern die Identifikationsnummer des Steuerpflichtigen nach </w:t>
      </w:r>
      <w:hyperlink w:anchor="b234" w:history="1">
        <w:r>
          <w:rPr>
            <w:color w:val="0A3A8C"/>
            <w:u w:val="single"/>
          </w:rPr>
          <w:t xml:space="preserve">§ 139b</w:t>
        </w:r>
      </w:hyperlink>
      <w:r>
        <w:t xml:space="preserve"> oder seine Wirtschafts-Identifikationsnummer nach </w:t>
      </w:r>
      <w:hyperlink w:anchor="b235" w:history="1">
        <w:r>
          <w:rPr>
            <w:color w:val="0A3A8C"/>
            <w:u w:val="single"/>
          </w:rPr>
          <w:t xml:space="preserve">§ 139c</w:t>
        </w:r>
      </w:hyperlink>
      <w:r>
        <w:t xml:space="preserve"> erfragen. </w:t>
      </w:r>
      <w:r>
        <w:rPr>
          <w:rStyle w:val="Satznummer"/>
        </w:rPr>
        <w:t>2</w:t>
      </w:r>
      <w:r>
        <w:t xml:space="preserve">In der Anfrage dürfen nur die in </w:t>
      </w:r>
      <w:hyperlink w:anchor="b234" w:history="1">
        <w:r>
          <w:rPr>
            <w:color w:val="0A3A8C"/>
            <w:u w:val="single"/>
          </w:rPr>
          <w:t xml:space="preserve">§ 139b</w:t>
        </w:r>
      </w:hyperlink>
      <w:r>
        <w:t xml:space="preserve"> Absatz 3 oder </w:t>
      </w:r>
      <w:hyperlink w:anchor="b235" w:history="1">
        <w:r>
          <w:rPr>
            <w:color w:val="0A3A8C"/>
            <w:u w:val="single"/>
          </w:rPr>
          <w:t xml:space="preserve">§ 139c</w:t>
        </w:r>
      </w:hyperlink>
      <w:r>
        <w:t xml:space="preserve"> Absatz 3 bis 5a genannten Daten des inländischen Steuerpflichtigen angegeben werden, soweit sie der mitteilungspflichtigen Stelle bekannt sind. </w:t>
      </w:r>
      <w:r>
        <w:rPr>
          <w:rStyle w:val="Satznummer"/>
        </w:rPr>
        <w:t>3</w:t>
      </w:r>
      <w:r>
        <w:t xml:space="preserve">Das Bundeszentralamt für Steuern teilt der mitteilungspflichtigen Stelle die Identifikationsnummer oder die Wirtschafts-Identifikationsnummer mit, sofern die übermittelten Daten mit den nach </w:t>
      </w:r>
      <w:hyperlink w:anchor="b234" w:history="1">
        <w:r>
          <w:rPr>
            <w:color w:val="0A3A8C"/>
            <w:u w:val="single"/>
          </w:rPr>
          <w:t xml:space="preserve">§ 139b</w:t>
        </w:r>
      </w:hyperlink>
      <w:r>
        <w:t xml:space="preserve"> Absatz 3 oder </w:t>
      </w:r>
      <w:hyperlink w:anchor="b235" w:history="1">
        <w:r>
          <w:rPr>
            <w:color w:val="0A3A8C"/>
            <w:u w:val="single"/>
          </w:rPr>
          <w:t xml:space="preserve">§ 139c</w:t>
        </w:r>
      </w:hyperlink>
      <w:r>
        <w:t xml:space="preserve"> Absatz 3 bis 5a bei ihm gespeicherten Daten übereinstimmen. </w:t>
      </w:r>
      <w:r>
        <w:rPr>
          <w:rStyle w:val="Satznummer"/>
        </w:rPr>
        <w:t>4</w:t>
      </w:r>
      <w:r>
        <w:t xml:space="preserve">Die mitteilungspflichtige Stelle darf die Identifikationsmerkmale nur verwenden, soweit dies zur Erfüllung von steuerlichen Pflichten erforderlich ist. </w:t>
      </w:r>
      <w:r>
        <w:rPr>
          <w:rStyle w:val="Satznummer"/>
        </w:rPr>
        <w:t>5</w:t>
      </w:r>
      <w:r>
        <w:t>Weitere Einzelheiten dieses Verfahrens kann das Bundesministerium der Finanzen durch Rechtsverordnung mit Zustimmung des Bundesrates bestimmen.</w:t>
      </w:r>
    </w:p>
    <w:p>
      <w:pPr>
        <w:pStyle w:val="Heading4"/>
      </w:pPr>
      <w:bookmarkStart w:id="225" w:name="b223"/>
      <w:r>
        <w:t>§ 138d Pflicht zur Mitteilung grenzüberschreitender Steuergestaltungen</w:t>
      </w:r>
      <w:r>
        <w:t xml:space="preserve"> </w:t>
      </w:r>
      <w:r>
        <w:rPr>
          <w:rStyle w:val="Suchmarke"/>
        </w:rPr>
        <w:t>#138d#</w:t>
      </w:r>
      <w:bookmarkEnd w:id="225"/>
    </w:p>
    <w:p>
      <w:r>
        <w:t xml:space="preserve">(1) Wer eine grenzüberschreitende Steuergestaltung im Sinne des Absatzes 2 vermarktet, für Dritte konzipiert, organisiert oder zur Nutzung bereitstellt oder ihre Umsetzung durch Dritte verwaltet (Intermediär), hat die grenzüberschreitende Steuergestaltung dem Bundeszentralamt für Steuern nach Maßgabe der </w:t>
      </w:r>
      <w:hyperlink w:anchor="b225" w:history="1">
        <w:r>
          <w:rPr>
            <w:color w:val="0A3A8C"/>
            <w:u w:val="single"/>
          </w:rPr>
          <w:t xml:space="preserve">§§ 138f</w:t>
        </w:r>
      </w:hyperlink>
      <w:r>
        <w:t xml:space="preserve"> und </w:t>
      </w:r>
      <w:hyperlink w:anchor="b227" w:history="1">
        <w:r>
          <w:rPr>
            <w:color w:val="0A3A8C"/>
            <w:u w:val="single"/>
          </w:rPr>
          <w:t xml:space="preserve">138h</w:t>
        </w:r>
      </w:hyperlink>
      <w:r>
        <w:t xml:space="preserve"> mitzuteilen.</w:t>
      </w:r>
    </w:p>
    <w:p>
      <w:r>
        <w:t xml:space="preserve">(2) </w:t>
      </w:r>
      <w:r>
        <w:rPr>
          <w:rStyle w:val="Satznummer"/>
        </w:rPr>
        <w:t>1</w:t>
      </w:r>
      <w:r>
        <w:t>Eine grenzüberschreitende Steuergestaltung ist jede Gestaltung,</w:t>
      </w:r>
    </w:p>
    <w:p>
      <w:pPr>
        <w:tabs>
          <w:tab w:pos="567" w:val="left"/>
        </w:tabs>
        <w:ind w:left="567" w:hanging="567"/>
      </w:pPr>
      <w:r>
        <w:t>1.</w:t>
      </w:r>
      <w:r>
        <w:tab/>
      </w:r>
      <w:r>
        <w:t>die eine oder mehrere Steuern zum Gegenstand hat, auf die das EU-Amtshilfegesetz anzuwenden ist,</w:t>
      </w:r>
    </w:p>
    <w:p>
      <w:pPr>
        <w:tabs>
          <w:tab w:pos="567" w:val="left"/>
        </w:tabs>
        <w:ind w:left="567" w:hanging="567"/>
      </w:pPr>
      <w:r>
        <w:t>2.</w:t>
      </w:r>
      <w:r>
        <w:tab/>
      </w:r>
      <w:r>
        <w:t>die entweder mehr als einen Mitgliedstaat der Europäischen Union oder mindestens einen Mitgliedstaat der Europäischen Union und einen oder mehrere Drittstaaten betrifft, wobei mindestens eine der folgenden Bedingungen erfüllt ist:</w:t>
      </w:r>
    </w:p>
    <w:p>
      <w:pPr>
        <w:tabs>
          <w:tab w:pos="1134" w:val="left"/>
        </w:tabs>
        <w:ind w:left="1134" w:hanging="567"/>
      </w:pPr>
      <w:r>
        <w:t>a)</w:t>
      </w:r>
      <w:r>
        <w:tab/>
      </w:r>
      <w:r>
        <w:t>nicht alle an der Gestaltung Beteiligten sind im selben Steuerhoheitsgebiet ansässig;</w:t>
      </w:r>
    </w:p>
    <w:p>
      <w:pPr>
        <w:tabs>
          <w:tab w:pos="1134" w:val="left"/>
        </w:tabs>
        <w:ind w:left="1134" w:hanging="567"/>
      </w:pPr>
      <w:r>
        <w:t>b)</w:t>
      </w:r>
      <w:r>
        <w:tab/>
      </w:r>
      <w:r>
        <w:t>einer oder mehrere der an der Gestaltung Beteiligten sind gleichzeitig in mehreren Steuerhoheitsgebieten ansässig;</w:t>
      </w:r>
    </w:p>
    <w:p>
      <w:pPr>
        <w:tabs>
          <w:tab w:pos="1134" w:val="left"/>
        </w:tabs>
        <w:ind w:left="1134" w:hanging="567"/>
      </w:pPr>
      <w:r>
        <w:t>c)</w:t>
      </w:r>
      <w:r>
        <w:tab/>
      </w:r>
      <w:r>
        <w:t>einer oder mehrere der an der Gestaltung Beteiligten gehen in einem anderen Steuerhoheitsgebiet über eine dort gelegene Betriebstätte einer Geschäftstätigkeit nach und die Gestaltung ist Teil der Geschäftstätigkeit der Betriebstätte oder macht deren gesamte Geschäftstätigkeit aus;</w:t>
      </w:r>
    </w:p>
    <w:p>
      <w:pPr>
        <w:tabs>
          <w:tab w:pos="1134" w:val="left"/>
        </w:tabs>
        <w:ind w:left="1134" w:hanging="567"/>
      </w:pPr>
      <w:r>
        <w:t>d)</w:t>
      </w:r>
      <w:r>
        <w:tab/>
      </w:r>
      <w:r>
        <w:t>einer oder mehrere der an der Gestaltung Beteiligten gehen in einem anderen Steuerhoheitsgebiet einer Tätigkeit nach, ohne dort ansässig zu sein oder eine Betriebstätte zu begründen;</w:t>
      </w:r>
    </w:p>
    <w:p>
      <w:pPr>
        <w:tabs>
          <w:tab w:pos="1134" w:val="left"/>
        </w:tabs>
        <w:ind w:left="1134" w:hanging="567"/>
      </w:pPr>
      <w:r>
        <w:t>e)</w:t>
      </w:r>
      <w:r>
        <w:tab/>
      </w:r>
      <w:r>
        <w:t>die Gestaltung ist geeignet, Auswirkungen auf den automatischen Informationsaustausch oder die Identifizierung des wirtschaftlichen Eigentümers zu haben, und</w:t>
      </w:r>
    </w:p>
    <w:p>
      <w:pPr>
        <w:tabs>
          <w:tab w:pos="567" w:val="left"/>
        </w:tabs>
        <w:ind w:left="567" w:hanging="567"/>
      </w:pPr>
      <w:r>
        <w:t>3.</w:t>
      </w:r>
      <w:r>
        <w:tab/>
      </w:r>
      <w:r>
        <w:t>die mindestens</w:t>
      </w:r>
    </w:p>
    <w:p>
      <w:pPr>
        <w:tabs>
          <w:tab w:pos="1134" w:val="left"/>
        </w:tabs>
        <w:ind w:left="1134" w:hanging="567"/>
      </w:pPr>
      <w:r>
        <w:t>a)</w:t>
      </w:r>
      <w:r>
        <w:tab/>
      </w:r>
      <w:r>
        <w:t xml:space="preserve">ein Kennzeichen im Sinne des </w:t>
      </w:r>
      <w:hyperlink w:anchor="b224" w:history="1">
        <w:r>
          <w:rPr>
            <w:color w:val="0A3A8C"/>
            <w:u w:val="single"/>
          </w:rPr>
          <w:t xml:space="preserve">§ 138e</w:t>
        </w:r>
      </w:hyperlink>
      <w:r>
        <w:t xml:space="preserve"> Absatz 1 aufweist und von der ein verständiger Dritter unter Berücksichtigung aller wesentlichen Fakten und Umstände vernünftigerweise erwarten kann, dass der Hauptvorteil oder einer der Hauptvorteile die Erlangung eines steuerlichen Vorteils im Sinne des Absatzes 3 ist, oder</w:t>
      </w:r>
    </w:p>
    <w:p>
      <w:pPr>
        <w:tabs>
          <w:tab w:pos="1134" w:val="left"/>
        </w:tabs>
        <w:ind w:left="1134" w:hanging="567"/>
      </w:pPr>
      <w:r>
        <w:t>b)</w:t>
      </w:r>
      <w:r>
        <w:tab/>
      </w:r>
      <w:r>
        <w:t xml:space="preserve">ein Kennzeichen im Sinne des </w:t>
      </w:r>
      <w:hyperlink w:anchor="b224" w:history="1">
        <w:r>
          <w:rPr>
            <w:color w:val="0A3A8C"/>
            <w:u w:val="single"/>
          </w:rPr>
          <w:t xml:space="preserve">§ 138e</w:t>
        </w:r>
      </w:hyperlink>
      <w:r>
        <w:t xml:space="preserve"> Absatz 2 aufweist.</w:t>
      </w:r>
    </w:p>
    <w:p>
      <w:r>
        <w:rPr>
          <w:rStyle w:val="Satznummer"/>
        </w:rPr>
        <w:t>2</w:t>
      </w:r>
      <w:r>
        <w:t>Besteht eine Steuergestaltung aus einer Reihe von Gestaltungen, gilt sie als grenzüberschreitende Steuergestaltung, wenn mindestens ein Schritt oder Teilschritt der Reihe grenzüberschreitend im Sinne des Satzes 1 Nummer 2 ist; in diesem Fall hat die Mitteilung nach Absatz 1 die gesamte Steuergestaltung zu umfassen.</w:t>
      </w:r>
    </w:p>
    <w:p>
      <w:r>
        <w:t xml:space="preserve">(3) </w:t>
      </w:r>
      <w:r>
        <w:rPr>
          <w:rStyle w:val="Satznummer"/>
        </w:rPr>
        <w:t>1</w:t>
      </w:r>
      <w:r>
        <w:t>Ein steuerlicher Vorteil im Sinne des Absatzes 2 Satz 1 Nummer 3 Buchstabe a liegt vor, wenn</w:t>
      </w:r>
    </w:p>
    <w:p>
      <w:pPr>
        <w:tabs>
          <w:tab w:pos="567" w:val="left"/>
        </w:tabs>
        <w:ind w:left="567" w:hanging="567"/>
      </w:pPr>
      <w:r>
        <w:t>1.</w:t>
      </w:r>
      <w:r>
        <w:tab/>
      </w:r>
      <w:r>
        <w:t>durch die Steuergestaltung Steuern erstattet, Steuervergütungen gewährt oder erhöht oder Steueransprüche entfallen oder verringert werden sollen,</w:t>
      </w:r>
    </w:p>
    <w:p>
      <w:pPr>
        <w:tabs>
          <w:tab w:pos="567" w:val="left"/>
        </w:tabs>
        <w:ind w:left="567" w:hanging="567"/>
      </w:pPr>
      <w:r>
        <w:t>2.</w:t>
      </w:r>
      <w:r>
        <w:tab/>
      </w:r>
      <w:r>
        <w:t>die Entstehung von Steueransprüchen verhindert werden soll oder</w:t>
      </w:r>
    </w:p>
    <w:p>
      <w:pPr>
        <w:tabs>
          <w:tab w:pos="567" w:val="left"/>
        </w:tabs>
        <w:ind w:left="567" w:hanging="567"/>
      </w:pPr>
      <w:r>
        <w:t>3.</w:t>
      </w:r>
      <w:r>
        <w:tab/>
      </w:r>
      <w:r>
        <w:t>die Entstehung von Steueransprüchen in andere Besteuerungszeiträume oder auf andere Besteuerungszeitpunkte verschoben werden soll.</w:t>
      </w:r>
    </w:p>
    <w:p>
      <w:r>
        <w:rPr>
          <w:rStyle w:val="Satznummer"/>
        </w:rPr>
        <w:t>2</w:t>
      </w:r>
      <w:r>
        <w:t xml:space="preserve">Ein steuerlicher Vorteil liegt auch dann vor, wenn er außerhalb des Geltungsbereichs dieses Gesetzes entstehen soll. </w:t>
      </w:r>
      <w:r>
        <w:rPr>
          <w:rStyle w:val="Satznummer"/>
        </w:rPr>
        <w:t>3</w:t>
      </w:r>
      <w:r>
        <w:t>Das Bundesministerium der Finanzen kann im Einvernehmen mit den obersten Finanzbehörden der Länder in einem im Bundessteuerblatt zu veröffentlichenden Schreiben für bestimmte Fallgruppen bestimmen, dass kein steuerlicher Vorteil im Sinne der Sätze 1 und 2 anzunehmen ist, insbesondere weil sich der steuerliche Vorteil einer grenzüberschreitenden Steuergestaltung ausschließlich im Geltungsbereich dieses Gesetzes auswirkt und unter Berücksichtigung aller Umstände der Steuergestaltung gesetzlich vorgesehen ist.</w:t>
      </w:r>
    </w:p>
    <w:p>
      <w:r>
        <w:t xml:space="preserve">(4) Betriebstätte im Sinne des Absatzes 2 Satz 1 Nummer 2 Buchstabe c und d ist sowohl eine Betriebstätte im Sinne des </w:t>
      </w:r>
      <w:hyperlink w:anchor="b15" w:history="1">
        <w:r>
          <w:rPr>
            <w:color w:val="0A3A8C"/>
            <w:u w:val="single"/>
          </w:rPr>
          <w:t xml:space="preserve">§ 12</w:t>
        </w:r>
      </w:hyperlink>
      <w:r>
        <w:t xml:space="preserve"> als auch eine Betriebsstätte im Sinne eines im konkreten Fall anwendbaren Abkommens zur Vermeidung der Doppelbesteuerung.</w:t>
      </w:r>
    </w:p>
    <w:p>
      <w:r>
        <w:t>(5) Nutzer einer grenzüberschreitenden Steuergestaltung ist jede natürliche oder juristische Person, Personenvereinigung oder Vermögensmasse,</w:t>
      </w:r>
    </w:p>
    <w:p>
      <w:pPr>
        <w:tabs>
          <w:tab w:pos="567" w:val="left"/>
        </w:tabs>
        <w:ind w:left="567" w:hanging="567"/>
      </w:pPr>
      <w:r>
        <w:t>1.</w:t>
      </w:r>
      <w:r>
        <w:tab/>
      </w:r>
      <w:r>
        <w:t>der die grenzüberschreitende Steuergestaltung zur Umsetzung bereitgestellt wird,</w:t>
      </w:r>
    </w:p>
    <w:p>
      <w:pPr>
        <w:tabs>
          <w:tab w:pos="567" w:val="left"/>
        </w:tabs>
        <w:ind w:left="567" w:hanging="567"/>
      </w:pPr>
      <w:r>
        <w:t>2.</w:t>
      </w:r>
      <w:r>
        <w:tab/>
      </w:r>
      <w:r>
        <w:t>die bereit ist, die grenzüberschreitende Steuergestaltung umzusetzen, oder</w:t>
      </w:r>
    </w:p>
    <w:p>
      <w:pPr>
        <w:tabs>
          <w:tab w:pos="567" w:val="left"/>
        </w:tabs>
        <w:ind w:left="567" w:hanging="567"/>
      </w:pPr>
      <w:r>
        <w:t>3.</w:t>
      </w:r>
      <w:r>
        <w:tab/>
      </w:r>
      <w:r>
        <w:t>die den ersten Schritt zur Umsetzung der grenzüberschreitenden Steuergestaltung gemacht hat.</w:t>
      </w:r>
    </w:p>
    <w:p>
      <w:r>
        <w:t>(6) Hat ein Nutzer eine grenzüberschreitende Steuergestaltung für sich selbst konzipiert, so sind für ihn auch die für Intermediäre geltenden Regelungen entsprechend anzuwenden.</w:t>
      </w:r>
    </w:p>
    <w:p>
      <w:r>
        <w:t>(7) Übt ein Intermediär im Zusammenhang mit der grenzüberschreitenden Steuergestaltung ausschließlich die in Absatz 1 aufgeführten Tätigkeiten aus, so gilt er nicht als an der Gestaltung Beteiligter.</w:t>
      </w:r>
    </w:p>
    <w:p>
      <w:pPr>
        <w:pStyle w:val="Heading4"/>
      </w:pPr>
      <w:bookmarkStart w:id="226" w:name="b224"/>
      <w:r>
        <w:t>§ 138e Kennzeichen grenzüberschreitender Steuergestaltungen</w:t>
      </w:r>
      <w:r>
        <w:t xml:space="preserve"> </w:t>
      </w:r>
      <w:r>
        <w:rPr>
          <w:rStyle w:val="Suchmarke"/>
        </w:rPr>
        <w:t>#138e#</w:t>
      </w:r>
      <w:bookmarkEnd w:id="226"/>
    </w:p>
    <w:p>
      <w:r>
        <w:t>(1) Kennzeichen im Sinne des § 138d Absatz 2 Satz 1 Nummer 3 Buchstabe a sind:</w:t>
      </w:r>
    </w:p>
    <w:p>
      <w:pPr>
        <w:tabs>
          <w:tab w:pos="567" w:val="left"/>
        </w:tabs>
        <w:ind w:left="567" w:hanging="567"/>
      </w:pPr>
      <w:r>
        <w:t>1.</w:t>
      </w:r>
      <w:r>
        <w:tab/>
      </w:r>
      <w:r>
        <w:t>die Vereinbarung</w:t>
      </w:r>
    </w:p>
    <w:p>
      <w:pPr>
        <w:tabs>
          <w:tab w:pos="1134" w:val="left"/>
        </w:tabs>
        <w:ind w:left="1134" w:hanging="567"/>
      </w:pPr>
      <w:r>
        <w:t>a)</w:t>
      </w:r>
      <w:r>
        <w:tab/>
      </w:r>
      <w:r>
        <w:t>einer Vertraulichkeitsklausel, die dem Nutzer oder einem anderen an der Steuergestaltung Beteiligten eine Offenlegung, auf welche Weise aufgrund der Gestaltung ein steuerlicher Vorteil erlangt wird, gegenüber anderen Intermediären oder den Finanzbehörden verbietet, oder</w:t>
      </w:r>
    </w:p>
    <w:p>
      <w:pPr>
        <w:tabs>
          <w:tab w:pos="1134" w:val="left"/>
        </w:tabs>
        <w:ind w:left="1134" w:hanging="567"/>
      </w:pPr>
      <w:r>
        <w:t>b)</w:t>
      </w:r>
      <w:r>
        <w:tab/>
      </w:r>
      <w:r>
        <w:t>einer Vergütung, die in Bezug auf den steuerlichen Vorteil der Steuergestaltung festgesetzt wird; dies gilt, wenn die Vergütung von der Höhe des steuerlichen Vorteils abhängt oder wenn die Vereinbarung die Abrede enthält, die Vergütung ganz oder teilweise zurückzuerstatten, falls der mit der Gestaltung zu erwartende steuerliche Vorteil ganz oder teilweise nicht erzielt wird,</w:t>
      </w:r>
    </w:p>
    <w:p>
      <w:pPr>
        <w:tabs>
          <w:tab w:pos="567" w:val="left"/>
        </w:tabs>
        <w:ind w:left="567" w:hanging="567"/>
      </w:pPr>
      <w:r>
        <w:t>2.</w:t>
      </w:r>
      <w:r>
        <w:tab/>
      </w:r>
      <w:r>
        <w:t>eine standardisierte Dokumentation oder Struktur der Gestaltung, die für mehr als einen Nutzer verfügbar ist, ohne dass sie für die Nutzung wesentlich individuell angepasst werden muss,</w:t>
      </w:r>
    </w:p>
    <w:p>
      <w:pPr>
        <w:tabs>
          <w:tab w:pos="567" w:val="left"/>
        </w:tabs>
        <w:ind w:left="567" w:hanging="567"/>
      </w:pPr>
      <w:r>
        <w:t>3.</w:t>
      </w:r>
      <w:r>
        <w:tab/>
      </w:r>
      <w:r>
        <w:t>Gestaltungen, die zum Gegenstand haben, dass</w:t>
      </w:r>
    </w:p>
    <w:p>
      <w:pPr>
        <w:tabs>
          <w:tab w:pos="1134" w:val="left"/>
        </w:tabs>
        <w:ind w:left="1134" w:hanging="567"/>
      </w:pPr>
      <w:r>
        <w:t>a)</w:t>
      </w:r>
      <w:r>
        <w:tab/>
      </w:r>
      <w:r>
        <w:t>ein an der Gestaltung Beteiligter unangemessene rechtliche Schritte unternimmt, um ein verlustbringendes Unternehmen unmittelbar oder mittelbar zu erwerben, die Haupttätigkeit dieses Unternehmens zu beenden und dessen Verluste dafür zu nutzen, seine Steuerbelastung zu verringern, einschließlich der Übertragung der Verluste in ein anderes Steuerhoheitsgebiet oder der zeitlich näheren Nutzung dieser Verluste,</w:t>
      </w:r>
    </w:p>
    <w:p>
      <w:pPr>
        <w:tabs>
          <w:tab w:pos="1134" w:val="left"/>
        </w:tabs>
        <w:ind w:left="1134" w:hanging="567"/>
      </w:pPr>
      <w:r>
        <w:t>b)</w:t>
      </w:r>
      <w:r>
        <w:tab/>
      </w:r>
      <w:r>
        <w:t>Einkünfte in Vermögen, Schenkungen oder andere nicht oder niedriger besteuerte Einnahmen oder nicht steuerbare Einkünfte umgewandelt werden,</w:t>
      </w:r>
    </w:p>
    <w:p>
      <w:pPr>
        <w:tabs>
          <w:tab w:pos="1134" w:val="left"/>
        </w:tabs>
        <w:ind w:left="1134" w:hanging="567"/>
      </w:pPr>
      <w:r>
        <w:t>c)</w:t>
      </w:r>
      <w:r>
        <w:tab/>
      </w:r>
      <w:r>
        <w:t>Transaktionen durch die Einbeziehung zwischengeschalteter Unternehmen, die keine wesentliche wirtschaftliche Tätigkeit ausüben, oder Transaktionen, die sich gegenseitig aufheben oder ausgleichen, für zirkuläre Vermögensverschiebungen genutzt werden,</w:t>
      </w:r>
    </w:p>
    <w:p>
      <w:pPr>
        <w:tabs>
          <w:tab w:pos="1134" w:val="left"/>
        </w:tabs>
        <w:ind w:left="1134" w:hanging="567"/>
      </w:pPr>
      <w:r>
        <w:t>d)</w:t>
      </w:r>
      <w:r>
        <w:tab/>
      </w:r>
      <w:r>
        <w:t>der Empfänger grenzüberschreitender, beim Zahlenden als Betriebsausgaben abzugsfähiger Zahlungen zwischen zwei oder mehr verbundenen Unternehmen in einem Steuerhoheitsgebiet ansässig ist, das keine Körperschaftsteuer erhebt oder einen Körperschaftsteuersatz von 0 Prozent oder nahe 0 Prozent hat, oder</w:t>
      </w:r>
    </w:p>
    <w:p>
      <w:pPr>
        <w:tabs>
          <w:tab w:pos="1134" w:val="left"/>
        </w:tabs>
        <w:ind w:left="1134" w:hanging="567"/>
      </w:pPr>
      <w:r>
        <w:t>e)</w:t>
      </w:r>
      <w:r>
        <w:tab/>
      </w:r>
      <w:r>
        <w:t>die grenzüberschreitende, beim Zahlenden als Betriebsausgaben abzugsfähige Zahlung zwischen zwei oder mehr verbundenen Unternehmen in ein Steuerhoheitsgebiet erfolgt, in dem der Empfänger ansässig ist, soweit dieses Steuerhoheitsgebiet die Zahlung</w:t>
      </w:r>
    </w:p>
    <w:p>
      <w:pPr>
        <w:tabs>
          <w:tab w:pos="1701" w:val="left"/>
        </w:tabs>
        <w:ind w:left="1701" w:hanging="567"/>
      </w:pPr>
      <w:r>
        <w:t>aa)</w:t>
      </w:r>
      <w:r>
        <w:tab/>
      </w:r>
      <w:r>
        <w:t>vollständig von der Steuer befreit oder</w:t>
      </w:r>
    </w:p>
    <w:p>
      <w:pPr>
        <w:tabs>
          <w:tab w:pos="1701" w:val="left"/>
        </w:tabs>
        <w:ind w:left="1701" w:hanging="567"/>
      </w:pPr>
      <w:r>
        <w:t>bb)</w:t>
      </w:r>
      <w:r>
        <w:tab/>
      </w:r>
      <w:r>
        <w:t>einer steuerlichen Präferenzregelung unterwirft.</w:t>
      </w:r>
    </w:p>
    <w:p>
      <w:r>
        <w:t>(2) Kennzeichen im Sinne des § 138d Absatz 2 Satz 1 Nummer 3 Buchstabe b sind:</w:t>
      </w:r>
    </w:p>
    <w:p>
      <w:pPr>
        <w:tabs>
          <w:tab w:pos="567" w:val="left"/>
        </w:tabs>
        <w:ind w:left="567" w:hanging="567"/>
      </w:pPr>
      <w:r>
        <w:t>1.</w:t>
      </w:r>
      <w:r>
        <w:tab/>
      </w:r>
      <w:r>
        <w:t>Gestaltungen, die zum Gegenstand haben, dass</w:t>
      </w:r>
    </w:p>
    <w:p>
      <w:pPr>
        <w:tabs>
          <w:tab w:pos="1134" w:val="left"/>
        </w:tabs>
        <w:ind w:left="1134" w:hanging="567"/>
      </w:pPr>
      <w:r>
        <w:t>a)</w:t>
      </w:r>
      <w:r>
        <w:tab/>
      </w:r>
      <w:r>
        <w:t>der Empfänger grenzüberschreitender Zahlungen, die zwischen zwei oder mehr verbundenen Unternehmen erfolgen und beim Zahlenden als Betriebsausgabe abzugsfähig sind,</w:t>
      </w:r>
    </w:p>
    <w:p>
      <w:pPr>
        <w:tabs>
          <w:tab w:pos="1701" w:val="left"/>
        </w:tabs>
        <w:ind w:left="1701" w:hanging="567"/>
      </w:pPr>
      <w:r>
        <w:t>aa)</w:t>
      </w:r>
      <w:r>
        <w:tab/>
      </w:r>
      <w:r>
        <w:t>in keinem Steuerhoheitsgebiet ansässig ist oder</w:t>
      </w:r>
    </w:p>
    <w:p>
      <w:pPr>
        <w:tabs>
          <w:tab w:pos="1701" w:val="left"/>
        </w:tabs>
        <w:ind w:left="1701" w:hanging="567"/>
      </w:pPr>
      <w:r>
        <w:t>bb)</w:t>
      </w:r>
      <w:r>
        <w:tab/>
      </w:r>
      <w:r>
        <w:t>in einem Steuerhoheitsgebiet ansässig ist, das in der Liste der Drittstaaten aufgeführt wird, die von den Mitgliedstaaten der Europäischen Union oder von der Organisation für wirtschaftliche Zusammenarbeit und Entwicklung als nicht kooperierende Jurisdiktion eingestuft wurde,</w:t>
      </w:r>
    </w:p>
    <w:p>
      <w:pPr>
        <w:tabs>
          <w:tab w:pos="1134" w:val="left"/>
        </w:tabs>
        <w:ind w:left="1134" w:hanging="567"/>
      </w:pPr>
      <w:r>
        <w:t>b)</w:t>
      </w:r>
      <w:r>
        <w:tab/>
      </w:r>
      <w:r>
        <w:t>in mehr als einem Steuerhoheitsgebiet</w:t>
      </w:r>
    </w:p>
    <w:p>
      <w:pPr>
        <w:tabs>
          <w:tab w:pos="1701" w:val="left"/>
        </w:tabs>
        <w:ind w:left="1701" w:hanging="567"/>
      </w:pPr>
      <w:r>
        <w:t>aa)</w:t>
      </w:r>
      <w:r>
        <w:tab/>
      </w:r>
      <w:r>
        <w:t>Absetzungen für Abnutzung desselben Vermögenswertes in Anspruch genommen werden oder</w:t>
      </w:r>
    </w:p>
    <w:p>
      <w:pPr>
        <w:tabs>
          <w:tab w:pos="1701" w:val="left"/>
        </w:tabs>
        <w:ind w:left="1701" w:hanging="567"/>
      </w:pPr>
      <w:r>
        <w:t>bb)</w:t>
      </w:r>
      <w:r>
        <w:tab/>
      </w:r>
      <w:r>
        <w:t>eine Befreiung von der Doppelbesteuerung für dieselben Einkünfte oder dasselbe Vermögen vorgenommen wird und die Einkünfte oder das Vermögen deshalb ganz oder teilweise unversteuert bleiben</w:t>
      </w:r>
    </w:p>
    <w:p>
      <w:pPr>
        <w:ind w:left="567"/>
      </w:pPr>
      <w:r>
        <w:t>oder</w:t>
      </w:r>
    </w:p>
    <w:p>
      <w:pPr>
        <w:tabs>
          <w:tab w:pos="1134" w:val="left"/>
        </w:tabs>
        <w:ind w:left="1134" w:hanging="567"/>
      </w:pPr>
      <w:r>
        <w:t>c)</w:t>
      </w:r>
      <w:r>
        <w:tab/>
      </w:r>
      <w:r>
        <w:t>die Gestaltung eine Übertragung oder Überführung von Vermögensgegenständen vorsieht, soweit sich die steuerliche Bewertung des Vermögensgegenstandes in den beteiligten Steuerhoheitsgebieten wesentlich unterscheidet;</w:t>
      </w:r>
    </w:p>
    <w:p>
      <w:pPr>
        <w:tabs>
          <w:tab w:pos="567" w:val="left"/>
        </w:tabs>
        <w:ind w:left="567" w:hanging="567"/>
      </w:pPr>
      <w:r>
        <w:t>2.</w:t>
      </w:r>
      <w:r>
        <w:tab/>
      </w:r>
      <w:r>
        <w:t>Gestaltungen, die zu einer Aushöhlung der Mitteilungspflicht gemäß den Rechtsvorschriften zur Umsetzung des Standards für den automatischen Austausch von Informationen über Finanzkonten in Steuersachen (gemeinsamer Meldestandard) führen können oder die sich das Fehlen derartiger Rechtsvorschriften zu Nutze machen; derartige Gestaltungen umfassen insbesondere</w:t>
      </w:r>
    </w:p>
    <w:p>
      <w:pPr>
        <w:tabs>
          <w:tab w:pos="1134" w:val="left"/>
        </w:tabs>
        <w:ind w:left="1134" w:hanging="567"/>
      </w:pPr>
      <w:r>
        <w:t>a)</w:t>
      </w:r>
      <w:r>
        <w:tab/>
      </w:r>
      <w:r>
        <w:t>die Nutzung eines Kontos, eines Produkts oder einer Anlage, welches oder welche kein Finanzkonto im Sinne des § 19 Nummer 18 des Finanzkonten-Informationsaustauschgesetzes (Finanzkonto) ist oder vorgeblich kein Finanzkonto ist, jedoch Merkmale aufweist, die denen eines Finanzkontos entsprechen,</w:t>
      </w:r>
    </w:p>
    <w:p>
      <w:pPr>
        <w:tabs>
          <w:tab w:pos="1134" w:val="left"/>
        </w:tabs>
        <w:ind w:left="1134" w:hanging="567"/>
      </w:pPr>
      <w:r>
        <w:t>b)</w:t>
      </w:r>
      <w:r>
        <w:tab/>
      </w:r>
      <w:r>
        <w:t>die Übertragung eines Finanzkontos oder von Vermögenswerten in ein Steuerhoheitsgebiet, das nicht an den automatischen Informationsaustausch über Finanzkonten nach dem gemeinsamen Meldestandard mit dem Steuerhoheitsgebiet, in dem der Nutzer ansässig ist, gebunden ist, oder die Einbeziehung solcher Steuerhoheitsgebiete,</w:t>
      </w:r>
    </w:p>
    <w:p>
      <w:pPr>
        <w:tabs>
          <w:tab w:pos="1134" w:val="left"/>
        </w:tabs>
        <w:ind w:left="1134" w:hanging="567"/>
      </w:pPr>
      <w:r>
        <w:t>c)</w:t>
      </w:r>
      <w:r>
        <w:tab/>
      </w:r>
      <w:r>
        <w:t>die Neueinstufung von Einkünften und Vermögen als Produkte oder Zahlungen, die nicht dem automatischen Informationsaustausch über Finanzkonten nach dem gemeinsamen Meldestandard unterliegen,</w:t>
      </w:r>
    </w:p>
    <w:p>
      <w:pPr>
        <w:tabs>
          <w:tab w:pos="1134" w:val="left"/>
        </w:tabs>
        <w:ind w:left="1134" w:hanging="567"/>
      </w:pPr>
      <w:r>
        <w:t>d)</w:t>
      </w:r>
      <w:r>
        <w:tab/>
      </w:r>
      <w:r>
        <w:t>die Übertragung oder Umwandlung eines Finanzinstituts im Sinne des § 19 Nummer 3 des Finanzkonten-Informationsaustauschgesetzes (Finanzinstitut) oder eines Finanzkontos oder der darin enthaltenen Vermögenswerte in Finanzinstitute, Finanzkonten oder Vermögenswerte, die nicht der Meldepflicht im Rahmen des automatischen Informationsaustauschs über Finanzkonten nach dem gemeinsamen Meldestandard unterliegen,</w:t>
      </w:r>
    </w:p>
    <w:p>
      <w:pPr>
        <w:tabs>
          <w:tab w:pos="1134" w:val="left"/>
        </w:tabs>
        <w:ind w:left="1134" w:hanging="567"/>
      </w:pPr>
      <w:r>
        <w:t>e)</w:t>
      </w:r>
      <w:r>
        <w:tab/>
      </w:r>
      <w:r>
        <w:t>die Einbeziehung von Rechtsträgern, Steuergestaltungen oder Strukturen, die die Meldung eines Kontoinhabers im Sinne des § 20 Nummer 1 des Finanzkonten-Informationsaustauschgesetzes (Kontoinhaber) oder mehrerer Kontoinhaber oder einer beherrschenden Person im Sinne des § 19 Nummer 39 des Finanzkonten-Informationsaustauschgesetzes (beherrschende Person) oder mehrerer beherrschender Personen im Rahmen des automatischen Informationsaustauschs über Finanzkonten nach dem gemeinsamen Meldestandard ausschließen oder auszuschließen vorgeben, oder</w:t>
      </w:r>
    </w:p>
    <w:p>
      <w:pPr>
        <w:tabs>
          <w:tab w:pos="1134" w:val="left"/>
        </w:tabs>
        <w:ind w:left="1134" w:hanging="567"/>
      </w:pPr>
      <w:r>
        <w:t>f)</w:t>
      </w:r>
      <w:r>
        <w:tab/>
      </w:r>
      <w:r>
        <w:t>die Aushöhlung von Verfahren zur Erfüllung der Sorgfaltspflichten, die Finanzinstitute zur Erfüllung ihrer Meldepflichten bezüglich Informationen zu Finanzkonten nach dem gemeinsamen Meldestandard anwenden, oder die Ausnutzung von Schwächen in diesen Verfahren, einschließlich der Einbeziehung von Staaten oder Territorien mit ungeeigneten oder schwachen Regelungen für die Durchsetzung von Vorschriften gegen Geldwäsche oder mit schwachen Transparenzanforderungen für juristische Personen oder Rechtsvereinbarungen;</w:t>
      </w:r>
    </w:p>
    <w:p>
      <w:pPr>
        <w:tabs>
          <w:tab w:pos="567" w:val="left"/>
        </w:tabs>
        <w:ind w:left="567" w:hanging="567"/>
      </w:pPr>
      <w:r>
        <w:t>3.</w:t>
      </w:r>
      <w:r>
        <w:tab/>
      </w:r>
      <w:r>
        <w:t>Gestaltungen mit rechtlichen Eigentümern oder wirtschaftlich Berechtigten unter Einbeziehung von Personen, Rechtsvereinbarungen oder Strukturen,</w:t>
      </w:r>
    </w:p>
    <w:p>
      <w:pPr>
        <w:tabs>
          <w:tab w:pos="1134" w:val="left"/>
        </w:tabs>
        <w:ind w:left="1134" w:hanging="567"/>
      </w:pPr>
      <w:r>
        <w:t>a)</w:t>
      </w:r>
      <w:r>
        <w:tab/>
      </w:r>
      <w:r>
        <w:t>die keine wesentliche wirtschaftliche Tätigkeit ausüben, die mit angemessener Ausstattung, angemessenen personellen Ressourcen, angemessenen Vermögenswerten und angemessenen Räumlichkeiten einhergeht, und</w:t>
      </w:r>
    </w:p>
    <w:p>
      <w:pPr>
        <w:tabs>
          <w:tab w:pos="1134" w:val="left"/>
        </w:tabs>
        <w:ind w:left="1134" w:hanging="567"/>
      </w:pPr>
      <w:r>
        <w:t>b)</w:t>
      </w:r>
      <w:r>
        <w:tab/>
      </w:r>
      <w:r>
        <w:t>die in anderen Steuerhoheitsgebieten eingetragen, ansässig oder niedergelassen sind oder verwaltet oder kontrolliert werden als dem Steuerhoheitsgebiet, in dem ein oder mehrere der wirtschaftlich Berechtigten der von diesen Personen, Rechtsvereinbarungen oder Strukturen gehaltenen Vermögenswerte ansässig sind,</w:t>
      </w:r>
    </w:p>
    <w:p>
      <w:pPr>
        <w:ind w:left="567"/>
      </w:pPr>
      <w:r>
        <w:t>sofern die wirtschaftlich Berechtigten dieser Personen, Rechtsvereinbarungen oder Strukturen im Sinne des § 3 des Geldwäschegesetzes nicht identifizierbar gemacht werden (intransparente Kette);</w:t>
      </w:r>
    </w:p>
    <w:p>
      <w:pPr>
        <w:tabs>
          <w:tab w:pos="567" w:val="left"/>
        </w:tabs>
        <w:ind w:left="567" w:hanging="567"/>
      </w:pPr>
      <w:r>
        <w:t>4.</w:t>
      </w:r>
      <w:r>
        <w:tab/>
      </w:r>
      <w:r>
        <w:t>Verrechnungspreisgestaltungen, bei denen</w:t>
      </w:r>
    </w:p>
    <w:p>
      <w:pPr>
        <w:tabs>
          <w:tab w:pos="1134" w:val="left"/>
        </w:tabs>
        <w:ind w:left="1134" w:hanging="567"/>
      </w:pPr>
      <w:r>
        <w:t>a)</w:t>
      </w:r>
      <w:r>
        <w:tab/>
      </w:r>
      <w:r>
        <w:t>eine unilaterale Regelung genutzt wird, die für eine festgelegte Kategorie von Nutzern oder Geschäftsvorfällen gilt und die dafür in Betracht kommende Nutzer von bestimmten Verpflichtungen befreit, die aufgrund der allgemeinen Verrechnungspreisvorschriften eines Steuerhoheitsgebiets sonst zu erfüllen wären,</w:t>
      </w:r>
    </w:p>
    <w:p>
      <w:pPr>
        <w:tabs>
          <w:tab w:pos="1134" w:val="left"/>
        </w:tabs>
        <w:ind w:left="1134" w:hanging="567"/>
      </w:pPr>
      <w:r>
        <w:t>b)</w:t>
      </w:r>
      <w:r>
        <w:tab/>
      </w:r>
      <w:r>
        <w:t>immaterielle Werte oder Rechte an immateriellen Werten an ein verbundenes Unternehmen übertragen oder zwischen dem Unternehmen und seiner ausländischen Betriebstätte überführt werden, für die zum Zeitpunkt ihrer Übertragung oder Überführung keine ausreichenden Vergleichswerte vorliegen und zum Zeitpunkt der Transaktion die Prognosen voraussichtlicher Cashflows oder die vom übertragenen oder überführten immateriellen Wert erwarteten abzuleitenden Einkünfte oder die der Bewertung des immateriellen Wertes oder Rechts an immateriellen Werten zugrunde gelegten Annahmen höchst unsicher sind, weshalb der Totalerfolg zum Zeitpunkt der Übertragung oder Überführung nur schwer absehbar ist (schwer zu bewertende immaterielle Werte), oder</w:t>
      </w:r>
    </w:p>
    <w:p>
      <w:pPr>
        <w:tabs>
          <w:tab w:pos="1134" w:val="left"/>
        </w:tabs>
        <w:ind w:left="1134" w:hanging="567"/>
      </w:pPr>
      <w:r>
        <w:t>c)</w:t>
      </w:r>
      <w:r>
        <w:tab/>
      </w:r>
      <w:r>
        <w:t>innerhalb von verbundenen Unternehmen eine grenzüberschreitende Übertragung oder Verlagerung von Funktionen, Risiken, Wirtschaftsgütern oder sonstigen Vorteilen stattfindet und der erwartete jährliche Gewinn vor Zinsen und Steuern des übertragenden Unternehmens über einen Zeitraum von drei Jahren nach der Übertragung weniger als 50 Prozent des jährlichen Gewinns vor Zinsen und Steuern des übertragenden Unternehmens beträgt, der erwartet worden wäre, wenn die Übertragung nicht stattgefunden hätte; bei dieser Erwartung ist davon auszugehen, dass die verbundenen Unternehmen nach den Grundsätzen ordentlicher und gewissenhafter Geschäftsleiter handeln; diese Regelungen gelten sinngemäß auch für Betriebstätten.</w:t>
      </w:r>
    </w:p>
    <w:p>
      <w:r>
        <w:t xml:space="preserve">(3) </w:t>
      </w:r>
      <w:r>
        <w:rPr>
          <w:rStyle w:val="Satznummer"/>
        </w:rPr>
        <w:t>1</w:t>
      </w:r>
      <w:r>
        <w:t>Ein verbundenes Unternehmen im Sinne der Absätze 1 und 2 ist eine Person, die mit einer anderen Person auf mindestens eine der folgenden Arten verbunden ist:</w:t>
      </w:r>
    </w:p>
    <w:p>
      <w:pPr>
        <w:tabs>
          <w:tab w:pos="567" w:val="left"/>
        </w:tabs>
        <w:ind w:left="567" w:hanging="567"/>
      </w:pPr>
      <w:r>
        <w:t>1.</w:t>
      </w:r>
      <w:r>
        <w:tab/>
      </w:r>
      <w:r>
        <w:t>eine Person ist an der Geschäftsleitung einer anderen Person insofern beteiligt, als sie erheblichen Einfluss auf diese Person ausüben kann;</w:t>
      </w:r>
    </w:p>
    <w:p>
      <w:pPr>
        <w:tabs>
          <w:tab w:pos="567" w:val="left"/>
        </w:tabs>
        <w:ind w:left="567" w:hanging="567"/>
      </w:pPr>
      <w:r>
        <w:t>2.</w:t>
      </w:r>
      <w:r>
        <w:tab/>
      </w:r>
      <w:r>
        <w:t>eine Person ist über eine Beteiligungsgesellschaft mit mehr als 25 Prozent der Stimmrechte an der Kontrolle einer anderen Person beteiligt;</w:t>
      </w:r>
    </w:p>
    <w:p>
      <w:pPr>
        <w:tabs>
          <w:tab w:pos="567" w:val="left"/>
        </w:tabs>
        <w:ind w:left="567" w:hanging="567"/>
      </w:pPr>
      <w:r>
        <w:t>3.</w:t>
      </w:r>
      <w:r>
        <w:tab/>
      </w:r>
      <w:r>
        <w:t>eine Person ist über eine Inhaberschaft, die unmittelbar oder mittelbar mehr als 25 Prozent des Kapitals beträgt, am Kapital einer anderen Person beteiligt;</w:t>
      </w:r>
    </w:p>
    <w:p>
      <w:pPr>
        <w:tabs>
          <w:tab w:pos="567" w:val="left"/>
        </w:tabs>
        <w:ind w:left="567" w:hanging="567"/>
      </w:pPr>
      <w:r>
        <w:t>4.</w:t>
      </w:r>
      <w:r>
        <w:tab/>
      </w:r>
      <w:r>
        <w:t>eine Person hat Anspruch auf mindestens 25 Prozent der Gewinne einer anderen Person.</w:t>
      </w:r>
    </w:p>
    <w:p>
      <w:r>
        <w:rPr>
          <w:rStyle w:val="Satznummer"/>
        </w:rPr>
        <w:t>2</w:t>
      </w:r>
      <w:r>
        <w:t xml:space="preserve">Falls mehr als eine Person gemäß Satz 1 an der Geschäftsleitung, der Kontrolle, dem Kapital oder den Gewinnen derselben Person beteiligt ist, gelten alle betroffenen Personen als untereinander verbundene Unternehmen. </w:t>
      </w:r>
      <w:r>
        <w:rPr>
          <w:rStyle w:val="Satznummer"/>
        </w:rPr>
        <w:t>3</w:t>
      </w:r>
      <w:r>
        <w:t xml:space="preserve">Falls dieselben Personen gemäß Satz 1 an der Geschäftsleitung, der Kontrolle, dem Kapital oder den Gewinnen von mehr als einer Person beteiligt sind, gelten alle betroffenen Personen als verbundene Unternehmen. </w:t>
      </w:r>
      <w:r>
        <w:rPr>
          <w:rStyle w:val="Satznummer"/>
        </w:rPr>
        <w:t>4</w:t>
      </w:r>
      <w:r>
        <w:t xml:space="preserve">Für die Zwecke dieses Absatzes wird eine Person, die in Bezug auf die Stimmrechte oder die Kapitalbeteiligung an einem Unternehmen gemeinsam mit einer anderen Person handelt, so behandelt, als würde sie eine Beteiligung an allen Stimmrechten oder dem gesamten Kapital dieses Unternehmens halten, die oder das von der anderen Person gehalten werden oder wird. </w:t>
      </w:r>
      <w:r>
        <w:rPr>
          <w:rStyle w:val="Satznummer"/>
        </w:rPr>
        <w:t>5</w:t>
      </w:r>
      <w:r>
        <w:t xml:space="preserve">Bei mittelbaren Beteiligungen wird die Erfüllung der Anforderungen gemäß Satz 1 Nummer 3 durch Multiplikation der Beteiligungsquoten an den nachgeordneten Unternehmen ermittelt. </w:t>
      </w:r>
      <w:r>
        <w:rPr>
          <w:rStyle w:val="Satznummer"/>
        </w:rPr>
        <w:t>6</w:t>
      </w:r>
      <w:r>
        <w:t xml:space="preserve">Eine Person mit einer Stimmrechtsbeteiligung von mehr als 50 Prozent gilt als Halter von 100 Prozent der Stimmrechte. </w:t>
      </w:r>
      <w:r>
        <w:rPr>
          <w:rStyle w:val="Satznummer"/>
        </w:rPr>
        <w:t>7</w:t>
      </w:r>
      <w:r>
        <w:t xml:space="preserve">Eine natürliche Person, ihr Ehepartner und ihre Verwandten in aufsteigender oder absteigender gerader Linie werden als eine einzige Person behandelt, wenn gleichgerichtete wirtschaftliche Interessen bestehen. </w:t>
      </w:r>
      <w:r>
        <w:rPr>
          <w:rStyle w:val="Satznummer"/>
        </w:rPr>
        <w:t>8</w:t>
      </w:r>
      <w:r>
        <w:t>Person im Sinne der Sätze 1 bis 7 ist jede natürliche oder juristische Person, Personengesellschaft, Gemeinschaft oder Vermögensmasse.</w:t>
      </w:r>
    </w:p>
    <w:p>
      <w:pPr>
        <w:pStyle w:val="Heading4"/>
      </w:pPr>
      <w:bookmarkStart w:id="227" w:name="b225"/>
      <w:r>
        <w:t>§ 138f Verfahren zur Mitteilung grenzüberschreitender Steuergestaltungen durch Intermediäre</w:t>
      </w:r>
      <w:r>
        <w:t xml:space="preserve"> </w:t>
      </w:r>
      <w:r>
        <w:rPr>
          <w:rStyle w:val="Suchmarke"/>
        </w:rPr>
        <w:t>#138f#</w:t>
      </w:r>
      <w:bookmarkEnd w:id="227"/>
    </w:p>
    <w:p>
      <w:r>
        <w:t xml:space="preserve">(1) Die grenzüberschreitende Steuergestaltung im Sinne des </w:t>
      </w:r>
      <w:hyperlink w:anchor="b223" w:history="1">
        <w:r>
          <w:rPr>
            <w:color w:val="0A3A8C"/>
            <w:u w:val="single"/>
          </w:rPr>
          <w:t xml:space="preserve">§ 138d</w:t>
        </w:r>
      </w:hyperlink>
      <w:r>
        <w:t xml:space="preserve"> Absatz 2 ist dem Bundeszentralamt für Steuern nach amtlich vorgeschriebenem Datensatz im Sinne des Absatzes 3 über die amtlich bestimmte Schnittstelle mitzuteilen.</w:t>
      </w:r>
    </w:p>
    <w:p>
      <w:r>
        <w:t>(2) Die Angaben nach Absatz 3 sind innerhalb von 30 Tagen nach Ablauf des Tages zu übermitteln, an dem das erste der nachfolgenden Ereignisse eintritt:</w:t>
      </w:r>
    </w:p>
    <w:p>
      <w:pPr>
        <w:tabs>
          <w:tab w:pos="567" w:val="left"/>
        </w:tabs>
        <w:ind w:left="567" w:hanging="567"/>
      </w:pPr>
      <w:r>
        <w:t>1.</w:t>
      </w:r>
      <w:r>
        <w:tab/>
      </w:r>
      <w:r>
        <w:t>die grenzüberschreitende Steuergestaltung wird zur Umsetzung bereitgestellt,</w:t>
      </w:r>
    </w:p>
    <w:p>
      <w:pPr>
        <w:tabs>
          <w:tab w:pos="567" w:val="left"/>
        </w:tabs>
        <w:ind w:left="567" w:hanging="567"/>
      </w:pPr>
      <w:r>
        <w:t>2.</w:t>
      </w:r>
      <w:r>
        <w:tab/>
      </w:r>
      <w:r>
        <w:t>der Nutzer der grenzüberschreitenden Steuergestaltung ist zu deren Umsetzung bereit oder</w:t>
      </w:r>
    </w:p>
    <w:p>
      <w:pPr>
        <w:tabs>
          <w:tab w:pos="567" w:val="left"/>
        </w:tabs>
        <w:ind w:left="567" w:hanging="567"/>
      </w:pPr>
      <w:r>
        <w:t>3.</w:t>
      </w:r>
      <w:r>
        <w:tab/>
      </w:r>
      <w:r>
        <w:t>mindestens ein Nutzer der grenzüberschreitenden Steuergestaltung hat den ersten Schritt der Umsetzung dieser Steuergestaltung gemacht.</w:t>
      </w:r>
    </w:p>
    <w:p>
      <w:r>
        <w:t xml:space="preserve">(3) </w:t>
      </w:r>
      <w:r>
        <w:rPr>
          <w:rStyle w:val="Satznummer"/>
        </w:rPr>
        <w:t>1</w:t>
      </w:r>
      <w:r>
        <w:t>Der Datensatz muss folgende Angaben enthalten:</w:t>
      </w:r>
    </w:p>
    <w:p>
      <w:pPr>
        <w:tabs>
          <w:tab w:pos="567" w:val="left"/>
        </w:tabs>
        <w:ind w:left="567" w:hanging="567"/>
      </w:pPr>
      <w:r>
        <w:t>1.</w:t>
      </w:r>
      <w:r>
        <w:tab/>
      </w:r>
      <w:r>
        <w:t>zum Intermediär:</w:t>
      </w:r>
    </w:p>
    <w:p>
      <w:pPr>
        <w:tabs>
          <w:tab w:pos="1134" w:val="left"/>
        </w:tabs>
        <w:ind w:left="1134" w:hanging="567"/>
      </w:pPr>
      <w:r>
        <w:t>a)</w:t>
      </w:r>
      <w:r>
        <w:tab/>
      </w:r>
      <w:r>
        <w:t>den Familiennamen und den Vornamen sowie den Tag und Ort der Geburt, wenn der Intermediär eine natürliche Person ist,</w:t>
      </w:r>
    </w:p>
    <w:p>
      <w:pPr>
        <w:tabs>
          <w:tab w:pos="1134" w:val="left"/>
        </w:tabs>
        <w:ind w:left="1134" w:hanging="567"/>
      </w:pPr>
      <w:r>
        <w:t>b)</w:t>
      </w:r>
      <w:r>
        <w:tab/>
      </w:r>
      <w:r>
        <w:t>die Firma oder den Namen, wenn der Intermediär keine natürliche Person ist,</w:t>
      </w:r>
    </w:p>
    <w:p>
      <w:pPr>
        <w:tabs>
          <w:tab w:pos="1134" w:val="left"/>
        </w:tabs>
        <w:ind w:left="1134" w:hanging="567"/>
      </w:pPr>
      <w:r>
        <w:t>c)</w:t>
      </w:r>
      <w:r>
        <w:tab/>
      </w:r>
      <w:r>
        <w:t>die Anschrift,</w:t>
      </w:r>
    </w:p>
    <w:p>
      <w:pPr>
        <w:tabs>
          <w:tab w:pos="1134" w:val="left"/>
        </w:tabs>
        <w:ind w:left="1134" w:hanging="567"/>
      </w:pPr>
      <w:r>
        <w:t>d)</w:t>
      </w:r>
      <w:r>
        <w:tab/>
      </w:r>
      <w:r>
        <w:t>den Staat, in dem der Intermediär ansässig ist, und</w:t>
      </w:r>
    </w:p>
    <w:p>
      <w:pPr>
        <w:tabs>
          <w:tab w:pos="1134" w:val="left"/>
        </w:tabs>
        <w:ind w:left="1134" w:hanging="567"/>
      </w:pPr>
      <w:r>
        <w:t>e)</w:t>
      </w:r>
      <w:r>
        <w:tab/>
      </w:r>
      <w:r>
        <w:t>das Steueridentifikationsmerkmal oder die Steuernummer,</w:t>
      </w:r>
    </w:p>
    <w:p>
      <w:pPr>
        <w:tabs>
          <w:tab w:pos="567" w:val="left"/>
        </w:tabs>
        <w:ind w:left="567" w:hanging="567"/>
      </w:pPr>
      <w:r>
        <w:t>2.</w:t>
      </w:r>
      <w:r>
        <w:tab/>
      </w:r>
      <w:r>
        <w:t>zum Nutzer:</w:t>
      </w:r>
    </w:p>
    <w:p>
      <w:pPr>
        <w:tabs>
          <w:tab w:pos="1134" w:val="left"/>
        </w:tabs>
        <w:ind w:left="1134" w:hanging="567"/>
      </w:pPr>
      <w:r>
        <w:t>a)</w:t>
      </w:r>
      <w:r>
        <w:tab/>
      </w:r>
      <w:r>
        <w:t>den Familiennamen und den Vornamen sowie den Tag und Ort der Geburt, wenn der Nutzer eine natürliche Person ist,</w:t>
      </w:r>
    </w:p>
    <w:p>
      <w:pPr>
        <w:tabs>
          <w:tab w:pos="1134" w:val="left"/>
        </w:tabs>
        <w:ind w:left="1134" w:hanging="567"/>
      </w:pPr>
      <w:r>
        <w:t>b)</w:t>
      </w:r>
      <w:r>
        <w:tab/>
      </w:r>
      <w:r>
        <w:t>die Firma oder den Namen, wenn der Nutzer keine natürliche Person ist,</w:t>
      </w:r>
    </w:p>
    <w:p>
      <w:pPr>
        <w:tabs>
          <w:tab w:pos="1134" w:val="left"/>
        </w:tabs>
        <w:ind w:left="1134" w:hanging="567"/>
      </w:pPr>
      <w:r>
        <w:t>c)</w:t>
      </w:r>
      <w:r>
        <w:tab/>
      </w:r>
      <w:r>
        <w:t>die Anschrift,</w:t>
      </w:r>
    </w:p>
    <w:p>
      <w:pPr>
        <w:tabs>
          <w:tab w:pos="1134" w:val="left"/>
        </w:tabs>
        <w:ind w:left="1134" w:hanging="567"/>
      </w:pPr>
      <w:r>
        <w:t>d)</w:t>
      </w:r>
      <w:r>
        <w:tab/>
      </w:r>
      <w:r>
        <w:t>den Staat, in dem der Nutzer ansässig ist, und</w:t>
      </w:r>
    </w:p>
    <w:p>
      <w:pPr>
        <w:tabs>
          <w:tab w:pos="1134" w:val="left"/>
        </w:tabs>
        <w:ind w:left="1134" w:hanging="567"/>
      </w:pPr>
      <w:r>
        <w:t>e)</w:t>
      </w:r>
      <w:r>
        <w:tab/>
      </w:r>
      <w:r>
        <w:t>das Steueridentifikationsmerkmal oder die Steuernummer des Nutzers, soweit dem Intermediär dies bekannt ist,</w:t>
      </w:r>
    </w:p>
    <w:p>
      <w:pPr>
        <w:tabs>
          <w:tab w:pos="567" w:val="left"/>
        </w:tabs>
        <w:ind w:left="567" w:hanging="567"/>
      </w:pPr>
      <w:r>
        <w:t>3.</w:t>
      </w:r>
      <w:r>
        <w:tab/>
      </w:r>
      <w:r>
        <w:t xml:space="preserve">wenn an der grenzüberschreitenden Steuergestaltung Personen beteiligt sind, die im Sinne des </w:t>
      </w:r>
      <w:hyperlink w:anchor="b224" w:history="1">
        <w:r>
          <w:rPr>
            <w:color w:val="0A3A8C"/>
            <w:u w:val="single"/>
          </w:rPr>
          <w:t xml:space="preserve">§ 138e</w:t>
        </w:r>
      </w:hyperlink>
      <w:r>
        <w:t xml:space="preserve"> Absatz 3 als verbundene Unternehmen des Nutzers gelten, zu dem verbundenen Unternehmen:</w:t>
      </w:r>
    </w:p>
    <w:p>
      <w:pPr>
        <w:tabs>
          <w:tab w:pos="1134" w:val="left"/>
        </w:tabs>
        <w:ind w:left="1134" w:hanging="567"/>
      </w:pPr>
      <w:r>
        <w:t>a)</w:t>
      </w:r>
      <w:r>
        <w:tab/>
      </w:r>
      <w:r>
        <w:t>die Firma oder den Namen,</w:t>
      </w:r>
    </w:p>
    <w:p>
      <w:pPr>
        <w:tabs>
          <w:tab w:pos="1134" w:val="left"/>
        </w:tabs>
        <w:ind w:left="1134" w:hanging="567"/>
      </w:pPr>
      <w:r>
        <w:t>b)</w:t>
      </w:r>
      <w:r>
        <w:tab/>
      </w:r>
      <w:r>
        <w:t>die Anschrift,</w:t>
      </w:r>
    </w:p>
    <w:p>
      <w:pPr>
        <w:tabs>
          <w:tab w:pos="1134" w:val="left"/>
        </w:tabs>
        <w:ind w:left="1134" w:hanging="567"/>
      </w:pPr>
      <w:r>
        <w:t>c)</w:t>
      </w:r>
      <w:r>
        <w:tab/>
      </w:r>
      <w:r>
        <w:t>den Staat, in dem das Unternehmen ansässig ist, und</w:t>
      </w:r>
    </w:p>
    <w:p>
      <w:pPr>
        <w:tabs>
          <w:tab w:pos="1134" w:val="left"/>
        </w:tabs>
        <w:ind w:left="1134" w:hanging="567"/>
      </w:pPr>
      <w:r>
        <w:t>d)</w:t>
      </w:r>
      <w:r>
        <w:tab/>
      </w:r>
      <w:r>
        <w:t>das Steueridentifikationsmerkmal oder die Steuernummer, soweit dem Intermediär dies bekannt ist,</w:t>
      </w:r>
    </w:p>
    <w:p>
      <w:pPr>
        <w:tabs>
          <w:tab w:pos="567" w:val="left"/>
        </w:tabs>
        <w:ind w:left="567" w:hanging="567"/>
      </w:pPr>
      <w:r>
        <w:t>4.</w:t>
      </w:r>
      <w:r>
        <w:tab/>
      </w:r>
      <w:r>
        <w:t>Einzelheiten zu den nach § 138e zur Mitteilung verpflichtenden Kennzeichen,</w:t>
      </w:r>
    </w:p>
    <w:p>
      <w:pPr>
        <w:tabs>
          <w:tab w:pos="567" w:val="left"/>
        </w:tabs>
        <w:ind w:left="567" w:hanging="567"/>
      </w:pPr>
      <w:r>
        <w:t>5.</w:t>
      </w:r>
      <w:r>
        <w:tab/>
      </w:r>
      <w:r>
        <w:t>eine Zusammenfassung des Inhalts der grenzüberschreitenden Steuergestaltung einschließlich</w:t>
      </w:r>
    </w:p>
    <w:p>
      <w:pPr>
        <w:tabs>
          <w:tab w:pos="1134" w:val="left"/>
        </w:tabs>
        <w:ind w:left="1134" w:hanging="567"/>
      </w:pPr>
      <w:r>
        <w:t>a)</w:t>
      </w:r>
      <w:r>
        <w:tab/>
      </w:r>
      <w:r>
        <w:t>soweit vorhanden, eines Verweises auf die Bezeichnung, unter der die Steuergestaltung allgemein bekannt ist, und</w:t>
      </w:r>
    </w:p>
    <w:p>
      <w:pPr>
        <w:tabs>
          <w:tab w:pos="1134" w:val="left"/>
        </w:tabs>
        <w:ind w:left="1134" w:hanging="567"/>
      </w:pPr>
      <w:r>
        <w:t>b)</w:t>
      </w:r>
      <w:r>
        <w:tab/>
      </w:r>
      <w:r>
        <w:t>einer abstrakt gehaltenen Beschreibung der relevanten Geschäftstätigkeit oder Gestaltung des Nutzers sowie aller sonstigen Informationen, die den zuständigen Behörden bei der Beurteilung eines Steuerrisikos helfen könnten, soweit die Beschreibung nicht zur Offenlegung eines Handels-, Gewerbe- oder Berufsgeheimnisses oder eines Geschäftsverfahrens oder von Informationen führt, deren Offenlegung die öffentliche Ordnung verletzen würde,</w:t>
      </w:r>
    </w:p>
    <w:p>
      <w:pPr>
        <w:tabs>
          <w:tab w:pos="567" w:val="left"/>
        </w:tabs>
        <w:ind w:left="567" w:hanging="567"/>
      </w:pPr>
      <w:r>
        <w:t>6.</w:t>
      </w:r>
      <w:r>
        <w:tab/>
      </w:r>
      <w:r>
        <w:t>das Datum des Tages, an dem der erste Schritt der Umsetzung der grenzüberschreitenden Steuergestaltung gemacht wurde oder voraussichtlich gemacht werden wird,</w:t>
      </w:r>
    </w:p>
    <w:p>
      <w:pPr>
        <w:tabs>
          <w:tab w:pos="567" w:val="left"/>
        </w:tabs>
        <w:ind w:left="567" w:hanging="567"/>
      </w:pPr>
      <w:r>
        <w:t>7.</w:t>
      </w:r>
      <w:r>
        <w:tab/>
      </w:r>
      <w:r>
        <w:t>Einzelheiten zu den einschlägigen Rechtsvorschriften aller betroffenen Mitgliedstaaten der Europäischen Union, die unmittelbar die Grundlage der grenzüberschreitenden Steuergestaltung bilden,</w:t>
      </w:r>
    </w:p>
    <w:p>
      <w:pPr>
        <w:tabs>
          <w:tab w:pos="567" w:val="left"/>
        </w:tabs>
        <w:ind w:left="567" w:hanging="567"/>
      </w:pPr>
      <w:r>
        <w:t>8.</w:t>
      </w:r>
      <w:r>
        <w:tab/>
      </w:r>
      <w:r>
        <w:t>den tatsächlichen oder voraussichtlichen wirtschaftlichen Wert der grenzüberschreitenden Steuergestaltung,</w:t>
      </w:r>
    </w:p>
    <w:p>
      <w:pPr>
        <w:tabs>
          <w:tab w:pos="567" w:val="left"/>
        </w:tabs>
        <w:ind w:left="567" w:hanging="567"/>
      </w:pPr>
      <w:r>
        <w:t>9.</w:t>
      </w:r>
      <w:r>
        <w:tab/>
      </w:r>
      <w:r>
        <w:t>die Mitgliedstaaten der Europäischen Union, die wahrscheinlich von der grenzüberschreitenden Steuergestaltung betroffen sind, und</w:t>
      </w:r>
    </w:p>
    <w:p>
      <w:pPr>
        <w:tabs>
          <w:tab w:pos="567" w:val="left"/>
        </w:tabs>
        <w:ind w:left="567" w:hanging="567"/>
      </w:pPr>
      <w:r>
        <w:t>10.</w:t>
      </w:r>
      <w:r>
        <w:tab/>
      </w:r>
      <w:r>
        <w:t>Angaben zu allen in einem Mitgliedstaat der Europäischen Union ansässigen Personen, die von der grenzüberschreitenden Steuergestaltung wahrscheinlich unmittelbar betroffen sind, einschließlich Angaben darüber, zu welchen Mitgliedstaaten der Europäischen Union sie in Beziehung stehen, soweit dem Intermediär dies bekannt ist.</w:t>
      </w:r>
    </w:p>
    <w:p>
      <w:r>
        <w:rPr>
          <w:rStyle w:val="Satznummer"/>
        </w:rPr>
        <w:t>2</w:t>
      </w:r>
      <w:r>
        <w:t>Soweit dem Intermediär bekannt ist, dass neben ihm mindestens ein weiterer Intermediär im Geltungsbereich dieses Gesetzes oder in einem anderen Mitgliedstaat der Europäischen Union zur Mitteilung derselben grenzüberschreitenden Steuergestaltung verpflichtet ist, so kann er mit deren Einwilligung im Datensatz nach Satz 1 die Angaben nach Satz 1 Nummer 1 auch hinsichtlich der anderen ihm bekannten Intermediäre machen.</w:t>
      </w:r>
    </w:p>
    <w:p>
      <w:r>
        <w:t xml:space="preserve">(4) </w:t>
      </w:r>
      <w:r>
        <w:rPr>
          <w:rStyle w:val="Satznummer"/>
        </w:rPr>
        <w:t>1</w:t>
      </w:r>
      <w:r>
        <w:t xml:space="preserve">Der mitteilende Intermediär hat den Nutzer darüber zu informieren, welche den Nutzer betreffenden Angaben er gemäß Absatz 3 an das Bundeszentralamt für Steuern übermitteln wird. </w:t>
      </w:r>
      <w:r>
        <w:rPr>
          <w:rStyle w:val="Satznummer"/>
        </w:rPr>
        <w:t>2</w:t>
      </w:r>
      <w:r>
        <w:t>Im Fall des Absatzes 3 Satz 2 hat der mitteilende Intermediär die anderen ihm bekannten Intermediäre unverzüglich darüber zu informieren, dass die Angaben gemäß Absatz 3 an das Bundeszentralamt für Steuern übermittelt wurden.</w:t>
      </w:r>
    </w:p>
    <w:p>
      <w:r>
        <w:t xml:space="preserve">(5) </w:t>
      </w:r>
      <w:r>
        <w:rPr>
          <w:rStyle w:val="Satznummer"/>
        </w:rPr>
        <w:t>1</w:t>
      </w:r>
      <w:r>
        <w:t>Das Bundeszentralamt für Steuern weist dem eingegangenen Datensatz im Sinne des Absatzes 3</w:t>
      </w:r>
    </w:p>
    <w:p>
      <w:pPr>
        <w:tabs>
          <w:tab w:pos="567" w:val="left"/>
        </w:tabs>
        <w:ind w:left="567" w:hanging="567"/>
      </w:pPr>
      <w:r>
        <w:t>1.</w:t>
      </w:r>
      <w:r>
        <w:tab/>
      </w:r>
      <w:r>
        <w:t>eine Registriernummer für die mitgeteilte grenzüberschreitende Steuergestaltung und</w:t>
      </w:r>
    </w:p>
    <w:p>
      <w:pPr>
        <w:tabs>
          <w:tab w:pos="567" w:val="left"/>
        </w:tabs>
        <w:ind w:left="567" w:hanging="567"/>
      </w:pPr>
      <w:r>
        <w:t>2.</w:t>
      </w:r>
      <w:r>
        <w:tab/>
      </w:r>
      <w:r>
        <w:t>eine Offenlegungsnummer für die eingegangene Mitteilung</w:t>
      </w:r>
    </w:p>
    <w:p>
      <w:r>
        <w:t xml:space="preserve">zu und teilt diese dem mitteilenden Intermediär mit. </w:t>
      </w:r>
      <w:r>
        <w:rPr>
          <w:rStyle w:val="Satznummer"/>
        </w:rPr>
        <w:t>2</w:t>
      </w:r>
      <w:r>
        <w:t xml:space="preserve">Hat das Bundeszentralamt für Steuern oder die zuständige Behörde eines anderen Mitgliedstaats der Europäischen Union im Einklang mit den dort geltenden Rechtsvorschriften der grenzüberschreitenden Steuergestaltung aufgrund der Mitteilung eines anderen Intermediärs bereits eine Registriernummer zugewiesen und ist diese dem mitteilenden Intermediär bekannt, so hat er sie dem Bundeszentralamt für Steuern im Datensatz nach Absatz 3 Satz 1 mitzuteilen. </w:t>
      </w:r>
      <w:r>
        <w:rPr>
          <w:rStyle w:val="Satznummer"/>
        </w:rPr>
        <w:t>3</w:t>
      </w:r>
      <w:r>
        <w:t xml:space="preserve">Satz 1 Nummer 1 ist nicht anzuwenden, wenn der Intermediär nach Satz 2 im Datensatz eine Registriernummer für die grenzüberschreitende Steuergestaltung angegeben hat. </w:t>
      </w:r>
      <w:r>
        <w:rPr>
          <w:rStyle w:val="Satznummer"/>
        </w:rPr>
        <w:t>4</w:t>
      </w:r>
      <w:r>
        <w:t xml:space="preserve">Der mitteilende Intermediär hat die Registriernummer nach Satz 1 Nummer 1 und die Offenlegungsnummer nach Satz 1 Nummer 2 unverzüglich dem Nutzer der grenzüberschreitenden Steuergestaltung mitzuteilen. </w:t>
      </w:r>
      <w:r>
        <w:rPr>
          <w:rStyle w:val="Satznummer"/>
        </w:rPr>
        <w:t>5</w:t>
      </w:r>
      <w:r>
        <w:t>Hat der Intermediär nach Absatz 3 Satz 2 auch andere Intermediäre derselben grenzüberschreitenden Steuergestaltung benannt, so hat er diesen die Registriernummer nach Satz 1 Nummer 1 mitzuteilen.</w:t>
      </w:r>
    </w:p>
    <w:p>
      <w:r>
        <w:t xml:space="preserve">(6) </w:t>
      </w:r>
      <w:r>
        <w:rPr>
          <w:rStyle w:val="Satznummer"/>
        </w:rPr>
        <w:t>1</w:t>
      </w:r>
      <w:r>
        <w:t>Unterliegt ein Intermediär einer gesetzlichen Pflicht zur Verschwiegenheit und hat der Nutzer ihn von dieser Pflicht nicht entbunden, so geht die Pflicht zur Übermittlung der Angaben nach Absatz 3 Satz 1 Nummer 2, 3 und 10 auf den Nutzer über, sobald der Intermediär</w:t>
      </w:r>
    </w:p>
    <w:p>
      <w:pPr>
        <w:tabs>
          <w:tab w:pos="567" w:val="left"/>
        </w:tabs>
        <w:ind w:left="567" w:hanging="567"/>
      </w:pPr>
      <w:r>
        <w:t>1.</w:t>
      </w:r>
      <w:r>
        <w:tab/>
      </w:r>
      <w:r>
        <w:t>den Nutzer über die Mitteilungspflicht, die Möglichkeit der Entbindung von der Verschwiegenheitspflicht und den anderenfalls erfolgenden Übergang der Mitteilungspflicht informiert hat und</w:t>
      </w:r>
    </w:p>
    <w:p>
      <w:pPr>
        <w:tabs>
          <w:tab w:pos="567" w:val="left"/>
        </w:tabs>
        <w:ind w:left="567" w:hanging="567"/>
      </w:pPr>
      <w:r>
        <w:t>2.</w:t>
      </w:r>
      <w:r>
        <w:tab/>
      </w:r>
      <w:r>
        <w:t>dem Nutzer die nach Absatz 3 Satz 1 Nummer 2, 3 und 10 erforderlichen Angaben, soweit sie dem Nutzer nicht bereits bekannt sind, sowie die Registriernummer und die Offenlegungsnummer zur Verfügung gestellt hat.</w:t>
      </w:r>
    </w:p>
    <w:p>
      <w:r>
        <w:rPr>
          <w:rStyle w:val="Satznummer"/>
        </w:rPr>
        <w:t>2</w:t>
      </w:r>
      <w:r>
        <w:t xml:space="preserve">Ist die Mitteilungspflicht hinsichtlich der in Absatz 3 Satz 1 Nummer 2, 3 und 10 bezeichneten Angaben auf den Nutzer übergegangen, so hat dieser in seiner Mitteilung die Registriernummer und die Offenlegungsnummer anzugeben; die Absätze 1 und 2 gelten in diesem Fall entsprechend. </w:t>
      </w:r>
      <w:r>
        <w:rPr>
          <w:rStyle w:val="Satznummer"/>
        </w:rPr>
        <w:t>3</w:t>
      </w:r>
      <w:r>
        <w:t xml:space="preserve">Die Information des Nutzers nach Satz 1 Nummer 2 ist vom Intermediär nach Zugang der Mitteilung der Offenlegungsnummer unverzüglich zu veranlassen und dem Bundeszentralamt für Steuern auf Verlangen mitzuteilen. </w:t>
      </w:r>
      <w:r>
        <w:rPr>
          <w:rStyle w:val="Satznummer"/>
        </w:rPr>
        <w:t>4</w:t>
      </w:r>
      <w:r>
        <w:t xml:space="preserve">Erlangt der Nutzer die in Satz 1 Nummer 2 bezeichneten Informationen erst nach Eintritt des nach Absatz 2 maßgebenden Ereignisses, so beginnt die Frist zur Übermittlung der in Absatz 3 Satz 1 Nummer 2, 3 und 10 bezeichneten Angaben abweichend von Absatz 2 erst mit Ablauf des Tages, an dem der Nutzer die Informationen erlangt hat. </w:t>
      </w:r>
      <w:r>
        <w:rPr>
          <w:rStyle w:val="Satznummer"/>
        </w:rPr>
        <w:t>5</w:t>
      </w:r>
      <w:r>
        <w:t>Hat der Nutzer einer grenzüberschreitenden Steuergestaltung einen Intermediär, der einer gesetzlichen Pflicht zur Verschwiegenheit unterliegt, nicht von seiner Verschwiegenheitspflicht entbunden, kann die Pflicht des Intermediärs zur Mitteilung der Angaben nach Absatz 3 Satz 1 Nummer 1 und 4 bis 9 dadurch erfüllt werden, dass der Nutzer diese Angaben im Auftrag des Intermediärs übermittelt.</w:t>
      </w:r>
    </w:p>
    <w:p>
      <w:r>
        <w:t xml:space="preserve">(7) </w:t>
      </w:r>
      <w:r>
        <w:rPr>
          <w:rStyle w:val="Satznummer"/>
        </w:rPr>
        <w:t>1</w:t>
      </w:r>
      <w:r>
        <w:t>Ein Intermediär ist nur dann zur Mitteilung der grenzüberschreitenden Steuergestaltung gegenüber dem Bundeszentralamt für Steuern verpflichtet, wenn er seinen Wohnsitz, seinen gewöhnlichen Aufenthalt, seine Geschäftsleitung oder seinen Sitz</w:t>
      </w:r>
    </w:p>
    <w:p>
      <w:pPr>
        <w:tabs>
          <w:tab w:pos="567" w:val="left"/>
        </w:tabs>
        <w:ind w:left="567" w:hanging="567"/>
      </w:pPr>
      <w:r>
        <w:t>1.</w:t>
      </w:r>
      <w:r>
        <w:tab/>
      </w:r>
      <w:r>
        <w:t>im Geltungsbereich dieses Gesetzes hat oder</w:t>
      </w:r>
    </w:p>
    <w:p>
      <w:pPr>
        <w:tabs>
          <w:tab w:pos="567" w:val="left"/>
        </w:tabs>
        <w:ind w:left="567" w:hanging="567"/>
      </w:pPr>
      <w:r>
        <w:t>2.</w:t>
      </w:r>
      <w:r>
        <w:tab/>
      </w:r>
      <w:r>
        <w:t>nicht in einem Mitgliedstaat der Europäischen Union hat, er aber im Geltungsbereich dieses Gesetzes</w:t>
      </w:r>
    </w:p>
    <w:p>
      <w:pPr>
        <w:tabs>
          <w:tab w:pos="1134" w:val="left"/>
        </w:tabs>
        <w:ind w:left="1134" w:hanging="567"/>
      </w:pPr>
      <w:r>
        <w:t>a)</w:t>
      </w:r>
      <w:r>
        <w:tab/>
      </w:r>
      <w:r>
        <w:t>eine Betriebstätte hat, durch die die Dienstleistungen im Zusammenhang mit der grenzüberschreitenden Steuergestaltung erbracht werden,</w:t>
      </w:r>
    </w:p>
    <w:p>
      <w:pPr>
        <w:tabs>
          <w:tab w:pos="1134" w:val="left"/>
        </w:tabs>
        <w:ind w:left="1134" w:hanging="567"/>
      </w:pPr>
      <w:r>
        <w:t>b)</w:t>
      </w:r>
      <w:r>
        <w:tab/>
      </w:r>
      <w:r>
        <w:t>in das Handelsregister oder in ein öffentliches berufsrechtliches Register eingetragen ist oder</w:t>
      </w:r>
    </w:p>
    <w:p>
      <w:pPr>
        <w:tabs>
          <w:tab w:pos="1134" w:val="left"/>
        </w:tabs>
        <w:ind w:left="1134" w:hanging="567"/>
      </w:pPr>
      <w:r>
        <w:t>c)</w:t>
      </w:r>
      <w:r>
        <w:tab/>
      </w:r>
      <w:r>
        <w:t>bei einem Berufsverband für juristische, steuerliche oder beratende Dienstleistungen registriert ist.</w:t>
      </w:r>
    </w:p>
    <w:p>
      <w:r>
        <w:rPr>
          <w:rStyle w:val="Satznummer"/>
        </w:rPr>
        <w:t>2</w:t>
      </w:r>
      <w:r>
        <w:t xml:space="preserve">Bei Anwendung von Satz 1 Nummer 2 Buchstabe a gilt </w:t>
      </w:r>
      <w:hyperlink w:anchor="b223" w:history="1">
        <w:r>
          <w:rPr>
            <w:color w:val="0A3A8C"/>
            <w:u w:val="single"/>
          </w:rPr>
          <w:t xml:space="preserve">§ 138d</w:t>
        </w:r>
      </w:hyperlink>
      <w:r>
        <w:t xml:space="preserve"> Absatz 4 entsprechend.</w:t>
      </w:r>
    </w:p>
    <w:p>
      <w:r>
        <w:t>(8) Ist ein Intermediär hinsichtlich derselben grenzüberschreitenden Steuergestaltung zur Mitteilung im Geltungsbereich dieses Gesetzes und zugleich in mindestens einem anderen Mitgliedstaat der Europäischen Union verpflichtet, so ist er von der Mitteilungspflicht nach diesem Gesetz nur dann befreit, wenn er nachweisen kann, dass er oder der Nutzer die grenzüberschreitende Steuergestaltung bereits in einem anderen Mitgliedstaat der Europäischen Union im Einklang mit den dort geltenden Rechtsvorschriften der zuständigen Behörde mitgeteilt hat.</w:t>
      </w:r>
    </w:p>
    <w:p>
      <w:r>
        <w:t xml:space="preserve">(9) </w:t>
      </w:r>
      <w:r>
        <w:rPr>
          <w:rStyle w:val="Satznummer"/>
        </w:rPr>
        <w:t>1</w:t>
      </w:r>
      <w:r>
        <w:t xml:space="preserve">Mehrere Intermediäre derselben grenzüberschreitenden Steuergestaltung sind nebeneinander zur Mitteilung verpflichtet. </w:t>
      </w:r>
      <w:r>
        <w:rPr>
          <w:rStyle w:val="Satznummer"/>
        </w:rPr>
        <w:t>2</w:t>
      </w:r>
      <w:r>
        <w:t>Ein Intermediär ist in diesem Fall von der Mitteilungspflicht gegenüber dem Bundeszentralamt für Steuern befreit, soweit er nachweisen kann, dass die in Absatz 3 bezeichneten Informationen zu derselben grenzüberschreitenden Steuergestaltung bereits durch einen anderen Intermediär oder durch den Nutzer dem Bundeszentralamt für Steuern oder der zuständigen Behörde eines anderen Mitgliedstaats der Europäischen Union im Einklang mit den dort geltenden Rechtsvorschriften mitgeteilt wurden.</w:t>
      </w:r>
    </w:p>
    <w:p>
      <w:pPr>
        <w:pStyle w:val="Heading4"/>
      </w:pPr>
      <w:bookmarkStart w:id="228" w:name="b226"/>
      <w:r>
        <w:t>§ 138g Verfahren zur Mitteilung grenzüberschreitender Steuergestaltungen durch Nutzer</w:t>
      </w:r>
      <w:r>
        <w:t xml:space="preserve"> </w:t>
      </w:r>
      <w:r>
        <w:rPr>
          <w:rStyle w:val="Suchmarke"/>
        </w:rPr>
        <w:t>#138g#</w:t>
      </w:r>
      <w:bookmarkEnd w:id="228"/>
    </w:p>
    <w:p>
      <w:r>
        <w:t xml:space="preserve">(1) </w:t>
      </w:r>
      <w:r>
        <w:rPr>
          <w:rStyle w:val="Satznummer"/>
        </w:rPr>
        <w:t>1</w:t>
      </w:r>
      <w:r>
        <w:t xml:space="preserve">Erfüllt bei einer grenzüberschreitenden Steuergestaltung im Sinne des </w:t>
      </w:r>
      <w:hyperlink w:anchor="b223" w:history="1">
        <w:r>
          <w:rPr>
            <w:color w:val="0A3A8C"/>
            <w:u w:val="single"/>
          </w:rPr>
          <w:t xml:space="preserve">§ 138d</w:t>
        </w:r>
      </w:hyperlink>
      <w:r>
        <w:t xml:space="preserve"> Absatz 2 kein Intermediär die Voraussetzungen des </w:t>
      </w:r>
      <w:hyperlink w:anchor="b225" w:history="1">
        <w:r>
          <w:rPr>
            <w:color w:val="0A3A8C"/>
            <w:u w:val="single"/>
          </w:rPr>
          <w:t xml:space="preserve">§ 138f</w:t>
        </w:r>
      </w:hyperlink>
      <w:r>
        <w:t xml:space="preserve"> Absatz 7, so obliegt die Mitteilung der in </w:t>
      </w:r>
      <w:hyperlink w:anchor="b225" w:history="1">
        <w:r>
          <w:rPr>
            <w:color w:val="0A3A8C"/>
            <w:u w:val="single"/>
          </w:rPr>
          <w:t xml:space="preserve">§ 138f</w:t>
        </w:r>
      </w:hyperlink>
      <w:r>
        <w:t xml:space="preserve"> Absatz 3 bezeichneten Angaben dem Nutzer; in diesem Fall gilt </w:t>
      </w:r>
      <w:hyperlink w:anchor="b225" w:history="1">
        <w:r>
          <w:rPr>
            <w:color w:val="0A3A8C"/>
            <w:u w:val="single"/>
          </w:rPr>
          <w:t xml:space="preserve">§ 138f</w:t>
        </w:r>
      </w:hyperlink>
      <w:r>
        <w:t xml:space="preserve"> Absatz 1 und 2 entsprechend. </w:t>
      </w:r>
      <w:r>
        <w:rPr>
          <w:rStyle w:val="Satznummer"/>
        </w:rPr>
        <w:t>2</w:t>
      </w:r>
      <w:r>
        <w:t>Die Mitteilungspflicht des Nutzers nach Satz 1 besteht nicht, soweit der Nutzer nachweisen kann, dass er selbst, ein Intermediär oder ein anderer Nutzer dieselbe grenzüberschreitende Steuergestaltung bereits in einem anderen Mitgliedstaat der Europäischen Union im Einklang mit den dort geltenden Rechtsvorschriften mitgeteilt hat.</w:t>
      </w:r>
    </w:p>
    <w:p>
      <w:r>
        <w:t xml:space="preserve">(2) </w:t>
      </w:r>
      <w:r>
        <w:rPr>
          <w:rStyle w:val="Satznummer"/>
        </w:rPr>
        <w:t>1</w:t>
      </w:r>
      <w:r>
        <w:t xml:space="preserve">Obliegt die Mitteilung der in </w:t>
      </w:r>
      <w:hyperlink w:anchor="b225" w:history="1">
        <w:r>
          <w:rPr>
            <w:color w:val="0A3A8C"/>
            <w:u w:val="single"/>
          </w:rPr>
          <w:t xml:space="preserve">§ 138f</w:t>
        </w:r>
      </w:hyperlink>
      <w:r>
        <w:t xml:space="preserve"> Absatz 3 bezeichneten Angaben im Fall des Absatzes 1 mehreren Nutzern derselben grenzüberschreitenden Steuergestaltung, so gilt Folgendes:</w:t>
      </w:r>
    </w:p>
    <w:p>
      <w:pPr>
        <w:tabs>
          <w:tab w:pos="567" w:val="left"/>
        </w:tabs>
        <w:ind w:left="567" w:hanging="567"/>
      </w:pPr>
      <w:r>
        <w:t>1.</w:t>
      </w:r>
      <w:r>
        <w:tab/>
      </w:r>
      <w:r>
        <w:t xml:space="preserve">hinsichtlich der in </w:t>
      </w:r>
      <w:hyperlink w:anchor="b225" w:history="1">
        <w:r>
          <w:rPr>
            <w:color w:val="0A3A8C"/>
            <w:u w:val="single"/>
          </w:rPr>
          <w:t xml:space="preserve">§ 138f</w:t>
        </w:r>
      </w:hyperlink>
      <w:r>
        <w:t xml:space="preserve"> Absatz 3 Satz 1 Nummer 1 und 4 bis 9 bezeichneten Angaben ist vorrangig der Nutzer zur Mitteilung verpflichtet, der die grenzüberschreitende Steuergestaltung mit dem Intermediär oder den Intermediären vereinbart hat; nachrangig ist der Nutzer mitteilungspflichtig, der die Umsetzung der grenzüberschreitenden Steuergestaltung verwaltet;</w:t>
      </w:r>
    </w:p>
    <w:p>
      <w:pPr>
        <w:tabs>
          <w:tab w:pos="567" w:val="left"/>
        </w:tabs>
        <w:ind w:left="567" w:hanging="567"/>
      </w:pPr>
      <w:r>
        <w:t>2.</w:t>
      </w:r>
      <w:r>
        <w:tab/>
      </w:r>
      <w:r>
        <w:t xml:space="preserve">alle Nutzer derselben grenzüberschreitenden Steuergestaltung sind zur Mitteilung der in </w:t>
      </w:r>
      <w:hyperlink w:anchor="b225" w:history="1">
        <w:r>
          <w:rPr>
            <w:color w:val="0A3A8C"/>
            <w:u w:val="single"/>
          </w:rPr>
          <w:t xml:space="preserve">§ 138f</w:t>
        </w:r>
      </w:hyperlink>
      <w:r>
        <w:t xml:space="preserve"> Absatz 3 Satz 1 Nummer 2, 3 und 10 bezeichneten Angaben verpflichtet;</w:t>
      </w:r>
    </w:p>
    <w:p>
      <w:pPr>
        <w:tabs>
          <w:tab w:pos="567" w:val="left"/>
        </w:tabs>
        <w:ind w:left="567" w:hanging="567"/>
      </w:pPr>
      <w:r>
        <w:t>3.</w:t>
      </w:r>
      <w:r>
        <w:tab/>
      </w:r>
      <w:r>
        <w:t xml:space="preserve">soweit der in Nummer 1 bezeichnete Nutzer auch die in </w:t>
      </w:r>
      <w:hyperlink w:anchor="b225" w:history="1">
        <w:r>
          <w:rPr>
            <w:color w:val="0A3A8C"/>
            <w:u w:val="single"/>
          </w:rPr>
          <w:t xml:space="preserve">§ 138f</w:t>
        </w:r>
      </w:hyperlink>
      <w:r>
        <w:t xml:space="preserve"> Absatz 3 Satz 1 Nummer 2, 3 und 10 bezeichneten Angaben zu den übrigen Nutzern derselben Steuergestaltung mitgeteilt hat, sind die übrigen Nutzer von der Mitteilungspflicht nach Nummer 2 befreit.</w:t>
      </w:r>
    </w:p>
    <w:p>
      <w:r>
        <w:rPr>
          <w:rStyle w:val="Satznummer"/>
        </w:rPr>
        <w:t>2</w:t>
      </w:r>
      <w:r>
        <w:t xml:space="preserve">Bei Anwendung von Satz 1 Nummer 1 gilt </w:t>
      </w:r>
      <w:hyperlink w:anchor="b225" w:history="1">
        <w:r>
          <w:rPr>
            <w:color w:val="0A3A8C"/>
            <w:u w:val="single"/>
          </w:rPr>
          <w:t xml:space="preserve">§ 138f</w:t>
        </w:r>
      </w:hyperlink>
      <w:r>
        <w:t xml:space="preserve"> Absatz 5 Satz 1 und 4 entsprechend.</w:t>
      </w:r>
    </w:p>
    <w:p>
      <w:r>
        <w:t>(3) Die Absätze 1 und 2 gelten nur für Nutzer, die ihren Wohnsitz, ihren gewöhnlichen Aufenthalt, ihre Geschäftsleitung oder ihren Sitz</w:t>
      </w:r>
    </w:p>
    <w:p>
      <w:pPr>
        <w:tabs>
          <w:tab w:pos="567" w:val="left"/>
        </w:tabs>
        <w:ind w:left="567" w:hanging="567"/>
      </w:pPr>
      <w:r>
        <w:t>1.</w:t>
      </w:r>
      <w:r>
        <w:tab/>
      </w:r>
      <w:r>
        <w:t>im Geltungsbereich dieses Gesetzes haben oder</w:t>
      </w:r>
    </w:p>
    <w:p>
      <w:pPr>
        <w:tabs>
          <w:tab w:pos="567" w:val="left"/>
        </w:tabs>
        <w:ind w:left="567" w:hanging="567"/>
      </w:pPr>
      <w:r>
        <w:t>2.</w:t>
      </w:r>
      <w:r>
        <w:tab/>
      </w:r>
      <w:r>
        <w:t>nicht in einem Mitgliedstaat der Europäischen Union haben, aber im Geltungsbereich dieses Gesetzes</w:t>
      </w:r>
    </w:p>
    <w:p>
      <w:pPr>
        <w:tabs>
          <w:tab w:pos="1134" w:val="left"/>
        </w:tabs>
        <w:ind w:left="1134" w:hanging="567"/>
      </w:pPr>
      <w:r>
        <w:t>a)</w:t>
      </w:r>
      <w:r>
        <w:tab/>
      </w:r>
      <w:r>
        <w:t xml:space="preserve">eine Betriebstätte im Sinne des </w:t>
      </w:r>
      <w:hyperlink w:anchor="b223" w:history="1">
        <w:r>
          <w:rPr>
            <w:color w:val="0A3A8C"/>
            <w:u w:val="single"/>
          </w:rPr>
          <w:t xml:space="preserve">§ 138d</w:t>
        </w:r>
      </w:hyperlink>
      <w:r>
        <w:t xml:space="preserve"> Absatz 4 haben, in der durch die grenzüberschreitende Steuergestaltung ein steuerlicher Vorteil entsteht,</w:t>
      </w:r>
    </w:p>
    <w:p>
      <w:pPr>
        <w:tabs>
          <w:tab w:pos="1134" w:val="left"/>
        </w:tabs>
        <w:ind w:left="1134" w:hanging="567"/>
      </w:pPr>
      <w:r>
        <w:t>b)</w:t>
      </w:r>
      <w:r>
        <w:tab/>
      </w:r>
      <w:r>
        <w:t>Einkünfte erzielen oder eine wirtschaftliche Tätigkeit ausüben, sofern diese für eine Steuer von Bedeutung sind, auf die das EU-Amtshilfegesetz anzuwenden ist.</w:t>
      </w:r>
    </w:p>
    <w:p>
      <w:pPr>
        <w:pStyle w:val="Heading4"/>
      </w:pPr>
      <w:bookmarkStart w:id="229" w:name="b227"/>
      <w:r>
        <w:t>§ 138h Mitteilungen bei marktfähigen grenzüberschreitenden Steuergestaltungen</w:t>
      </w:r>
      <w:r>
        <w:t xml:space="preserve"> </w:t>
      </w:r>
      <w:r>
        <w:rPr>
          <w:rStyle w:val="Suchmarke"/>
        </w:rPr>
        <w:t>#138h#</w:t>
      </w:r>
      <w:bookmarkEnd w:id="229"/>
    </w:p>
    <w:p>
      <w:r>
        <w:t>(1) Eine grenzüberschreitende Steuergestaltung ist marktfähig, wenn sie konzipiert wird, vermarktet wird, umsetzungsbereit ist oder zur Umsetzung bereitgestellt wird, ohne dass sie individuell angepasst werden muss.</w:t>
      </w:r>
    </w:p>
    <w:p>
      <w:r>
        <w:t xml:space="preserve">(2) </w:t>
      </w:r>
      <w:r>
        <w:rPr>
          <w:rStyle w:val="Satznummer"/>
        </w:rPr>
        <w:t>1</w:t>
      </w:r>
      <w:r>
        <w:t xml:space="preserve">Bei marktfähigen grenzüberschreitenden Steuergestaltungen sind Änderungen und Ergänzungen hinsichtlich der in </w:t>
      </w:r>
      <w:hyperlink w:anchor="b225" w:history="1">
        <w:r>
          <w:rPr>
            <w:color w:val="0A3A8C"/>
            <w:u w:val="single"/>
          </w:rPr>
          <w:t xml:space="preserve">§ 138f</w:t>
        </w:r>
      </w:hyperlink>
      <w:r>
        <w:t xml:space="preserve"> Absatz 3 Satz 1 Nummer 1, 2, 3, 6, 9 und 10 bezeichneten Angaben, die nach Übermittlung des Datensatzes nach </w:t>
      </w:r>
      <w:hyperlink w:anchor="b225" w:history="1">
        <w:r>
          <w:rPr>
            <w:color w:val="0A3A8C"/>
            <w:u w:val="single"/>
          </w:rPr>
          <w:t xml:space="preserve">§ 138f</w:t>
        </w:r>
      </w:hyperlink>
      <w:r>
        <w:t xml:space="preserve"> Absatz 3 eingetreten sind, innerhalb von zehn Tagen nach Ablauf des Kalendervierteljahres mitzuteilen, in dem die jeweils mitteilungspflichtigen Umstände eingetreten sind. </w:t>
      </w:r>
      <w:r>
        <w:rPr>
          <w:rStyle w:val="Satznummer"/>
        </w:rPr>
        <w:t>2</w:t>
      </w:r>
      <w:r>
        <w:t xml:space="preserve">Dabei sind die Registriernummer und die Offenlegungsnummer anzugeben. </w:t>
      </w:r>
      <w:r>
        <w:rPr>
          <w:rStyle w:val="Satznummer"/>
        </w:rPr>
        <w:t>3</w:t>
      </w:r>
      <w:r>
        <w:t xml:space="preserve">Die Angaben sind dem Bundeszentralamt für Steuern nach amtlich vorgeschriebenem Datensatz über die amtlich bestimmte Schnittstelle mitzuteilen. </w:t>
      </w:r>
      <w:r>
        <w:rPr>
          <w:rStyle w:val="Satznummer"/>
        </w:rPr>
        <w:t>4</w:t>
      </w:r>
      <w:r>
        <w:t xml:space="preserve">Die Sätze 1 bis 3 gelten in den Fällen des </w:t>
      </w:r>
      <w:hyperlink w:anchor="b226" w:history="1">
        <w:r>
          <w:rPr>
            <w:color w:val="0A3A8C"/>
            <w:u w:val="single"/>
          </w:rPr>
          <w:t xml:space="preserve">§ 138g</w:t>
        </w:r>
      </w:hyperlink>
      <w:r>
        <w:t xml:space="preserve"> entsprechend.</w:t>
      </w:r>
    </w:p>
    <w:p>
      <w:pPr>
        <w:pStyle w:val="Heading4"/>
      </w:pPr>
      <w:bookmarkStart w:id="230" w:name="b228"/>
      <w:r>
        <w:t>§ 138i Information der Landesfinanzbehörden</w:t>
      </w:r>
      <w:r>
        <w:t xml:space="preserve"> </w:t>
      </w:r>
      <w:r>
        <w:rPr>
          <w:rStyle w:val="Suchmarke"/>
        </w:rPr>
        <w:t>#138i#</w:t>
      </w:r>
      <w:bookmarkEnd w:id="230"/>
    </w:p>
    <w:p>
      <w:r>
        <w:t xml:space="preserve">Soweit von nach den </w:t>
      </w:r>
      <w:hyperlink w:anchor="b225" w:history="1">
        <w:r>
          <w:rPr>
            <w:color w:val="0A3A8C"/>
            <w:u w:val="single"/>
          </w:rPr>
          <w:t xml:space="preserve">§§ 138f</w:t>
        </w:r>
      </w:hyperlink>
      <w:r>
        <w:t xml:space="preserve"> bis </w:t>
      </w:r>
      <w:hyperlink w:anchor="b227" w:history="1">
        <w:r>
          <w:rPr>
            <w:color w:val="0A3A8C"/>
            <w:u w:val="single"/>
          </w:rPr>
          <w:t xml:space="preserve">138h</w:t>
        </w:r>
      </w:hyperlink>
      <w:r>
        <w:t xml:space="preserve"> mitgeteilten grenzüberschreitenden Steuergestaltungen im Sinne des § 138d Absatz 2 Steuern betroffen sind, die von Landesfinanzbehörden oder Gemeinden verwaltet werden, teilt das Bundeszentralamt für Steuern den für die Nutzer zuständigen Finanzbehörden der Länder im automatisierten Verfahren unter Angabe der Registriernummer und der Offenlegungsnummer mit, dass ihm Angaben über mitgeteilte grenzüberschreitende Steuergestaltungen vorliegen.</w:t>
      </w:r>
    </w:p>
    <w:p>
      <w:pPr>
        <w:pStyle w:val="Heading4"/>
      </w:pPr>
      <w:bookmarkStart w:id="231" w:name="b229"/>
      <w:r>
        <w:t>§ 138j Auswertung der Mitteilungen grenzüberschreitender Steuergestaltungen</w:t>
      </w:r>
      <w:r>
        <w:t xml:space="preserve"> </w:t>
      </w:r>
      <w:r>
        <w:rPr>
          <w:rStyle w:val="Suchmarke"/>
        </w:rPr>
        <w:t>#138j#</w:t>
      </w:r>
      <w:bookmarkEnd w:id="231"/>
    </w:p>
    <w:p>
      <w:r>
        <w:t xml:space="preserve">(1) </w:t>
      </w:r>
      <w:r>
        <w:rPr>
          <w:rStyle w:val="Satznummer"/>
        </w:rPr>
        <w:t>1</w:t>
      </w:r>
      <w:r>
        <w:t xml:space="preserve">Das Bundeszentralamt für Steuern wertet die ihm nach den </w:t>
      </w:r>
      <w:hyperlink w:anchor="b225" w:history="1">
        <w:r>
          <w:rPr>
            <w:color w:val="0A3A8C"/>
            <w:u w:val="single"/>
          </w:rPr>
          <w:t xml:space="preserve">§§ 138f</w:t>
        </w:r>
      </w:hyperlink>
      <w:r>
        <w:t xml:space="preserve"> bis </w:t>
      </w:r>
      <w:hyperlink w:anchor="b227" w:history="1">
        <w:r>
          <w:rPr>
            <w:color w:val="0A3A8C"/>
            <w:u w:val="single"/>
          </w:rPr>
          <w:t xml:space="preserve">138h</w:t>
        </w:r>
      </w:hyperlink>
      <w:r>
        <w:t xml:space="preserve"> zugegangenen Mitteilungen aus. </w:t>
      </w:r>
      <w:r>
        <w:rPr>
          <w:rStyle w:val="Satznummer"/>
        </w:rPr>
        <w:t>2</w:t>
      </w:r>
      <w:r>
        <w:t xml:space="preserve">Soweit von mitgeteilten grenzüberschreitenden Steuergestaltungen im Sinne des § 138d Absatz 2 Steuern betroffen sind, die von Zollbehörden verwaltet werden, übermittelt das Bundeszentralamt für Steuern die ihm zugegangenen Mitteilungen zusammen mit der jeweils zugewiesenen Registriernummer an die Generalzolldirektion. </w:t>
      </w:r>
      <w:r>
        <w:rPr>
          <w:rStyle w:val="Satznummer"/>
        </w:rPr>
        <w:t>3</w:t>
      </w:r>
      <w:r>
        <w:t xml:space="preserve">Die Auswertung der Daten erfolgt in diesem Fall durch die Generalzolldirektion. </w:t>
      </w:r>
      <w:r>
        <w:rPr>
          <w:rStyle w:val="Satznummer"/>
        </w:rPr>
        <w:t>4</w:t>
      </w:r>
      <w:r>
        <w:t>Die Ergebnisse der Auswertung teilen das Bundeszentralamt für Steuern und die Generalzolldirektion dem Bundesministerium der Finanzen mit.</w:t>
      </w:r>
    </w:p>
    <w:p>
      <w:r>
        <w:t xml:space="preserve">(2) Soweit von nach den </w:t>
      </w:r>
      <w:hyperlink w:anchor="b225" w:history="1">
        <w:r>
          <w:rPr>
            <w:color w:val="0A3A8C"/>
            <w:u w:val="single"/>
          </w:rPr>
          <w:t xml:space="preserve">§§ 138f</w:t>
        </w:r>
      </w:hyperlink>
      <w:r>
        <w:t xml:space="preserve"> bis </w:t>
      </w:r>
      <w:hyperlink w:anchor="b227" w:history="1">
        <w:r>
          <w:rPr>
            <w:color w:val="0A3A8C"/>
            <w:u w:val="single"/>
          </w:rPr>
          <w:t xml:space="preserve">138h</w:t>
        </w:r>
      </w:hyperlink>
      <w:r>
        <w:t xml:space="preserve"> mitgeteilten grenzüberschreitenden Steuergestaltungen Steuern betroffen sind, die ganz oder teilweise den Ländern oder Gemeinden zustehen, unterrichtet das Bundesministerium der Finanzen die obersten Finanzbehörden der Länder über die Ergebnisse der Auswertung.</w:t>
      </w:r>
    </w:p>
    <w:p>
      <w:r>
        <w:t xml:space="preserve">(3) Soweit von nach den </w:t>
      </w:r>
      <w:hyperlink w:anchor="b225" w:history="1">
        <w:r>
          <w:rPr>
            <w:color w:val="0A3A8C"/>
            <w:u w:val="single"/>
          </w:rPr>
          <w:t xml:space="preserve">§§ 138f</w:t>
        </w:r>
      </w:hyperlink>
      <w:r>
        <w:t xml:space="preserve"> bis </w:t>
      </w:r>
      <w:hyperlink w:anchor="b227" w:history="1">
        <w:r>
          <w:rPr>
            <w:color w:val="0A3A8C"/>
            <w:u w:val="single"/>
          </w:rPr>
          <w:t xml:space="preserve">138h</w:t>
        </w:r>
      </w:hyperlink>
      <w:r>
        <w:t xml:space="preserve"> mitgeteilten grenzüberschreitenden Steuergestaltungen Steuern betroffen sind, die von Finanzbehörden der Länder oder von Gemeinden verwaltet werden, stellt das Bundeszentralamt für Steuern den für die Nutzer zuständigen Finanzbehörden der Länder ergänzend zu den Angaben nach </w:t>
      </w:r>
      <w:hyperlink w:anchor="b228" w:history="1">
        <w:r>
          <w:rPr>
            <w:color w:val="0A3A8C"/>
            <w:u w:val="single"/>
          </w:rPr>
          <w:t xml:space="preserve">§ 138i</w:t>
        </w:r>
      </w:hyperlink>
      <w:r>
        <w:t xml:space="preserve"> auch die Angaben nach </w:t>
      </w:r>
      <w:hyperlink w:anchor="b225" w:history="1">
        <w:r>
          <w:rPr>
            <w:color w:val="0A3A8C"/>
            <w:u w:val="single"/>
          </w:rPr>
          <w:t xml:space="preserve">§ 138f</w:t>
        </w:r>
      </w:hyperlink>
      <w:r>
        <w:t xml:space="preserve"> Absatz 3 sowie eigene Ermittlungsergebnisse und die Ergebnisse der Auswertung zum Abruf bereit.</w:t>
      </w:r>
    </w:p>
    <w:p>
      <w:r>
        <w:t xml:space="preserve">(4) </w:t>
      </w:r>
      <w:r>
        <w:rPr>
          <w:rStyle w:val="Satznummer"/>
        </w:rPr>
        <w:t>1</w:t>
      </w:r>
      <w:r>
        <w:t xml:space="preserve">Das Ausbleiben einer Reaktion des Bundeszentralamts für Steuern, der Generalzolldirektion, des Bundesministeriums der Finanzen oder des Gesetzgebers auf die Mitteilung einer grenzüberschreitenden Steuergestaltung nach den </w:t>
      </w:r>
      <w:hyperlink w:anchor="b225" w:history="1">
        <w:r>
          <w:rPr>
            <w:color w:val="0A3A8C"/>
            <w:u w:val="single"/>
          </w:rPr>
          <w:t xml:space="preserve">§§ 138f</w:t>
        </w:r>
      </w:hyperlink>
      <w:r>
        <w:t xml:space="preserve"> bis </w:t>
      </w:r>
      <w:hyperlink w:anchor="b227" w:history="1">
        <w:r>
          <w:rPr>
            <w:color w:val="0A3A8C"/>
            <w:u w:val="single"/>
          </w:rPr>
          <w:t xml:space="preserve">138h</w:t>
        </w:r>
      </w:hyperlink>
      <w:r>
        <w:t xml:space="preserve"> bedeutet nicht deren rechtliche Anerkennung. </w:t>
      </w:r>
      <w:r>
        <w:rPr>
          <w:rStyle w:val="Satznummer"/>
        </w:rPr>
        <w:t>2</w:t>
      </w:r>
      <w:hyperlink w:anchor="b142" w:history="1">
        <w:r>
          <w:rPr>
            <w:color w:val="0A3A8C"/>
            <w:u w:val="single"/>
          </w:rPr>
          <w:t xml:space="preserve">§ 89</w:t>
        </w:r>
      </w:hyperlink>
      <w:r>
        <w:t xml:space="preserve"> Absatz 2 bis 7 bleibt unberührt.</w:t>
      </w:r>
    </w:p>
    <w:p>
      <w:r>
        <w:t>(5) Die Verarbeitung personenbezogener Daten aufgrund von Mitteilungen über grenzüberschreitende Steuergestaltungen durch Finanzbehörden ist ein Verwaltungsverfahren in Steuersachen im Sinne des Gesetzes.</w:t>
      </w:r>
    </w:p>
    <w:p>
      <w:pPr>
        <w:pStyle w:val="Heading4"/>
      </w:pPr>
      <w:bookmarkStart w:id="232" w:name="b230"/>
      <w:r>
        <w:t>§ 138k Angabe der grenzüberschreitenden Steuergestaltung in der Steuererklärung</w:t>
      </w:r>
      <w:r>
        <w:t xml:space="preserve"> </w:t>
      </w:r>
      <w:r>
        <w:rPr>
          <w:rStyle w:val="Suchmarke"/>
        </w:rPr>
        <w:t>#138k#</w:t>
      </w:r>
      <w:bookmarkEnd w:id="232"/>
    </w:p>
    <w:p>
      <w:r>
        <w:rPr>
          <w:rStyle w:val="Satznummer"/>
        </w:rPr>
        <w:t>1</w:t>
      </w:r>
      <w:r>
        <w:t xml:space="preserve">Hat ein Nutzer eine grenzüberschreitende Steuergestaltung im Sinne des </w:t>
      </w:r>
      <w:hyperlink w:anchor="b223" w:history="1">
        <w:r>
          <w:rPr>
            <w:color w:val="0A3A8C"/>
            <w:u w:val="single"/>
          </w:rPr>
          <w:t xml:space="preserve">§ 138d</w:t>
        </w:r>
      </w:hyperlink>
      <w:r>
        <w:t xml:space="preserve"> Absatz 2 oder der entsprechenden Regelung eines anderen Mitgliedstaats der Europäischen Union verwirklicht, so hat er diese in der Steuererklärung für die Steuerart und den Besteuerungszeitraum oder den Besteuerungszeitpunkt, in der sich der steuerliche Vorteil der grenzüberschreitenden Steuergestaltung erstmals auswirken soll, anzugeben. </w:t>
      </w:r>
      <w:r>
        <w:rPr>
          <w:rStyle w:val="Satznummer"/>
        </w:rPr>
        <w:t>2</w:t>
      </w:r>
      <w:r>
        <w:t>Hierzu genügt die Angabe</w:t>
      </w:r>
    </w:p>
    <w:p>
      <w:pPr>
        <w:tabs>
          <w:tab w:pos="567" w:val="left"/>
        </w:tabs>
        <w:ind w:left="567" w:hanging="567"/>
      </w:pPr>
      <w:r>
        <w:t>1.</w:t>
      </w:r>
      <w:r>
        <w:tab/>
      </w:r>
      <w:r>
        <w:t>der vom Bundeszentralamt für Steuern zugeteilten Registriernummer und Offenlegungsnummer oder</w:t>
      </w:r>
    </w:p>
    <w:p>
      <w:pPr>
        <w:tabs>
          <w:tab w:pos="567" w:val="left"/>
        </w:tabs>
        <w:ind w:left="567" w:hanging="567"/>
      </w:pPr>
      <w:r>
        <w:t>2.</w:t>
      </w:r>
      <w:r>
        <w:tab/>
      </w:r>
      <w:r>
        <w:t>der von der zuständigen Behörde eines anderen Mitgliedstaats der Europäischen Union zugeteilten Registriernummer und Offenlegungsnummer.</w:t>
      </w:r>
    </w:p>
    <w:p>
      <w:pPr>
        <w:pStyle w:val="Heading4"/>
      </w:pPr>
      <w:bookmarkStart w:id="233" w:name="b231"/>
      <w:r>
        <w:t>§ 139 Anmeldung von Betrieben in besonderen Fällen</w:t>
      </w:r>
      <w:r>
        <w:t xml:space="preserve"> </w:t>
      </w:r>
      <w:r>
        <w:rPr>
          <w:rStyle w:val="Suchmarke"/>
        </w:rPr>
        <w:t>#139#</w:t>
      </w:r>
      <w:bookmarkEnd w:id="233"/>
    </w:p>
    <w:p>
      <w:r>
        <w:t xml:space="preserve">(1) </w:t>
      </w:r>
      <w:r>
        <w:rPr>
          <w:rStyle w:val="Satznummer"/>
        </w:rPr>
        <w:t>1</w:t>
      </w:r>
      <w:r>
        <w:t xml:space="preserve">Wer Waren gewinnen oder herstellen will, an deren Gewinnung, Herstellung, Entfernung aus dem Herstellungsbetrieb oder Verbrauch innerhalb des Herstellungsbetriebs eine Verbrauchsteuerpflicht geknüpft ist, hat dies der zuständigen Finanzbehörde vor Eröffnung des Betriebs anzumelden. </w:t>
      </w:r>
      <w:r>
        <w:rPr>
          <w:rStyle w:val="Satznummer"/>
        </w:rPr>
        <w:t>2</w:t>
      </w:r>
      <w:r>
        <w:t>Das Gleiche gilt für den, der ein Unternehmen betreiben will, bei dem besondere Verkehrsteuern anfallen.</w:t>
      </w:r>
    </w:p>
    <w:p>
      <w:r>
        <w:t xml:space="preserve">(2) </w:t>
      </w:r>
      <w:r>
        <w:rPr>
          <w:rStyle w:val="Satznummer"/>
        </w:rPr>
        <w:t>1</w:t>
      </w:r>
      <w:r>
        <w:t xml:space="preserve">Durch Rechtsverordnung können Bestimmungen über den Zeitpunkt, die Form und den Inhalt der Anmeldung getroffen werden. </w:t>
      </w:r>
      <w:r>
        <w:rPr>
          <w:rStyle w:val="Satznummer"/>
        </w:rPr>
        <w:t>2</w:t>
      </w:r>
      <w:r>
        <w:t xml:space="preserve">Die Rechtsverordnung erlässt die Bundesregierung, soweit es sich um Verkehrsteuern mit Ausnahme der Luftverkehrsteuer handelt, im Übrigen das Bundesministerium der Finanzen. </w:t>
      </w:r>
      <w:r>
        <w:rPr>
          <w:rStyle w:val="Satznummer"/>
        </w:rPr>
        <w:t>3</w:t>
      </w:r>
      <w:r>
        <w:t>Die Rechtsverordnung des Bundesministeriums der Finanzen bedarf der Zustimmung des Bundesrates nur, soweit sie die Biersteuer betrifft.</w:t>
      </w:r>
    </w:p>
    <w:p>
      <w:pPr>
        <w:pStyle w:val="Heading3"/>
      </w:pPr>
      <w:bookmarkStart w:id="234" w:name="b232"/>
      <w:r>
        <w:t>3. Unterabschnitt Identifikationsmerkmal</w:t>
      </w:r>
      <w:bookmarkEnd w:id="234"/>
    </w:p>
    <w:p>
      <w:pPr>
        <w:pStyle w:val="Heading4"/>
      </w:pPr>
      <w:bookmarkStart w:id="235" w:name="b233"/>
      <w:r>
        <w:t>§ 139a Identifikationsmerkmal</w:t>
      </w:r>
      <w:r>
        <w:t xml:space="preserve"> </w:t>
      </w:r>
      <w:r>
        <w:rPr>
          <w:rStyle w:val="Suchmarke"/>
        </w:rPr>
        <w:t>#139a#</w:t>
      </w:r>
      <w:bookmarkEnd w:id="235"/>
    </w:p>
    <w:p>
      <w:r>
        <w:t xml:space="preserve">(1) </w:t>
      </w:r>
      <w:r>
        <w:rPr>
          <w:rStyle w:val="Satznummer"/>
        </w:rPr>
        <w:t>1</w:t>
      </w:r>
      <w:r>
        <w:t xml:space="preserve">Das Bundeszentralamt für Steuern teilt jedem Steuerpflichtigen und jeder sonstigen natürlichen Person, die bei einer öffentlichen Stelle ein Verwaltungsverfahren führt, zum Zwecke der eindeutigen Identifizierung in Besteuerungs- und Verwaltungsverfahren ein einheitliches und dauerhaftes Merkmal (Identifikationsmerkmal) zu; das Identifikationsmerkmal ist vom Steuerpflichtigen oder von einem Dritten, der Daten dieses Steuerpflichtigen an die Finanzbehörden zu übermitteln hat, bei Anträgen, Erklärungen oder Mitteilungen gegenüber Finanzbehörden anzugeben. </w:t>
      </w:r>
      <w:r>
        <w:rPr>
          <w:rStyle w:val="Satznummer"/>
        </w:rPr>
        <w:t>2</w:t>
      </w:r>
      <w:r>
        <w:t xml:space="preserve">Es besteht aus einer Ziffernfolge, die nicht aus anderen Daten über die betroffene Person gebildet oder abgeleitet werden darf; die letzte Stelle ist eine Prüfziffer. </w:t>
      </w:r>
      <w:r>
        <w:rPr>
          <w:rStyle w:val="Satznummer"/>
        </w:rPr>
        <w:t>3</w:t>
      </w:r>
      <w:r>
        <w:t xml:space="preserve">Natürliche Personen erhalten eine Identifikationsnummer, wirtschaftlich Tätige eine Wirtschafts-Identifikationsnummer. </w:t>
      </w:r>
      <w:r>
        <w:rPr>
          <w:rStyle w:val="Satznummer"/>
        </w:rPr>
        <w:t>4</w:t>
      </w:r>
      <w:r>
        <w:t>Die betroffene Person ist über die Zuteilung eines Identifikationsmerkmals unverzüglich zu unterrichten.</w:t>
      </w:r>
    </w:p>
    <w:p>
      <w:r>
        <w:t>(2) Steuerpflichtiger im Sinne dieses Unterabschnitts ist jeder, der nach einem Steuergesetz steuerpflichtig ist.</w:t>
      </w:r>
    </w:p>
    <w:p>
      <w:r>
        <w:t>(3) Wirtschaftlich Tätige im Sinne dieses Unterabschnitts sind:</w:t>
      </w:r>
    </w:p>
    <w:p>
      <w:pPr>
        <w:tabs>
          <w:tab w:pos="567" w:val="left"/>
        </w:tabs>
        <w:ind w:left="567" w:hanging="567"/>
      </w:pPr>
      <w:r>
        <w:t>1.</w:t>
      </w:r>
      <w:r>
        <w:tab/>
      </w:r>
      <w:r>
        <w:t>natürliche Personen, die wirtschaftlich tätig sind,</w:t>
      </w:r>
    </w:p>
    <w:p>
      <w:pPr>
        <w:tabs>
          <w:tab w:pos="567" w:val="left"/>
        </w:tabs>
        <w:ind w:left="567" w:hanging="567"/>
      </w:pPr>
      <w:r>
        <w:t>2.</w:t>
      </w:r>
      <w:r>
        <w:tab/>
      </w:r>
      <w:r>
        <w:t>juristische Personen,</w:t>
      </w:r>
    </w:p>
    <w:p>
      <w:pPr>
        <w:tabs>
          <w:tab w:pos="567" w:val="left"/>
        </w:tabs>
        <w:ind w:left="567" w:hanging="567"/>
      </w:pPr>
      <w:r>
        <w:t>3.</w:t>
      </w:r>
      <w:r>
        <w:tab/>
      </w:r>
      <w:r>
        <w:t>Personenvereinigungen.</w:t>
      </w:r>
    </w:p>
    <w:p>
      <w:pPr>
        <w:pStyle w:val="Heading4"/>
      </w:pPr>
      <w:bookmarkStart w:id="236" w:name="b234"/>
      <w:r>
        <w:t>§ 139b Identifikationsnummer</w:t>
      </w:r>
      <w:r>
        <w:t xml:space="preserve"> </w:t>
      </w:r>
      <w:r>
        <w:rPr>
          <w:rStyle w:val="Suchmarke"/>
        </w:rPr>
        <w:t>#139b#</w:t>
      </w:r>
      <w:bookmarkEnd w:id="236"/>
    </w:p>
    <w:p>
      <w:r>
        <w:t xml:space="preserve">(1) </w:t>
      </w:r>
      <w:r>
        <w:rPr>
          <w:rStyle w:val="Satznummer"/>
        </w:rPr>
        <w:t>1</w:t>
      </w:r>
      <w:r>
        <w:t xml:space="preserve">Eine natürliche Person darf nicht mehr als eine Identifikationsnummer erhalten. </w:t>
      </w:r>
      <w:r>
        <w:rPr>
          <w:rStyle w:val="Satznummer"/>
        </w:rPr>
        <w:t>2</w:t>
      </w:r>
      <w:r>
        <w:t>Jede Identifikationsnummer darf nur einmal vergeben werden.</w:t>
      </w:r>
    </w:p>
    <w:p>
      <w:r>
        <w:t xml:space="preserve">(2) </w:t>
      </w:r>
      <w:r>
        <w:rPr>
          <w:rStyle w:val="Satznummer"/>
        </w:rPr>
        <w:t>1</w:t>
      </w:r>
      <w:r>
        <w:t xml:space="preserve">Die Finanzbehörden dürfen die Identifikationsnummer verarbeiten, wenn die Verarbeitung zur Erfüllung der ihnen obliegenden Aufgaben erforderlich ist oder eine Rechtsvorschrift die Verarbeitung der Identifikationsnummer ausdrücklich erlaubt oder anordnet. </w:t>
      </w:r>
      <w:r>
        <w:rPr>
          <w:rStyle w:val="Satznummer"/>
        </w:rPr>
        <w:t>2</w:t>
      </w:r>
      <w:r>
        <w:t>Andere öffentliche oder nicht-öffentliche Stellen dürfen ohne Einwilligung der betroffenen Person</w:t>
      </w:r>
    </w:p>
    <w:p>
      <w:pPr>
        <w:tabs>
          <w:tab w:pos="567" w:val="left"/>
        </w:tabs>
        <w:ind w:left="567" w:hanging="567"/>
      </w:pPr>
      <w:r>
        <w:t>1.</w:t>
      </w:r>
      <w:r>
        <w:tab/>
      </w:r>
      <w:r>
        <w:t>die Identifikationsnummer nur verarbeiten, soweit dies für Datenübermittlungen zwischen ihnen und den Finanzbehörden erforderlich ist oder eine Rechtsvorschrift die Verarbeitung der Identifikationsnummer ausdrücklich erlaubt oder anordnet,</w:t>
      </w:r>
    </w:p>
    <w:p>
      <w:pPr>
        <w:tabs>
          <w:tab w:pos="567" w:val="left"/>
        </w:tabs>
        <w:ind w:left="567" w:hanging="567"/>
      </w:pPr>
      <w:r>
        <w:t>2.</w:t>
      </w:r>
      <w:r>
        <w:tab/>
      </w:r>
      <w:r>
        <w:t>ihre Dateisysteme nur insoweit nach der Identifikationsnummer ordnen oder für den Zugriff erschließen, als dies für regelmäßige Datenübermittlungen zwischen ihnen und den Finanzbehörden erforderlich ist,</w:t>
      </w:r>
    </w:p>
    <w:p>
      <w:pPr>
        <w:tabs>
          <w:tab w:pos="567" w:val="left"/>
        </w:tabs>
        <w:ind w:left="567" w:hanging="567"/>
      </w:pPr>
      <w:r>
        <w:t>3.</w:t>
      </w:r>
      <w:r>
        <w:tab/>
      </w:r>
      <w:r>
        <w:t>eine rechtmäßig erhobene Identifikationsnummer eines Steuerpflichtigen zur Erfüllung aller Mitteilungspflichten gegenüber Finanzbehörden verwenden, soweit die Mitteilungspflicht denselben Steuerpflichtigen betrifft und die Verarbeitung nach Nummer 1 zulässig wäre,</w:t>
      </w:r>
    </w:p>
    <w:p>
      <w:pPr>
        <w:tabs>
          <w:tab w:pos="567" w:val="left"/>
        </w:tabs>
        <w:ind w:left="567" w:hanging="567"/>
      </w:pPr>
      <w:r>
        <w:t>4.</w:t>
      </w:r>
      <w:r>
        <w:tab/>
      </w:r>
      <w:r>
        <w:t>eine durch ein verbundenes Unternehmen im Sinne des § 15 des Aktiengesetzes oder ein Unternehmen einer kreditwirtschaftlichen Verbundgruppe rechtmäßig erhobene Identifikationsnummer eines Steuerpflichtigen zur Erfüllung aller steuerlichen Mitwirkungspflichten verwenden, soweit die Mitwirkungspflicht denselben Steuerpflichtigen betrifft und die verwendende Stelle zum selben Unternehmensverbund wie die Stelle gehört, die die Identifikationsnummer erhoben hat und die Verarbeitung nach Nummer 1 zulässig wäre.</w:t>
      </w:r>
    </w:p>
    <w:p>
      <w:r>
        <w:t>(3) Das Bundeszentralamt für Steuern speichert zu natürlichen Personen folgende Daten:</w:t>
      </w:r>
    </w:p>
    <w:p>
      <w:pPr>
        <w:tabs>
          <w:tab w:pos="567" w:val="left"/>
        </w:tabs>
        <w:ind w:left="567" w:hanging="567"/>
      </w:pPr>
      <w:r>
        <w:t>1.</w:t>
      </w:r>
      <w:r>
        <w:tab/>
      </w:r>
      <w:r>
        <w:t>Identifikationsnummer,</w:t>
      </w:r>
    </w:p>
    <w:p>
      <w:pPr>
        <w:tabs>
          <w:tab w:pos="567" w:val="left"/>
        </w:tabs>
        <w:ind w:left="567" w:hanging="567"/>
      </w:pPr>
      <w:r>
        <w:t>2.</w:t>
      </w:r>
      <w:r>
        <w:tab/>
      </w:r>
      <w:r>
        <w:t>Wirtschafts-Identifikationsnummern,</w:t>
      </w:r>
    </w:p>
    <w:p>
      <w:pPr>
        <w:tabs>
          <w:tab w:pos="567" w:val="left"/>
        </w:tabs>
        <w:ind w:left="567" w:hanging="567"/>
      </w:pPr>
      <w:r>
        <w:t>3.</w:t>
      </w:r>
      <w:r>
        <w:tab/>
      </w:r>
      <w:r>
        <w:t>Familienname,</w:t>
      </w:r>
    </w:p>
    <w:p>
      <w:pPr>
        <w:tabs>
          <w:tab w:pos="567" w:val="left"/>
        </w:tabs>
        <w:ind w:left="567" w:hanging="567"/>
      </w:pPr>
      <w:r>
        <w:t>4.</w:t>
      </w:r>
      <w:r>
        <w:tab/>
      </w:r>
      <w:r>
        <w:t>frühere Namen,</w:t>
      </w:r>
    </w:p>
    <w:p>
      <w:pPr>
        <w:tabs>
          <w:tab w:pos="567" w:val="left"/>
        </w:tabs>
        <w:ind w:left="567" w:hanging="567"/>
      </w:pPr>
      <w:r>
        <w:t>5.</w:t>
      </w:r>
      <w:r>
        <w:tab/>
      </w:r>
      <w:r>
        <w:t>Vornamen,</w:t>
      </w:r>
    </w:p>
    <w:p>
      <w:pPr>
        <w:tabs>
          <w:tab w:pos="567" w:val="left"/>
        </w:tabs>
        <w:ind w:left="567" w:hanging="567"/>
      </w:pPr>
      <w:r>
        <w:t>6.</w:t>
      </w:r>
      <w:r>
        <w:tab/>
      </w:r>
      <w:r>
        <w:t>Doktorgrad,</w:t>
      </w:r>
    </w:p>
    <w:p>
      <w:pPr>
        <w:tabs>
          <w:tab w:pos="567" w:val="left"/>
        </w:tabs>
        <w:ind w:left="567" w:hanging="567"/>
      </w:pPr>
      <w:r>
        <w:t>7.</w:t>
      </w:r>
      <w:r>
        <w:tab/>
      </w:r>
      <w:r>
        <w:t>amtlicher Gemeindeschlüssel,</w:t>
      </w:r>
    </w:p>
    <w:p>
      <w:pPr>
        <w:tabs>
          <w:tab w:pos="567" w:val="left"/>
        </w:tabs>
        <w:ind w:left="567" w:hanging="567"/>
      </w:pPr>
      <w:r>
        <w:t>8.</w:t>
      </w:r>
      <w:r>
        <w:tab/>
      </w:r>
      <w:r>
        <w:t>Tag und Ort der Geburt,</w:t>
      </w:r>
    </w:p>
    <w:p>
      <w:pPr>
        <w:tabs>
          <w:tab w:pos="567" w:val="left"/>
        </w:tabs>
        <w:ind w:left="567" w:hanging="567"/>
      </w:pPr>
      <w:r>
        <w:t>9.</w:t>
      </w:r>
      <w:r>
        <w:tab/>
      </w:r>
      <w:r>
        <w:t>Geschlecht,</w:t>
      </w:r>
    </w:p>
    <w:p>
      <w:pPr>
        <w:tabs>
          <w:tab w:pos="567" w:val="left"/>
        </w:tabs>
        <w:ind w:left="567" w:hanging="567"/>
      </w:pPr>
      <w:r>
        <w:t>10.</w:t>
      </w:r>
      <w:r>
        <w:tab/>
      </w:r>
      <w:r>
        <w:t>gegenwärtige oder letzte bekannte Anschrift,</w:t>
      </w:r>
    </w:p>
    <w:p>
      <w:pPr>
        <w:tabs>
          <w:tab w:pos="567" w:val="left"/>
        </w:tabs>
        <w:ind w:left="567" w:hanging="567"/>
      </w:pPr>
      <w:r>
        <w:t>11.</w:t>
      </w:r>
      <w:r>
        <w:tab/>
      </w:r>
      <w:r>
        <w:t>zuständige Finanzbehörden,</w:t>
      </w:r>
    </w:p>
    <w:p>
      <w:pPr>
        <w:tabs>
          <w:tab w:pos="567" w:val="left"/>
        </w:tabs>
        <w:ind w:left="567" w:hanging="567"/>
      </w:pPr>
      <w:r>
        <w:t>12.</w:t>
      </w:r>
      <w:r>
        <w:tab/>
      </w:r>
      <w:r>
        <w:t>Auskunftssperren nach dem Bundesmeldegesetz,</w:t>
      </w:r>
    </w:p>
    <w:p>
      <w:pPr>
        <w:tabs>
          <w:tab w:pos="567" w:val="left"/>
        </w:tabs>
        <w:ind w:left="567" w:hanging="567"/>
      </w:pPr>
      <w:r>
        <w:t>13.</w:t>
      </w:r>
      <w:r>
        <w:tab/>
      </w:r>
      <w:r>
        <w:t>Sterbetag,</w:t>
      </w:r>
    </w:p>
    <w:p>
      <w:pPr>
        <w:tabs>
          <w:tab w:pos="567" w:val="left"/>
        </w:tabs>
        <w:ind w:left="567" w:hanging="567"/>
      </w:pPr>
      <w:r>
        <w:t>14.</w:t>
      </w:r>
      <w:r>
        <w:tab/>
      </w:r>
      <w:r>
        <w:t>Tag des Ein- und Auszugs,</w:t>
      </w:r>
    </w:p>
    <w:p>
      <w:pPr>
        <w:tabs>
          <w:tab w:pos="567" w:val="left"/>
        </w:tabs>
        <w:ind w:left="567" w:hanging="567"/>
      </w:pPr>
      <w:r>
        <w:t>15.</w:t>
      </w:r>
      <w:r>
        <w:tab/>
      </w:r>
      <w:r>
        <w:t>Staatsangehörigkeiten sowie</w:t>
      </w:r>
    </w:p>
    <w:p>
      <w:pPr>
        <w:tabs>
          <w:tab w:pos="567" w:val="left"/>
        </w:tabs>
        <w:ind w:left="567" w:hanging="567"/>
      </w:pPr>
      <w:r>
        <w:t>16.</w:t>
      </w:r>
      <w:r>
        <w:tab/>
      </w:r>
      <w:r>
        <w:t>Datum des letzten Verwaltungskontakts (Monat, Jahr).</w:t>
      </w:r>
    </w:p>
    <w:p>
      <w:r>
        <w:t xml:space="preserve">(3a) </w:t>
      </w:r>
      <w:r>
        <w:rPr>
          <w:rStyle w:val="Satznummer"/>
        </w:rPr>
        <w:t>1</w:t>
      </w:r>
      <w:r>
        <w:t xml:space="preserve">Außerdem speichert das Bundeszentralamt für Steuern zu natürlichen Personen die für sie nach Absatz 10 zuletzt übermittelte internationale Kontonummer (IBAN), bei ausländischen Kreditinstituten auch den internationalen Banken-Identifizierungsschlüssel (BIC). </w:t>
      </w:r>
      <w:r>
        <w:rPr>
          <w:rStyle w:val="Satznummer"/>
        </w:rPr>
        <w:t>2</w:t>
      </w:r>
      <w:r>
        <w:t>Gespeichert wird nach Satz 1 ausschließlich eine Kontoverbindung, welche mittels SEPA-Überweisung erreichbar ist.</w:t>
      </w:r>
    </w:p>
    <w:p>
      <w:r>
        <w:t xml:space="preserve">(4) </w:t>
      </w:r>
      <w:r>
        <w:rPr>
          <w:rStyle w:val="Satznummer"/>
        </w:rPr>
        <w:t>1</w:t>
      </w:r>
      <w:r>
        <w:t>Die in Absatz 3 aufgeführten Daten werden gespeichert, um</w:t>
      </w:r>
    </w:p>
    <w:p>
      <w:pPr>
        <w:tabs>
          <w:tab w:pos="567" w:val="left"/>
        </w:tabs>
        <w:ind w:left="567" w:hanging="567"/>
      </w:pPr>
      <w:r>
        <w:t>1.</w:t>
      </w:r>
      <w:r>
        <w:tab/>
      </w:r>
      <w:r>
        <w:t>sicherzustellen, dass eine Person nur eine Identifikationsnummer erhält und eine Identifikationsnummer nicht mehrfach vergeben wird,</w:t>
      </w:r>
    </w:p>
    <w:p>
      <w:pPr>
        <w:tabs>
          <w:tab w:pos="567" w:val="left"/>
        </w:tabs>
        <w:ind w:left="567" w:hanging="567"/>
      </w:pPr>
      <w:r>
        <w:t>2.</w:t>
      </w:r>
      <w:r>
        <w:tab/>
      </w:r>
      <w:r>
        <w:t>die Identifikationsnummer eines Steuerpflichtigen festzustellen,</w:t>
      </w:r>
    </w:p>
    <w:p>
      <w:pPr>
        <w:tabs>
          <w:tab w:pos="567" w:val="left"/>
        </w:tabs>
        <w:ind w:left="567" w:hanging="567"/>
      </w:pPr>
      <w:r>
        <w:t>3.</w:t>
      </w:r>
      <w:r>
        <w:tab/>
      </w:r>
      <w:r>
        <w:t>zu erkennen, welche Finanzbehörden für einen Steuerpflichtigen zuständig sind,</w:t>
      </w:r>
    </w:p>
    <w:p>
      <w:pPr>
        <w:tabs>
          <w:tab w:pos="567" w:val="left"/>
        </w:tabs>
        <w:ind w:left="567" w:hanging="567"/>
      </w:pPr>
      <w:r>
        <w:t>4.</w:t>
      </w:r>
      <w:r>
        <w:tab/>
      </w:r>
      <w:r>
        <w:t>Daten, die auf Grund eines Gesetzes oder nach über- und zwischenstaatlichem Recht entgegenzunehmen sind, an die zuständigen Stellen weiterleiten zu können,</w:t>
      </w:r>
    </w:p>
    <w:p>
      <w:pPr>
        <w:tabs>
          <w:tab w:pos="567" w:val="left"/>
        </w:tabs>
        <w:ind w:left="567" w:hanging="567"/>
      </w:pPr>
      <w:r>
        <w:t>5.</w:t>
      </w:r>
      <w:r>
        <w:tab/>
      </w:r>
      <w:r>
        <w:t>den Finanzbehörden die Erfüllung der ihnen durch Rechtsvorschrift zugewiesenen Aufgaben zu ermöglichen.</w:t>
      </w:r>
    </w:p>
    <w:p>
      <w:r>
        <w:rPr>
          <w:rStyle w:val="Satznummer"/>
        </w:rPr>
        <w:t>2</w:t>
      </w:r>
      <w:r>
        <w:t xml:space="preserve">Die in Absatz 3 Nummer 1 und 8 aufgeführten Daten werden auch zur Ermittlung des Einkommens nach § 97a des Sechsten Buches Sozialgesetzbuch gespeichert und können von den Trägern der gesetzlichen Rentenversicherung zu diesem Zweck verarbeitet werden. </w:t>
      </w:r>
      <w:r>
        <w:rPr>
          <w:rStyle w:val="Satznummer"/>
        </w:rPr>
        <w:t>3</w:t>
      </w:r>
      <w:r>
        <w:t xml:space="preserve">Die in Absatz 3 Nummer 1 und 8 aufgeführten Daten werden auch zum Nachweis der Elterneigenschaft sowie zur Ermittlung der Anzahl der berücksichtigungsfähigen Kinder des beitragspflichtigen Mitglieds für die Beitragssatzermittlung nach § 55 Absatz 3 und 3a des Elften Buches Sozialgesetzbuch gespeichert und können von den beitragsabführenden Stellen und den Pflegekassen zu diesem Zweck verarbeitet werden. </w:t>
      </w:r>
      <w:r>
        <w:rPr>
          <w:rStyle w:val="Satznummer"/>
        </w:rPr>
        <w:t>4</w:t>
      </w:r>
      <w:r>
        <w:t>Die Regelungen des Identifikationsnummerngesetzes bleiben unberührt.</w:t>
      </w:r>
    </w:p>
    <w:p>
      <w:r>
        <w:t>(4a) Die in Absatz 3 Nummer 3 bis 8 und 10 aufgeführten Daten werden bei einer natürlichen Person, die ein Nutzerkonto im Sinne des § 2 Absatz 5 des Onlinezugangsgesetzes nutzt, auch zum Nachweis der Identität als Nutzer dieses Nutzerkontos gespeichert; diese Daten dürfen auf Veranlassung des Nutzers eines Nutzerkontos elektronisch an das Nutzerkonto übermittelt werden.</w:t>
      </w:r>
    </w:p>
    <w:p>
      <w:r>
        <w:t>(4b) Die in Absatz 3 Nummer 1 und 8 aufgeführten Daten werden bei einer natürlichen Person auch für Zwecke der Digitalen Rentenübersicht gespeichert.</w:t>
      </w:r>
    </w:p>
    <w:p>
      <w:r>
        <w:t xml:space="preserve">(4c) </w:t>
      </w:r>
      <w:r>
        <w:rPr>
          <w:rStyle w:val="Satznummer"/>
        </w:rPr>
        <w:t>1</w:t>
      </w:r>
      <w:r>
        <w:t xml:space="preserve">Die nach Absatz 3a gespeicherten Daten werden gespeichert, um eine unbare Auszahlung von Leistungen aus öffentlichen Mitteln zu ermöglichen, bei denen die Verwendung der nach Absatz 3a gespeicherten Daten vorgesehen ist. </w:t>
      </w:r>
      <w:r>
        <w:rPr>
          <w:rStyle w:val="Satznummer"/>
        </w:rPr>
        <w:t>2</w:t>
      </w:r>
      <w:r>
        <w:t>Die in Absatz 3 aufgeführten Daten werden bei einer natürlichen Person auch für die in Satz 1 genannten Zwecke gespeichert.</w:t>
      </w:r>
    </w:p>
    <w:p>
      <w:r>
        <w:t>(4d) Das in Absatz 3 Nummer 1 aufgeführte Datum wird bei einer natürlichen Person auch für die Zwecke der Erprobung des Registerzensus gespeichert.</w:t>
      </w:r>
    </w:p>
    <w:p>
      <w:r>
        <w:t xml:space="preserve">(5) </w:t>
      </w:r>
      <w:r>
        <w:rPr>
          <w:rStyle w:val="Satznummer"/>
        </w:rPr>
        <w:t>1</w:t>
      </w:r>
      <w:r>
        <w:t xml:space="preserve">Die in Absatz 3 aufgeführten Daten dürfen nur für die in den Absätzen 4 bis 4d genannten Zwecke verarbeitet werden; darüber hinaus dürfen die in Absatz 3 Nummer 2 bis 10 und Nummer 12 bis 15 aufgeführten Daten nur unter den Voraussetzungen des § 30 Absatz 4 Nummer 5 Buchstabe a den jeweils zuständigen Stellen auf deren Ersuchen offenbart werden. </w:t>
      </w:r>
      <w:r>
        <w:rPr>
          <w:rStyle w:val="Satznummer"/>
        </w:rPr>
        <w:t>2</w:t>
      </w:r>
      <w:r>
        <w:t xml:space="preserve">Die in Absatz 3a aufgeführten Daten dürfen nur für die in Absatz 4c genannten Zwecke verarbeitet werden; eine Übermittlung, Verwendung oder Beschlagnahme dieser Daten nach anderen Rechtsvorschriften ist unzulässig. </w:t>
      </w:r>
      <w:r>
        <w:rPr>
          <w:rStyle w:val="Satznummer"/>
        </w:rPr>
        <w:t>3</w:t>
      </w:r>
      <w:r>
        <w:t xml:space="preserve">Auskunftssperren nach dem Bundesmeldegesetz sind zu beachten und im Fall einer zulässigen Datenübermittlung ebenfalls zu übermitteln. </w:t>
      </w:r>
      <w:r>
        <w:rPr>
          <w:rStyle w:val="Satznummer"/>
        </w:rPr>
        <w:t>4</w:t>
      </w:r>
      <w:r>
        <w:t xml:space="preserve">Der Dritte, an den die Daten übermittelt werden, hat die Übermittlungssperren ebenfalls zu beachten. </w:t>
      </w:r>
      <w:r>
        <w:rPr>
          <w:rStyle w:val="Satznummer"/>
        </w:rPr>
        <w:t>5</w:t>
      </w:r>
      <w:r>
        <w:t>Die Regelungen des Identifikationsnummerngesetzes bleiben unberührt.</w:t>
      </w:r>
    </w:p>
    <w:p>
      <w:r>
        <w:t xml:space="preserve">(6) </w:t>
      </w:r>
      <w:r>
        <w:rPr>
          <w:rStyle w:val="Satznummer"/>
        </w:rPr>
        <w:t>1</w:t>
      </w:r>
      <w:r>
        <w:t>Zum Zwecke der erstmaligen Zuteilung der Identifikationsnummer übermitteln die Meldebehörden dem Bundeszentralamt für Steuern für jeden in ihrem Zuständigkeitsbereich mit alleiniger Wohnung oder Hauptwohnung im Melderegister registrierten Einwohner folgende Daten:</w:t>
      </w:r>
    </w:p>
    <w:p>
      <w:pPr>
        <w:tabs>
          <w:tab w:pos="567" w:val="left"/>
        </w:tabs>
        <w:ind w:left="567" w:hanging="567"/>
      </w:pPr>
      <w:r>
        <w:t>1.</w:t>
      </w:r>
      <w:r>
        <w:tab/>
      </w:r>
      <w:r>
        <w:t>Familienname,</w:t>
      </w:r>
    </w:p>
    <w:p>
      <w:pPr>
        <w:tabs>
          <w:tab w:pos="567" w:val="left"/>
        </w:tabs>
        <w:ind w:left="567" w:hanging="567"/>
      </w:pPr>
      <w:r>
        <w:t>2.</w:t>
      </w:r>
      <w:r>
        <w:tab/>
      </w:r>
      <w:r>
        <w:t>frühere Namen,</w:t>
      </w:r>
    </w:p>
    <w:p>
      <w:pPr>
        <w:tabs>
          <w:tab w:pos="567" w:val="left"/>
        </w:tabs>
        <w:ind w:left="567" w:hanging="567"/>
      </w:pPr>
      <w:r>
        <w:t>3.</w:t>
      </w:r>
      <w:r>
        <w:tab/>
      </w:r>
      <w:r>
        <w:t>Vornamen,</w:t>
      </w:r>
    </w:p>
    <w:p>
      <w:pPr>
        <w:tabs>
          <w:tab w:pos="567" w:val="left"/>
        </w:tabs>
        <w:ind w:left="567" w:hanging="567"/>
      </w:pPr>
      <w:r>
        <w:t>4.</w:t>
      </w:r>
      <w:r>
        <w:tab/>
      </w:r>
      <w:r>
        <w:t>Doktorgrad,</w:t>
      </w:r>
    </w:p>
    <w:p>
      <w:pPr>
        <w:tabs>
          <w:tab w:pos="567" w:val="left"/>
        </w:tabs>
        <w:ind w:left="567" w:hanging="567"/>
      </w:pPr>
      <w:r>
        <w:t>5.</w:t>
      </w:r>
      <w:r>
        <w:tab/>
      </w:r>
      <w:r>
        <w:t>amtlicher Gemeindeschlüssel,</w:t>
      </w:r>
    </w:p>
    <w:p>
      <w:pPr>
        <w:tabs>
          <w:tab w:pos="567" w:val="left"/>
        </w:tabs>
        <w:ind w:left="567" w:hanging="567"/>
      </w:pPr>
      <w:r>
        <w:t>6.</w:t>
      </w:r>
      <w:r>
        <w:tab/>
      </w:r>
      <w:r>
        <w:t>Tag und Ort der Geburt,</w:t>
      </w:r>
    </w:p>
    <w:p>
      <w:pPr>
        <w:tabs>
          <w:tab w:pos="567" w:val="left"/>
        </w:tabs>
        <w:ind w:left="567" w:hanging="567"/>
      </w:pPr>
      <w:r>
        <w:t>7.</w:t>
      </w:r>
      <w:r>
        <w:tab/>
      </w:r>
      <w:r>
        <w:t>Geschlecht,</w:t>
      </w:r>
    </w:p>
    <w:p>
      <w:pPr>
        <w:tabs>
          <w:tab w:pos="567" w:val="left"/>
        </w:tabs>
        <w:ind w:left="567" w:hanging="567"/>
      </w:pPr>
      <w:r>
        <w:t>8.</w:t>
      </w:r>
      <w:r>
        <w:tab/>
      </w:r>
      <w:r>
        <w:t>gegenwärtige Anschrift der alleinigen Wohnung oder der Hauptwohnung,</w:t>
      </w:r>
    </w:p>
    <w:p>
      <w:pPr>
        <w:tabs>
          <w:tab w:pos="567" w:val="left"/>
        </w:tabs>
        <w:ind w:left="567" w:hanging="567"/>
      </w:pPr>
      <w:r>
        <w:t>9.</w:t>
      </w:r>
      <w:r>
        <w:tab/>
      </w:r>
      <w:r>
        <w:t>Tag des Ein- und Auszugs,</w:t>
      </w:r>
    </w:p>
    <w:p>
      <w:pPr>
        <w:tabs>
          <w:tab w:pos="567" w:val="left"/>
        </w:tabs>
        <w:ind w:left="567" w:hanging="567"/>
      </w:pPr>
      <w:r>
        <w:t>10.</w:t>
      </w:r>
      <w:r>
        <w:tab/>
      </w:r>
      <w:r>
        <w:t>Auskunftssperren nach dem Bundesmeldegesetz,</w:t>
      </w:r>
    </w:p>
    <w:p>
      <w:pPr>
        <w:tabs>
          <w:tab w:pos="567" w:val="left"/>
        </w:tabs>
        <w:ind w:left="567" w:hanging="567"/>
      </w:pPr>
      <w:r>
        <w:t>11.</w:t>
      </w:r>
      <w:r>
        <w:tab/>
      </w:r>
      <w:r>
        <w:t>Staatsangehörigkeiten sowie</w:t>
      </w:r>
    </w:p>
    <w:p>
      <w:pPr>
        <w:tabs>
          <w:tab w:pos="567" w:val="left"/>
        </w:tabs>
        <w:ind w:left="567" w:hanging="567"/>
      </w:pPr>
      <w:r>
        <w:t>12.</w:t>
      </w:r>
      <w:r>
        <w:tab/>
      </w:r>
      <w:r>
        <w:t>Datum des letzten Verwaltungskontakts (Monat, Jahr).</w:t>
      </w:r>
    </w:p>
    <w:p>
      <w:r>
        <w:rPr>
          <w:rStyle w:val="Satznummer"/>
        </w:rPr>
        <w:t>2</w:t>
      </w:r>
      <w:r>
        <w:t xml:space="preserve">Hierzu haben die Meldebehörden jedem in ihrem Zuständigkeitsbereich mit alleiniger Wohnung oder Hauptwohnung registrierten Einwohner ein Vorläufiges Bearbeitungsmerkmal zu vergeben. </w:t>
      </w:r>
      <w:r>
        <w:rPr>
          <w:rStyle w:val="Satznummer"/>
        </w:rPr>
        <w:t>3</w:t>
      </w:r>
      <w:r>
        <w:t xml:space="preserve">Dieses übermitteln sie zusammen mit den Daten nach Satz 1 an das Bundeszentralamt für Steuern. </w:t>
      </w:r>
      <w:r>
        <w:rPr>
          <w:rStyle w:val="Satznummer"/>
        </w:rPr>
        <w:t>4</w:t>
      </w:r>
      <w:r>
        <w:t>Das Bundeszentralamt für Steuern teilt der zuständigen Meldebehörde die dem Steuerpflichtigen zugeteilte Identifikationsnummer zur Speicherung im Melderegister unter Angabe des Vorläufigen Bearbeitungsmerkmals mit und löscht das Vorläufige Bearbeitungsmerkmal anschließend.</w:t>
      </w:r>
    </w:p>
    <w:p>
      <w:r>
        <w:t xml:space="preserve">(7) </w:t>
      </w:r>
      <w:r>
        <w:rPr>
          <w:rStyle w:val="Satznummer"/>
        </w:rPr>
        <w:t>1</w:t>
      </w:r>
      <w:r>
        <w:t xml:space="preserve">Die Meldebehörden haben im Falle der Speicherung einer Geburt im Melderegister sowie im Falle der Speicherung einer Person, für die bisher keine Identifikationsnummer zugeteilt worden ist, dem Bundeszentralamt für Steuern die Daten nach Absatz 6 Satz 1 zum Zwecke der Zuteilung der Identifikationsnummer zu übermitteln. </w:t>
      </w:r>
      <w:r>
        <w:rPr>
          <w:rStyle w:val="Satznummer"/>
        </w:rPr>
        <w:t>2</w:t>
      </w:r>
      <w:r>
        <w:t xml:space="preserve">Absatz 6 Satz 2 bis 4 gilt entsprechend. </w:t>
      </w:r>
      <w:r>
        <w:rPr>
          <w:rStyle w:val="Satznummer"/>
        </w:rPr>
        <w:t>3</w:t>
      </w:r>
      <w:r>
        <w:t xml:space="preserve">Wird im Melderegister eine Person gespeichert, der nach eigenen Angaben noch keine Identifikationsnummer zugeteilt worden ist, so können die Meldebehörden dies in einem maschinellen Verfahren beim Bundeszentralamt für Steuern überprüfen; dabei dürfen nur die Daten nach Absatz 3 verwendet werden. </w:t>
      </w:r>
      <w:r>
        <w:rPr>
          <w:rStyle w:val="Satznummer"/>
        </w:rPr>
        <w:t>4</w:t>
      </w:r>
      <w:r>
        <w:t>Stimmen die von der Meldebehörde übermittelten Daten mit den beim Bundeszentralamt für Steuern nach Absatz 3 gespeicherten Daten überein, teilt das Bundeszentralamt für Steuern der Meldebehörde die in Absatz 3 Nummer 1, 3, 5, 8 und 10 genannten Daten mit; andernfalls teilt es der Meldebehörde mit, dass keine Zuordnung möglich war.</w:t>
      </w:r>
    </w:p>
    <w:p>
      <w:r>
        <w:t xml:space="preserve">(8) </w:t>
      </w:r>
      <w:r>
        <w:rPr>
          <w:rStyle w:val="Satznummer"/>
        </w:rPr>
        <w:t>1</w:t>
      </w:r>
      <w:r>
        <w:t xml:space="preserve">Die Meldebehörde teilt dem Bundeszentralamt für Steuern Änderungen der in Absatz 6 Satz 1 Nummer 1 bis 12 bezeichneten Daten sowie bei Sterbefällen den Sterbetag unter Angabe der Identifikationsnummer oder, sofern diese noch nicht zugeteilt wurde, unter Angabe des Vorläufigen Bearbeitungsmerkmals mit. </w:t>
      </w:r>
      <w:r>
        <w:rPr>
          <w:rStyle w:val="Satznummer"/>
        </w:rPr>
        <w:t>2</w:t>
      </w:r>
      <w:r>
        <w:t>Die Mitteilungspflicht der Registermodernisierungsbehörde gegenüber dem Bundeszentralamt für Steuern nach § 4 Absatz 4 des Identifikationsnummerngesetzes bleibt unberührt.</w:t>
      </w:r>
    </w:p>
    <w:p>
      <w:r>
        <w:t>(9) Das Bundeszentralamt für Steuern unterrichtet die Meldebehörden, wenn ihm konkrete Anhaltspunkte für die Unrichtigkeit der ihm von den Meldebehörden übermittelten Daten vorliegen.</w:t>
      </w:r>
    </w:p>
    <w:p>
      <w:r>
        <w:t xml:space="preserve">(10) </w:t>
      </w:r>
      <w:r>
        <w:rPr>
          <w:rStyle w:val="Satznummer"/>
        </w:rPr>
        <w:t>1</w:t>
      </w:r>
      <w:r>
        <w:t>Natürliche Personen können dem Bundeszentralamt für Steuern vorbehaltlich des Satzes 2 die IBAN, bei ausländischen Kreditinstituten auch den BIC, des für Auszahlungen in den Fällen des Absatzes 4c zu verwendenden Kontos unter Angabe der in Absatz 3 Nummer 1 und 8 genannten Daten in einem sicheren Verfahren</w:t>
      </w:r>
    </w:p>
    <w:p>
      <w:pPr>
        <w:tabs>
          <w:tab w:pos="567" w:val="left"/>
        </w:tabs>
        <w:ind w:left="567" w:hanging="567"/>
      </w:pPr>
      <w:r>
        <w:t>1.</w:t>
      </w:r>
      <w:r>
        <w:tab/>
      </w:r>
      <w:r>
        <w:t>übermitteln,</w:t>
      </w:r>
    </w:p>
    <w:p>
      <w:pPr>
        <w:tabs>
          <w:tab w:pos="567" w:val="left"/>
        </w:tabs>
        <w:ind w:left="567" w:hanging="567"/>
      </w:pPr>
      <w:r>
        <w:t>2.</w:t>
      </w:r>
      <w:r>
        <w:tab/>
      </w:r>
      <w:r>
        <w:t xml:space="preserve">durch ihren Bevollmächtigten im Sinne des </w:t>
      </w:r>
      <w:hyperlink w:anchor="b121" w:history="1">
        <w:r>
          <w:rPr>
            <w:color w:val="0A3A8C"/>
            <w:u w:val="single"/>
          </w:rPr>
          <w:t xml:space="preserve">§ 80</w:t>
        </w:r>
      </w:hyperlink>
      <w:r>
        <w:t xml:space="preserve"> Absatz 2 übermitteln lassen oder</w:t>
      </w:r>
    </w:p>
    <w:p>
      <w:pPr>
        <w:tabs>
          <w:tab w:pos="567" w:val="left"/>
        </w:tabs>
        <w:ind w:left="567" w:hanging="567"/>
      </w:pPr>
      <w:r>
        <w:t>3.</w:t>
      </w:r>
      <w:r>
        <w:tab/>
      </w:r>
      <w:r>
        <w:t>durch das kontoführende Kreditinstitut übermitteln lassen; die Kreditinstitute haben zu diesem Zweck ein geeignetes Verfahren bereitzustellen.</w:t>
      </w:r>
    </w:p>
    <w:p>
      <w:r>
        <w:rPr>
          <w:rStyle w:val="Satznummer"/>
        </w:rPr>
        <w:t>2</w:t>
      </w:r>
      <w:r>
        <w:t xml:space="preserve">Für natürliche Personen, die das 18. Lebensjahr noch nicht vollendet haben und für die nach § 63 des Einkommensteuergesetzes Kindergeld festgesetzt oder nach § 1 Absatz 2 oder § 2 Absatz 1 des Bundeskindergeldgesetzes Kindergeld bewilligt worden ist, teilt die zuständige Familienkasse als mitteilungspflichtige Stelle dem Bundeszentralamt für Steuern für die in Absatz 4c genannten Zwecke unter Angabe der in Absatz 3 Nummer 1 und 8 genannten Daten der natürlichen Person die IBAN, bei ausländischen Kreditinstituten auch den BIC, des Kontos mit, auf welches das Kindergeld zuletzt ausgezahlt worden ist; dies gilt nicht, wenn es sich bei dem tatsächlichen Zahlungsempfänger weder um den Kindergeldberechtigten noch um das Kind handelt. </w:t>
      </w:r>
      <w:r>
        <w:rPr>
          <w:rStyle w:val="Satznummer"/>
        </w:rPr>
        <w:t>3</w:t>
      </w:r>
      <w:r>
        <w:t xml:space="preserve">Änderungen der nach den Sätzen 1 oder 2 bereits mitgeteilten IBAN, bei ausländischen Kreditinstituten auch des BIC, sind dem Bundeszentralamt für Steuern unter Angabe der in Absatz 3 Nummer 1 und 8 genannten Daten umgehend mitzuteilen. </w:t>
      </w:r>
      <w:r>
        <w:rPr>
          <w:rStyle w:val="Satznummer"/>
        </w:rPr>
        <w:t>4</w:t>
      </w:r>
      <w:r>
        <w:t xml:space="preserve">Ist in den Fällen des Satzes 2 der für die Bewilligungen des Kindergeldes nach dem Bundeskindergeldgesetz zuständigen Familienkasse die Identifikationsnummer nicht bekannt, darf sie diese Identifikationsnummer nach amtlich vorgeschriebenem Datensatz beim Bundeszentralamt für Steuern abfragen. </w:t>
      </w:r>
      <w:r>
        <w:rPr>
          <w:rStyle w:val="Satznummer"/>
        </w:rPr>
        <w:t>5</w:t>
      </w:r>
      <w:r>
        <w:t xml:space="preserve">In der Abfrage dürfen nur die in Absatz 3 genannten Daten der minderjährigen Person angegeben werden. </w:t>
      </w:r>
      <w:r>
        <w:rPr>
          <w:rStyle w:val="Satznummer"/>
        </w:rPr>
        <w:t>6</w:t>
      </w:r>
      <w:r>
        <w:t>Das Bundeszentralamt für Steuern entspricht dem Ersuchen, wenn die übermittelten Daten den beim Bundeszentralamt für Steuern hinterlegten Daten entsprechen.</w:t>
      </w:r>
    </w:p>
    <w:p>
      <w:r>
        <w:t>(11) Die Übermittlung der in Absatz 10 genannten Daten an das Bundeszentralamt für Steuern muss elektronisch nach amtlich vorgeschriebenem Datensatz über die amtlich bestimmte Schnittstelle erfolgen.</w:t>
      </w:r>
    </w:p>
    <w:p>
      <w:r>
        <w:t>(12) Das Bundeszentralamt für Steuern stellt den für ein Verfahren im Sinne des Absatzes 4c zuständigen Stellen die in Absatz 3 Nummer 1, 3, 5, 8, 10, 12 und 13 sowie Absatz 3a genannten Daten zum automationsgestützten Abgleich oder zum Abruf durch Datenfernübertragung zur Verfügung.</w:t>
      </w:r>
    </w:p>
    <w:p>
      <w:r>
        <w:t xml:space="preserve">(13) </w:t>
      </w:r>
      <w:r>
        <w:rPr>
          <w:rStyle w:val="Satznummer"/>
        </w:rPr>
        <w:t>1</w:t>
      </w:r>
      <w:r>
        <w:t xml:space="preserve">Eine Datenübermittlung an das Bundeszentralamt für Steuern nach Absatz 10 Satz 1 ist erstmals zu einem vom Bundesministerium der Finanzen zu bestimmenden und im Bundesgesetzblatt bekanntzumachenden Zeitpunkt zulässig. </w:t>
      </w:r>
      <w:r>
        <w:rPr>
          <w:rStyle w:val="Satznummer"/>
        </w:rPr>
        <w:t>2</w:t>
      </w:r>
      <w:r>
        <w:t xml:space="preserve">Die nach Absatz 10 Satz 2 mitteilungspflichtigen Stellen haben die von ihnen mitzuteilenden Daten erstmals zu einem vom Bundesministerium der Finanzen zu bestimmenden und im Bundesgesetzblatt bekanntzumachenden Zeitpunkt an das Bundeszentralamt für Steuern zu übermitteln. </w:t>
      </w:r>
      <w:r>
        <w:rPr>
          <w:rStyle w:val="Satznummer"/>
        </w:rPr>
        <w:t>3</w:t>
      </w:r>
      <w:r>
        <w:t>Wird Kindergeld erstmals nach dem vom Bundesministerium der Finanzen nach Satz 2 bestimmten Zeitpunkt ausgezahlt, gilt Satz 2 entsprechend.</w:t>
      </w:r>
    </w:p>
    <w:p>
      <w:pPr>
        <w:pStyle w:val="Heading4"/>
      </w:pPr>
      <w:bookmarkStart w:id="237" w:name="b235"/>
      <w:r>
        <w:t>§ 139c Wirtschafts-Identifikationsnummer</w:t>
      </w:r>
      <w:r>
        <w:t xml:space="preserve"> </w:t>
      </w:r>
      <w:r>
        <w:rPr>
          <w:rStyle w:val="Suchmarke"/>
        </w:rPr>
        <w:t>#139c#</w:t>
      </w:r>
      <w:bookmarkEnd w:id="237"/>
    </w:p>
    <w:p>
      <w:r>
        <w:t xml:space="preserve">(1) </w:t>
      </w:r>
      <w:r>
        <w:rPr>
          <w:rStyle w:val="Satznummer"/>
        </w:rPr>
        <w:t>1</w:t>
      </w:r>
      <w:r>
        <w:t xml:space="preserve">Die Wirtschafts-Identifikationsnummer wird auf Anforderung der zuständigen Finanzbehörde vergeben. </w:t>
      </w:r>
      <w:r>
        <w:rPr>
          <w:rStyle w:val="Satznummer"/>
        </w:rPr>
        <w:t>2</w:t>
      </w:r>
      <w:r>
        <w:t xml:space="preserve">Sie beginnt mit den Buchstaben „DE“. </w:t>
      </w:r>
      <w:r>
        <w:rPr>
          <w:rStyle w:val="Satznummer"/>
        </w:rPr>
        <w:t>3</w:t>
      </w:r>
      <w:r>
        <w:t>Jede Wirtschafts-Identifikationsnummer darf nur einmal vergeben werden.</w:t>
      </w:r>
    </w:p>
    <w:p>
      <w:r>
        <w:t xml:space="preserve">(2) </w:t>
      </w:r>
      <w:r>
        <w:rPr>
          <w:rStyle w:val="Satznummer"/>
        </w:rPr>
        <w:t>1</w:t>
      </w:r>
      <w:r>
        <w:t xml:space="preserve">Die Finanzbehörden dürfen die Wirtschafts-Identifikationsnummer verarbeiten, wenn die Verarbeitung zur Erfüllung der ihnen obliegenden Aufgaben erforderlich ist oder eine Rechtsvorschrift dies erlaubt oder anordnet. </w:t>
      </w:r>
      <w:r>
        <w:rPr>
          <w:rStyle w:val="Satznummer"/>
        </w:rPr>
        <w:t>2</w:t>
      </w:r>
      <w:r>
        <w:t xml:space="preserve">Andere öffentliche oder nicht-öffentliche Stellen dürfen die Wirtschafts-Identifikationsnummer nur verarbeiten, soweit dies zur Erfüllung ihrer Aufgaben oder Geschäftszwecke oder für Datenübermittlungen zwischen ihnen und den Finanzbehörden erforderlich ist. </w:t>
      </w:r>
      <w:r>
        <w:rPr>
          <w:rStyle w:val="Satznummer"/>
        </w:rPr>
        <w:t>3</w:t>
      </w:r>
      <w:r>
        <w:t>Soweit die Wirtschafts-Identifikationsnummer andere Nummern ersetzt, bleiben Rechtsvorschriften, die eine Übermittlung durch die Finanzbehörden an andere Behörden regeln, unberührt.</w:t>
      </w:r>
    </w:p>
    <w:p>
      <w:r>
        <w:t>(3) Das Bundeszentralamt für Steuern speichert zu natürlichen Personen, die wirtschaftlich tätig sind, folgende Daten:</w:t>
      </w:r>
    </w:p>
    <w:p>
      <w:pPr>
        <w:tabs>
          <w:tab w:pos="567" w:val="left"/>
        </w:tabs>
        <w:ind w:left="567" w:hanging="567"/>
      </w:pPr>
      <w:r>
        <w:t>1.</w:t>
      </w:r>
      <w:r>
        <w:tab/>
      </w:r>
      <w:r>
        <w:t>Wirtschafts-Identifikationsnummer,</w:t>
      </w:r>
    </w:p>
    <w:p>
      <w:pPr>
        <w:tabs>
          <w:tab w:pos="567" w:val="left"/>
        </w:tabs>
        <w:ind w:left="567" w:hanging="567"/>
      </w:pPr>
      <w:r>
        <w:t>2.</w:t>
      </w:r>
      <w:r>
        <w:tab/>
      </w:r>
      <w:r>
        <w:t>Identifikationsnummer,</w:t>
      </w:r>
    </w:p>
    <w:p>
      <w:pPr>
        <w:tabs>
          <w:tab w:pos="567" w:val="left"/>
        </w:tabs>
        <w:ind w:left="567" w:hanging="567"/>
      </w:pPr>
      <w:r>
        <w:t>3.</w:t>
      </w:r>
      <w:r>
        <w:tab/>
      </w:r>
      <w:r>
        <w:t>Firma (§§ 17ff. des Handelsgesetzbuchs) oder Name des Unternehmens,</w:t>
      </w:r>
    </w:p>
    <w:p>
      <w:pPr>
        <w:tabs>
          <w:tab w:pos="567" w:val="left"/>
        </w:tabs>
        <w:ind w:left="567" w:hanging="567"/>
      </w:pPr>
      <w:r>
        <w:t>4.</w:t>
      </w:r>
      <w:r>
        <w:tab/>
      </w:r>
      <w:r>
        <w:t>frühere Firmennamen oder Namen des Unternehmens,</w:t>
      </w:r>
    </w:p>
    <w:p>
      <w:pPr>
        <w:tabs>
          <w:tab w:pos="567" w:val="left"/>
        </w:tabs>
        <w:ind w:left="567" w:hanging="567"/>
      </w:pPr>
      <w:r>
        <w:t>5.</w:t>
      </w:r>
      <w:r>
        <w:tab/>
      </w:r>
      <w:r>
        <w:t>Rechtsform,</w:t>
      </w:r>
    </w:p>
    <w:p>
      <w:pPr>
        <w:tabs>
          <w:tab w:pos="567" w:val="left"/>
        </w:tabs>
        <w:ind w:left="567" w:hanging="567"/>
      </w:pPr>
      <w:r>
        <w:t>6.</w:t>
      </w:r>
      <w:r>
        <w:tab/>
      </w:r>
      <w:r>
        <w:t>Wirtschaftszweignummer,</w:t>
      </w:r>
    </w:p>
    <w:p>
      <w:pPr>
        <w:tabs>
          <w:tab w:pos="567" w:val="left"/>
        </w:tabs>
        <w:ind w:left="567" w:hanging="567"/>
      </w:pPr>
      <w:r>
        <w:t>7.</w:t>
      </w:r>
      <w:r>
        <w:tab/>
      </w:r>
      <w:r>
        <w:t>amtlicher Gemeindeschlüssel,</w:t>
      </w:r>
    </w:p>
    <w:p>
      <w:pPr>
        <w:tabs>
          <w:tab w:pos="567" w:val="left"/>
        </w:tabs>
        <w:ind w:left="567" w:hanging="567"/>
      </w:pPr>
      <w:r>
        <w:t>8.</w:t>
      </w:r>
      <w:r>
        <w:tab/>
      </w:r>
      <w:r>
        <w:t>Anschrift des Unternehmens, Firmensitz,</w:t>
      </w:r>
    </w:p>
    <w:p>
      <w:pPr>
        <w:tabs>
          <w:tab w:pos="567" w:val="left"/>
        </w:tabs>
        <w:ind w:left="567" w:hanging="567"/>
      </w:pPr>
      <w:r>
        <w:t>9.</w:t>
      </w:r>
      <w:r>
        <w:tab/>
      </w:r>
      <w:r>
        <w:t>Handelsregistereintrag (Registergericht einschließlich Altgericht, Datum und Nummer der Eintragung),</w:t>
      </w:r>
    </w:p>
    <w:p>
      <w:pPr>
        <w:tabs>
          <w:tab w:pos="567" w:val="left"/>
        </w:tabs>
        <w:ind w:left="567" w:hanging="567"/>
      </w:pPr>
      <w:r>
        <w:t>10.</w:t>
      </w:r>
      <w:r>
        <w:tab/>
      </w:r>
      <w:r>
        <w:t>Datum der Betriebseröffnung oder Zeitpunkt der Aufnahme der Tätigkeit,</w:t>
      </w:r>
    </w:p>
    <w:p>
      <w:pPr>
        <w:tabs>
          <w:tab w:pos="567" w:val="left"/>
        </w:tabs>
        <w:ind w:left="567" w:hanging="567"/>
      </w:pPr>
      <w:r>
        <w:t>11.</w:t>
      </w:r>
      <w:r>
        <w:tab/>
      </w:r>
      <w:r>
        <w:t>Datum der Betriebseinstellung oder Zeitpunkt der Beendigung der Tätigkeit,</w:t>
      </w:r>
    </w:p>
    <w:p>
      <w:pPr>
        <w:tabs>
          <w:tab w:pos="567" w:val="left"/>
        </w:tabs>
        <w:ind w:left="567" w:hanging="567"/>
      </w:pPr>
      <w:r>
        <w:t>12.</w:t>
      </w:r>
      <w:r>
        <w:tab/>
      </w:r>
      <w:r>
        <w:t>zuständige Finanzbehörden,</w:t>
      </w:r>
    </w:p>
    <w:p>
      <w:pPr>
        <w:tabs>
          <w:tab w:pos="567" w:val="left"/>
        </w:tabs>
        <w:ind w:left="567" w:hanging="567"/>
      </w:pPr>
      <w:r>
        <w:t>13.</w:t>
      </w:r>
      <w:r>
        <w:tab/>
      </w:r>
      <w:r>
        <w:t>Unterscheidungsmerkmale nach Absatz 5a,</w:t>
      </w:r>
    </w:p>
    <w:p>
      <w:pPr>
        <w:tabs>
          <w:tab w:pos="567" w:val="left"/>
        </w:tabs>
        <w:ind w:left="567" w:hanging="567"/>
      </w:pPr>
      <w:r>
        <w:t>14.</w:t>
      </w:r>
      <w:r>
        <w:tab/>
      </w:r>
      <w:r>
        <w:t>Angaben zu verbundenen Unternehmen.</w:t>
      </w:r>
    </w:p>
    <w:p>
      <w:r>
        <w:t>(4) Das Bundeszentralamt für Steuern speichert zu juristischen Personen folgende Daten:</w:t>
      </w:r>
    </w:p>
    <w:p>
      <w:pPr>
        <w:tabs>
          <w:tab w:pos="567" w:val="left"/>
        </w:tabs>
        <w:ind w:left="567" w:hanging="567"/>
      </w:pPr>
      <w:r>
        <w:t>1.</w:t>
      </w:r>
      <w:r>
        <w:tab/>
      </w:r>
      <w:r>
        <w:t>Wirtschafts-Identifikationsnummer,</w:t>
      </w:r>
    </w:p>
    <w:p>
      <w:pPr>
        <w:tabs>
          <w:tab w:pos="567" w:val="left"/>
        </w:tabs>
        <w:ind w:left="567" w:hanging="567"/>
      </w:pPr>
      <w:r>
        <w:t>2.</w:t>
      </w:r>
      <w:r>
        <w:tab/>
      </w:r>
      <w:r>
        <w:t>Identifikationsmerkmale der gesetzlichen Vertreter,</w:t>
      </w:r>
    </w:p>
    <w:p>
      <w:pPr>
        <w:tabs>
          <w:tab w:pos="567" w:val="left"/>
        </w:tabs>
        <w:ind w:left="567" w:hanging="567"/>
      </w:pPr>
      <w:r>
        <w:t>3.</w:t>
      </w:r>
      <w:r>
        <w:tab/>
      </w:r>
      <w:r>
        <w:t>Firma (§§ 17ff. des Handelsgesetzbuchs),</w:t>
      </w:r>
    </w:p>
    <w:p>
      <w:pPr>
        <w:tabs>
          <w:tab w:pos="567" w:val="left"/>
        </w:tabs>
        <w:ind w:left="567" w:hanging="567"/>
      </w:pPr>
      <w:r>
        <w:t>4.</w:t>
      </w:r>
      <w:r>
        <w:tab/>
      </w:r>
      <w:r>
        <w:t>frühere Firmennamen,</w:t>
      </w:r>
    </w:p>
    <w:p>
      <w:pPr>
        <w:tabs>
          <w:tab w:pos="567" w:val="left"/>
        </w:tabs>
        <w:ind w:left="567" w:hanging="567"/>
      </w:pPr>
      <w:r>
        <w:t>5.</w:t>
      </w:r>
      <w:r>
        <w:tab/>
      </w:r>
      <w:r>
        <w:t>Rechtsform,</w:t>
      </w:r>
    </w:p>
    <w:p>
      <w:pPr>
        <w:tabs>
          <w:tab w:pos="567" w:val="left"/>
        </w:tabs>
        <w:ind w:left="567" w:hanging="567"/>
      </w:pPr>
      <w:r>
        <w:t>6.</w:t>
      </w:r>
      <w:r>
        <w:tab/>
      </w:r>
      <w:r>
        <w:t>Wirtschaftszweignummer,</w:t>
      </w:r>
    </w:p>
    <w:p>
      <w:pPr>
        <w:tabs>
          <w:tab w:pos="567" w:val="left"/>
        </w:tabs>
        <w:ind w:left="567" w:hanging="567"/>
      </w:pPr>
      <w:r>
        <w:t>7.</w:t>
      </w:r>
      <w:r>
        <w:tab/>
      </w:r>
      <w:r>
        <w:t>amtlicher Gemeindeschlüssel,</w:t>
      </w:r>
    </w:p>
    <w:p>
      <w:pPr>
        <w:tabs>
          <w:tab w:pos="567" w:val="left"/>
        </w:tabs>
        <w:ind w:left="567" w:hanging="567"/>
      </w:pPr>
      <w:r>
        <w:t>8.</w:t>
      </w:r>
      <w:r>
        <w:tab/>
      </w:r>
      <w:r>
        <w:t xml:space="preserve">Sitz gemäß </w:t>
      </w:r>
      <w:hyperlink w:anchor="b14" w:history="1">
        <w:r>
          <w:rPr>
            <w:color w:val="0A3A8C"/>
            <w:u w:val="single"/>
          </w:rPr>
          <w:t xml:space="preserve">§ 11</w:t>
        </w:r>
      </w:hyperlink>
      <w:r>
        <w:t>, insbesondere Ort der Geschäftsleitung,</w:t>
      </w:r>
    </w:p>
    <w:p>
      <w:pPr>
        <w:tabs>
          <w:tab w:pos="567" w:val="left"/>
        </w:tabs>
        <w:ind w:left="567" w:hanging="567"/>
      </w:pPr>
      <w:r>
        <w:t>9.</w:t>
      </w:r>
      <w:r>
        <w:tab/>
      </w:r>
      <w:r>
        <w:t>Datum des Gründungsaktes,</w:t>
      </w:r>
    </w:p>
    <w:p>
      <w:pPr>
        <w:tabs>
          <w:tab w:pos="567" w:val="left"/>
        </w:tabs>
        <w:ind w:left="567" w:hanging="567"/>
      </w:pPr>
      <w:r>
        <w:t>10.</w:t>
      </w:r>
      <w:r>
        <w:tab/>
      </w:r>
      <w:r>
        <w:t>Handels-, Genossenschafts- oder Vereinsregistereintrag (Registergericht einschließlich Altgericht, Datum und Nummer der Eintragung),</w:t>
      </w:r>
    </w:p>
    <w:p>
      <w:pPr>
        <w:tabs>
          <w:tab w:pos="567" w:val="left"/>
        </w:tabs>
        <w:ind w:left="567" w:hanging="567"/>
      </w:pPr>
      <w:r>
        <w:t>11.</w:t>
      </w:r>
      <w:r>
        <w:tab/>
      </w:r>
      <w:r>
        <w:t>Datum der Betriebseröffnung oder Zeitpunkt der Aufnahme der Tätigkeit,</w:t>
      </w:r>
    </w:p>
    <w:p>
      <w:pPr>
        <w:tabs>
          <w:tab w:pos="567" w:val="left"/>
        </w:tabs>
        <w:ind w:left="567" w:hanging="567"/>
      </w:pPr>
      <w:r>
        <w:t>12.</w:t>
      </w:r>
      <w:r>
        <w:tab/>
      </w:r>
      <w:r>
        <w:t>Datum der Betriebseinstellung oder Zeitpunkt der Beendigung der Tätigkeit,</w:t>
      </w:r>
    </w:p>
    <w:p>
      <w:pPr>
        <w:tabs>
          <w:tab w:pos="567" w:val="left"/>
        </w:tabs>
        <w:ind w:left="567" w:hanging="567"/>
      </w:pPr>
      <w:r>
        <w:t>13.</w:t>
      </w:r>
      <w:r>
        <w:tab/>
      </w:r>
      <w:r>
        <w:t>Zeitpunkt der Auflösung,</w:t>
      </w:r>
    </w:p>
    <w:p>
      <w:pPr>
        <w:tabs>
          <w:tab w:pos="567" w:val="left"/>
        </w:tabs>
        <w:ind w:left="567" w:hanging="567"/>
      </w:pPr>
      <w:r>
        <w:t>14.</w:t>
      </w:r>
      <w:r>
        <w:tab/>
      </w:r>
      <w:r>
        <w:t>Datum der Löschung im Register,</w:t>
      </w:r>
    </w:p>
    <w:p>
      <w:pPr>
        <w:tabs>
          <w:tab w:pos="567" w:val="left"/>
        </w:tabs>
        <w:ind w:left="567" w:hanging="567"/>
      </w:pPr>
      <w:r>
        <w:t>15.</w:t>
      </w:r>
      <w:r>
        <w:tab/>
      </w:r>
      <w:r>
        <w:t>verbundene Unternehmen,</w:t>
      </w:r>
    </w:p>
    <w:p>
      <w:pPr>
        <w:tabs>
          <w:tab w:pos="567" w:val="left"/>
        </w:tabs>
        <w:ind w:left="567" w:hanging="567"/>
      </w:pPr>
      <w:r>
        <w:t>16.</w:t>
      </w:r>
      <w:r>
        <w:tab/>
      </w:r>
      <w:r>
        <w:t>zuständige Finanzbehörden,</w:t>
      </w:r>
    </w:p>
    <w:p>
      <w:pPr>
        <w:tabs>
          <w:tab w:pos="567" w:val="left"/>
        </w:tabs>
        <w:ind w:left="567" w:hanging="567"/>
      </w:pPr>
      <w:r>
        <w:t>17.</w:t>
      </w:r>
      <w:r>
        <w:tab/>
      </w:r>
      <w:r>
        <w:t>Unterscheidungsmerkmale nach Absatz 5a.</w:t>
      </w:r>
    </w:p>
    <w:p>
      <w:r>
        <w:t>(5) Das Bundeszentralamt für Steuern speichert zu Personenvereinigungen folgende Daten:</w:t>
      </w:r>
    </w:p>
    <w:p>
      <w:pPr>
        <w:tabs>
          <w:tab w:pos="567" w:val="left"/>
        </w:tabs>
        <w:ind w:left="567" w:hanging="567"/>
      </w:pPr>
      <w:r>
        <w:t>1.</w:t>
      </w:r>
      <w:r>
        <w:tab/>
      </w:r>
      <w:r>
        <w:t>Wirtschafts-Identifikationsnummer,</w:t>
      </w:r>
    </w:p>
    <w:p>
      <w:pPr>
        <w:tabs>
          <w:tab w:pos="567" w:val="left"/>
        </w:tabs>
        <w:ind w:left="567" w:hanging="567"/>
      </w:pPr>
      <w:r>
        <w:t>2.</w:t>
      </w:r>
      <w:r>
        <w:tab/>
      </w:r>
      <w:r>
        <w:t>Identifikationsmerkmale der gesetzlichen Vertreter,</w:t>
      </w:r>
    </w:p>
    <w:p>
      <w:pPr>
        <w:tabs>
          <w:tab w:pos="567" w:val="left"/>
        </w:tabs>
        <w:ind w:left="567" w:hanging="567"/>
      </w:pPr>
      <w:r>
        <w:t>3.</w:t>
      </w:r>
      <w:r>
        <w:tab/>
      </w:r>
      <w:r>
        <w:t>Identifikationsmerkmale der Beteiligten,</w:t>
      </w:r>
    </w:p>
    <w:p>
      <w:pPr>
        <w:tabs>
          <w:tab w:pos="567" w:val="left"/>
        </w:tabs>
        <w:ind w:left="567" w:hanging="567"/>
      </w:pPr>
      <w:r>
        <w:t>4.</w:t>
      </w:r>
      <w:r>
        <w:tab/>
      </w:r>
      <w:r>
        <w:t>Firma (§§ 17ff. des Handelsgesetzbuchs) oder Name der Personenvereinigung,</w:t>
      </w:r>
    </w:p>
    <w:p>
      <w:pPr>
        <w:tabs>
          <w:tab w:pos="567" w:val="left"/>
        </w:tabs>
        <w:ind w:left="567" w:hanging="567"/>
      </w:pPr>
      <w:r>
        <w:t>5.</w:t>
      </w:r>
      <w:r>
        <w:tab/>
      </w:r>
      <w:r>
        <w:t>frühere Firmennamen oder Namen der Personenvereinigung,</w:t>
      </w:r>
    </w:p>
    <w:p>
      <w:pPr>
        <w:tabs>
          <w:tab w:pos="567" w:val="left"/>
        </w:tabs>
        <w:ind w:left="567" w:hanging="567"/>
      </w:pPr>
      <w:r>
        <w:t>6.</w:t>
      </w:r>
      <w:r>
        <w:tab/>
      </w:r>
      <w:r>
        <w:t>Rechtsform,</w:t>
      </w:r>
    </w:p>
    <w:p>
      <w:pPr>
        <w:tabs>
          <w:tab w:pos="567" w:val="left"/>
        </w:tabs>
        <w:ind w:left="567" w:hanging="567"/>
      </w:pPr>
      <w:r>
        <w:t>7.</w:t>
      </w:r>
      <w:r>
        <w:tab/>
      </w:r>
      <w:r>
        <w:t>Wirtschaftszweignummer,</w:t>
      </w:r>
    </w:p>
    <w:p>
      <w:pPr>
        <w:tabs>
          <w:tab w:pos="567" w:val="left"/>
        </w:tabs>
        <w:ind w:left="567" w:hanging="567"/>
      </w:pPr>
      <w:r>
        <w:t>8.</w:t>
      </w:r>
      <w:r>
        <w:tab/>
      </w:r>
      <w:r>
        <w:t>amtlicher Gemeindeschlüssel,</w:t>
      </w:r>
    </w:p>
    <w:p>
      <w:pPr>
        <w:tabs>
          <w:tab w:pos="567" w:val="left"/>
        </w:tabs>
        <w:ind w:left="567" w:hanging="567"/>
      </w:pPr>
      <w:r>
        <w:t>9.</w:t>
      </w:r>
      <w:r>
        <w:tab/>
      </w:r>
      <w:r>
        <w:t xml:space="preserve">Sitz gemäß </w:t>
      </w:r>
      <w:hyperlink w:anchor="b14" w:history="1">
        <w:r>
          <w:rPr>
            <w:color w:val="0A3A8C"/>
            <w:u w:val="single"/>
          </w:rPr>
          <w:t xml:space="preserve">§ 11</w:t>
        </w:r>
      </w:hyperlink>
      <w:r>
        <w:t>, insbesondere Ort der Geschäftsleitung,</w:t>
      </w:r>
    </w:p>
    <w:p>
      <w:pPr>
        <w:tabs>
          <w:tab w:pos="567" w:val="left"/>
        </w:tabs>
        <w:ind w:left="567" w:hanging="567"/>
      </w:pPr>
      <w:r>
        <w:t>10.</w:t>
      </w:r>
      <w:r>
        <w:tab/>
      </w:r>
      <w:r>
        <w:t>Datum des Gesellschaftsvertrags,</w:t>
      </w:r>
    </w:p>
    <w:p>
      <w:pPr>
        <w:tabs>
          <w:tab w:pos="567" w:val="left"/>
        </w:tabs>
        <w:ind w:left="567" w:hanging="567"/>
      </w:pPr>
      <w:r>
        <w:t>11.</w:t>
      </w:r>
      <w:r>
        <w:tab/>
      </w:r>
      <w:r>
        <w:t>Eintrag im Handels-, Partnerschafts- oder Gesellschaftsregister (Registergericht einschließlich Altgericht, Datum und Nummer der Eintragung),</w:t>
      </w:r>
    </w:p>
    <w:p>
      <w:pPr>
        <w:tabs>
          <w:tab w:pos="567" w:val="left"/>
        </w:tabs>
        <w:ind w:left="567" w:hanging="567"/>
      </w:pPr>
      <w:r>
        <w:t>12.</w:t>
      </w:r>
      <w:r>
        <w:tab/>
      </w:r>
      <w:r>
        <w:t>Datum der Betriebseröffnung oder Zeitpunkt der Aufnahme der Tätigkeit,</w:t>
      </w:r>
    </w:p>
    <w:p>
      <w:pPr>
        <w:tabs>
          <w:tab w:pos="567" w:val="left"/>
        </w:tabs>
        <w:ind w:left="567" w:hanging="567"/>
      </w:pPr>
      <w:r>
        <w:t>13.</w:t>
      </w:r>
      <w:r>
        <w:tab/>
      </w:r>
      <w:r>
        <w:t>Datum der Betriebseinstellung oder Zeitpunkt der Beendigung der Tätigkeit,</w:t>
      </w:r>
    </w:p>
    <w:p>
      <w:pPr>
        <w:tabs>
          <w:tab w:pos="567" w:val="left"/>
        </w:tabs>
        <w:ind w:left="567" w:hanging="567"/>
      </w:pPr>
      <w:r>
        <w:t>14.</w:t>
      </w:r>
      <w:r>
        <w:tab/>
      </w:r>
      <w:r>
        <w:t>Zeitpunkt der Auflösung,</w:t>
      </w:r>
    </w:p>
    <w:p>
      <w:pPr>
        <w:tabs>
          <w:tab w:pos="567" w:val="left"/>
        </w:tabs>
        <w:ind w:left="567" w:hanging="567"/>
      </w:pPr>
      <w:r>
        <w:t>15.</w:t>
      </w:r>
      <w:r>
        <w:tab/>
      </w:r>
      <w:r>
        <w:t>Zeitpunkt der Beendigung,</w:t>
      </w:r>
    </w:p>
    <w:p>
      <w:pPr>
        <w:tabs>
          <w:tab w:pos="567" w:val="left"/>
        </w:tabs>
        <w:ind w:left="567" w:hanging="567"/>
      </w:pPr>
      <w:r>
        <w:t>16.</w:t>
      </w:r>
      <w:r>
        <w:tab/>
      </w:r>
      <w:r>
        <w:t>Datum der Löschung im Register,</w:t>
      </w:r>
    </w:p>
    <w:p>
      <w:pPr>
        <w:tabs>
          <w:tab w:pos="567" w:val="left"/>
        </w:tabs>
        <w:ind w:left="567" w:hanging="567"/>
      </w:pPr>
      <w:r>
        <w:t>17.</w:t>
      </w:r>
      <w:r>
        <w:tab/>
      </w:r>
      <w:r>
        <w:t>verbundene Unternehmen,</w:t>
      </w:r>
    </w:p>
    <w:p>
      <w:pPr>
        <w:tabs>
          <w:tab w:pos="567" w:val="left"/>
        </w:tabs>
        <w:ind w:left="567" w:hanging="567"/>
      </w:pPr>
      <w:r>
        <w:t>18.</w:t>
      </w:r>
      <w:r>
        <w:tab/>
      </w:r>
      <w:r>
        <w:t>zuständige Finanzbehörden,</w:t>
      </w:r>
    </w:p>
    <w:p>
      <w:pPr>
        <w:tabs>
          <w:tab w:pos="567" w:val="left"/>
        </w:tabs>
        <w:ind w:left="567" w:hanging="567"/>
      </w:pPr>
      <w:r>
        <w:t>19.</w:t>
      </w:r>
      <w:r>
        <w:tab/>
      </w:r>
      <w:r>
        <w:t>Unterscheidungsmerkmale nach Absatz 5a.</w:t>
      </w:r>
    </w:p>
    <w:p>
      <w:r>
        <w:t xml:space="preserve">(5a) </w:t>
      </w:r>
      <w:r>
        <w:rPr>
          <w:rStyle w:val="Satznummer"/>
        </w:rPr>
        <w:t>1</w:t>
      </w:r>
      <w:r>
        <w:t>Bei jedem wirtschaftlich Tätigen (</w:t>
      </w:r>
      <w:hyperlink w:anchor="b233" w:history="1">
        <w:r>
          <w:rPr>
            <w:color w:val="0A3A8C"/>
            <w:u w:val="single"/>
          </w:rPr>
          <w:t xml:space="preserve">§ 139a</w:t>
        </w:r>
      </w:hyperlink>
      <w:r>
        <w:t xml:space="preserve"> Absatz 3) wird die Wirtschafts-Identifikationsnummer für jede einzelne seiner wirtschaftlichen Tätigkeiten, jeden seiner Betriebe sowie für jede seiner Betriebstätten um ein fünfstelliges Unterscheidungsmerkmal ergänzt, so dass die Tätigkeiten, Betriebe und Betriebstätten des wirtschaftlich Tätigen in Besteuerungsverfahren eindeutig identifiziert werden können. </w:t>
      </w:r>
      <w:r>
        <w:rPr>
          <w:rStyle w:val="Satznummer"/>
        </w:rPr>
        <w:t>2</w:t>
      </w:r>
      <w:r>
        <w:t xml:space="preserve">Der ersten wirtschaftlichen Tätigkeit des wirtschaftlich Tätigen, seinem ersten Betrieb oder seiner ersten Betriebstätte wird vom Bundeszentralamt für Steuern hierbei das Unterscheidungsmerkmal 00001 zugeordnet. </w:t>
      </w:r>
      <w:r>
        <w:rPr>
          <w:rStyle w:val="Satznummer"/>
        </w:rPr>
        <w:t>3</w:t>
      </w:r>
      <w:r>
        <w:t xml:space="preserve">Jeder weiteren wirtschaftlichen Tätigkeit, jedem weiteren Betrieb sowie jeder weiteren Betriebstätte des wirtschaftlich Tätigen ordnet das Bundeszentralamt für Steuern auf Anforderung der zuständigen Finanzbehörde fortlaufend ein eigenes Unterscheidungsmerkmal zu. </w:t>
      </w:r>
      <w:r>
        <w:rPr>
          <w:rStyle w:val="Satznummer"/>
        </w:rPr>
        <w:t>4</w:t>
      </w:r>
      <w:r>
        <w:t>Das Bundeszentralamt für Steuern speichert zu den einzelnen wirtschaftlichen Tätigkeiten, den einzelnen Betrieben sowie den einzelnen Betriebstätten des wirtschaftlich Tätigen folgende Daten:</w:t>
      </w:r>
    </w:p>
    <w:p>
      <w:pPr>
        <w:tabs>
          <w:tab w:pos="567" w:val="left"/>
        </w:tabs>
        <w:ind w:left="567" w:hanging="567"/>
      </w:pPr>
      <w:r>
        <w:t>1.</w:t>
      </w:r>
      <w:r>
        <w:tab/>
      </w:r>
      <w:r>
        <w:t>Unterscheidungsmerkmal,</w:t>
      </w:r>
    </w:p>
    <w:p>
      <w:pPr>
        <w:tabs>
          <w:tab w:pos="567" w:val="left"/>
        </w:tabs>
        <w:ind w:left="567" w:hanging="567"/>
      </w:pPr>
      <w:r>
        <w:t>2.</w:t>
      </w:r>
      <w:r>
        <w:tab/>
      </w:r>
      <w:r>
        <w:t>Wirtschafts-Identifikationsnummer des wirtschaftlich Tätigen,</w:t>
      </w:r>
    </w:p>
    <w:p>
      <w:pPr>
        <w:tabs>
          <w:tab w:pos="567" w:val="left"/>
        </w:tabs>
        <w:ind w:left="567" w:hanging="567"/>
      </w:pPr>
      <w:r>
        <w:t>3.</w:t>
      </w:r>
      <w:r>
        <w:tab/>
      </w:r>
      <w:r>
        <w:t>Firma (</w:t>
      </w:r>
      <w:hyperlink w:anchor="b23" w:history="1">
        <w:r>
          <w:rPr>
            <w:color w:val="0A3A8C"/>
            <w:u w:val="single"/>
          </w:rPr>
          <w:t xml:space="preserve">§§ 17</w:t>
        </w:r>
      </w:hyperlink>
      <w:r>
        <w:t xml:space="preserve"> ff. des Handelsgesetzbuchs) oder Name der wirtschaftlichen Tätigkeit, des Betriebes oder der Betriebstätte,</w:t>
      </w:r>
    </w:p>
    <w:p>
      <w:pPr>
        <w:tabs>
          <w:tab w:pos="567" w:val="left"/>
        </w:tabs>
        <w:ind w:left="567" w:hanging="567"/>
      </w:pPr>
      <w:r>
        <w:t>4.</w:t>
      </w:r>
      <w:r>
        <w:tab/>
      </w:r>
      <w:r>
        <w:t>frühere Firmennamen oder Namen der wirtschaftlichen Tätigkeit, des Betriebes oder der Betriebstätte,</w:t>
      </w:r>
    </w:p>
    <w:p>
      <w:pPr>
        <w:tabs>
          <w:tab w:pos="567" w:val="left"/>
        </w:tabs>
        <w:ind w:left="567" w:hanging="567"/>
      </w:pPr>
      <w:r>
        <w:t>5.</w:t>
      </w:r>
      <w:r>
        <w:tab/>
      </w:r>
      <w:r>
        <w:t>Rechtsform,</w:t>
      </w:r>
    </w:p>
    <w:p>
      <w:pPr>
        <w:tabs>
          <w:tab w:pos="567" w:val="left"/>
        </w:tabs>
        <w:ind w:left="567" w:hanging="567"/>
      </w:pPr>
      <w:r>
        <w:t>6.</w:t>
      </w:r>
      <w:r>
        <w:tab/>
      </w:r>
      <w:r>
        <w:t>Wirtschaftszweignummer,</w:t>
      </w:r>
    </w:p>
    <w:p>
      <w:pPr>
        <w:tabs>
          <w:tab w:pos="567" w:val="left"/>
        </w:tabs>
        <w:ind w:left="567" w:hanging="567"/>
      </w:pPr>
      <w:r>
        <w:t>7.</w:t>
      </w:r>
      <w:r>
        <w:tab/>
      </w:r>
      <w:r>
        <w:t>amtlicher Gemeindeschlüssel,</w:t>
      </w:r>
    </w:p>
    <w:p>
      <w:pPr>
        <w:tabs>
          <w:tab w:pos="567" w:val="left"/>
        </w:tabs>
        <w:ind w:left="567" w:hanging="567"/>
      </w:pPr>
      <w:r>
        <w:t>8.</w:t>
      </w:r>
      <w:r>
        <w:tab/>
      </w:r>
      <w:r>
        <w:t>Anschrift der wirtschaftlichen Tätigkeit, des Betriebes oder der Betriebstätte,</w:t>
      </w:r>
    </w:p>
    <w:p>
      <w:pPr>
        <w:tabs>
          <w:tab w:pos="567" w:val="left"/>
        </w:tabs>
        <w:ind w:left="567" w:hanging="567"/>
      </w:pPr>
      <w:r>
        <w:t>9.</w:t>
      </w:r>
      <w:r>
        <w:tab/>
      </w:r>
      <w:r>
        <w:t>Registereintrag (Registergericht, Datum und Nummer der Eintragung),</w:t>
      </w:r>
    </w:p>
    <w:p>
      <w:pPr>
        <w:tabs>
          <w:tab w:pos="567" w:val="left"/>
        </w:tabs>
        <w:ind w:left="567" w:hanging="567"/>
      </w:pPr>
      <w:r>
        <w:t>10.</w:t>
      </w:r>
      <w:r>
        <w:tab/>
      </w:r>
      <w:r>
        <w:t>Datum der Eröffnung des Betriebes oder der Betriebstätte oder Zeitpunkt der Aufnahme der wirtschaftlichen Tätigkeit,</w:t>
      </w:r>
    </w:p>
    <w:p>
      <w:pPr>
        <w:tabs>
          <w:tab w:pos="567" w:val="left"/>
        </w:tabs>
        <w:ind w:left="567" w:hanging="567"/>
      </w:pPr>
      <w:r>
        <w:t>11.</w:t>
      </w:r>
      <w:r>
        <w:tab/>
      </w:r>
      <w:r>
        <w:t>Datum der Einstellung des Betriebes oder der Betriebstätte oder Zeitpunkt der Beendigung der wirtschaftlichen Tätigkeit,</w:t>
      </w:r>
    </w:p>
    <w:p>
      <w:pPr>
        <w:tabs>
          <w:tab w:pos="567" w:val="left"/>
        </w:tabs>
        <w:ind w:left="567" w:hanging="567"/>
      </w:pPr>
      <w:r>
        <w:t>12.</w:t>
      </w:r>
      <w:r>
        <w:tab/>
      </w:r>
      <w:r>
        <w:t>Datum der Löschung im Register,</w:t>
      </w:r>
    </w:p>
    <w:p>
      <w:pPr>
        <w:tabs>
          <w:tab w:pos="567" w:val="left"/>
        </w:tabs>
        <w:ind w:left="567" w:hanging="567"/>
      </w:pPr>
      <w:r>
        <w:t>13.</w:t>
      </w:r>
      <w:r>
        <w:tab/>
      </w:r>
      <w:r>
        <w:t>zuständige Finanzbehörden.</w:t>
      </w:r>
    </w:p>
    <w:p>
      <w:r>
        <w:t>(6) Die Speicherung der in den Absätzen 3 bis 5a aufgeführten Daten erfolgt, um</w:t>
      </w:r>
    </w:p>
    <w:p>
      <w:pPr>
        <w:tabs>
          <w:tab w:pos="567" w:val="left"/>
        </w:tabs>
        <w:ind w:left="567" w:hanging="567"/>
      </w:pPr>
      <w:r>
        <w:t>1.</w:t>
      </w:r>
      <w:r>
        <w:tab/>
      </w:r>
      <w:r>
        <w:t>sicherzustellen, dass eine vergebene Wirtschafts-Identifikationsnummer nicht noch einmal für einen anderen wirtschaftlich Tätigen verwendet wird,</w:t>
      </w:r>
    </w:p>
    <w:p>
      <w:pPr>
        <w:tabs>
          <w:tab w:pos="567" w:val="left"/>
        </w:tabs>
        <w:ind w:left="567" w:hanging="567"/>
      </w:pPr>
      <w:r>
        <w:t>2.</w:t>
      </w:r>
      <w:r>
        <w:tab/>
      </w:r>
      <w:r>
        <w:t>für einen wirtschaftlich Tätigen die vergebene Wirtschafts-Identifikationsnummer festzustellen,</w:t>
      </w:r>
    </w:p>
    <w:p>
      <w:pPr>
        <w:tabs>
          <w:tab w:pos="567" w:val="left"/>
        </w:tabs>
        <w:ind w:left="567" w:hanging="567"/>
      </w:pPr>
      <w:r>
        <w:t>3.</w:t>
      </w:r>
      <w:r>
        <w:tab/>
      </w:r>
      <w:r>
        <w:t>zu erkennen, welche Finanzbehörden zuständig sind,</w:t>
      </w:r>
    </w:p>
    <w:p>
      <w:pPr>
        <w:tabs>
          <w:tab w:pos="567" w:val="left"/>
        </w:tabs>
        <w:ind w:left="567" w:hanging="567"/>
      </w:pPr>
      <w:r>
        <w:t>4.</w:t>
      </w:r>
      <w:r>
        <w:tab/>
      </w:r>
      <w:r>
        <w:t>Daten, die auf Grund eines Gesetzes oder nach über- und zwischenstaatlichem Recht entgegenzunehmen sind, an die zuständigen Stellen weiterleiten zu können,</w:t>
      </w:r>
    </w:p>
    <w:p>
      <w:pPr>
        <w:tabs>
          <w:tab w:pos="567" w:val="left"/>
        </w:tabs>
        <w:ind w:left="567" w:hanging="567"/>
      </w:pPr>
      <w:r>
        <w:t>5.</w:t>
      </w:r>
      <w:r>
        <w:tab/>
      </w:r>
      <w:r>
        <w:t>den Finanzbehörden die Erfüllung der ihnen durch Rechtsvorschrift zugewiesenen Aufgaben zu ermöglichen.</w:t>
      </w:r>
    </w:p>
    <w:p>
      <w:r>
        <w:t>(6a) Die in Absatz 3 Nummer 1, 3, 5, 7, 8 und 9, in Absatz 4 Nummer 1, 3, 5, 7, 8 und 10 sowie in Absatz 5 Nummer 1, 4, 6, 8, 9 und 11 aufgeführten Daten werden bei einem Unternehmen im Sinne des Unternehmensbasisdatenregistergesetzes, das ein Nutzerkonto im Sinne des § 2 Absatz 5 des Onlinezugangsgesetzes nutzt, auch zum Nachweis der Identität als Nutzer dieses Nutzerkontos gespeichert; diese Daten dürfen auf Veranlassung des Nutzers eines Nutzerkontos elektronisch an das Nutzerkonto übermittelt werden.</w:t>
      </w:r>
    </w:p>
    <w:p>
      <w:r>
        <w:t>(7) Die in Absatz 3 aufgeführten Daten dürfen nur für die in Absatz 6 genannten Zwecke verarbeitet werden, es sei denn, eine Rechtsvorschrift sieht eine andere Verarbeitung ausdrücklich vor.</w:t>
      </w:r>
    </w:p>
    <w:p>
      <w:pPr>
        <w:pStyle w:val="Heading4"/>
      </w:pPr>
      <w:bookmarkStart w:id="238" w:name="b236"/>
      <w:r>
        <w:t>§ 139d Verordnungsermächtigung</w:t>
      </w:r>
      <w:r>
        <w:t xml:space="preserve"> </w:t>
      </w:r>
      <w:r>
        <w:rPr>
          <w:rStyle w:val="Suchmarke"/>
        </w:rPr>
        <w:t>#139d#</w:t>
      </w:r>
      <w:bookmarkEnd w:id="238"/>
    </w:p>
    <w:p>
      <w:r>
        <w:t>Die Bundesregierung bestimmt durch Rechtsverordnung mit Zustimmung des Bundesrates:</w:t>
      </w:r>
    </w:p>
    <w:p>
      <w:pPr>
        <w:tabs>
          <w:tab w:pos="567" w:val="left"/>
        </w:tabs>
        <w:ind w:left="567" w:hanging="567"/>
      </w:pPr>
      <w:r>
        <w:t>1.</w:t>
      </w:r>
      <w:r>
        <w:tab/>
      </w:r>
      <w:r>
        <w:t xml:space="preserve">organisatorische und technische Maßnahmen zur Wahrung des Steuergeheimnisses, insbesondere zur Verhinderung eines unbefugten Zugangs zu Daten, die durch </w:t>
      </w:r>
      <w:hyperlink w:anchor="b42" w:history="1">
        <w:r>
          <w:rPr>
            <w:color w:val="0A3A8C"/>
            <w:u w:val="single"/>
          </w:rPr>
          <w:t xml:space="preserve">§ 30</w:t>
        </w:r>
      </w:hyperlink>
      <w:r>
        <w:t xml:space="preserve"> geschützt sind,</w:t>
      </w:r>
    </w:p>
    <w:p>
      <w:pPr>
        <w:tabs>
          <w:tab w:pos="567" w:val="left"/>
        </w:tabs>
        <w:ind w:left="567" w:hanging="567"/>
      </w:pPr>
      <w:r>
        <w:t>2.</w:t>
      </w:r>
      <w:r>
        <w:tab/>
      </w:r>
      <w:r>
        <w:t xml:space="preserve">Richtlinien zur Vergabe der Identifikationsnummer nach </w:t>
      </w:r>
      <w:hyperlink w:anchor="b234" w:history="1">
        <w:r>
          <w:rPr>
            <w:color w:val="0A3A8C"/>
            <w:u w:val="single"/>
          </w:rPr>
          <w:t xml:space="preserve">§ 139b</w:t>
        </w:r>
      </w:hyperlink>
      <w:r>
        <w:t xml:space="preserve"> und der Wirtschafts-Identifikationsnummer nach </w:t>
      </w:r>
      <w:hyperlink w:anchor="b235" w:history="1">
        <w:r>
          <w:rPr>
            <w:color w:val="0A3A8C"/>
            <w:u w:val="single"/>
          </w:rPr>
          <w:t xml:space="preserve">§ 139c</w:t>
        </w:r>
      </w:hyperlink>
      <w:r>
        <w:t>,</w:t>
      </w:r>
    </w:p>
    <w:p>
      <w:pPr>
        <w:tabs>
          <w:tab w:pos="567" w:val="left"/>
        </w:tabs>
        <w:ind w:left="567" w:hanging="567"/>
      </w:pPr>
      <w:r>
        <w:t>3.</w:t>
      </w:r>
      <w:r>
        <w:tab/>
      </w:r>
      <w:r>
        <w:t xml:space="preserve">Fristen, nach deren Ablauf die nach </w:t>
      </w:r>
      <w:hyperlink w:anchor="b234" w:history="1">
        <w:r>
          <w:rPr>
            <w:color w:val="0A3A8C"/>
            <w:u w:val="single"/>
          </w:rPr>
          <w:t xml:space="preserve">§§ 139b</w:t>
        </w:r>
      </w:hyperlink>
      <w:r>
        <w:t xml:space="preserve"> und </w:t>
      </w:r>
      <w:hyperlink w:anchor="b235" w:history="1">
        <w:r>
          <w:rPr>
            <w:color w:val="0A3A8C"/>
            <w:u w:val="single"/>
          </w:rPr>
          <w:t xml:space="preserve">139c</w:t>
        </w:r>
      </w:hyperlink>
      <w:r>
        <w:t xml:space="preserve"> gespeicherten Daten zu löschen sind, sowie</w:t>
      </w:r>
    </w:p>
    <w:p>
      <w:pPr>
        <w:tabs>
          <w:tab w:pos="567" w:val="left"/>
        </w:tabs>
        <w:ind w:left="567" w:hanging="567"/>
      </w:pPr>
      <w:r>
        <w:t>4.</w:t>
      </w:r>
      <w:r>
        <w:tab/>
      </w:r>
      <w:r>
        <w:t xml:space="preserve">die Form und das Verfahren der Datenübermittlungen nach </w:t>
      </w:r>
      <w:hyperlink w:anchor="b234" w:history="1">
        <w:r>
          <w:rPr>
            <w:color w:val="0A3A8C"/>
            <w:u w:val="single"/>
          </w:rPr>
          <w:t xml:space="preserve">§ 139b</w:t>
        </w:r>
      </w:hyperlink>
      <w:r>
        <w:t xml:space="preserve"> Absatz 6 bis 9.</w:t>
      </w:r>
    </w:p>
    <w:p>
      <w:pPr>
        <w:pStyle w:val="Heading4"/>
      </w:pPr>
      <w:bookmarkStart w:id="239" w:name="b237"/>
      <w:r>
        <w:t>§ 139e Direktauszahlungsmechanismus</w:t>
      </w:r>
      <w:r>
        <w:t xml:space="preserve"> </w:t>
      </w:r>
      <w:r>
        <w:rPr>
          <w:rStyle w:val="Suchmarke"/>
        </w:rPr>
        <w:t>#139e#</w:t>
      </w:r>
      <w:bookmarkEnd w:id="239"/>
    </w:p>
    <w:p>
      <w:r>
        <w:t xml:space="preserve">(1) </w:t>
      </w:r>
      <w:r>
        <w:rPr>
          <w:rStyle w:val="Satznummer"/>
        </w:rPr>
        <w:t>1</w:t>
      </w:r>
      <w:r>
        <w:t xml:space="preserve">Der Direktauszahlungsmechanismus ist die Direktauszahlung öffentlicher Mittel an natürliche Personen unter Verwendung der nach </w:t>
      </w:r>
      <w:hyperlink w:anchor="b234" w:history="1">
        <w:r>
          <w:rPr>
            <w:color w:val="0A3A8C"/>
            <w:u w:val="single"/>
          </w:rPr>
          <w:t xml:space="preserve">§ 139b</w:t>
        </w:r>
      </w:hyperlink>
      <w:r>
        <w:t xml:space="preserve"> Absatz 3 und 3a gespeicherten Daten, die durch Bundesgesetz vorgesehen ist. </w:t>
      </w:r>
      <w:r>
        <w:rPr>
          <w:rStyle w:val="Satznummer"/>
        </w:rPr>
        <w:t>2</w:t>
      </w:r>
      <w:r>
        <w:t xml:space="preserve">Zuständige Behörde für den Direktauszahlungsmechanismus ist das Bundeszentralamt für Steuern (Direktauszahlungsbehörde). </w:t>
      </w:r>
      <w:r>
        <w:rPr>
          <w:rStyle w:val="Satznummer"/>
        </w:rPr>
        <w:t>3</w:t>
      </w:r>
      <w:r>
        <w:t>Die Direktauszahlungsbehörde wird im Auftrag der nach dem jeweiligen Leistungsgesetz zuständigen Behörde (Leistungsbehörde) tätig.</w:t>
      </w:r>
    </w:p>
    <w:p>
      <w:r>
        <w:t xml:space="preserve">(2) Die Direktauszahlung von öffentlichen Mitteln nach Absatz 1 Satz 1 erfolgt unbar auf die zum Zeitpunkt des Datenabrufs nach </w:t>
      </w:r>
      <w:hyperlink w:anchor="b234" w:history="1">
        <w:r>
          <w:rPr>
            <w:color w:val="0A3A8C"/>
            <w:u w:val="single"/>
          </w:rPr>
          <w:t xml:space="preserve">§ 139b</w:t>
        </w:r>
      </w:hyperlink>
      <w:r>
        <w:t xml:space="preserve"> Absatz 3a gespeicherte Kontoverbindung.</w:t>
      </w:r>
    </w:p>
    <w:p>
      <w:r>
        <w:t>(3) Erfolgt die Direktauszahlung öffentlicher Mittel auf Antrag, so ist dieser nach amtlich bestimmten Datensatz über die amtlich bestimmte Schnittstelle elektronisch zu übermitteln.</w:t>
      </w:r>
    </w:p>
    <w:p>
      <w:r>
        <w:t xml:space="preserve">(4) </w:t>
      </w:r>
      <w:r>
        <w:rPr>
          <w:rStyle w:val="Satznummer"/>
        </w:rPr>
        <w:t>1</w:t>
      </w:r>
      <w:r>
        <w:t xml:space="preserve">Werden an die Gewährung der Leistung Voraussetzungen geknüpft, die nicht aus den nach </w:t>
      </w:r>
      <w:hyperlink w:anchor="b234" w:history="1">
        <w:r>
          <w:rPr>
            <w:color w:val="0A3A8C"/>
            <w:u w:val="single"/>
          </w:rPr>
          <w:t xml:space="preserve">§ 139b</w:t>
        </w:r>
      </w:hyperlink>
      <w:r>
        <w:t xml:space="preserve"> gespeicherten Daten bestimmt oder über amtlich bestimmte Schnittstellen der Direktauszahlungsbehörde zu anderen datenverwaltenden Stellen automatisiert bezogen werden können, sind die erforderlichen Daten von der Leistungsbehörde bei den öffentlichen Stellen zu erheben, die diese Daten verarbeiten. </w:t>
      </w:r>
      <w:r>
        <w:rPr>
          <w:rStyle w:val="Satznummer"/>
        </w:rPr>
        <w:t>2</w:t>
      </w:r>
      <w:r>
        <w:t>Die Leistungsbehörde teilt der Direktauszahlungsbehörde das Ergebnis der Prüfung nach amtlich bestimmten Datensatz über die amtlich bestimmte Schnittstelle mit.</w:t>
      </w:r>
    </w:p>
    <w:p>
      <w:r>
        <w:t xml:space="preserve">(5) </w:t>
      </w:r>
      <w:r>
        <w:rPr>
          <w:rStyle w:val="Satznummer"/>
        </w:rPr>
        <w:t>1</w:t>
      </w:r>
      <w:r>
        <w:t xml:space="preserve">Die Gutschrift auf die nach Absatz 2 gespeicherte Kontoverbindung (Direktauszahlung) ist ein Verwaltungsakt nach dem jeweiligen Leistungsgesetz, der nicht schriftlich zu bestätigen ist sowie keiner Begründung und keiner gesonderten Rechtsbehelfsbelehrung bedarf. </w:t>
      </w:r>
      <w:r>
        <w:rPr>
          <w:rStyle w:val="Satznummer"/>
        </w:rPr>
        <w:t>2</w:t>
      </w:r>
      <w:r>
        <w:t xml:space="preserve">Der Verwaltungsakt wird durch die Gutschrift bekannt gegeben. </w:t>
      </w:r>
      <w:r>
        <w:rPr>
          <w:rStyle w:val="Satznummer"/>
        </w:rPr>
        <w:t>3</w:t>
      </w:r>
      <w:r>
        <w:t xml:space="preserve">Andere Verwaltungsakte werden durch Bereitstellung zum Datenabruf bekannt gegeben. </w:t>
      </w:r>
      <w:r>
        <w:rPr>
          <w:rStyle w:val="Satznummer"/>
        </w:rPr>
        <w:t>4</w:t>
      </w:r>
      <w:r>
        <w:t xml:space="preserve">Für die Durchführung von Rechtsbehelfsverfahren ist die Leistungsbehörde zuständig. </w:t>
      </w:r>
      <w:r>
        <w:rPr>
          <w:rStyle w:val="Satznummer"/>
        </w:rPr>
        <w:t>5</w:t>
      </w:r>
      <w:r>
        <w:t>Im Übrigen gelten die für das Leistungsgesetz maßgebenden Vorschriften über das Verwaltungs- sowie das Gerichtsverfahren.</w:t>
      </w:r>
    </w:p>
    <w:p>
      <w:pPr>
        <w:pStyle w:val="Heading2"/>
      </w:pPr>
      <w:bookmarkStart w:id="240" w:name="b238"/>
      <w:r>
        <w:t>Zweiter Abschnitt Mitwirkungspflichten</w:t>
      </w:r>
      <w:bookmarkEnd w:id="240"/>
    </w:p>
    <w:p>
      <w:pPr>
        <w:pStyle w:val="Heading3"/>
      </w:pPr>
      <w:bookmarkStart w:id="241" w:name="b239"/>
      <w:r>
        <w:t>1. Unterabschnitt Führung von Büchern und Aufzeichnungen</w:t>
      </w:r>
      <w:bookmarkEnd w:id="241"/>
    </w:p>
    <w:p>
      <w:pPr>
        <w:pStyle w:val="Heading4"/>
      </w:pPr>
      <w:bookmarkStart w:id="242" w:name="b240"/>
      <w:r>
        <w:t>§ 140 Buchführungs- und Aufzeichnungspflichten nach anderen Gesetzen</w:t>
      </w:r>
      <w:r>
        <w:t xml:space="preserve"> </w:t>
      </w:r>
      <w:r>
        <w:rPr>
          <w:rStyle w:val="Suchmarke"/>
        </w:rPr>
        <w:t>#140#</w:t>
      </w:r>
      <w:bookmarkEnd w:id="242"/>
    </w:p>
    <w:p>
      <w:r>
        <w:t>Wer nach anderen Gesetzen als den Steuergesetzen Bücher und Aufzeichnungen zu führen hat, die für die Besteuerung von Bedeutung sind, hat die Verpflichtungen, die ihm nach den anderen Gesetzen obliegen, auch für die Besteuerung zu erfüllen.</w:t>
      </w:r>
    </w:p>
    <w:p>
      <w:pPr>
        <w:pStyle w:val="Heading4"/>
      </w:pPr>
      <w:bookmarkStart w:id="243" w:name="b241"/>
      <w:r>
        <w:t>§ 141 Buchführungspflicht bestimmter Steuerpflichtiger</w:t>
      </w:r>
      <w:r>
        <w:t xml:space="preserve"> </w:t>
      </w:r>
      <w:r>
        <w:rPr>
          <w:rStyle w:val="Suchmarke"/>
        </w:rPr>
        <w:t>#141#</w:t>
      </w:r>
      <w:bookmarkEnd w:id="243"/>
    </w:p>
    <w:p>
      <w:r>
        <w:t xml:space="preserve">(1) </w:t>
      </w:r>
      <w:r>
        <w:rPr>
          <w:rStyle w:val="Satznummer"/>
        </w:rPr>
        <w:t>1</w:t>
      </w:r>
      <w:r>
        <w:t>Gewerbliche Unternehmer sowie Land- und Forstwirte, die nach den Feststellungen der Finanzbehörde für den einzelnen Betrieb</w:t>
      </w:r>
    </w:p>
    <w:p>
      <w:pPr>
        <w:tabs>
          <w:tab w:pos="567" w:val="left"/>
        </w:tabs>
        <w:ind w:left="567" w:hanging="567"/>
      </w:pPr>
      <w:r>
        <w:t>1.</w:t>
      </w:r>
      <w:r>
        <w:tab/>
      </w:r>
      <w:r>
        <w:t>einen Gesamtumsatz im Sinne des § 19 Absatz 2 Satz 1 des Umsatzsteuergesetzes von mehr als 800 000 Euro im Kalenderjahr oder</w:t>
      </w:r>
    </w:p>
    <w:p>
      <w:pPr>
        <w:tabs>
          <w:tab w:pos="567" w:val="left"/>
        </w:tabs>
        <w:ind w:left="567" w:hanging="567"/>
      </w:pPr>
      <w:r>
        <w:t>2.</w:t>
      </w:r>
      <w:r>
        <w:tab/>
      </w:r>
      <w:r>
        <w:t>(weggefallen)</w:t>
      </w:r>
    </w:p>
    <w:p>
      <w:pPr>
        <w:tabs>
          <w:tab w:pos="567" w:val="left"/>
        </w:tabs>
        <w:ind w:left="567" w:hanging="567"/>
      </w:pPr>
      <w:r>
        <w:t>3.</w:t>
      </w:r>
      <w:r>
        <w:tab/>
      </w:r>
      <w:r>
        <w:t>(weggefallen)</w:t>
      </w:r>
    </w:p>
    <w:p>
      <w:pPr>
        <w:tabs>
          <w:tab w:pos="567" w:val="left"/>
        </w:tabs>
        <w:ind w:left="567" w:hanging="567"/>
      </w:pPr>
      <w:r>
        <w:t>4.</w:t>
      </w:r>
      <w:r>
        <w:tab/>
      </w:r>
      <w:r>
        <w:t>einen Gewinn aus Gewerbebetrieb von mehr als 80 000 Euro im Wirtschaftsjahr oder</w:t>
      </w:r>
    </w:p>
    <w:p>
      <w:pPr>
        <w:tabs>
          <w:tab w:pos="567" w:val="left"/>
        </w:tabs>
        <w:ind w:left="567" w:hanging="567"/>
      </w:pPr>
      <w:r>
        <w:t>5.</w:t>
      </w:r>
      <w:r>
        <w:tab/>
      </w:r>
      <w:r>
        <w:t>einen Gewinn aus Land- und Forstwirtschaft von mehr als 80 000 Euro im Kalenderjahr</w:t>
      </w:r>
    </w:p>
    <w:p>
      <w:r>
        <w:t xml:space="preserve">gehabt haben, sind auch dann verpflichtet, für diesen Betrieb Bücher zu führen und auf Grund jährlicher Bestandsaufnahmen Abschlüsse zu machen, wenn sich eine Buchführungspflicht nicht aus </w:t>
      </w:r>
      <w:hyperlink w:anchor="b240" w:history="1">
        <w:r>
          <w:rPr>
            <w:color w:val="0A3A8C"/>
            <w:u w:val="single"/>
          </w:rPr>
          <w:t xml:space="preserve">§ 140</w:t>
        </w:r>
      </w:hyperlink>
      <w:r>
        <w:t xml:space="preserve"> ergibt. </w:t>
      </w:r>
      <w:r>
        <w:rPr>
          <w:rStyle w:val="Satznummer"/>
        </w:rPr>
        <w:t>2</w:t>
      </w:r>
      <w:r>
        <w:t xml:space="preserve">Die </w:t>
      </w:r>
      <w:hyperlink w:anchor="b376" w:history="1">
        <w:r>
          <w:rPr>
            <w:color w:val="0A3A8C"/>
            <w:u w:val="single"/>
          </w:rPr>
          <w:t xml:space="preserve">§§ 238</w:t>
        </w:r>
      </w:hyperlink>
      <w:r>
        <w:t xml:space="preserve">, </w:t>
      </w:r>
      <w:hyperlink w:anchor="b379" w:history="1">
        <w:r>
          <w:rPr>
            <w:color w:val="0A3A8C"/>
            <w:u w:val="single"/>
          </w:rPr>
          <w:t xml:space="preserve">240</w:t>
        </w:r>
      </w:hyperlink>
      <w:r>
        <w:t xml:space="preserve">, </w:t>
      </w:r>
      <w:hyperlink w:anchor="b381" w:history="1">
        <w:r>
          <w:rPr>
            <w:color w:val="0A3A8C"/>
            <w:u w:val="single"/>
          </w:rPr>
          <w:t xml:space="preserve">241</w:t>
        </w:r>
      </w:hyperlink>
      <w:r>
        <w:t xml:space="preserve">, </w:t>
      </w:r>
      <w:hyperlink w:anchor="b382" w:history="1">
        <w:r>
          <w:rPr>
            <w:color w:val="0A3A8C"/>
            <w:u w:val="single"/>
          </w:rPr>
          <w:t xml:space="preserve">242</w:t>
        </w:r>
      </w:hyperlink>
      <w:r>
        <w:t xml:space="preserve"> Absatz 1 und die §§ 243 bis 256 des Handelsgesetzbuchs gelten sinngemäß, sofern sich nicht aus den Steuergesetzen etwas anderes ergibt.</w:t>
      </w:r>
    </w:p>
    <w:p>
      <w:r>
        <w:t xml:space="preserve">(2) </w:t>
      </w:r>
      <w:r>
        <w:rPr>
          <w:rStyle w:val="Satznummer"/>
        </w:rPr>
        <w:t>1</w:t>
      </w:r>
      <w:r>
        <w:t xml:space="preserve">Die Verpflichtung nach Absatz 1 ist vom Beginn des Wirtschaftsjahrs an zu erfüllen, das auf die Bekanntgabe der Mitteilung folgt, durch die die Finanzbehörde auf den Beginn dieser Verpflichtung hingewiesen hat. </w:t>
      </w:r>
      <w:r>
        <w:rPr>
          <w:rStyle w:val="Satznummer"/>
        </w:rPr>
        <w:t>2</w:t>
      </w:r>
      <w:r>
        <w:t>Die Verpflichtung endet mit dem Ablauf des Wirtschaftsjahrs, das auf das Wirtschaftsjahr folgt, in dem die Finanzbehörde feststellt, dass die Voraussetzungen nach Absatz 1 nicht mehr vorliegen.</w:t>
      </w:r>
    </w:p>
    <w:p>
      <w:r>
        <w:t xml:space="preserve">(3) </w:t>
      </w:r>
      <w:r>
        <w:rPr>
          <w:rStyle w:val="Satznummer"/>
        </w:rPr>
        <w:t>1</w:t>
      </w:r>
      <w:r>
        <w:t xml:space="preserve">Die Buchführungspflicht geht auf denjenigen über, der den Betrieb im Ganzen zur Bewirtschaftung als Eigentümer oder Nutzungsberechtigter übernimmt. </w:t>
      </w:r>
      <w:r>
        <w:rPr>
          <w:rStyle w:val="Satznummer"/>
        </w:rPr>
        <w:t>2</w:t>
      </w:r>
      <w:r>
        <w:t>Ein Hinweis nach Absatz 2 auf den Beginn der Buchführungspflicht ist nicht erforderlich.</w:t>
      </w:r>
    </w:p>
    <w:p>
      <w:pPr>
        <w:pStyle w:val="Heading4"/>
      </w:pPr>
      <w:bookmarkStart w:id="244" w:name="b242"/>
      <w:r>
        <w:t>§ 142 Ergänzende Vorschriften für Land- und Forstwirte</w:t>
      </w:r>
      <w:r>
        <w:t xml:space="preserve"> </w:t>
      </w:r>
      <w:r>
        <w:rPr>
          <w:rStyle w:val="Suchmarke"/>
        </w:rPr>
        <w:t>#142#</w:t>
      </w:r>
      <w:bookmarkEnd w:id="244"/>
    </w:p>
    <w:p>
      <w:r>
        <w:t xml:space="preserve">(1) </w:t>
      </w:r>
      <w:r>
        <w:rPr>
          <w:rStyle w:val="Satznummer"/>
        </w:rPr>
        <w:t>1</w:t>
      </w:r>
      <w:r>
        <w:t xml:space="preserve">Land- und Forstwirte, die nach § 141 Absatz 1 Satz 1 Nummer 1 oder 5 zur Buchführung verpflichtet sind, haben neben den jährlichen Bestandsaufnahmen und den jährlichen Abschlüssen ein Anbauverzeichnis zu führen. </w:t>
      </w:r>
      <w:r>
        <w:rPr>
          <w:rStyle w:val="Satznummer"/>
        </w:rPr>
        <w:t>2</w:t>
      </w:r>
      <w:r>
        <w:t>In dem Anbauverzeichnis ist nachzuweisen, mit welchen Fruchtarten die selbstbewirtschafteten Flächen im abgelaufenen Wirtschaftsjahr bestellt waren.</w:t>
      </w:r>
    </w:p>
    <w:p>
      <w:r>
        <w:t>(2) Bei forstwirtschaftlichen Betrieben kann auf das Führen eines Anbauverzeichnisses nach Absatz 1 verzichtet werden, wenn ein Forstbetriebswerk oder ein amtlich anerkanntes Betriebsgutachten für das jeweilige Wirtschaftsjahr vorliegt.</w:t>
      </w:r>
    </w:p>
    <w:p>
      <w:r>
        <w:t xml:space="preserve">(3) </w:t>
      </w:r>
      <w:r>
        <w:rPr>
          <w:rStyle w:val="Satznummer"/>
        </w:rPr>
        <w:t>1</w:t>
      </w:r>
      <w:r>
        <w:t xml:space="preserve">Bei landwirtschaftlichen Betrieben kann die zuständige Finanzbehörde von der Pflicht zur Führung eines Anbauverzeichnisses nach Absatz 1 befreien, wenn ein geeigneter Flächen- und Nutzungsnachweis für das jeweilige Wirtschaftsjahr vorliegt. </w:t>
      </w:r>
      <w:r>
        <w:rPr>
          <w:rStyle w:val="Satznummer"/>
        </w:rPr>
        <w:t>2</w:t>
      </w:r>
      <w:r>
        <w:t xml:space="preserve">In dem Flächen- und Nutzungsnachweis müssen die Angaben nach Absatz 1 Satz 2 enthalten sein. </w:t>
      </w:r>
      <w:r>
        <w:rPr>
          <w:rStyle w:val="Satznummer"/>
        </w:rPr>
        <w:t>3</w:t>
      </w:r>
      <w:r>
        <w:t>Die Befreiung kann widerrufen werden.</w:t>
      </w:r>
    </w:p>
    <w:p>
      <w:pPr>
        <w:pStyle w:val="Heading4"/>
      </w:pPr>
      <w:bookmarkStart w:id="245" w:name="b243"/>
      <w:r>
        <w:t>§ 143 Aufzeichnung des Wareneingangs</w:t>
      </w:r>
      <w:r>
        <w:t xml:space="preserve"> </w:t>
      </w:r>
      <w:r>
        <w:rPr>
          <w:rStyle w:val="Suchmarke"/>
        </w:rPr>
        <w:t>#143#</w:t>
      </w:r>
      <w:bookmarkEnd w:id="245"/>
    </w:p>
    <w:p>
      <w:r>
        <w:t>(1) Gewerbliche Unternehmer müssen den Wareneingang gesondert aufzeichnen.</w:t>
      </w:r>
    </w:p>
    <w:p>
      <w:r>
        <w:t xml:space="preserve">(2) </w:t>
      </w:r>
      <w:r>
        <w:rPr>
          <w:rStyle w:val="Satznummer"/>
        </w:rPr>
        <w:t>1</w:t>
      </w:r>
      <w:r>
        <w:t xml:space="preserve">Aufzuzeichnen sind alle Waren einschließlich der Rohstoffe, unfertigen Erzeugnisse, Hilfsstoffe und Zutaten, die der Unternehmer im Rahmen seines Gewerbebetriebs zur Weiterveräußerung oder zum Verbrauch entgeltlich oder unentgeltlich, für eigene oder für fremde Rechnung, erwirbt; dies gilt auch dann, wenn die Waren vor der Weiterveräußerung oder dem Verbrauch be- oder verarbeitet werden sollen. </w:t>
      </w:r>
      <w:r>
        <w:rPr>
          <w:rStyle w:val="Satznummer"/>
        </w:rPr>
        <w:t>2</w:t>
      </w:r>
      <w:r>
        <w:t>Waren, die nach Art des Betriebs üblicherweise für den Betrieb zur Weiterveräußerung oder zum Verbrauch erworben werden, sind auch dann aufzuzeichnen, wenn sie für betriebsfremde Zwecke verwendet werden.</w:t>
      </w:r>
    </w:p>
    <w:p>
      <w:r>
        <w:t>(3) Die Aufzeichnungen müssen die folgenden Angaben enthalten:</w:t>
      </w:r>
    </w:p>
    <w:p>
      <w:pPr>
        <w:tabs>
          <w:tab w:pos="567" w:val="left"/>
        </w:tabs>
        <w:ind w:left="567" w:hanging="567"/>
      </w:pPr>
      <w:r>
        <w:t>1.</w:t>
      </w:r>
      <w:r>
        <w:tab/>
      </w:r>
      <w:r>
        <w:t>den Tag des Wareneingangs oder das Datum der Rechnung,</w:t>
      </w:r>
    </w:p>
    <w:p>
      <w:pPr>
        <w:tabs>
          <w:tab w:pos="567" w:val="left"/>
        </w:tabs>
        <w:ind w:left="567" w:hanging="567"/>
      </w:pPr>
      <w:r>
        <w:t>2.</w:t>
      </w:r>
      <w:r>
        <w:tab/>
      </w:r>
      <w:r>
        <w:t>den Namen oder die Firma und die Anschrift des Lieferers,</w:t>
      </w:r>
    </w:p>
    <w:p>
      <w:pPr>
        <w:tabs>
          <w:tab w:pos="567" w:val="left"/>
        </w:tabs>
        <w:ind w:left="567" w:hanging="567"/>
      </w:pPr>
      <w:r>
        <w:t>3.</w:t>
      </w:r>
      <w:r>
        <w:tab/>
      </w:r>
      <w:r>
        <w:t>die handelsübliche Bezeichnung der Ware,</w:t>
      </w:r>
    </w:p>
    <w:p>
      <w:pPr>
        <w:tabs>
          <w:tab w:pos="567" w:val="left"/>
        </w:tabs>
        <w:ind w:left="567" w:hanging="567"/>
      </w:pPr>
      <w:r>
        <w:t>4.</w:t>
      </w:r>
      <w:r>
        <w:tab/>
      </w:r>
      <w:r>
        <w:t>den Preis der Ware,</w:t>
      </w:r>
    </w:p>
    <w:p>
      <w:pPr>
        <w:tabs>
          <w:tab w:pos="567" w:val="left"/>
        </w:tabs>
        <w:ind w:left="567" w:hanging="567"/>
      </w:pPr>
      <w:r>
        <w:t>5.</w:t>
      </w:r>
      <w:r>
        <w:tab/>
      </w:r>
      <w:r>
        <w:t>einen Hinweis auf den Beleg.</w:t>
      </w:r>
    </w:p>
    <w:p>
      <w:pPr>
        <w:pStyle w:val="Heading4"/>
      </w:pPr>
      <w:bookmarkStart w:id="246" w:name="b244"/>
      <w:r>
        <w:t>§ 144 Aufzeichnung des Warenausgangs</w:t>
      </w:r>
      <w:r>
        <w:t xml:space="preserve"> </w:t>
      </w:r>
      <w:r>
        <w:rPr>
          <w:rStyle w:val="Suchmarke"/>
        </w:rPr>
        <w:t>#144#</w:t>
      </w:r>
      <w:bookmarkEnd w:id="246"/>
    </w:p>
    <w:p>
      <w:r>
        <w:t>(1) Gewerbliche Unternehmer, die nach der Art ihres Geschäftsbetriebs Waren regelmäßig an andere gewerbliche Unternehmer zur Weiterveräußerung oder zum Verbrauch als Hilfsstoffe liefern, müssen den erkennbar für diese Zwecke bestimmten Warenausgang gesondert aufzeichnen.</w:t>
      </w:r>
    </w:p>
    <w:p>
      <w:r>
        <w:t xml:space="preserve">(2) </w:t>
      </w:r>
      <w:r>
        <w:rPr>
          <w:rStyle w:val="Satznummer"/>
        </w:rPr>
        <w:t>1</w:t>
      </w:r>
      <w:r>
        <w:t>Aufzuzeichnen sind auch alle Waren, die der Unternehmer</w:t>
      </w:r>
    </w:p>
    <w:p>
      <w:pPr>
        <w:tabs>
          <w:tab w:pos="567" w:val="left"/>
        </w:tabs>
        <w:ind w:left="567" w:hanging="567"/>
      </w:pPr>
      <w:r>
        <w:t>1.</w:t>
      </w:r>
      <w:r>
        <w:tab/>
      </w:r>
      <w:r>
        <w:t>auf Rechnung (auf Ziel, Kredit, Abrechnung oder Gegenrechnung), durch Tausch oder unentgeltlich liefert, oder</w:t>
      </w:r>
    </w:p>
    <w:p>
      <w:pPr>
        <w:tabs>
          <w:tab w:pos="567" w:val="left"/>
        </w:tabs>
        <w:ind w:left="567" w:hanging="567"/>
      </w:pPr>
      <w:r>
        <w:t>2.</w:t>
      </w:r>
      <w:r>
        <w:tab/>
      </w:r>
      <w:r>
        <w:t>gegen Barzahlung liefert, wenn die Ware wegen der abgenommenen Menge zu einem Preis veräußert wird, der niedriger ist als der übliche Preis für Verbraucher.</w:t>
      </w:r>
    </w:p>
    <w:p>
      <w:r>
        <w:rPr>
          <w:rStyle w:val="Satznummer"/>
        </w:rPr>
        <w:t>2</w:t>
      </w:r>
      <w:r>
        <w:t>Dies gilt nicht, wenn die Ware erkennbar nicht zur gewerblichen Weiterverwendung bestimmt ist.</w:t>
      </w:r>
    </w:p>
    <w:p>
      <w:r>
        <w:t>(3) Die Aufzeichnungen müssen die folgenden Angaben enthalten:</w:t>
      </w:r>
    </w:p>
    <w:p>
      <w:pPr>
        <w:tabs>
          <w:tab w:pos="567" w:val="left"/>
        </w:tabs>
        <w:ind w:left="567" w:hanging="567"/>
      </w:pPr>
      <w:r>
        <w:t>1.</w:t>
      </w:r>
      <w:r>
        <w:tab/>
      </w:r>
      <w:r>
        <w:t>den Tag des Warenausgangs oder das Datum der Rechnung,</w:t>
      </w:r>
    </w:p>
    <w:p>
      <w:pPr>
        <w:tabs>
          <w:tab w:pos="567" w:val="left"/>
        </w:tabs>
        <w:ind w:left="567" w:hanging="567"/>
      </w:pPr>
      <w:r>
        <w:t>2.</w:t>
      </w:r>
      <w:r>
        <w:tab/>
      </w:r>
      <w:r>
        <w:t>den Namen oder die Firma und die Anschrift des Abnehmers,</w:t>
      </w:r>
    </w:p>
    <w:p>
      <w:pPr>
        <w:tabs>
          <w:tab w:pos="567" w:val="left"/>
        </w:tabs>
        <w:ind w:left="567" w:hanging="567"/>
      </w:pPr>
      <w:r>
        <w:t>3.</w:t>
      </w:r>
      <w:r>
        <w:tab/>
      </w:r>
      <w:r>
        <w:t>die handelsübliche Bezeichnung der Ware,</w:t>
      </w:r>
    </w:p>
    <w:p>
      <w:pPr>
        <w:tabs>
          <w:tab w:pos="567" w:val="left"/>
        </w:tabs>
        <w:ind w:left="567" w:hanging="567"/>
      </w:pPr>
      <w:r>
        <w:t>4.</w:t>
      </w:r>
      <w:r>
        <w:tab/>
      </w:r>
      <w:r>
        <w:t>den Preis der Ware,</w:t>
      </w:r>
    </w:p>
    <w:p>
      <w:pPr>
        <w:tabs>
          <w:tab w:pos="567" w:val="left"/>
        </w:tabs>
        <w:ind w:left="567" w:hanging="567"/>
      </w:pPr>
      <w:r>
        <w:t>5.</w:t>
      </w:r>
      <w:r>
        <w:tab/>
      </w:r>
      <w:r>
        <w:t>einen Hinweis auf den Beleg.</w:t>
      </w:r>
    </w:p>
    <w:p>
      <w:r>
        <w:t xml:space="preserve">(4) </w:t>
      </w:r>
      <w:r>
        <w:rPr>
          <w:rStyle w:val="Satznummer"/>
        </w:rPr>
        <w:t>1</w:t>
      </w:r>
      <w:r>
        <w:t xml:space="preserve">Der Unternehmer muss über jeden Ausgang der in den Absätzen 1 und 2 genannten Waren einen Beleg erteilen, der die in Absatz 3 bezeichneten Angaben sowie seinen Namen oder die Firma und seine Anschrift enthält. </w:t>
      </w:r>
      <w:r>
        <w:rPr>
          <w:rStyle w:val="Satznummer"/>
        </w:rPr>
        <w:t>2</w:t>
      </w:r>
      <w:r>
        <w:t>Dies gilt insoweit nicht, als nach § 14 Absatz 2 des Umsatzsteuergesetzes durch die dort bezeichneten Leistungsempfänger eine Gutschrift erteilt wird oder auf Grund des § 14 Absatz 6 des Umsatzsteuergesetzes Erleichterungen gewährt werden.</w:t>
      </w:r>
    </w:p>
    <w:p>
      <w:r>
        <w:t xml:space="preserve">(5) Die Absätze 1 bis 4 gelten auch für Land- und Forstwirte, die nach </w:t>
      </w:r>
      <w:hyperlink w:anchor="b241" w:history="1">
        <w:r>
          <w:rPr>
            <w:color w:val="0A3A8C"/>
            <w:u w:val="single"/>
          </w:rPr>
          <w:t xml:space="preserve">§ 141</w:t>
        </w:r>
      </w:hyperlink>
      <w:r>
        <w:t xml:space="preserve"> buchführungspflichtig sind.</w:t>
      </w:r>
    </w:p>
    <w:p>
      <w:pPr>
        <w:pStyle w:val="Heading4"/>
      </w:pPr>
      <w:bookmarkStart w:id="247" w:name="b245"/>
      <w:r>
        <w:t>§ 145 Allgemeine Anforderungen an die Buchführung und Aufzeichnungen</w:t>
      </w:r>
      <w:r>
        <w:t xml:space="preserve"> </w:t>
      </w:r>
      <w:r>
        <w:rPr>
          <w:rStyle w:val="Suchmarke"/>
        </w:rPr>
        <w:t>#145#</w:t>
      </w:r>
      <w:bookmarkEnd w:id="247"/>
    </w:p>
    <w:p>
      <w:r>
        <w:t xml:space="preserve">(1) </w:t>
      </w:r>
      <w:r>
        <w:rPr>
          <w:rStyle w:val="Satznummer"/>
        </w:rPr>
        <w:t>1</w:t>
      </w:r>
      <w:r>
        <w:t xml:space="preserve">Die Buchführung muss so beschaffen sein, dass sie einem sachverständigen Dritten innerhalb angemessener Zeit einen Überblick über die Geschäftsvorfälle und über die Lage des Unternehmens vermitteln kann. </w:t>
      </w:r>
      <w:r>
        <w:rPr>
          <w:rStyle w:val="Satznummer"/>
        </w:rPr>
        <w:t>2</w:t>
      </w:r>
      <w:r>
        <w:t>Die Geschäftsvorfälle müssen sich in ihrer Entstehung und Abwicklung verfolgen lassen.</w:t>
      </w:r>
    </w:p>
    <w:p>
      <w:r>
        <w:t>(2) Aufzeichnungen sind so vorzunehmen, dass der Zweck, den sie für die Besteuerung erfüllen sollen, erreicht wird.</w:t>
      </w:r>
    </w:p>
    <w:p>
      <w:pPr>
        <w:pStyle w:val="Heading4"/>
      </w:pPr>
      <w:bookmarkStart w:id="248" w:name="b246"/>
      <w:r>
        <w:t>§ 146 Ordnungsvorschriften für die Buchführung und für Aufzeichnungen</w:t>
      </w:r>
      <w:r>
        <w:t xml:space="preserve"> </w:t>
      </w:r>
      <w:r>
        <w:rPr>
          <w:rStyle w:val="Suchmarke"/>
        </w:rPr>
        <w:t>#146#</w:t>
      </w:r>
      <w:bookmarkEnd w:id="248"/>
    </w:p>
    <w:p>
      <w:r>
        <w:t xml:space="preserve">(1) </w:t>
      </w:r>
      <w:r>
        <w:rPr>
          <w:rStyle w:val="Satznummer"/>
        </w:rPr>
        <w:t>1</w:t>
      </w:r>
      <w:r>
        <w:t xml:space="preserve">Die Buchungen und die sonst erforderlichen Aufzeichnungen sind einzeln, vollständig, richtig, zeitgerecht und geordnet vorzunehmen. </w:t>
      </w:r>
      <w:r>
        <w:rPr>
          <w:rStyle w:val="Satznummer"/>
        </w:rPr>
        <w:t>2</w:t>
      </w:r>
      <w:r>
        <w:t xml:space="preserve">Kasseneinnahmen und Kassenausgaben sind täglich festzuhalten. </w:t>
      </w:r>
      <w:r>
        <w:rPr>
          <w:rStyle w:val="Satznummer"/>
        </w:rPr>
        <w:t>3</w:t>
      </w:r>
      <w:r>
        <w:t xml:space="preserve">Die Pflicht zur Einzelaufzeichnung nach Satz 1 besteht aus Zumutbarkeitsgründen bei Verkauf von Waren an eine Vielzahl von nicht bekannten Personen gegen Barzahlung nicht. </w:t>
      </w:r>
      <w:r>
        <w:rPr>
          <w:rStyle w:val="Satznummer"/>
        </w:rPr>
        <w:t>4</w:t>
      </w:r>
      <w:r>
        <w:t xml:space="preserve">Das gilt nicht, wenn der Steuerpflichtige ein elektronisches Aufzeichnungssystem im Sinne des </w:t>
      </w:r>
      <w:hyperlink w:anchor="b247" w:history="1">
        <w:r>
          <w:rPr>
            <w:color w:val="0A3A8C"/>
            <w:u w:val="single"/>
          </w:rPr>
          <w:t xml:space="preserve">§ 146a</w:t>
        </w:r>
      </w:hyperlink>
      <w:r>
        <w:t xml:space="preserve"> verwendet.</w:t>
      </w:r>
    </w:p>
    <w:p>
      <w:r>
        <w:t xml:space="preserve">(2) </w:t>
      </w:r>
      <w:r>
        <w:rPr>
          <w:rStyle w:val="Satznummer"/>
        </w:rPr>
        <w:t>1</w:t>
      </w:r>
      <w:r>
        <w:t xml:space="preserve">Bücher und die sonst erforderlichen Aufzeichnungen sind im Geltungsbereich dieses Gesetzes zu führen und aufzubewahren. </w:t>
      </w:r>
      <w:r>
        <w:rPr>
          <w:rStyle w:val="Satznummer"/>
        </w:rPr>
        <w:t>2</w:t>
      </w:r>
      <w:r>
        <w:t xml:space="preserve">Dies gilt nicht, soweit für Betriebstätten außerhalb des Geltungsbereichs dieses Gesetzes nach dortigem Recht eine Verpflichtung besteht, Bücher und Aufzeichnungen zu führen, und diese Verpflichtung erfüllt wird. </w:t>
      </w:r>
      <w:r>
        <w:rPr>
          <w:rStyle w:val="Satznummer"/>
        </w:rPr>
        <w:t>3</w:t>
      </w:r>
      <w:r>
        <w:t xml:space="preserve">In diesem Fall sowie bei Organgesellschaften außerhalb des Geltungsbereichs dieses Gesetzes müssen die Ergebnisse der dortigen Buchführung in die Buchführung des hiesigen Unternehmens übernommen werden, soweit sie für die Besteuerung von Bedeutung sind. </w:t>
      </w:r>
      <w:r>
        <w:rPr>
          <w:rStyle w:val="Satznummer"/>
        </w:rPr>
        <w:t>4</w:t>
      </w:r>
      <w:r>
        <w:t>Dabei sind die erforderlichen Anpassungen an die steuerrechtlichen Vorschriften im Geltungsbereich dieses Gesetzes vorzunehmen und kenntlich zu machen.</w:t>
      </w:r>
    </w:p>
    <w:p>
      <w:r>
        <w:t xml:space="preserve">(2a) </w:t>
      </w:r>
      <w:r>
        <w:rPr>
          <w:rStyle w:val="Satznummer"/>
        </w:rPr>
        <w:t>1</w:t>
      </w:r>
      <w:r>
        <w:t xml:space="preserve">Abweichend von Absatz 2 Satz 1 kann der Steuerpflichtige elektronische Bücher und sonstige erforderliche elektronische Aufzeichnungen oder Teile davon in einem anderen Mitgliedstaat oder in mehreren Mitgliedstaaten der Europäischen Union führen und aufbewahren. </w:t>
      </w:r>
      <w:r>
        <w:rPr>
          <w:rStyle w:val="Satznummer"/>
        </w:rPr>
        <w:t>2</w:t>
      </w:r>
      <w:r>
        <w:t>Macht der Steuerpflichtige von dieser Befugnis Gebrauch, hat er sicherzustellen, dass der Datenzugriff nach § 146b Absatz 2 Satz 2, § 147 Absatz 6 und § 27b Absatz 2 Satz 2 und 3 des Umsatzsteuergesetzes in vollem Umfang möglich ist.</w:t>
      </w:r>
    </w:p>
    <w:p>
      <w:r>
        <w:t xml:space="preserve">(2b) </w:t>
      </w:r>
      <w:r>
        <w:rPr>
          <w:rStyle w:val="Satznummer"/>
        </w:rPr>
        <w:t>1</w:t>
      </w:r>
      <w:r>
        <w:t xml:space="preserve">Abweichend von Absatz 2 Satz 1 kann die zuständige Finanzbehörde auf schriftlichen oder elektronischen Antrag des Steuerpflichtigen bewilligen, dass elektronische Bücher und sonstige erforderliche elektronische Aufzeichnungen oder Teile davon in einem Drittstaat oder in mehreren Drittstaaten geführt und aufbewahrt werden können. </w:t>
      </w:r>
      <w:r>
        <w:rPr>
          <w:rStyle w:val="Satznummer"/>
        </w:rPr>
        <w:t>2</w:t>
      </w:r>
      <w:r>
        <w:t>Voraussetzung ist, dass</w:t>
      </w:r>
    </w:p>
    <w:p>
      <w:pPr>
        <w:tabs>
          <w:tab w:pos="567" w:val="left"/>
        </w:tabs>
        <w:ind w:left="567" w:hanging="567"/>
      </w:pPr>
      <w:r>
        <w:t>1.</w:t>
      </w:r>
      <w:r>
        <w:tab/>
      </w:r>
      <w:r>
        <w:t>der Steuerpflichtige der zuständigen Finanzbehörde den Standort oder die Standorte des Datenverarbeitungssystems oder bei Beauftragung eines Dritten dessen Namen und Anschrift mitteilt,</w:t>
      </w:r>
    </w:p>
    <w:p>
      <w:pPr>
        <w:tabs>
          <w:tab w:pos="567" w:val="left"/>
        </w:tabs>
        <w:ind w:left="567" w:hanging="567"/>
      </w:pPr>
      <w:r>
        <w:t>2.</w:t>
      </w:r>
      <w:r>
        <w:tab/>
      </w:r>
      <w:r>
        <w:t xml:space="preserve">der Steuerpflichtige seinen sich aus den </w:t>
      </w:r>
      <w:hyperlink w:anchor="b145" w:history="1">
        <w:r>
          <w:rPr>
            <w:color w:val="0A3A8C"/>
            <w:u w:val="single"/>
          </w:rPr>
          <w:t xml:space="preserve">§§ 90</w:t>
        </w:r>
      </w:hyperlink>
      <w:r>
        <w:t xml:space="preserve">, </w:t>
      </w:r>
      <w:hyperlink w:anchor="b149" w:history="1">
        <w:r>
          <w:rPr>
            <w:color w:val="0A3A8C"/>
            <w:u w:val="single"/>
          </w:rPr>
          <w:t xml:space="preserve">93</w:t>
        </w:r>
      </w:hyperlink>
      <w:r>
        <w:t xml:space="preserve">, </w:t>
      </w:r>
      <w:hyperlink w:anchor="b158" w:history="1">
        <w:r>
          <w:rPr>
            <w:color w:val="0A3A8C"/>
            <w:u w:val="single"/>
          </w:rPr>
          <w:t xml:space="preserve">97</w:t>
        </w:r>
      </w:hyperlink>
      <w:r>
        <w:t xml:space="preserve">, </w:t>
      </w:r>
      <w:hyperlink w:anchor="b240" w:history="1">
        <w:r>
          <w:rPr>
            <w:color w:val="0A3A8C"/>
            <w:u w:val="single"/>
          </w:rPr>
          <w:t xml:space="preserve">140</w:t>
        </w:r>
      </w:hyperlink>
      <w:r>
        <w:t xml:space="preserve"> bis </w:t>
      </w:r>
      <w:hyperlink w:anchor="b249" w:history="1">
        <w:r>
          <w:rPr>
            <w:color w:val="0A3A8C"/>
            <w:u w:val="single"/>
          </w:rPr>
          <w:t xml:space="preserve">147</w:t>
        </w:r>
      </w:hyperlink>
      <w:r>
        <w:t xml:space="preserve"> und </w:t>
      </w:r>
      <w:hyperlink w:anchor="b323" w:history="1">
        <w:r>
          <w:rPr>
            <w:color w:val="0A3A8C"/>
            <w:u w:val="single"/>
          </w:rPr>
          <w:t xml:space="preserve">200</w:t>
        </w:r>
      </w:hyperlink>
      <w:r>
        <w:t xml:space="preserve"> Absatz 1 und 2 ergebenden Pflichten ordnungsgemäß nachgekommen ist,</w:t>
      </w:r>
    </w:p>
    <w:p>
      <w:pPr>
        <w:tabs>
          <w:tab w:pos="567" w:val="left"/>
        </w:tabs>
        <w:ind w:left="567" w:hanging="567"/>
      </w:pPr>
      <w:r>
        <w:t>3.</w:t>
      </w:r>
      <w:r>
        <w:tab/>
      </w:r>
      <w:r>
        <w:t>der Datenzugriff nach § 146b Absatz 2 Satz 2, § 147 Absatz 6 und § 27b Absatz 2 Satz 2 und 3 des Umsatzsteuergesetzes in vollem Umfang möglich ist und</w:t>
      </w:r>
    </w:p>
    <w:p>
      <w:pPr>
        <w:tabs>
          <w:tab w:pos="567" w:val="left"/>
        </w:tabs>
        <w:ind w:left="567" w:hanging="567"/>
      </w:pPr>
      <w:r>
        <w:t>4.</w:t>
      </w:r>
      <w:r>
        <w:tab/>
      </w:r>
      <w:r>
        <w:t>die Besteuerung hierdurch nicht beeinträchtigt wird.</w:t>
      </w:r>
    </w:p>
    <w:p>
      <w:r>
        <w:rPr>
          <w:rStyle w:val="Satznummer"/>
        </w:rPr>
        <w:t>3</w:t>
      </w:r>
      <w:r>
        <w:t xml:space="preserve">Werden der Finanzbehörde Umstände bekannt, die zu einer Beeinträchtigung der Besteuerung führen, hat sie die Bewilligung zu widerrufen und die unverzügliche Rückverlagerung der elektronischen Bücher und sonstigen erforderlichen elektronischen Aufzeichnungen in einen oder mehrere Mitgliedstaaten der Europäischen Union zu verlangen. </w:t>
      </w:r>
      <w:r>
        <w:rPr>
          <w:rStyle w:val="Satznummer"/>
        </w:rPr>
        <w:t>4</w:t>
      </w:r>
      <w:r>
        <w:t>Eine Änderung der unter Satz 2 Nummer 1 benannten Umstände ist der zuständigen Finanzbehörde unverzüglich mitzuteilen.</w:t>
      </w:r>
    </w:p>
    <w:p>
      <w:r>
        <w:t xml:space="preserve">(2c) Kommt der Steuerpflichtige der Aufforderung zur Rückverlagerung seiner elektronischen Buchführung oder seinen Pflichten nach Absatz 2b Satz 4, zur Einräumung des Datenzugriffs nach </w:t>
      </w:r>
      <w:hyperlink w:anchor="b249" w:history="1">
        <w:r>
          <w:rPr>
            <w:color w:val="0A3A8C"/>
            <w:u w:val="single"/>
          </w:rPr>
          <w:t xml:space="preserve">§ 147</w:t>
        </w:r>
      </w:hyperlink>
      <w:r>
        <w:t xml:space="preserve"> Absatz 6 nicht nach oder hat er seine elektronische Buchführung ohne Bewilligung der zuständigen Finanzbehörde in einen Drittstaat oder mehrere Drittstaaten verlagert, kann ein Verzögerungsgeld von 2 500 Euro bis 250 000 Euro festgesetzt werden.</w:t>
      </w:r>
    </w:p>
    <w:p>
      <w:r>
        <w:t xml:space="preserve">(3) </w:t>
      </w:r>
      <w:r>
        <w:rPr>
          <w:rStyle w:val="Satznummer"/>
        </w:rPr>
        <w:t>1</w:t>
      </w:r>
      <w:r>
        <w:t xml:space="preserve">Die Buchungen und die sonst erforderlichen Aufzeichnungen sind in einer lebenden Sprache vorzunehmen. </w:t>
      </w:r>
      <w:r>
        <w:rPr>
          <w:rStyle w:val="Satznummer"/>
        </w:rPr>
        <w:t>2</w:t>
      </w:r>
      <w:r>
        <w:t xml:space="preserve">Wird eine andere als die deutsche Sprache verwendet, so kann die Finanzbehörde Übersetzungen verlangen. </w:t>
      </w:r>
      <w:r>
        <w:rPr>
          <w:rStyle w:val="Satznummer"/>
        </w:rPr>
        <w:t>3</w:t>
      </w:r>
      <w:r>
        <w:t>Werden Abkürzungen, Ziffern, Buchstaben oder Symbole verwendet, muss im Einzelfall deren Bedeutung eindeutig festliegen.</w:t>
      </w:r>
    </w:p>
    <w:p>
      <w:r>
        <w:t xml:space="preserve">(4) </w:t>
      </w:r>
      <w:r>
        <w:rPr>
          <w:rStyle w:val="Satznummer"/>
        </w:rPr>
        <w:t>1</w:t>
      </w:r>
      <w:r>
        <w:t xml:space="preserve">Eine Buchung oder eine Aufzeichnung darf nicht in einer Weise verändert werden, dass der ursprüngliche Inhalt nicht mehr feststellbar ist. </w:t>
      </w:r>
      <w:r>
        <w:rPr>
          <w:rStyle w:val="Satznummer"/>
        </w:rPr>
        <w:t>2</w:t>
      </w:r>
      <w:r>
        <w:t>Auch solche Veränderungen dürfen nicht vorgenommen werden, deren Beschaffenheit es ungewiss lässt, ob sie ursprünglich oder erst später gemacht worden sind.</w:t>
      </w:r>
    </w:p>
    <w:p>
      <w:r>
        <w:t xml:space="preserve">(5) </w:t>
      </w:r>
      <w:r>
        <w:rPr>
          <w:rStyle w:val="Satznummer"/>
        </w:rPr>
        <w:t>1</w:t>
      </w:r>
      <w:r>
        <w:t xml:space="preserve">Die Bücher und die sonst erforderlichen Aufzeichnungen können auch in der geordneten Ablage von Belegen bestehen oder auf Datenträgern geführt werden, soweit diese Formen der Buchführung einschließlich des dabei angewandten Verfahrens den Grundsätzen ordnungsmäßiger Buchführung entsprechen; bei Aufzeichnungen, die allein nach den Steuergesetzen vorzunehmen sind, bestimmt sich die Zulässigkeit des angewendeten Verfahrens nach dem Zweck, den die Aufzeichnungen für die Besteuerung erfüllen sollen. </w:t>
      </w:r>
      <w:r>
        <w:rPr>
          <w:rStyle w:val="Satznummer"/>
        </w:rPr>
        <w:t>2</w:t>
      </w:r>
      <w:r>
        <w:t xml:space="preserve">Bei der Führung der Bücher und der sonst erforderlichen Aufzeichnungen auf Datenträgern muss insbesondere sichergestellt sein, dass während der Dauer der Aufbewahrungsfrist die Daten jederzeit verfügbar sind und unverzüglich lesbar gemacht werden können. </w:t>
      </w:r>
      <w:r>
        <w:rPr>
          <w:rStyle w:val="Satznummer"/>
        </w:rPr>
        <w:t>3</w:t>
      </w:r>
      <w:r>
        <w:t xml:space="preserve">Dies gilt auch für die Befugnisse der Finanzbehörde nach § 146b Absatz 2 Satz 2, § 147 Absatz 6 und § 27b Absatz 2 Satz 2 und 3 des Umsatzsteuergesetzes. </w:t>
      </w:r>
      <w:r>
        <w:rPr>
          <w:rStyle w:val="Satznummer"/>
        </w:rPr>
        <w:t>4</w:t>
      </w:r>
      <w:r>
        <w:t>Absätze 1 bis 4 gelten sinngemäß.</w:t>
      </w:r>
    </w:p>
    <w:p>
      <w:r>
        <w:t>(6) Die Ordnungsvorschriften gelten auch dann, wenn der Unternehmer Bücher und Aufzeichnungen, die für die Besteuerung von Bedeutung sind, führt, ohne hierzu verpflichtet zu sein.</w:t>
      </w:r>
    </w:p>
    <w:p>
      <w:pPr>
        <w:pStyle w:val="Heading4"/>
      </w:pPr>
      <w:bookmarkStart w:id="249" w:name="b247"/>
      <w:r>
        <w:t>§ 146a Ordnungsvorschrift für die Buchführung und für Aufzeichnungen mittels elektronischer Aufzeichnungssysteme; Verordnungsermächtigung</w:t>
      </w:r>
      <w:r>
        <w:t xml:space="preserve"> </w:t>
      </w:r>
      <w:r>
        <w:rPr>
          <w:rStyle w:val="Suchmarke"/>
        </w:rPr>
        <w:t>#146a#</w:t>
      </w:r>
      <w:bookmarkEnd w:id="249"/>
    </w:p>
    <w:p>
      <w:r>
        <w:t xml:space="preserve">(1) </w:t>
      </w:r>
      <w:r>
        <w:rPr>
          <w:rStyle w:val="Satznummer"/>
        </w:rPr>
        <w:t>1</w:t>
      </w:r>
      <w:r>
        <w:t xml:space="preserve">Wer aufzeichnungspflichtige Geschäftsvorfälle oder andere Vorgänge mit Hilfe eines elektronischen Aufzeichnungssystems erfasst, hat ein elektronisches Aufzeichnungssystem zu verwenden, das jeden aufzeichnungspflichtigen Geschäftsvorfall und anderen Vorgang einzeln, vollständig, richtig, zeitgerecht und geordnet aufzeichnet. </w:t>
      </w:r>
      <w:r>
        <w:rPr>
          <w:rStyle w:val="Satznummer"/>
        </w:rPr>
        <w:t>2</w:t>
      </w:r>
      <w:r>
        <w:t xml:space="preserve">Das elektronische Aufzeichnungssystem und die digitalen Aufzeichnungen nach Satz 1 sind durch eine zertifizierte technische Sicherheitseinrichtung zu schützen. </w:t>
      </w:r>
      <w:r>
        <w:rPr>
          <w:rStyle w:val="Satznummer"/>
        </w:rPr>
        <w:t>3</w:t>
      </w:r>
      <w:r>
        <w:t xml:space="preserve">Diese zertifizierte technische Sicherheitseinrichtung muss aus einem Sicherheitsmodul, einem Speichermedium und einer einheitlichen digitalen Schnittstelle bestehen. </w:t>
      </w:r>
      <w:r>
        <w:rPr>
          <w:rStyle w:val="Satznummer"/>
        </w:rPr>
        <w:t>4</w:t>
      </w:r>
      <w:r>
        <w:t xml:space="preserve">Die digitalen Aufzeichnungen sind auf dem Speichermedium zu sichern und für Nachschauen sowie Außenprüfungen durch elektronische Aufbewahrung verfügbar zu halten. </w:t>
      </w:r>
      <w:r>
        <w:rPr>
          <w:rStyle w:val="Satznummer"/>
        </w:rPr>
        <w:t>5</w:t>
      </w:r>
      <w:r>
        <w:t>Es ist verboten, innerhalb des Geltungsbereichs dieses Gesetzes solche elektronischen Aufzeichnungssysteme, Software für elektronische Aufzeichnungssysteme und zertifizierte technische Sicherheitseinrichtungen, die den in den Sätzen 1 bis 3 beschriebenen Anforderungen nicht entsprechen, zur Verwendung im Sinne der Sätze 1 bis 3 gewerbsmäßig zu bewerben oder gewerbsmäßig in den Verkehr zu bringen.</w:t>
      </w:r>
    </w:p>
    <w:p>
      <w:r>
        <w:t xml:space="preserve">(2) </w:t>
      </w:r>
      <w:r>
        <w:rPr>
          <w:rStyle w:val="Satznummer"/>
        </w:rPr>
        <w:t>1</w:t>
      </w:r>
      <w:r>
        <w:t xml:space="preserve">Wer aufzeichnungspflichtige Geschäftsvorfälle im Sinne des Absatzes 1 Satz 1 erfasst, hat dem an diesem Geschäftsvorfall Beteiligten in unmittelbarem zeitlichem Zusammenhang mit dem Geschäftsvorfall unbeschadet anderer gesetzlicher Vorschriften einen Beleg über den Geschäftsvorfall auszustellen und dem an diesem Geschäftsvorfall Beteiligten zur Verfügung zu stellen (Belegausgabepflicht). </w:t>
      </w:r>
      <w:r>
        <w:rPr>
          <w:rStyle w:val="Satznummer"/>
        </w:rPr>
        <w:t>2</w:t>
      </w:r>
      <w:r>
        <w:t xml:space="preserve">Bei Verkauf von Waren an eine Vielzahl von nicht bekannten Personen können die Finanzbehörden nach § 148 aus Zumutbarkeitsgründen nach pflichtgemäßem Ermessen von einer Belegausgabepflicht nach Satz 1 befreien. </w:t>
      </w:r>
      <w:r>
        <w:rPr>
          <w:rStyle w:val="Satznummer"/>
        </w:rPr>
        <w:t>3</w:t>
      </w:r>
      <w:r>
        <w:t>Die Befreiung kann widerrufen werden.</w:t>
      </w:r>
    </w:p>
    <w:p>
      <w:r>
        <w:t xml:space="preserve">(3) </w:t>
      </w:r>
      <w:r>
        <w:rPr>
          <w:rStyle w:val="Satznummer"/>
        </w:rPr>
        <w:t>1</w:t>
      </w:r>
      <w:r>
        <w:t>Das Bundesministerium der Finanzen wird ermächtigt, durch Rechtsverordnung mit Zustimmung des Bundestages und des Bundesrates und im Einvernehmen mit dem Bundesministerium des Innern und für Heimat und dem Bundesministerium für Wirtschaft und Klimaschutz Folgendes zu bestimmen:</w:t>
      </w:r>
    </w:p>
    <w:p>
      <w:pPr>
        <w:tabs>
          <w:tab w:pos="567" w:val="left"/>
        </w:tabs>
        <w:ind w:left="567" w:hanging="567"/>
      </w:pPr>
      <w:r>
        <w:t>1.</w:t>
      </w:r>
      <w:r>
        <w:tab/>
      </w:r>
      <w:r>
        <w:t>die elektronischen Aufzeichnungssysteme, die über eine zertifizierte technische Sicherheitseinrichtung verfügen müssen, und</w:t>
      </w:r>
    </w:p>
    <w:p>
      <w:pPr>
        <w:tabs>
          <w:tab w:pos="567" w:val="left"/>
        </w:tabs>
        <w:ind w:left="567" w:hanging="567"/>
      </w:pPr>
      <w:r>
        <w:t>2.</w:t>
      </w:r>
      <w:r>
        <w:tab/>
      </w:r>
      <w:r>
        <w:t>die Anforderungen an</w:t>
      </w:r>
    </w:p>
    <w:p>
      <w:pPr>
        <w:tabs>
          <w:tab w:pos="1134" w:val="left"/>
        </w:tabs>
        <w:ind w:left="1134" w:hanging="567"/>
      </w:pPr>
      <w:r>
        <w:t>a)</w:t>
      </w:r>
      <w:r>
        <w:tab/>
      </w:r>
      <w:r>
        <w:t>das Sicherheitsmodul,</w:t>
      </w:r>
    </w:p>
    <w:p>
      <w:pPr>
        <w:tabs>
          <w:tab w:pos="1134" w:val="left"/>
        </w:tabs>
        <w:ind w:left="1134" w:hanging="567"/>
      </w:pPr>
      <w:r>
        <w:t>b)</w:t>
      </w:r>
      <w:r>
        <w:tab/>
      </w:r>
      <w:r>
        <w:t>das Speichermedium,</w:t>
      </w:r>
    </w:p>
    <w:p>
      <w:pPr>
        <w:tabs>
          <w:tab w:pos="1134" w:val="left"/>
        </w:tabs>
        <w:ind w:left="1134" w:hanging="567"/>
      </w:pPr>
      <w:r>
        <w:t>c)</w:t>
      </w:r>
      <w:r>
        <w:tab/>
      </w:r>
      <w:r>
        <w:t>die einheitliche digitale Schnittstelle,</w:t>
      </w:r>
    </w:p>
    <w:p>
      <w:pPr>
        <w:tabs>
          <w:tab w:pos="1134" w:val="left"/>
        </w:tabs>
        <w:ind w:left="1134" w:hanging="567"/>
      </w:pPr>
      <w:r>
        <w:t>d)</w:t>
      </w:r>
      <w:r>
        <w:tab/>
      </w:r>
      <w:r>
        <w:t>die elektronische Aufbewahrung der Aufzeichnungen,</w:t>
      </w:r>
    </w:p>
    <w:p>
      <w:pPr>
        <w:tabs>
          <w:tab w:pos="1134" w:val="left"/>
        </w:tabs>
        <w:ind w:left="1134" w:hanging="567"/>
      </w:pPr>
      <w:r>
        <w:t>e)</w:t>
      </w:r>
      <w:r>
        <w:tab/>
      </w:r>
      <w:r>
        <w:t>die Protokollierung von digitalen Grundaufzeichnungen zur Sicherstellung der Integrität und Authentizität sowie der Vollständigkeit der elektronischen Aufzeichnung,</w:t>
      </w:r>
    </w:p>
    <w:p>
      <w:pPr>
        <w:tabs>
          <w:tab w:pos="1134" w:val="left"/>
        </w:tabs>
        <w:ind w:left="1134" w:hanging="567"/>
      </w:pPr>
      <w:r>
        <w:t>f)</w:t>
      </w:r>
      <w:r>
        <w:tab/>
      </w:r>
      <w:r>
        <w:t>den Beleg und</w:t>
      </w:r>
    </w:p>
    <w:p>
      <w:pPr>
        <w:tabs>
          <w:tab w:pos="1134" w:val="left"/>
        </w:tabs>
        <w:ind w:left="1134" w:hanging="567"/>
      </w:pPr>
      <w:r>
        <w:t>g)</w:t>
      </w:r>
      <w:r>
        <w:tab/>
      </w:r>
      <w:r>
        <w:t>die Zertifizierung der technischen Sicherheitseinrichtung.</w:t>
      </w:r>
    </w:p>
    <w:p>
      <w:r>
        <w:rPr>
          <w:rStyle w:val="Satznummer"/>
        </w:rPr>
        <w:t>2</w:t>
      </w:r>
      <w:r>
        <w:t xml:space="preserve">Die Erfüllung der Anforderungen nach Satz 1 Nummer 2 Buchstabe a bis c ist durch eine Zertifizierung des Bundesamts für Sicherheit in der Informationstechnik nachzuweisen, die fortlaufend aufrechtzuerhalten ist. </w:t>
      </w:r>
      <w:r>
        <w:rPr>
          <w:rStyle w:val="Satznummer"/>
        </w:rPr>
        <w:t>3</w:t>
      </w:r>
      <w:r>
        <w:t xml:space="preserve">Das Bundesamt für Sicherheit in der Informationstechnik kann mit der Festlegung von Anforderungen an die technische Sicherheitseinrichtung im Sinne des Satzes 1 Nummer 2 Buchstabe a bis c beauftragt werden. </w:t>
      </w:r>
      <w:r>
        <w:rPr>
          <w:rStyle w:val="Satznummer"/>
        </w:rPr>
        <w:t>4</w:t>
      </w:r>
      <w:r>
        <w:t xml:space="preserve">Die Rechtsverordnung nach Satz 1 ist dem Bundestag zuzuleiten. </w:t>
      </w:r>
      <w:r>
        <w:rPr>
          <w:rStyle w:val="Satznummer"/>
        </w:rPr>
        <w:t>5</w:t>
      </w:r>
      <w:r>
        <w:t xml:space="preserve">Die Zuleitung erfolgt vor der Zuleitung an den Bundesrat. </w:t>
      </w:r>
      <w:r>
        <w:rPr>
          <w:rStyle w:val="Satznummer"/>
        </w:rPr>
        <w:t>6</w:t>
      </w:r>
      <w:r>
        <w:t xml:space="preserve">Der Bundestag kann der Rechtsverordnung durch Beschluss zustimmen oder sie durch Beschluss ablehnen. </w:t>
      </w:r>
      <w:r>
        <w:rPr>
          <w:rStyle w:val="Satznummer"/>
        </w:rPr>
        <w:t>7</w:t>
      </w:r>
      <w:r>
        <w:t xml:space="preserve">Der Beschluss des Bundestages wird dem Bundesministerium der Finanzen zugeleitet. </w:t>
      </w:r>
      <w:r>
        <w:rPr>
          <w:rStyle w:val="Satznummer"/>
        </w:rPr>
        <w:t>8</w:t>
      </w:r>
      <w:r>
        <w:t>Hat sich der Bundestag nach Ablauf von drei Sitzungswochen seit Eingang der Rechtsverordnung nicht mit ihr befasst, so gilt die Zustimmung nach Satz 1 als erteilt und die Rechtsverordnung wird dem Bundesrat zugeleitet.</w:t>
      </w:r>
    </w:p>
    <w:p>
      <w:r>
        <w:t xml:space="preserve">(4) </w:t>
      </w:r>
      <w:r>
        <w:rPr>
          <w:rStyle w:val="Satznummer"/>
        </w:rPr>
        <w:t>1</w:t>
      </w:r>
      <w:r>
        <w:t xml:space="preserve">Wer aufzeichnungspflichtige Geschäftsvorfälle oder andere Vorgänge mit Hilfe eines elektronischen Aufzeichnungssystems im Sinne des Absatzes 1 erfasst, hat dem nach den </w:t>
      </w:r>
      <w:hyperlink w:anchor="b24" w:history="1">
        <w:r>
          <w:rPr>
            <w:color w:val="0A3A8C"/>
            <w:u w:val="single"/>
          </w:rPr>
          <w:t xml:space="preserve">§§ 18</w:t>
        </w:r>
      </w:hyperlink>
      <w:r>
        <w:t xml:space="preserve"> bis </w:t>
      </w:r>
      <w:hyperlink w:anchor="b26" w:history="1">
        <w:r>
          <w:rPr>
            <w:color w:val="0A3A8C"/>
            <w:u w:val="single"/>
          </w:rPr>
          <w:t xml:space="preserve">20</w:t>
        </w:r>
      </w:hyperlink>
      <w:r>
        <w:t xml:space="preserve"> zuständigen Finanzamt nach amtlich vorgeschriebenen Datensatz durch Datenfernübertragung mitzuteilen:</w:t>
      </w:r>
    </w:p>
    <w:p>
      <w:pPr>
        <w:tabs>
          <w:tab w:pos="567" w:val="left"/>
        </w:tabs>
        <w:ind w:left="567" w:hanging="567"/>
      </w:pPr>
      <w:r>
        <w:t>1.</w:t>
      </w:r>
      <w:r>
        <w:tab/>
      </w:r>
      <w:r>
        <w:t>Name des Steuerpflichtigen,</w:t>
      </w:r>
    </w:p>
    <w:p>
      <w:pPr>
        <w:tabs>
          <w:tab w:pos="567" w:val="left"/>
        </w:tabs>
        <w:ind w:left="567" w:hanging="567"/>
      </w:pPr>
      <w:r>
        <w:t>2.</w:t>
      </w:r>
      <w:r>
        <w:tab/>
      </w:r>
      <w:r>
        <w:t>Steuernummer des Steuerpflichtigen,</w:t>
      </w:r>
    </w:p>
    <w:p>
      <w:pPr>
        <w:tabs>
          <w:tab w:pos="567" w:val="left"/>
        </w:tabs>
        <w:ind w:left="567" w:hanging="567"/>
      </w:pPr>
      <w:r>
        <w:t>3.</w:t>
      </w:r>
      <w:r>
        <w:tab/>
      </w:r>
      <w:r>
        <w:t>Art der zertifizierten technischen Sicherheitseinrichtung,</w:t>
      </w:r>
    </w:p>
    <w:p>
      <w:pPr>
        <w:tabs>
          <w:tab w:pos="567" w:val="left"/>
        </w:tabs>
        <w:ind w:left="567" w:hanging="567"/>
      </w:pPr>
      <w:r>
        <w:t>4.</w:t>
      </w:r>
      <w:r>
        <w:tab/>
      </w:r>
      <w:r>
        <w:t>Art des verwendeten elektronischen Aufzeichnungssystems,</w:t>
      </w:r>
    </w:p>
    <w:p>
      <w:pPr>
        <w:tabs>
          <w:tab w:pos="567" w:val="left"/>
        </w:tabs>
        <w:ind w:left="567" w:hanging="567"/>
      </w:pPr>
      <w:r>
        <w:t>5.</w:t>
      </w:r>
      <w:r>
        <w:tab/>
      </w:r>
      <w:r>
        <w:t>Anzahl der verwendeten elektronischen Aufzeichnungssysteme,</w:t>
      </w:r>
    </w:p>
    <w:p>
      <w:pPr>
        <w:tabs>
          <w:tab w:pos="567" w:val="left"/>
        </w:tabs>
        <w:ind w:left="567" w:hanging="567"/>
      </w:pPr>
      <w:r>
        <w:t>6.</w:t>
      </w:r>
      <w:r>
        <w:tab/>
      </w:r>
      <w:r>
        <w:t>Seriennummer des verwendeten elektronischen Aufzeichnungssystems,</w:t>
      </w:r>
    </w:p>
    <w:p>
      <w:pPr>
        <w:tabs>
          <w:tab w:pos="567" w:val="left"/>
        </w:tabs>
        <w:ind w:left="567" w:hanging="567"/>
      </w:pPr>
      <w:r>
        <w:t>7.</w:t>
      </w:r>
      <w:r>
        <w:tab/>
      </w:r>
      <w:r>
        <w:t>Datum der Anschaffung des verwendeten elektronischen Aufzeichnungssystems,</w:t>
      </w:r>
    </w:p>
    <w:p>
      <w:pPr>
        <w:tabs>
          <w:tab w:pos="567" w:val="left"/>
        </w:tabs>
        <w:ind w:left="567" w:hanging="567"/>
      </w:pPr>
      <w:r>
        <w:t>8.</w:t>
      </w:r>
      <w:r>
        <w:tab/>
      </w:r>
      <w:r>
        <w:t>Datum der Außerbetriebnahme des verwendeten elektronischen Aufzeichnungssystems.</w:t>
      </w:r>
    </w:p>
    <w:p>
      <w:r>
        <w:rPr>
          <w:rStyle w:val="Satznummer"/>
        </w:rPr>
        <w:t>2</w:t>
      </w:r>
      <w:r>
        <w:t>Die Mitteilung nach Satz 1 ist innerhalb eines Monats nach Anschaffung oder Außerbetriebnahme des elektronischen Aufzeichnungssystems zu erstatten.</w:t>
      </w:r>
    </w:p>
    <w:p>
      <w:pPr>
        <w:pStyle w:val="Heading4"/>
      </w:pPr>
      <w:bookmarkStart w:id="250" w:name="b248"/>
      <w:r>
        <w:t>§ 146b Kassen-Nachschau</w:t>
      </w:r>
      <w:r>
        <w:t xml:space="preserve"> </w:t>
      </w:r>
      <w:r>
        <w:rPr>
          <w:rStyle w:val="Suchmarke"/>
        </w:rPr>
        <w:t>#146b#</w:t>
      </w:r>
      <w:bookmarkEnd w:id="250"/>
    </w:p>
    <w:p>
      <w:r>
        <w:t xml:space="preserve">(1) </w:t>
      </w:r>
      <w:r>
        <w:rPr>
          <w:rStyle w:val="Satznummer"/>
        </w:rPr>
        <w:t>1</w:t>
      </w:r>
      <w:r>
        <w:t xml:space="preserve">Zur Prüfung der Ordnungsmäßigkeit der Aufzeichnungen und Buchungen von Kasseneinnahmen und Kassenausgaben können die damit betrauten Amtsträger der Finanzbehörde ohne vorherige Ankündigung und außerhalb einer Außenprüfung, während der üblichen Geschäfts- und Arbeitszeiten Geschäftsgrundstücke oder Geschäftsräume von Steuerpflichtigen betreten, um Sachverhalte festzustellen, die für die Besteuerung erheblich sein können (Kassen-Nachschau). </w:t>
      </w:r>
      <w:r>
        <w:rPr>
          <w:rStyle w:val="Satznummer"/>
        </w:rPr>
        <w:t>2</w:t>
      </w:r>
      <w:r>
        <w:t xml:space="preserve">Der Kassen-Nachschau unterliegt auch die Prüfung des ordnungsgemäßen Einsatzes des elektronischen Aufzeichnungssystems nach </w:t>
      </w:r>
      <w:hyperlink w:anchor="b247" w:history="1">
        <w:r>
          <w:rPr>
            <w:color w:val="0A3A8C"/>
            <w:u w:val="single"/>
          </w:rPr>
          <w:t xml:space="preserve">§ 146a</w:t>
        </w:r>
      </w:hyperlink>
      <w:r>
        <w:t xml:space="preserve"> Absatz 1. </w:t>
      </w:r>
      <w:r>
        <w:rPr>
          <w:rStyle w:val="Satznummer"/>
        </w:rPr>
        <w:t>3</w:t>
      </w:r>
      <w:r>
        <w:t xml:space="preserve">Wohnräume dürfen gegen den Willen des Inhabers nur zur Verhütung dringender Gefahren für die öffentliche Sicherheit und Ordnung betreten werden. </w:t>
      </w:r>
      <w:r>
        <w:rPr>
          <w:rStyle w:val="Satznummer"/>
        </w:rPr>
        <w:t>4</w:t>
      </w:r>
      <w:r>
        <w:t>Das Grundrecht der Unverletzlichkeit der Wohnung (Artikel 13 des Grundgesetzes) wird insoweit eingeschränkt.</w:t>
      </w:r>
    </w:p>
    <w:p>
      <w:r>
        <w:t xml:space="preserve">(2) </w:t>
      </w:r>
      <w:r>
        <w:rPr>
          <w:rStyle w:val="Satznummer"/>
        </w:rPr>
        <w:t>1</w:t>
      </w:r>
      <w:r>
        <w:t xml:space="preserve">Die von der Kassen-Nachschau betroffenen Steuerpflichtigen haben dem mit der Kassen-Nachschau betrauten Amtsträger auf Verlangen Aufzeichnungen, Bücher sowie die für die Kassenführung erheblichen sonstigen Organisationsunterlagen über die der Kassen-Nachschau unterliegenden Sachverhalte und Zeiträume vorzulegen und Auskünfte zu erteilen, soweit dies zur Feststellung der Erheblichkeit nach Absatz 1 geboten ist. </w:t>
      </w:r>
      <w:r>
        <w:rPr>
          <w:rStyle w:val="Satznummer"/>
        </w:rPr>
        <w:t>2</w:t>
      </w:r>
      <w:r>
        <w:t xml:space="preserve">Liegen die in Satz 1 genannten Aufzeichnungen oder Bücher in elektronischer Form vor, ist der Amtsträger berechtigt, diese einzusehen, die Übermittlung von Daten über die einheitliche digitale Schnittstelle zu verlangen oder zu verlangen, dass Buchungen und Aufzeichnungen auf einem maschinell auswertbaren Datenträger nach den Vorgaben der einheitlichen digitalen Schnittstelle zur Verfügung gestellt werden. </w:t>
      </w:r>
      <w:r>
        <w:rPr>
          <w:rStyle w:val="Satznummer"/>
        </w:rPr>
        <w:t>3</w:t>
      </w:r>
      <w:r>
        <w:t>Die Kosten trägt der Steuerpflichtige.</w:t>
      </w:r>
    </w:p>
    <w:p>
      <w:r>
        <w:t xml:space="preserve">(3) </w:t>
      </w:r>
      <w:r>
        <w:rPr>
          <w:rStyle w:val="Satznummer"/>
        </w:rPr>
        <w:t>1</w:t>
      </w:r>
      <w:r>
        <w:t xml:space="preserve">Wenn die bei der Kassen-Nachschau getroffenen Feststellungen hierzu Anlass geben, kann ohne vorherige Prüfungsanordnung zu einer Außenprüfung nach </w:t>
      </w:r>
      <w:hyperlink w:anchor="b316" w:history="1">
        <w:r>
          <w:rPr>
            <w:color w:val="0A3A8C"/>
            <w:u w:val="single"/>
          </w:rPr>
          <w:t xml:space="preserve">§ 193</w:t>
        </w:r>
      </w:hyperlink>
      <w:r>
        <w:t xml:space="preserve"> übergegangen werden. </w:t>
      </w:r>
      <w:r>
        <w:rPr>
          <w:rStyle w:val="Satznummer"/>
        </w:rPr>
        <w:t>2</w:t>
      </w:r>
      <w:r>
        <w:t>Auf den Übergang zur Außenprüfung wird schriftlich hingewiesen.</w:t>
      </w:r>
    </w:p>
    <w:p>
      <w:pPr>
        <w:pStyle w:val="Heading4"/>
      </w:pPr>
      <w:bookmarkStart w:id="251" w:name="b249"/>
      <w:r>
        <w:t>§ 147 Ordnungsvorschriften für die Aufbewahrung von Unterlagen</w:t>
      </w:r>
      <w:r>
        <w:t xml:space="preserve"> </w:t>
      </w:r>
      <w:r>
        <w:rPr>
          <w:rStyle w:val="Suchmarke"/>
        </w:rPr>
        <w:t>#147#</w:t>
      </w:r>
      <w:bookmarkEnd w:id="251"/>
    </w:p>
    <w:p>
      <w:r>
        <w:t>(1) Die folgenden Unterlagen sind geordnet aufzubewahren:</w:t>
      </w:r>
    </w:p>
    <w:p>
      <w:pPr>
        <w:tabs>
          <w:tab w:pos="567" w:val="left"/>
        </w:tabs>
        <w:ind w:left="567" w:hanging="567"/>
      </w:pPr>
      <w:r>
        <w:t>1.</w:t>
      </w:r>
      <w:r>
        <w:tab/>
      </w:r>
      <w:r>
        <w:t>Bücher und Aufzeichnungen, Inventare, Jahresabschlüsse, Lageberichte, die Eröffnungsbilanz sowie die zu ihrem Verständnis erforderlichen Arbeitsanweisungen und sonstigen Organisationsunterlagen,</w:t>
      </w:r>
    </w:p>
    <w:p>
      <w:pPr>
        <w:tabs>
          <w:tab w:pos="567" w:val="left"/>
        </w:tabs>
        <w:ind w:left="567" w:hanging="567"/>
      </w:pPr>
      <w:r>
        <w:t>2.</w:t>
      </w:r>
      <w:r>
        <w:tab/>
      </w:r>
      <w:r>
        <w:t>die empfangenen Handels- oder Geschäftsbriefe,</w:t>
      </w:r>
    </w:p>
    <w:p>
      <w:pPr>
        <w:tabs>
          <w:tab w:pos="567" w:val="left"/>
        </w:tabs>
        <w:ind w:left="567" w:hanging="567"/>
      </w:pPr>
      <w:r>
        <w:t>3.</w:t>
      </w:r>
      <w:r>
        <w:tab/>
      </w:r>
      <w:r>
        <w:t>Wiedergaben der abgesandten Handels- oder Geschäftsbriefe,</w:t>
      </w:r>
    </w:p>
    <w:p>
      <w:pPr>
        <w:tabs>
          <w:tab w:pos="567" w:val="left"/>
        </w:tabs>
        <w:ind w:left="567" w:hanging="567"/>
      </w:pPr>
      <w:r>
        <w:t>4.</w:t>
      </w:r>
      <w:r>
        <w:tab/>
      </w:r>
      <w:r>
        <w:t>Buchungsbelege,</w:t>
      </w:r>
    </w:p>
    <w:p>
      <w:pPr>
        <w:tabs>
          <w:tab w:pos="567" w:val="left"/>
        </w:tabs>
        <w:ind w:left="567" w:hanging="567"/>
      </w:pPr>
      <w:r>
        <w:t>4a.</w:t>
      </w:r>
      <w:r>
        <w:tab/>
      </w:r>
      <w:r>
        <w:t>Unterlagen nach Artikel 15 Absatz 1 und Artikel 163 des Zollkodex der Union,</w:t>
      </w:r>
    </w:p>
    <w:p>
      <w:pPr>
        <w:tabs>
          <w:tab w:pos="567" w:val="left"/>
        </w:tabs>
        <w:ind w:left="567" w:hanging="567"/>
      </w:pPr>
      <w:r>
        <w:t>5.</w:t>
      </w:r>
      <w:r>
        <w:tab/>
      </w:r>
      <w:r>
        <w:t>sonstige Unterlagen, soweit sie für die Besteuerung von Bedeutung sind.</w:t>
      </w:r>
    </w:p>
    <w:p>
      <w:r>
        <w:t>(2) Mit Ausnahme der Jahresabschlüsse, der Eröffnungsbilanz und der Unterlagen nach Absatz 1 Nummer 4a, sofern es sich bei letztgenannten Unterlagen um amtliche Urkunden oder handschriftlich zu unterschreibende nicht förmliche Präferenznachweise handelt, können die in Absatz 1 aufgeführten Unterlagen auch als Wiedergabe auf einem Bildträger oder auf anderen Datenträgern aufbewahrt werden, wenn dies den Grundsätzen ordnungsmäßiger Buchführung entspricht und sichergestellt ist, dass die Wiedergabe oder die Daten</w:t>
      </w:r>
    </w:p>
    <w:p>
      <w:pPr>
        <w:tabs>
          <w:tab w:pos="567" w:val="left"/>
        </w:tabs>
        <w:ind w:left="567" w:hanging="567"/>
      </w:pPr>
      <w:r>
        <w:t>1.</w:t>
      </w:r>
      <w:r>
        <w:tab/>
      </w:r>
      <w:r>
        <w:t>mit den empfangenen Handels- oder Geschäftsbriefen und den Buchungsbelegen bildlich und mit den anderen Unterlagen inhaltlich übereinstimmen, wenn sie lesbar gemacht werden,</w:t>
      </w:r>
    </w:p>
    <w:p>
      <w:pPr>
        <w:tabs>
          <w:tab w:pos="567" w:val="left"/>
        </w:tabs>
        <w:ind w:left="567" w:hanging="567"/>
      </w:pPr>
      <w:r>
        <w:t>2.</w:t>
      </w:r>
      <w:r>
        <w:tab/>
      </w:r>
      <w:r>
        <w:t>während der Dauer der Aufbewahrungsfrist jederzeit verfügbar sind, unverzüglich lesbar gemacht und maschinell ausgewertet werden können.</w:t>
      </w:r>
    </w:p>
    <w:p>
      <w:r>
        <w:t xml:space="preserve">(3) </w:t>
      </w:r>
      <w:r>
        <w:rPr>
          <w:rStyle w:val="Satznummer"/>
        </w:rPr>
        <w:t>1</w:t>
      </w:r>
      <w:r>
        <w:t xml:space="preserve">Die in Absatz 1 Nummer 1 und 4a aufgeführten Unterlagen sind zehn Jahre, die in Absatz 1 Nummer 4 aufgeführten Unterlagen acht Jahre und die sonstigen in Absatz 1 aufgeführten Unterlagen sechs Jahre aufzubewahren, sofern nicht in anderen Steuergesetzen kürzere Aufbewahrungsfristen zugelassen sind. </w:t>
      </w:r>
      <w:r>
        <w:rPr>
          <w:rStyle w:val="Satznummer"/>
        </w:rPr>
        <w:t>2</w:t>
      </w:r>
      <w:r>
        <w:t xml:space="preserve">Kürzere Aufbewahrungsfristen nach außersteuerlichen Gesetzen lassen die in Satz 1 bestimmte Frist unberührt. </w:t>
      </w:r>
      <w:r>
        <w:rPr>
          <w:rStyle w:val="Satznummer"/>
        </w:rPr>
        <w:t>3</w:t>
      </w:r>
      <w:r>
        <w:t xml:space="preserve">Bei empfangenen Lieferscheinen, die keine Buchungsbelege nach Absatz 1 Nummer 4 sind, endet die Aufbewahrungsfrist mit dem Erhalt der Rechnung. </w:t>
      </w:r>
      <w:r>
        <w:rPr>
          <w:rStyle w:val="Satznummer"/>
        </w:rPr>
        <w:t>4</w:t>
      </w:r>
      <w:r>
        <w:t xml:space="preserve">Für abgesandte Lieferscheine, die keine Buchungsbelege nach Absatz 1 Nummer 4 sind, endet die Aufbewahrungsfrist mit dem Versand der Rechnung. </w:t>
      </w:r>
      <w:r>
        <w:rPr>
          <w:rStyle w:val="Satznummer"/>
        </w:rPr>
        <w:t>5</w:t>
      </w:r>
      <w:r>
        <w:t xml:space="preserve">Die Aufbewahrungsfrist läuft jedoch nicht ab, soweit und solange die Unterlagen für Steuern von Bedeutung sind, für welche die Festsetzungsfrist noch nicht abgelaufen ist; </w:t>
      </w:r>
      <w:hyperlink w:anchor="b279" w:history="1">
        <w:r>
          <w:rPr>
            <w:color w:val="0A3A8C"/>
            <w:u w:val="single"/>
          </w:rPr>
          <w:t xml:space="preserve">§ 169</w:t>
        </w:r>
      </w:hyperlink>
      <w:r>
        <w:t xml:space="preserve"> Absatz 2 Satz 2 gilt nicht.</w:t>
      </w:r>
    </w:p>
    <w:p>
      <w:r>
        <w:t>(4) Die Aufbewahrungsfrist beginnt mit dem Schluss des Kalenderjahrs, in dem die letzte Eintragung in das Buch gemacht, das Inventar, die Eröffnungsbilanz, der Jahresabschluss oder der Lagebericht aufgestellt, der Handels- oder Geschäftsbrief empfangen oder abgesandt worden oder der Buchungsbeleg entstanden ist, ferner die Aufzeichnung vorgenommen worden ist oder die sonstigen Unterlagen entstanden sind.</w:t>
      </w:r>
    </w:p>
    <w:p>
      <w:r>
        <w:t>(5) Wer aufzubewahrende Unterlagen in der Form einer Wiedergabe auf einem Bildträger oder auf anderen Datenträgern vorlegt, ist verpflichtet, auf seine Kosten diejenigen Hilfsmittel zur Verfügung zu stellen, die erforderlich sind, um die Unterlagen lesbar zu machen; auf Verlangen der Finanzbehörde hat er auf seine Kosten die Unterlagen unverzüglich ganz oder teilweise auszudrucken oder ohne Hilfsmittel lesbare Reproduktionen beizubringen.</w:t>
      </w:r>
    </w:p>
    <w:p>
      <w:r>
        <w:t xml:space="preserve">(6) </w:t>
      </w:r>
      <w:r>
        <w:rPr>
          <w:rStyle w:val="Satznummer"/>
        </w:rPr>
        <w:t>1</w:t>
      </w:r>
      <w:r>
        <w:t>Sind die Unterlagen nach Absatz 1 mit Hilfe eines Datenverarbeitungssystems erstellt worden, kann die Finanzbehörde im Rahmen einer Außenprüfung</w:t>
      </w:r>
    </w:p>
    <w:p>
      <w:pPr>
        <w:tabs>
          <w:tab w:pos="567" w:val="left"/>
        </w:tabs>
        <w:ind w:left="567" w:hanging="567"/>
      </w:pPr>
      <w:r>
        <w:t>1.</w:t>
      </w:r>
      <w:r>
        <w:tab/>
      </w:r>
      <w:r>
        <w:t>Einsicht in die gespeicherten Daten nehmen und das Datenverarbeitungssystem zur Prüfung dieser Unterlagen nutzen,</w:t>
      </w:r>
    </w:p>
    <w:p>
      <w:pPr>
        <w:tabs>
          <w:tab w:pos="567" w:val="left"/>
        </w:tabs>
        <w:ind w:left="567" w:hanging="567"/>
      </w:pPr>
      <w:r>
        <w:t>2.</w:t>
      </w:r>
      <w:r>
        <w:tab/>
      </w:r>
      <w:r>
        <w:t>verlangen, dass die Daten nach ihren Vorgaben maschinell ausgewertet zur Verfügung gestellt werden, oder</w:t>
      </w:r>
    </w:p>
    <w:p>
      <w:pPr>
        <w:tabs>
          <w:tab w:pos="567" w:val="left"/>
        </w:tabs>
        <w:ind w:left="567" w:hanging="567"/>
      </w:pPr>
      <w:r>
        <w:t>3.</w:t>
      </w:r>
      <w:r>
        <w:tab/>
      </w:r>
      <w:r>
        <w:t>verlangen, dass die Daten nach ihren Vorgaben in einem maschinell auswertbaren Format an sie übertragen werden.</w:t>
      </w:r>
    </w:p>
    <w:p>
      <w:r>
        <w:rPr>
          <w:rStyle w:val="Satznummer"/>
        </w:rPr>
        <w:t>2</w:t>
      </w:r>
      <w:r>
        <w:t>Teilt der Steuerpflichtige der Finanzbehörde mit, dass sich seine Daten nach Absatz 1 bei einem Dritten befinden, so hat der Dritte</w:t>
      </w:r>
    </w:p>
    <w:p>
      <w:pPr>
        <w:tabs>
          <w:tab w:pos="567" w:val="left"/>
        </w:tabs>
        <w:ind w:left="567" w:hanging="567"/>
      </w:pPr>
      <w:r>
        <w:t>1.</w:t>
      </w:r>
      <w:r>
        <w:tab/>
      </w:r>
      <w:r>
        <w:t>der Finanzbehörde Einsicht in die für den Steuerpflichtigen gespeicherten Daten zu gewähren oder</w:t>
      </w:r>
    </w:p>
    <w:p>
      <w:pPr>
        <w:tabs>
          <w:tab w:pos="567" w:val="left"/>
        </w:tabs>
        <w:ind w:left="567" w:hanging="567"/>
      </w:pPr>
      <w:r>
        <w:t>2.</w:t>
      </w:r>
      <w:r>
        <w:tab/>
      </w:r>
      <w:r>
        <w:t>diese Daten nach den Vorgaben der Finanzbehörde maschinell auszuwerten oder</w:t>
      </w:r>
    </w:p>
    <w:p>
      <w:pPr>
        <w:tabs>
          <w:tab w:pos="567" w:val="left"/>
        </w:tabs>
        <w:ind w:left="567" w:hanging="567"/>
      </w:pPr>
      <w:r>
        <w:t>3.</w:t>
      </w:r>
      <w:r>
        <w:tab/>
      </w:r>
      <w:r>
        <w:t>ihr nach ihren Vorgaben die für den Steuerpflichtigen gespeicherten Daten in einem maschinell auswertbaren Format zu übertragen.</w:t>
      </w:r>
    </w:p>
    <w:p>
      <w:r>
        <w:rPr>
          <w:rStyle w:val="Satznummer"/>
        </w:rPr>
        <w:t>3</w:t>
      </w:r>
      <w:r>
        <w:t xml:space="preserve">Die Kosten trägt der Steuerpflichtige. </w:t>
      </w:r>
      <w:r>
        <w:rPr>
          <w:rStyle w:val="Satznummer"/>
        </w:rPr>
        <w:t>4</w:t>
      </w:r>
      <w:r>
        <w:t xml:space="preserve">In den Fällen des Satzes 2 hat der mit der Außenprüfung betraute Amtsträger den in § 3 Satz 1 und § 4c Absatz 2 des Steuerberatungsgesetzes bezeichneten Personen sein Erscheinen in angemessener Frist anzukündigen. </w:t>
      </w:r>
      <w:r>
        <w:rPr>
          <w:rStyle w:val="Satznummer"/>
        </w:rPr>
        <w:t>5</w:t>
      </w:r>
      <w:r>
        <w:t>Sofern noch nicht mit einer Außenprüfung begonnen wurde, ist es im Fall eines Wechsels des Datenverarbeitungssystems oder im Fall der Auslagerung von aufzeichnungs- und aufbewahrungspflichtigen Daten aus dem Produktivsystem in ein anderes Datenverarbeitungssystem ausreichend, wenn der Steuerpflichtige nach Ablauf des fünften Kalenderjahres, das auf die Umstellung oder Auslagerung folgt, diese Daten ausschließlich auf einem maschinell lesbaren und maschinell auswertbaren Datenträger vorhält.</w:t>
      </w:r>
    </w:p>
    <w:p>
      <w:r>
        <w:t xml:space="preserve">(7) </w:t>
      </w:r>
      <w:r>
        <w:rPr>
          <w:rStyle w:val="Satznummer"/>
        </w:rPr>
        <w:t>1</w:t>
      </w:r>
      <w:r>
        <w:t xml:space="preserve">Die Verarbeitung und Aufbewahrung der nach Absatz 6 zur Verfügung gestellten Daten ist auch auf mobilen Datenverarbeitungssystemen der Finanzbehörden unabhängig von deren Einsatzort zulässig. </w:t>
      </w:r>
      <w:r>
        <w:rPr>
          <w:rStyle w:val="Satznummer"/>
        </w:rPr>
        <w:t>2</w:t>
      </w:r>
      <w:r>
        <w:t>Die Finanzbehörde darf die nach Absatz 6 zur Verfügung gestellten und gespeicherten Daten bis zur Unanfechtbarkeit der die Daten betreffenden Verwaltungsakte auch auf den mobilen Datenverarbeitungssystemen unabhängig von deren Einsatzort aufbewahren.</w:t>
      </w:r>
    </w:p>
    <w:p>
      <w:pPr>
        <w:pStyle w:val="Heading4"/>
      </w:pPr>
      <w:bookmarkStart w:id="252" w:name="b250"/>
      <w:r>
        <w:t>§ 147a Vorschriften für die Aufbewahrung von Aufzeichnungen und Unterlagen bestimmter Steuerpflichtiger</w:t>
      </w:r>
      <w:r>
        <w:t xml:space="preserve"> </w:t>
      </w:r>
      <w:r>
        <w:rPr>
          <w:rStyle w:val="Suchmarke"/>
        </w:rPr>
        <w:t>#147a#</w:t>
      </w:r>
      <w:bookmarkEnd w:id="252"/>
    </w:p>
    <w:p>
      <w:r>
        <w:t xml:space="preserve">(1) </w:t>
      </w:r>
      <w:r>
        <w:rPr>
          <w:rStyle w:val="Satznummer"/>
        </w:rPr>
        <w:t>1</w:t>
      </w:r>
      <w:r>
        <w:t>Steuerpflichtige, bei denen die Summe der positiven Einkünfte nach § 2 Absatz 1 Nummer 4 bis 7 des Einkommensteuergesetzes (Überschusseinkünfte) mehr als 500 000</w:t>
      </w:r>
      <w:hyperlink w:anchor="f250_1" w:history="1">
        <w:r>
          <w:rPr>
            <w:rStyle w:val="Fussnotenmarke"/>
            <w:u w:val="single"/>
            <w:color w:val="0A3A8C"/>
          </w:rPr>
          <w:t>1</w:t>
        </w:r>
      </w:hyperlink>
      <w:r>
        <w:t xml:space="preserve"> Euro im Kalenderjahr beträgt, haben die Aufzeichnungen und Unterlagen über die den Überschusseinkünften zu Grunde liegenden Einnahmen und Werbungskosten sechs Jahre aufzubewahren. </w:t>
      </w:r>
      <w:r>
        <w:rPr>
          <w:rStyle w:val="Satznummer"/>
        </w:rPr>
        <w:t>2</w:t>
      </w:r>
      <w:r>
        <w:t>Im Falle der Zusammenveranlagung sind für die Feststellung des Überschreitens des Betrags von 500 000</w:t>
      </w:r>
      <w:hyperlink w:anchor="f250_1" w:history="1">
        <w:r>
          <w:rPr>
            <w:rStyle w:val="Fussnotenmarke"/>
            <w:u w:val="single"/>
            <w:color w:val="0A3A8C"/>
          </w:rPr>
          <w:t>1</w:t>
        </w:r>
      </w:hyperlink>
      <w:r>
        <w:t xml:space="preserve"> Euro die Summe der positiven Einkünfte nach Satz 1 eines jeden Ehegatten oder Lebenspartners maßgebend. </w:t>
      </w:r>
      <w:r>
        <w:rPr>
          <w:rStyle w:val="Satznummer"/>
        </w:rPr>
        <w:t>3</w:t>
      </w:r>
      <w:r>
        <w:t>Die Verpflichtung nach Satz 1 ist vom Beginn des Kalenderjahrs an zu erfüllen, das auf das Kalenderjahr folgt, in dem die Summe der positiven Einkünfte im Sinne des Satzes 1 mehr als 500 000</w:t>
      </w:r>
      <w:hyperlink w:anchor="f250_1" w:history="1">
        <w:r>
          <w:rPr>
            <w:rStyle w:val="Fussnotenmarke"/>
            <w:u w:val="single"/>
            <w:color w:val="0A3A8C"/>
          </w:rPr>
          <w:t>1</w:t>
        </w:r>
      </w:hyperlink>
      <w:r>
        <w:t xml:space="preserve"> Euro beträgt. </w:t>
      </w:r>
      <w:r>
        <w:rPr>
          <w:rStyle w:val="Satznummer"/>
        </w:rPr>
        <w:t>4</w:t>
      </w:r>
      <w:r>
        <w:t xml:space="preserve">Die Verpflichtung nach Satz 1 endet mit Ablauf des fünften aufeinanderfolgenden Kalenderjahrs, in dem die Voraussetzungen des Satzes 1 nicht erfüllt sind. </w:t>
      </w:r>
      <w:r>
        <w:rPr>
          <w:rStyle w:val="Satznummer"/>
        </w:rPr>
        <w:t>5</w:t>
      </w:r>
      <w:hyperlink w:anchor="b249" w:history="1">
        <w:r>
          <w:rPr>
            <w:color w:val="0A3A8C"/>
            <w:u w:val="single"/>
          </w:rPr>
          <w:t xml:space="preserve">§ 147</w:t>
        </w:r>
      </w:hyperlink>
      <w:r>
        <w:t xml:space="preserve"> Absatz 2, Absatz 3 Satz 5 und Absatz 4 bis 7 gilt entsprechend. </w:t>
      </w:r>
      <w:r>
        <w:rPr>
          <w:rStyle w:val="Satznummer"/>
        </w:rPr>
        <w:t>6</w:t>
      </w:r>
      <w:r>
        <w:t>Die Sätze 1 bis 3 und 5 gelten entsprechend in den Fällen, in denen die zuständige Finanzbehörde den Steuerpflichtigen für die Zukunft zur Aufbewahrung der in Satz 1 genannten Aufzeichnungen und Unterlagen verpflichtet, weil er seinen Mitwirkungspflichten nach § 12 Absatz 3 des Gesetzes zur Abwehr von Steuervermeidung und unfairem Steuerwettbewerb nicht nachgekommen ist.</w:t>
      </w:r>
    </w:p>
    <w:p>
      <w:r>
        <w:t xml:space="preserve">(2) </w:t>
      </w:r>
      <w:r>
        <w:rPr>
          <w:rStyle w:val="Satznummer"/>
        </w:rPr>
        <w:t>1</w:t>
      </w:r>
      <w:r>
        <w:t xml:space="preserve">Steuerpflichtige, die allein oder zusammen mit nahestehenden Personen im Sinne des § 1 Absatz 2 des Außensteuergesetzes unmittelbar oder mittelbar einen beherrschenden oder bestimmenden Einfluss auf die gesellschaftsrechtlichen, finanziellen oder geschäftlichen Angelegenheiten einer Drittstaat-Gesellschaft im Sinne des </w:t>
      </w:r>
      <w:hyperlink w:anchor="b219" w:history="1">
        <w:r>
          <w:rPr>
            <w:color w:val="0A3A8C"/>
            <w:u w:val="single"/>
          </w:rPr>
          <w:t xml:space="preserve">§ 138</w:t>
        </w:r>
      </w:hyperlink>
      <w:r>
        <w:t xml:space="preserve"> Absatz 3 ausüben können, haben die Aufzeichnungen und Unterlagen über diese Beziehung und alle damit verbundenen Einnahmen und Ausgaben sechs Jahre aufzubewahren. </w:t>
      </w:r>
      <w:r>
        <w:rPr>
          <w:rStyle w:val="Satznummer"/>
        </w:rPr>
        <w:t>2</w:t>
      </w:r>
      <w:r>
        <w:t xml:space="preserve">Diese Aufbewahrungspflicht ist von dem Zeitpunkt an zu erfüllen, in dem der Sachverhalt erstmals verwirklicht worden ist, der den Tatbestand des Satzes 1 erfüllt. </w:t>
      </w:r>
      <w:r>
        <w:rPr>
          <w:rStyle w:val="Satznummer"/>
        </w:rPr>
        <w:t>3</w:t>
      </w:r>
      <w:r>
        <w:t xml:space="preserve">Absatz 1 Satz 4 sowie </w:t>
      </w:r>
      <w:hyperlink w:anchor="b249" w:history="1">
        <w:r>
          <w:rPr>
            <w:color w:val="0A3A8C"/>
            <w:u w:val="single"/>
          </w:rPr>
          <w:t xml:space="preserve">§ 147</w:t>
        </w:r>
      </w:hyperlink>
      <w:r>
        <w:t xml:space="preserve"> Absatz 2, 3 Satz 5 und Absatz 5 bis 7 gelten entsprechend.</w:t>
      </w:r>
    </w:p>
    <w:p>
      <w:pPr>
        <w:pStyle w:val="Fußnote"/>
      </w:pPr>
      <w:bookmarkStart w:id="253" w:name="f250_1"/>
      <w:r>
        <w:rPr>
          <w:rStyle w:val="Zusatz"/>
          <w:b/>
        </w:rPr>
        <w:t xml:space="preserve">Fußnote 1: </w:t>
      </w:r>
      <w:r>
        <w:t xml:space="preserve">Gemäß Artikel 14 in Verbindung mit Artikel 35 Absatz 8 des Gesetzes vom 27. März 2024 (BGBl. 2024 I Nr. 108) wird in </w:t>
      </w:r>
      <w:hyperlink w:anchor="b250" w:history="1">
        <w:r>
          <w:rPr>
            <w:color w:val="0A3A8C"/>
            <w:u w:val="single"/>
          </w:rPr>
          <w:t xml:space="preserve">§ 147a</w:t>
        </w:r>
      </w:hyperlink>
      <w:r>
        <w:t xml:space="preserve"> Absatz 1 am 1. Januar 2027 jeweils die Angabe „500 000“ durch die Angabe „750 000“ ersetzt.</w:t>
      </w:r>
      <w:bookmarkEnd w:id="253"/>
    </w:p>
    <w:p>
      <w:pPr>
        <w:pStyle w:val="Heading4"/>
      </w:pPr>
      <w:bookmarkStart w:id="254" w:name="b251"/>
      <w:r>
        <w:t>§ 147b Verordnungsermächtigung zur Vereinheitlichung von digitalen Schnittstellen</w:t>
      </w:r>
      <w:r>
        <w:t xml:space="preserve"> </w:t>
      </w:r>
      <w:r>
        <w:rPr>
          <w:rStyle w:val="Suchmarke"/>
        </w:rPr>
        <w:t>#147b#</w:t>
      </w:r>
      <w:bookmarkEnd w:id="254"/>
    </w:p>
    <w:p>
      <w:r>
        <w:rPr>
          <w:rStyle w:val="Satznummer"/>
        </w:rPr>
        <w:t>1</w:t>
      </w:r>
      <w:r>
        <w:t xml:space="preserve">Das Bundesministerium der Finanzen kann durch Rechtsverordnung mit Zustimmung des Bundesrates einheitliche digitale Schnittstellen und Datensatzbeschreibungen für den standardisierten Export von Daten bestimmen, die mit einem Datenverarbeitungssystem erstellt worden und nach </w:t>
      </w:r>
      <w:hyperlink w:anchor="b249" w:history="1">
        <w:r>
          <w:rPr>
            <w:color w:val="0A3A8C"/>
            <w:u w:val="single"/>
          </w:rPr>
          <w:t xml:space="preserve">§ 147</w:t>
        </w:r>
      </w:hyperlink>
      <w:r>
        <w:t xml:space="preserve"> Absatz 1 aufzubewahren sind. </w:t>
      </w:r>
      <w:r>
        <w:rPr>
          <w:rStyle w:val="Satznummer"/>
        </w:rPr>
        <w:t>2</w:t>
      </w:r>
      <w:r>
        <w:t>In der Rechtsverordnung kann auch eine Pflicht zur Implementierung und Nutzung der jeweiligen einheitlichen digitalen Schnittstelle oder von Datensatzbeschreibungen für den standardisierten Export von Daten bestimmt werden.</w:t>
      </w:r>
    </w:p>
    <w:p>
      <w:pPr>
        <w:pStyle w:val="Heading4"/>
      </w:pPr>
      <w:bookmarkStart w:id="255" w:name="b252"/>
      <w:r>
        <w:t>§ 148 Bewilligung von Erleichterungen</w:t>
      </w:r>
      <w:r>
        <w:t xml:space="preserve"> </w:t>
      </w:r>
      <w:r>
        <w:rPr>
          <w:rStyle w:val="Suchmarke"/>
        </w:rPr>
        <w:t>#148#</w:t>
      </w:r>
      <w:bookmarkEnd w:id="255"/>
    </w:p>
    <w:p>
      <w:r>
        <w:rPr>
          <w:rStyle w:val="Satznummer"/>
        </w:rPr>
        <w:t>1</w:t>
      </w:r>
      <w:r>
        <w:t xml:space="preserve">Die Finanzbehörden können für einzelne Fälle oder für bestimmte Gruppen von Fällen Erleichterungen bewilligen, wenn die Einhaltung der durch die Steuergesetze begründeten Buchführungs-, Aufzeichnungs- und Aufbewahrungspflichten Härten mit sich bringt und die Besteuerung durch die Erleichterung nicht beeinträchtigt wird. </w:t>
      </w:r>
      <w:r>
        <w:rPr>
          <w:rStyle w:val="Satznummer"/>
        </w:rPr>
        <w:t>2</w:t>
      </w:r>
      <w:r>
        <w:t xml:space="preserve">Erleichterungen nach Satz 1 können rückwirkend bewilligt werden. </w:t>
      </w:r>
      <w:r>
        <w:rPr>
          <w:rStyle w:val="Satznummer"/>
        </w:rPr>
        <w:t>3</w:t>
      </w:r>
      <w:r>
        <w:t>Die Bewilligung kann widerrufen werden.</w:t>
      </w:r>
    </w:p>
    <w:p>
      <w:pPr>
        <w:pStyle w:val="Heading3"/>
      </w:pPr>
      <w:bookmarkStart w:id="256" w:name="b253"/>
      <w:r>
        <w:t>2. Unterabschnitt Steuererklärungen</w:t>
      </w:r>
      <w:bookmarkEnd w:id="256"/>
    </w:p>
    <w:p>
      <w:pPr>
        <w:pStyle w:val="Heading4"/>
      </w:pPr>
      <w:bookmarkStart w:id="257" w:name="b254"/>
      <w:r>
        <w:t>§ 149 Abgabe der Steuererklärungen</w:t>
      </w:r>
      <w:r>
        <w:t xml:space="preserve"> </w:t>
      </w:r>
      <w:r>
        <w:rPr>
          <w:rStyle w:val="Suchmarke"/>
        </w:rPr>
        <w:t>#149#</w:t>
      </w:r>
      <w:bookmarkEnd w:id="257"/>
    </w:p>
    <w:p>
      <w:r>
        <w:t xml:space="preserve">(1) </w:t>
      </w:r>
      <w:r>
        <w:rPr>
          <w:rStyle w:val="Satznummer"/>
        </w:rPr>
        <w:t>1</w:t>
      </w:r>
      <w:r>
        <w:t xml:space="preserve">Die Steuergesetze bestimmen, wer zur Abgabe einer Steuererklärung verpflichtet ist. </w:t>
      </w:r>
      <w:r>
        <w:rPr>
          <w:rStyle w:val="Satznummer"/>
        </w:rPr>
        <w:t>2</w:t>
      </w:r>
      <w:r>
        <w:t xml:space="preserve">Zur Abgabe einer Steuererklärung ist auch verpflichtet, wer hierzu von der Finanzbehörde aufgefordert wird. </w:t>
      </w:r>
      <w:r>
        <w:rPr>
          <w:rStyle w:val="Satznummer"/>
        </w:rPr>
        <w:t>3</w:t>
      </w:r>
      <w:r>
        <w:t xml:space="preserve">Die Aufforderung kann durch öffentliche Bekanntmachung erfolgen. </w:t>
      </w:r>
      <w:r>
        <w:rPr>
          <w:rStyle w:val="Satznummer"/>
        </w:rPr>
        <w:t>4</w:t>
      </w:r>
      <w:r>
        <w:t xml:space="preserve">Die Verpflichtung zur Abgabe einer Steuererklärung bleibt auch dann bestehen, wenn die Finanzbehörde die Besteuerungsgrundlagen nach </w:t>
      </w:r>
      <w:hyperlink w:anchor="b271" w:history="1">
        <w:r>
          <w:rPr>
            <w:color w:val="0A3A8C"/>
            <w:u w:val="single"/>
          </w:rPr>
          <w:t xml:space="preserve">§ 162</w:t>
        </w:r>
      </w:hyperlink>
      <w:r>
        <w:t xml:space="preserve"> geschätzt hat.</w:t>
      </w:r>
    </w:p>
    <w:p>
      <w:r>
        <w:t xml:space="preserve">(2) </w:t>
      </w:r>
      <w:r>
        <w:rPr>
          <w:rStyle w:val="Satznummer"/>
        </w:rPr>
        <w:t>1</w:t>
      </w:r>
      <w:r>
        <w:t xml:space="preserve">Soweit die Steuergesetze nichts anderes bestimmen, sind Steuererklärungen, die sich auf ein Kalenderjahr oder auf einen gesetzlich bestimmten Zeitpunkt beziehen, spätestens sieben Monate nach Ablauf des Kalenderjahres oder sieben Monate nach dem gesetzlich bestimmten Zeitpunkt abzugeben. </w:t>
      </w:r>
      <w:r>
        <w:rPr>
          <w:rStyle w:val="Satznummer"/>
        </w:rPr>
        <w:t>2</w:t>
      </w:r>
      <w:r>
        <w:t>Bei Steuerpflichtigen, die den Gewinn aus Land- und Forstwirtschaft nach einem vom Kalenderjahr abweichenden Wirtschaftsjahr ermitteln, endet die Frist nicht vor Ablauf des siebten Monats, der auf den Schluss des in dem Kalenderjahr begonnenen Wirtschaftsjahres folgt.</w:t>
      </w:r>
    </w:p>
    <w:p>
      <w:r>
        <w:t>(3) Sofern Personen, Gesellschaften, Verbände, Vereinigungen, Behörden oder Körperschaften im Sinne der §§ 3 und 4 bis 4d des Steuerberatungsgesetzes beauftragt sind mit der Erstellung von</w:t>
      </w:r>
    </w:p>
    <w:p>
      <w:pPr>
        <w:tabs>
          <w:tab w:pos="567" w:val="left"/>
        </w:tabs>
        <w:ind w:left="567" w:hanging="567"/>
      </w:pPr>
      <w:r>
        <w:t>1.</w:t>
      </w:r>
      <w:r>
        <w:tab/>
      </w:r>
      <w:r>
        <w:t>Einkommensteuererklärungen nach § 25 Absatz 3 des Einkommensteuergesetzes mit Ausnahme der Einkommensteuererklärungen im Sinne des § 46 Absatz 2 Nummer 8 des Einkommensteuergesetzes,</w:t>
      </w:r>
    </w:p>
    <w:p>
      <w:pPr>
        <w:tabs>
          <w:tab w:pos="567" w:val="left"/>
        </w:tabs>
        <w:ind w:left="567" w:hanging="567"/>
      </w:pPr>
      <w:r>
        <w:t>2.</w:t>
      </w:r>
      <w:r>
        <w:tab/>
      </w:r>
      <w:r>
        <w:t>Körperschaftsteuererklärungen nach § 31 Absatz 1 und 1a des Körperschaftsteuergesetzes, Feststellungserklärungen im Sinne des § 14 Absatz 5, § 27 Absatz 2 Satz 4, § 28 Absatz 1 Satz 4 oder § 38 Absatz 1 Satz 2 des Körperschaftsteuergesetzes oder Erklärungen zur Zerlegung der Körperschaftsteuer nach § 6 Absatz 7 des Zerlegungsgesetzes,</w:t>
      </w:r>
    </w:p>
    <w:p>
      <w:pPr>
        <w:tabs>
          <w:tab w:pos="567" w:val="left"/>
        </w:tabs>
        <w:ind w:left="567" w:hanging="567"/>
      </w:pPr>
      <w:r>
        <w:t>3.</w:t>
      </w:r>
      <w:r>
        <w:tab/>
      </w:r>
      <w:r>
        <w:t>Erklärungen zur Festsetzung des Gewerbesteuermessbetrags oder Zerlegungserklärungen nach § 14a des Gewerbesteuergesetzes,</w:t>
      </w:r>
    </w:p>
    <w:p>
      <w:pPr>
        <w:tabs>
          <w:tab w:pos="567" w:val="left"/>
        </w:tabs>
        <w:ind w:left="567" w:hanging="567"/>
      </w:pPr>
      <w:r>
        <w:t>4.</w:t>
      </w:r>
      <w:r>
        <w:tab/>
      </w:r>
      <w:r>
        <w:t>Umsatzsteuererklärungen für das Kalenderjahr nach § 18 Absatz 3 des Umsatzsteuergesetzes,</w:t>
      </w:r>
    </w:p>
    <w:p>
      <w:pPr>
        <w:tabs>
          <w:tab w:pos="567" w:val="left"/>
        </w:tabs>
        <w:ind w:left="567" w:hanging="567"/>
      </w:pPr>
      <w:r>
        <w:t>5.</w:t>
      </w:r>
      <w:r>
        <w:tab/>
      </w:r>
      <w:r>
        <w:t xml:space="preserve">Erklärungen zur gesonderten sowie zur gesonderten und einheitlichen Feststellung einkommensteuerpflichtiger oder körperschaftsteuerpflichtiger Einkünfte nach </w:t>
      </w:r>
      <w:hyperlink w:anchor="b297" w:history="1">
        <w:r>
          <w:rPr>
            <w:color w:val="0A3A8C"/>
            <w:u w:val="single"/>
          </w:rPr>
          <w:t xml:space="preserve">§ 180</w:t>
        </w:r>
      </w:hyperlink>
      <w:r>
        <w:t xml:space="preserve"> Absatz 1 Satz 1 Nummer 2 in Verbindung mit </w:t>
      </w:r>
      <w:hyperlink w:anchor="b298" w:history="1">
        <w:r>
          <w:rPr>
            <w:color w:val="0A3A8C"/>
            <w:u w:val="single"/>
          </w:rPr>
          <w:t xml:space="preserve">§ 181</w:t>
        </w:r>
      </w:hyperlink>
      <w:r>
        <w:t xml:space="preserve"> Absatz 1 und 2,</w:t>
      </w:r>
    </w:p>
    <w:p>
      <w:pPr>
        <w:tabs>
          <w:tab w:pos="567" w:val="left"/>
        </w:tabs>
        <w:ind w:left="567" w:hanging="567"/>
      </w:pPr>
      <w:r>
        <w:t>6.</w:t>
      </w:r>
      <w:r>
        <w:tab/>
      </w:r>
      <w:r>
        <w:t>Erklärungen zur gesonderten Feststellung von Besteuerungsgrundlagen nach der Verordnung über die gesonderte Feststellung von Besteuerungsgrundlagen nach § 180 Abs. 2 der Abgabenordnung oder</w:t>
      </w:r>
    </w:p>
    <w:p>
      <w:pPr>
        <w:tabs>
          <w:tab w:pos="567" w:val="left"/>
        </w:tabs>
        <w:ind w:left="567" w:hanging="567"/>
      </w:pPr>
      <w:r>
        <w:t>7.</w:t>
      </w:r>
      <w:r>
        <w:tab/>
      </w:r>
      <w:r>
        <w:t>Erklärungen zur gesonderten Feststellung von Besteuerungsgrundlagen nach § 18 des Außensteuergesetzes,</w:t>
      </w:r>
    </w:p>
    <w:p>
      <w:r>
        <w:t>so sind diese Erklärungen vorbehaltlich des Absatzes 4 spätestens bis zum letzten Tag des Monats Februar und in den Fällen des Absatzes 2 Satz 2 bis zum 31. Juli des zweiten auf den Besteuerungszeitraum folgenden Kalenderjahres abzugeben.</w:t>
      </w:r>
    </w:p>
    <w:p>
      <w:r>
        <w:t xml:space="preserve">(4) </w:t>
      </w:r>
      <w:r>
        <w:rPr>
          <w:rStyle w:val="Satznummer"/>
        </w:rPr>
        <w:t>1</w:t>
      </w:r>
      <w:r>
        <w:t>Das Finanzamt kann anordnen, dass Erklärungen im Sinne des Absatzes 3 vor dem letzten Tag des Monats Februar des zweiten auf den Besteuerungszeitraum folgenden Kalenderjahres abzugeben sind, wenn</w:t>
      </w:r>
    </w:p>
    <w:p>
      <w:pPr>
        <w:tabs>
          <w:tab w:pos="567" w:val="left"/>
        </w:tabs>
        <w:ind w:left="567" w:hanging="567"/>
      </w:pPr>
      <w:r>
        <w:t>1.</w:t>
      </w:r>
      <w:r>
        <w:tab/>
      </w:r>
      <w:r>
        <w:t>für den betroffenen Steuerpflichtigen</w:t>
      </w:r>
    </w:p>
    <w:p>
      <w:pPr>
        <w:tabs>
          <w:tab w:pos="1134" w:val="left"/>
        </w:tabs>
        <w:ind w:left="1134" w:hanging="567"/>
      </w:pPr>
      <w:r>
        <w:t>a)</w:t>
      </w:r>
      <w:r>
        <w:tab/>
      </w:r>
      <w:r>
        <w:t>für den vorangegangenen Besteuerungszeitraum Erklärungen nicht oder verspätet abgegeben wurden,</w:t>
      </w:r>
    </w:p>
    <w:p>
      <w:pPr>
        <w:tabs>
          <w:tab w:pos="1134" w:val="left"/>
        </w:tabs>
        <w:ind w:left="1134" w:hanging="567"/>
      </w:pPr>
      <w:r>
        <w:t>b)</w:t>
      </w:r>
      <w:r>
        <w:tab/>
      </w:r>
      <w:r>
        <w:t xml:space="preserve">für den vorangegangenen Besteuerungszeitraum innerhalb von drei Monaten vor Abgabe der Steuererklärung oder innerhalb von drei Monaten vor dem Beginn des Zinslaufs im Sinne des </w:t>
      </w:r>
      <w:hyperlink w:anchor="b371" w:history="1">
        <w:r>
          <w:rPr>
            <w:color w:val="0A3A8C"/>
            <w:u w:val="single"/>
          </w:rPr>
          <w:t xml:space="preserve">§ 233a</w:t>
        </w:r>
      </w:hyperlink>
      <w:r>
        <w:t xml:space="preserve"> Absatz 2 Satz 1 und 2 nachträgliche Vorauszahlungen festgesetzt wurden,</w:t>
      </w:r>
    </w:p>
    <w:p>
      <w:pPr>
        <w:tabs>
          <w:tab w:pos="1134" w:val="left"/>
        </w:tabs>
        <w:ind w:left="1134" w:hanging="567"/>
      </w:pPr>
      <w:r>
        <w:t>c)</w:t>
      </w:r>
      <w:r>
        <w:tab/>
      </w:r>
      <w:r>
        <w:t>Vorauszahlungen für den Besteuerungszeitraum außerhalb einer Veranlagung herabgesetzt wurden,</w:t>
      </w:r>
    </w:p>
    <w:p>
      <w:pPr>
        <w:tabs>
          <w:tab w:pos="1134" w:val="left"/>
        </w:tabs>
        <w:ind w:left="1134" w:hanging="567"/>
      </w:pPr>
      <w:r>
        <w:t>d)</w:t>
      </w:r>
      <w:r>
        <w:tab/>
      </w:r>
      <w:r>
        <w:t>die Veranlagung für den vorangegangenen Veranlagungszeitraum zu einer Abschlusszahlung von mindestens 25 Prozent der festgesetzten Steuer oder mehr als 10 000 Euro geführt hat,</w:t>
      </w:r>
    </w:p>
    <w:p>
      <w:pPr>
        <w:tabs>
          <w:tab w:pos="1134" w:val="left"/>
        </w:tabs>
        <w:ind w:left="1134" w:hanging="567"/>
      </w:pPr>
      <w:r>
        <w:t>e)</w:t>
      </w:r>
      <w:r>
        <w:tab/>
      </w:r>
      <w:r>
        <w:t>die Steuerfestsetzung auf Grund einer Steuererklärung im Sinne des Absatzes 3 Nummer 1, 2 oder 4 voraussichtlich zu einer Abschlusszahlung von mehr als 10 000 Euro führen wird oder</w:t>
      </w:r>
    </w:p>
    <w:p>
      <w:pPr>
        <w:tabs>
          <w:tab w:pos="1134" w:val="left"/>
        </w:tabs>
        <w:ind w:left="1134" w:hanging="567"/>
      </w:pPr>
      <w:r>
        <w:t>f)</w:t>
      </w:r>
      <w:r>
        <w:tab/>
      </w:r>
      <w:r>
        <w:t>eine Außenprüfung vorgesehen ist,</w:t>
      </w:r>
    </w:p>
    <w:p>
      <w:pPr>
        <w:tabs>
          <w:tab w:pos="567" w:val="left"/>
        </w:tabs>
        <w:ind w:left="567" w:hanging="567"/>
      </w:pPr>
      <w:r>
        <w:t>2.</w:t>
      </w:r>
      <w:r>
        <w:tab/>
      </w:r>
      <w:r>
        <w:t>der betroffene Steuerpflichtige im Besteuerungszeitraum einen Betrieb eröffnet oder eingestellt hat oder</w:t>
      </w:r>
    </w:p>
    <w:p>
      <w:pPr>
        <w:tabs>
          <w:tab w:pos="567" w:val="left"/>
        </w:tabs>
        <w:ind w:left="567" w:hanging="567"/>
      </w:pPr>
      <w:r>
        <w:t>3.</w:t>
      </w:r>
      <w:r>
        <w:tab/>
      </w:r>
      <w:r>
        <w:t>für Beteiligte an Gesellschaften oder Gemeinschaften Verluste festzustellen sind.</w:t>
      </w:r>
    </w:p>
    <w:p>
      <w:r>
        <w:rPr>
          <w:rStyle w:val="Satznummer"/>
        </w:rPr>
        <w:t>2</w:t>
      </w:r>
      <w:r>
        <w:t xml:space="preserve">Für das Befolgen der Anordnung ist eine Frist von vier Monaten nach Bekanntgabe der Anordnung zu setzen. </w:t>
      </w:r>
      <w:r>
        <w:rPr>
          <w:rStyle w:val="Satznummer"/>
        </w:rPr>
        <w:t>3</w:t>
      </w:r>
      <w:r>
        <w:t xml:space="preserve">Ferner dürfen die Finanzämter nach dem Ergebnis einer automationsgestützten Zufallsauswahl anordnen, dass Erklärungen im Sinne des Absatzes 3 vor dem letzten Tag des Monats Februar des zweiten auf den Besteuerungszeitraum folgenden Kalenderjahres mit einer Frist von vier Monaten nach Bekanntgabe der Anordnung abzugeben sind. </w:t>
      </w:r>
      <w:r>
        <w:rPr>
          <w:rStyle w:val="Satznummer"/>
        </w:rPr>
        <w:t>4</w:t>
      </w:r>
      <w:r>
        <w:t xml:space="preserve">In der Aufforderung nach Satz 3 ist darauf hinzuweisen, dass sie auf einer automationsgestützten Zufallsauswahl beruht; eine weitere Begründung ist nicht erforderlich. </w:t>
      </w:r>
      <w:r>
        <w:rPr>
          <w:rStyle w:val="Satznummer"/>
        </w:rPr>
        <w:t>5</w:t>
      </w:r>
      <w:r>
        <w:t xml:space="preserve">In den Fällen des Absatzes 2 Satz 2 tritt an die Stelle des letzten Tages des Monats Februar der 31. Juli des zweiten auf den Besteuerungszeitraum folgenden Kalenderjahres. </w:t>
      </w:r>
      <w:r>
        <w:rPr>
          <w:rStyle w:val="Satznummer"/>
        </w:rPr>
        <w:t>6</w:t>
      </w:r>
      <w:r>
        <w:t xml:space="preserve">Eine Anordnung nach Satz 1 oder Satz 3 darf für die Abgabe der Erklärung keine kürzere als die in Absatz 2 bestimmte Frist setzen. </w:t>
      </w:r>
      <w:r>
        <w:rPr>
          <w:rStyle w:val="Satznummer"/>
        </w:rPr>
        <w:t>7</w:t>
      </w:r>
      <w:r>
        <w:t>In den Fällen der Sätze 1 und 3 erstreckt sich eine Anordnung auf alle Erklärungen im Sinne des Absatzes 3, die vom betroffenen Steuerpflichtigen für den gleichen Besteuerungszeitraum oder Besteuerungszeitpunkt abzugeben sind.</w:t>
      </w:r>
    </w:p>
    <w:p>
      <w:r>
        <w:t>(5) Absatz 3 gilt nicht für Umsatzsteuererklärungen für das Kalenderjahr, wenn die gewerbliche oder berufliche Tätigkeit vor oder mit dem Ablauf des Besteuerungszeitraums endete.</w:t>
      </w:r>
    </w:p>
    <w:p>
      <w:r>
        <w:t xml:space="preserve">(6) </w:t>
      </w:r>
      <w:r>
        <w:rPr>
          <w:rStyle w:val="Satznummer"/>
        </w:rPr>
        <w:t>1</w:t>
      </w:r>
      <w:r>
        <w:t xml:space="preserve">Die oberste Landesfinanzbehörde oder eine von ihr bestimmte Landesfinanzbehörde kann zulassen, dass Personen, Gesellschaften, Verbände, Vereinigungen, Behörden und Körperschaften im Sinne der §§ 3 und 4 des Steuerberatungsgesetzes bis zu bestimmten Stichtagen einen bestimmten prozentualen Anteil der Erklärungen im Sinne des Absatzes 3 einreichen. </w:t>
      </w:r>
      <w:r>
        <w:rPr>
          <w:rStyle w:val="Satznummer"/>
        </w:rPr>
        <w:t>2</w:t>
      </w:r>
      <w:r>
        <w:t xml:space="preserve">Soweit Erklärungen im Sinne des Absatzes 3 in ein Verfahren nach Satz 1 einbezogen werden, ist Absatz 4 Satz 3 nicht anzuwenden. </w:t>
      </w:r>
      <w:r>
        <w:rPr>
          <w:rStyle w:val="Satznummer"/>
        </w:rPr>
        <w:t>3</w:t>
      </w:r>
      <w:r>
        <w:t>Die Einrichtung eines Verfahrens nach Satz 1 steht im Ermessen der obersten Landesfinanzbehörden und ist nicht einklagbar.</w:t>
      </w:r>
    </w:p>
    <w:p>
      <w:pPr>
        <w:pStyle w:val="Heading4"/>
      </w:pPr>
      <w:bookmarkStart w:id="258" w:name="b255"/>
      <w:r>
        <w:t>§ 150 Form und Inhalt der Steuererklärungen</w:t>
      </w:r>
      <w:r>
        <w:t xml:space="preserve"> </w:t>
      </w:r>
      <w:r>
        <w:rPr>
          <w:rStyle w:val="Suchmarke"/>
        </w:rPr>
        <w:t>#150#</w:t>
      </w:r>
      <w:bookmarkEnd w:id="258"/>
    </w:p>
    <w:p>
      <w:r>
        <w:t xml:space="preserve">(1) </w:t>
      </w:r>
      <w:r>
        <w:rPr>
          <w:rStyle w:val="Satznummer"/>
        </w:rPr>
        <w:t>1</w:t>
      </w:r>
      <w:r>
        <w:t>Eine Steuererklärung ist nach amtlich vorgeschriebenem Vordruck abzugeben, wenn</w:t>
      </w:r>
    </w:p>
    <w:p>
      <w:pPr>
        <w:tabs>
          <w:tab w:pos="567" w:val="left"/>
        </w:tabs>
        <w:ind w:left="567" w:hanging="567"/>
      </w:pPr>
      <w:r>
        <w:t>1.</w:t>
      </w:r>
      <w:r>
        <w:tab/>
      </w:r>
      <w:r>
        <w:t>keine elektronische Steuererklärung vorgeschrieben ist,</w:t>
      </w:r>
    </w:p>
    <w:p>
      <w:pPr>
        <w:tabs>
          <w:tab w:pos="567" w:val="left"/>
        </w:tabs>
        <w:ind w:left="567" w:hanging="567"/>
      </w:pPr>
      <w:r>
        <w:t>2.</w:t>
      </w:r>
      <w:r>
        <w:tab/>
      </w:r>
      <w:r>
        <w:t>nicht freiwillig eine gesetzlich oder amtlich zugelassene elektronische Steuererklärung abgegeben wird,</w:t>
      </w:r>
    </w:p>
    <w:p>
      <w:pPr>
        <w:tabs>
          <w:tab w:pos="567" w:val="left"/>
        </w:tabs>
        <w:ind w:left="567" w:hanging="567"/>
      </w:pPr>
      <w:r>
        <w:t>3.</w:t>
      </w:r>
      <w:r>
        <w:tab/>
      </w:r>
      <w:r>
        <w:t>keine mündliche oder konkludente Steuererklärung zugelassen ist und</w:t>
      </w:r>
    </w:p>
    <w:p>
      <w:pPr>
        <w:tabs>
          <w:tab w:pos="567" w:val="left"/>
        </w:tabs>
        <w:ind w:left="567" w:hanging="567"/>
      </w:pPr>
      <w:r>
        <w:t>4.</w:t>
      </w:r>
      <w:r>
        <w:tab/>
      </w:r>
      <w:r>
        <w:t xml:space="preserve">eine Aufnahme der Steuererklärung an Amtsstelle nach </w:t>
      </w:r>
      <w:hyperlink w:anchor="b256" w:history="1">
        <w:r>
          <w:rPr>
            <w:color w:val="0A3A8C"/>
            <w:u w:val="single"/>
          </w:rPr>
          <w:t xml:space="preserve">§ 151</w:t>
        </w:r>
      </w:hyperlink>
      <w:r>
        <w:t xml:space="preserve"> nicht in Betracht kommt.</w:t>
      </w:r>
    </w:p>
    <w:p>
      <w:r>
        <w:rPr>
          <w:rStyle w:val="Satznummer"/>
        </w:rPr>
        <w:t>2</w:t>
      </w:r>
      <w:hyperlink w:anchor="b133" w:history="1">
        <w:r>
          <w:rPr>
            <w:color w:val="0A3A8C"/>
            <w:u w:val="single"/>
          </w:rPr>
          <w:t xml:space="preserve">§ 87a</w:t>
        </w:r>
      </w:hyperlink>
      <w:r>
        <w:t xml:space="preserve"> Absatz 1 Satz 1 ist nur anzuwenden, soweit eine elektronische Steuererklärung vorgeschrieben oder zugelassen ist. </w:t>
      </w:r>
      <w:r>
        <w:rPr>
          <w:rStyle w:val="Satznummer"/>
        </w:rPr>
        <w:t>3</w:t>
      </w:r>
      <w:r>
        <w:t>Der Steuerpflichtige hat in der Steuererklärung die Steuer selbst zu berechnen, soweit dies gesetzlich vorgeschrieben ist (Steueranmeldung).</w:t>
      </w:r>
    </w:p>
    <w:p>
      <w:r>
        <w:t>(2) Die Angaben in den Steuererklärungen sind wahrheitsgemäß nach bestem Wissen und Gewissen zu machen.</w:t>
      </w:r>
    </w:p>
    <w:p>
      <w:r>
        <w:t xml:space="preserve">(3) </w:t>
      </w:r>
      <w:r>
        <w:rPr>
          <w:rStyle w:val="Satznummer"/>
        </w:rPr>
        <w:t>1</w:t>
      </w:r>
      <w:r>
        <w:t xml:space="preserve">Ordnen die Steuergesetze an, dass der Steuerpflichtige die Steuererklärung eigenhändig zu unterschreiben hat, so ist die Unterzeichnung durch einen Bevollmächtigten nur dann zulässig, wenn der Steuerpflichtige infolge seines körperlichen oder geistigen Zustands oder durch längere Abwesenheit an der Unterschrift gehindert ist. </w:t>
      </w:r>
      <w:r>
        <w:rPr>
          <w:rStyle w:val="Satznummer"/>
        </w:rPr>
        <w:t>2</w:t>
      </w:r>
      <w:r>
        <w:t>Die eigenhändige Unterschrift kann nachträglich verlangt werden, wenn der Hinderungsgrund weggefallen ist.</w:t>
      </w:r>
    </w:p>
    <w:p>
      <w:r>
        <w:t xml:space="preserve">(4) </w:t>
      </w:r>
      <w:r>
        <w:rPr>
          <w:rStyle w:val="Satznummer"/>
        </w:rPr>
        <w:t>1</w:t>
      </w:r>
      <w:r>
        <w:t xml:space="preserve">Den Steuererklärungen müssen die Unterlagen beigefügt werden, die nach den Steuergesetzen vorzulegen sind. </w:t>
      </w:r>
      <w:r>
        <w:rPr>
          <w:rStyle w:val="Satznummer"/>
        </w:rPr>
        <w:t>2</w:t>
      </w:r>
      <w:r>
        <w:t>Dritte Personen sind verpflichtet, hierfür erforderliche Bescheinigungen auszustellen.</w:t>
      </w:r>
    </w:p>
    <w:p>
      <w:r>
        <w:t xml:space="preserve">(5) </w:t>
      </w:r>
      <w:r>
        <w:rPr>
          <w:rStyle w:val="Satznummer"/>
        </w:rPr>
        <w:t>1</w:t>
      </w:r>
      <w:r>
        <w:t xml:space="preserve">In die Steuererklärungsformulare können auch Fragen aufgenommen werden, die zur Ergänzung der Besteuerungsunterlagen für Zwecke einer Statistik nach dem Gesetz über Steuerstatistiken erforderlich sind. </w:t>
      </w:r>
      <w:r>
        <w:rPr>
          <w:rStyle w:val="Satznummer"/>
        </w:rPr>
        <w:t>2</w:t>
      </w:r>
      <w:r>
        <w:t xml:space="preserve">Die Finanzbehörden können ferner von Steuerpflichtigen Auskünfte verlangen, die für die Durchführung des Bundesausbildungsförderungsgesetzes erforderlich sind. </w:t>
      </w:r>
      <w:r>
        <w:rPr>
          <w:rStyle w:val="Satznummer"/>
        </w:rPr>
        <w:t>3</w:t>
      </w:r>
      <w:r>
        <w:t>Die Finanzbehörden haben bei der Überprüfung der Angaben dieselben Befugnisse wie bei der Aufklärung der für die Besteuerung erheblichen Verhältnisse.</w:t>
      </w:r>
    </w:p>
    <w:p>
      <w:r>
        <w:t xml:space="preserve">(6) </w:t>
      </w:r>
      <w:r>
        <w:rPr>
          <w:rStyle w:val="Satznummer"/>
        </w:rPr>
        <w:t>1</w:t>
      </w:r>
      <w:r>
        <w:t xml:space="preserve">Zur Erleichterung und Vereinfachung des automatisierten Besteuerungsverfahrens kann das Bundesministerium der Finanzen durch Rechtsverordnung mit Zustimmung des Bundesrates bestimmen, dass und unter welchen Voraussetzungen Steuererklärungen oder sonstige für das Besteuerungsverfahren erforderliche Daten ganz oder teilweise durch Datenfernübertragung oder auf maschinell verwertbaren Datenträgern übermittelt werden können. </w:t>
      </w:r>
      <w:r>
        <w:rPr>
          <w:rStyle w:val="Satznummer"/>
        </w:rPr>
        <w:t>2</w:t>
      </w:r>
      <w:r>
        <w:t xml:space="preserve">In der Rechtsverordnung können von den </w:t>
      </w:r>
      <w:hyperlink w:anchor="b110" w:history="1">
        <w:r>
          <w:rPr>
            <w:color w:val="0A3A8C"/>
            <w:u w:val="single"/>
          </w:rPr>
          <w:t xml:space="preserve">§§ 72a</w:t>
        </w:r>
      </w:hyperlink>
      <w:r>
        <w:t xml:space="preserve"> und </w:t>
      </w:r>
      <w:hyperlink w:anchor="b134" w:history="1">
        <w:r>
          <w:rPr>
            <w:color w:val="0A3A8C"/>
            <w:u w:val="single"/>
          </w:rPr>
          <w:t xml:space="preserve">87b</w:t>
        </w:r>
      </w:hyperlink>
      <w:r>
        <w:t xml:space="preserve"> bis </w:t>
      </w:r>
      <w:hyperlink w:anchor="b136" w:history="1">
        <w:r>
          <w:rPr>
            <w:color w:val="0A3A8C"/>
            <w:u w:val="single"/>
          </w:rPr>
          <w:t xml:space="preserve">87d</w:t>
        </w:r>
      </w:hyperlink>
      <w:r>
        <w:t xml:space="preserve"> abweichende Regelungen getroffen werden. </w:t>
      </w:r>
      <w:r>
        <w:rPr>
          <w:rStyle w:val="Satznummer"/>
        </w:rPr>
        <w:t>3</w:t>
      </w:r>
      <w:r>
        <w:t>Die Rechtsverordnung bedarf nicht der Zustimmung des Bundesrates, soweit die Kraftfahrzeugsteuer, die Luftverkehrsteuer, die Versicherungsteuer und Verbrauchsteuern, mit Ausnahme der Biersteuer, betroffen sind.</w:t>
      </w:r>
    </w:p>
    <w:p>
      <w:r>
        <w:t xml:space="preserve">(7) </w:t>
      </w:r>
      <w:r>
        <w:rPr>
          <w:rStyle w:val="Satznummer"/>
        </w:rPr>
        <w:t>1</w:t>
      </w:r>
      <w:r>
        <w:t xml:space="preserve">Können Steuererklärungen, die nach amtlich vorgeschriebenem Vordruck abgegeben oder nach amtlich vorgeschriebenem Datensatz durch Datenfernübertragung übermittelt werden, nach </w:t>
      </w:r>
      <w:hyperlink w:anchor="b264" w:history="1">
        <w:r>
          <w:rPr>
            <w:color w:val="0A3A8C"/>
            <w:u w:val="single"/>
          </w:rPr>
          <w:t xml:space="preserve">§ 155</w:t>
        </w:r>
      </w:hyperlink>
      <w:r>
        <w:t xml:space="preserve"> Absatz 4 Satz 1 zu einer ausschließlich automationsgestützten Steuerfestsetzung führen, ist es dem Steuerpflichtigen zu ermöglichen, Angaben, die nach seiner Auffassung Anlass für eine Bearbeitung durch Amtsträger sind, in einem dafür vorgesehenen Abschnitt oder Datenfeld der Steuererklärung zu machen. </w:t>
      </w:r>
      <w:r>
        <w:rPr>
          <w:rStyle w:val="Satznummer"/>
        </w:rPr>
        <w:t>2</w:t>
      </w:r>
      <w:r>
        <w:t xml:space="preserve">Daten, die von mitteilungspflichtigen Stellen nach Maßgabe des </w:t>
      </w:r>
      <w:hyperlink w:anchor="b152" w:history="1">
        <w:r>
          <w:rPr>
            <w:color w:val="0A3A8C"/>
            <w:u w:val="single"/>
          </w:rPr>
          <w:t xml:space="preserve">§ 93c</w:t>
        </w:r>
      </w:hyperlink>
      <w:r>
        <w:t xml:space="preserve"> an die Finanzverwaltung übermittelt wurden, gelten als Angaben des Steuerpflichtigen, soweit sie in den Steuererklärungsformularen als eDaten gekennzeichnet sind oder bei nach amtlich vorgeschriebenem Datensatz durch Datenfernübertragung übermittelten Steuererklärungen für den Belegabruf bereitgestellt werden und er nicht in einem dafür vorzusehenden Abschnitt oder Datenfeld der Steuererklärung abweichende Angaben macht.</w:t>
      </w:r>
    </w:p>
    <w:p>
      <w:r>
        <w:t xml:space="preserve">(8) </w:t>
      </w:r>
      <w:r>
        <w:rPr>
          <w:rStyle w:val="Satznummer"/>
        </w:rPr>
        <w:t>1</w:t>
      </w:r>
      <w:r>
        <w:t xml:space="preserve">Ordnen die Steuergesetze an, dass die Finanzbehörde auf Antrag zur Vermeidung unbilliger Härten auf eine Übermittlung der Steuererklärung nach amtlich vorgeschriebenem Datensatz durch Datenfernübertragung verzichten kann, ist einem solchen Antrag zu entsprechen, wenn eine Erklärungsabgabe nach amtlich vorgeschriebenem Datensatz durch Datenfernübertragung für den Steuerpflichtigen wirtschaftlich oder persönlich unzumutbar ist. </w:t>
      </w:r>
      <w:r>
        <w:rPr>
          <w:rStyle w:val="Satznummer"/>
        </w:rPr>
        <w:t>2</w:t>
      </w:r>
      <w:r>
        <w:t>Dies ist insbesondere der Fall, wenn die Schaffung der technischen Möglichkeiten für eine Datenfernübertragung des amtlich vorgeschriebenen Datensatzes nur mit einem nicht unerheblichen finanziellen Aufwand möglich wäre oder wenn der Steuerpflichtige nach seinen individuellen Kenntnissen und Fähigkeiten nicht oder nur eingeschränkt in der Lage ist, die Möglichkeiten der Datenfernübertragung zu nutzen.</w:t>
      </w:r>
    </w:p>
    <w:p>
      <w:pPr>
        <w:pStyle w:val="Heading4"/>
      </w:pPr>
      <w:bookmarkStart w:id="259" w:name="b256"/>
      <w:r>
        <w:t>§ 151 Aufnahme der Steuererklärung an Amtsstelle</w:t>
      </w:r>
      <w:r>
        <w:t xml:space="preserve"> </w:t>
      </w:r>
      <w:r>
        <w:rPr>
          <w:rStyle w:val="Suchmarke"/>
        </w:rPr>
        <w:t>#151#</w:t>
      </w:r>
      <w:bookmarkEnd w:id="259"/>
    </w:p>
    <w:p>
      <w:r>
        <w:t>Eine Steuererklärung, die schriftlich oder elektronisch abzugeben ist, kann bei der zuständigen Finanzbehörde zur Niederschrift erklärt werden, wenn dem Steuerpflichtigen nach seinen persönlichen Verhältnissen weder die elektronische Übermittlung noch die Schriftform zuzumuten ist, insbesondere, wenn er nicht in der Lage ist, eine gesetzlich vorgeschriebene Selbstberechnung der Steuer vorzunehmen oder durch einen Dritten vornehmen zu lassen.</w:t>
      </w:r>
    </w:p>
    <w:p>
      <w:pPr>
        <w:pStyle w:val="Heading4"/>
      </w:pPr>
      <w:bookmarkStart w:id="260" w:name="b257"/>
      <w:r>
        <w:t>§ 152 Verspätungszuschlag</w:t>
      </w:r>
      <w:r>
        <w:t xml:space="preserve"> </w:t>
      </w:r>
      <w:r>
        <w:rPr>
          <w:rStyle w:val="Suchmarke"/>
        </w:rPr>
        <w:t>#152#</w:t>
      </w:r>
      <w:bookmarkEnd w:id="260"/>
    </w:p>
    <w:p>
      <w:r>
        <w:t xml:space="preserve">(1) </w:t>
      </w:r>
      <w:r>
        <w:rPr>
          <w:rStyle w:val="Satznummer"/>
        </w:rPr>
        <w:t>1</w:t>
      </w:r>
      <w:r>
        <w:t xml:space="preserve">Gegen denjenigen, der seiner Verpflichtung zur Abgabe einer Steuererklärung nicht oder nicht fristgemäß nachkommt, kann ein Verspätungszuschlag festgesetzt werden. </w:t>
      </w:r>
      <w:r>
        <w:rPr>
          <w:rStyle w:val="Satznummer"/>
        </w:rPr>
        <w:t>2</w:t>
      </w:r>
      <w:r>
        <w:t>Von der Festsetzung eines Verspätungszuschlags ist abzusehen, wenn der Erklärungspflichtige glaubhaft macht, dass die Verspätung entschuldbar ist; das Verschulden eines Vertreters oder eines Erfüllungsgehilfen ist dem Erklärungspflichtigen zuzurechnen.</w:t>
      </w:r>
    </w:p>
    <w:p>
      <w:r>
        <w:t>(2) Abweichend von Absatz 1 ist ein Verspätungszuschlag festzusetzen, wenn eine Steuererklärung, die sich auf ein Kalenderjahr oder auf einen gesetzlich bestimmten Zeitpunkt bezieht,</w:t>
      </w:r>
    </w:p>
    <w:p>
      <w:pPr>
        <w:tabs>
          <w:tab w:pos="567" w:val="left"/>
        </w:tabs>
        <w:ind w:left="567" w:hanging="567"/>
      </w:pPr>
      <w:r>
        <w:t>1.</w:t>
      </w:r>
      <w:r>
        <w:tab/>
      </w:r>
      <w:r>
        <w:t>nicht binnen 14 Monaten nach Ablauf des Kalenderjahrs oder nicht binnen 14 Monaten nach dem Besteuerungszeitpunkt,</w:t>
      </w:r>
    </w:p>
    <w:p>
      <w:pPr>
        <w:tabs>
          <w:tab w:pos="567" w:val="left"/>
        </w:tabs>
        <w:ind w:left="567" w:hanging="567"/>
      </w:pPr>
      <w:r>
        <w:t>2.</w:t>
      </w:r>
      <w:r>
        <w:tab/>
      </w:r>
      <w:r>
        <w:t xml:space="preserve">in den Fällen des </w:t>
      </w:r>
      <w:hyperlink w:anchor="b254" w:history="1">
        <w:r>
          <w:rPr>
            <w:color w:val="0A3A8C"/>
            <w:u w:val="single"/>
          </w:rPr>
          <w:t xml:space="preserve">§ 149</w:t>
        </w:r>
      </w:hyperlink>
      <w:r>
        <w:t xml:space="preserve"> Absatz 2 Satz 2 nicht binnen 19 Monaten nach Ablauf des Kalenderjahrs oder nicht binnen 19 Monaten nach dem Besteuerungszeitpunkt oder</w:t>
      </w:r>
    </w:p>
    <w:p>
      <w:pPr>
        <w:tabs>
          <w:tab w:pos="567" w:val="left"/>
        </w:tabs>
        <w:ind w:left="567" w:hanging="567"/>
      </w:pPr>
      <w:r>
        <w:t>3.</w:t>
      </w:r>
      <w:r>
        <w:tab/>
      </w:r>
      <w:r>
        <w:t xml:space="preserve">in den Fällen des </w:t>
      </w:r>
      <w:hyperlink w:anchor="b254" w:history="1">
        <w:r>
          <w:rPr>
            <w:color w:val="0A3A8C"/>
            <w:u w:val="single"/>
          </w:rPr>
          <w:t xml:space="preserve">§ 149</w:t>
        </w:r>
      </w:hyperlink>
      <w:r>
        <w:t xml:space="preserve"> Absatz 4 nicht bis zu dem in der Anordnung bestimmten Zeitpunkt</w:t>
      </w:r>
    </w:p>
    <w:p>
      <w:r>
        <w:t>abgegeben wurde.</w:t>
      </w:r>
    </w:p>
    <w:p>
      <w:r>
        <w:t>(3) Absatz 2 gilt nicht,</w:t>
      </w:r>
    </w:p>
    <w:p>
      <w:pPr>
        <w:tabs>
          <w:tab w:pos="567" w:val="left"/>
        </w:tabs>
        <w:ind w:left="567" w:hanging="567"/>
      </w:pPr>
      <w:r>
        <w:t>1.</w:t>
      </w:r>
      <w:r>
        <w:tab/>
      </w:r>
      <w:r>
        <w:t xml:space="preserve">wenn die Finanzbehörde die Frist für die Abgabe der Steuererklärung nach </w:t>
      </w:r>
      <w:hyperlink w:anchor="b173" w:history="1">
        <w:r>
          <w:rPr>
            <w:color w:val="0A3A8C"/>
            <w:u w:val="single"/>
          </w:rPr>
          <w:t xml:space="preserve">§ 109</w:t>
        </w:r>
      </w:hyperlink>
      <w:r>
        <w:t xml:space="preserve"> verlängert hat oder diese Frist rückwirkend verlängert,</w:t>
      </w:r>
    </w:p>
    <w:p>
      <w:pPr>
        <w:tabs>
          <w:tab w:pos="567" w:val="left"/>
        </w:tabs>
        <w:ind w:left="567" w:hanging="567"/>
      </w:pPr>
      <w:r>
        <w:t>2.</w:t>
      </w:r>
      <w:r>
        <w:tab/>
      </w:r>
      <w:r>
        <w:t>wenn die Steuer auf null Euro oder auf einen negativen Betrag festgesetzt wird,</w:t>
      </w:r>
    </w:p>
    <w:p>
      <w:pPr>
        <w:tabs>
          <w:tab w:pos="567" w:val="left"/>
        </w:tabs>
        <w:ind w:left="567" w:hanging="567"/>
      </w:pPr>
      <w:r>
        <w:t>3.</w:t>
      </w:r>
      <w:r>
        <w:tab/>
      </w:r>
      <w:r>
        <w:t>wenn die festgesetzte Steuer die Summe der festgesetzten Vorauszahlungen und der anzurechnenden Steuerabzugsbeträge nicht übersteigt oder</w:t>
      </w:r>
    </w:p>
    <w:p>
      <w:pPr>
        <w:tabs>
          <w:tab w:pos="567" w:val="left"/>
        </w:tabs>
        <w:ind w:left="567" w:hanging="567"/>
      </w:pPr>
      <w:r>
        <w:t>4.</w:t>
      </w:r>
      <w:r>
        <w:tab/>
      </w:r>
      <w:r>
        <w:t>bei jährlich abzugebenden Lohnsteueranmeldungen, bei Anmeldungen von Umsatzsteuer-Sondervorauszahlungen nach § 48 Absatz 2 der Umsatzsteuer-Durchführungsverordnung, bei jährlich abzugebenden Versicherungsteuer- und Feuerschutzsteueranmeldungen sowie bei Erklärungen nach § 95 des Mindeststeuergesetzes.</w:t>
      </w:r>
    </w:p>
    <w:p>
      <w:r>
        <w:t xml:space="preserve">(4) </w:t>
      </w:r>
      <w:r>
        <w:rPr>
          <w:rStyle w:val="Satznummer"/>
        </w:rPr>
        <w:t>1</w:t>
      </w:r>
      <w:r>
        <w:t xml:space="preserve">Sind mehrere Personen zur Abgabe einer Steuererklärung verpflichtet, kann die Finanzbehörde nach ihrem Ermessen entscheiden, ob sie den Verspätungszuschlag gegen eine der erklärungspflichtigen Personen, gegen mehrere der erklärungspflichtigen Personen oder gegen alle erklärungspflichtigen Personen festsetzt. </w:t>
      </w:r>
      <w:r>
        <w:rPr>
          <w:rStyle w:val="Satznummer"/>
        </w:rPr>
        <w:t>2</w:t>
      </w:r>
      <w:r>
        <w:t xml:space="preserve">Wird der Verspätungszuschlag gegen mehrere oder gegen alle erklärungspflichtigen Personen festgesetzt, sind diese Personen Gesamtschuldner des Verspätungszuschlags. </w:t>
      </w:r>
      <w:r>
        <w:rPr>
          <w:rStyle w:val="Satznummer"/>
        </w:rPr>
        <w:t>3</w:t>
      </w:r>
      <w:r>
        <w:t>In Fällen des § 180 Absatz 1 Satz 1 Nummer 2 Buchstabe a ist der Verspätungszuschlag festzusetzen</w:t>
      </w:r>
    </w:p>
    <w:p>
      <w:pPr>
        <w:tabs>
          <w:tab w:pos="567" w:val="left"/>
        </w:tabs>
        <w:ind w:left="567" w:hanging="567"/>
      </w:pPr>
      <w:r>
        <w:t>1.</w:t>
      </w:r>
      <w:r>
        <w:tab/>
      </w:r>
      <w:r>
        <w:t>bei rechtsfähigen Personenvereinigungen vorrangig gegen die Personenvereinigung und</w:t>
      </w:r>
    </w:p>
    <w:p>
      <w:pPr>
        <w:tabs>
          <w:tab w:pos="567" w:val="left"/>
        </w:tabs>
        <w:ind w:left="567" w:hanging="567"/>
      </w:pPr>
      <w:r>
        <w:t>2.</w:t>
      </w:r>
      <w:r>
        <w:tab/>
      </w:r>
      <w:r>
        <w:t xml:space="preserve">bei nicht rechtsfähigen Personenvereinigungen vorrangig gegen die nach </w:t>
      </w:r>
      <w:hyperlink w:anchor="b298" w:history="1">
        <w:r>
          <w:rPr>
            <w:color w:val="0A3A8C"/>
            <w:u w:val="single"/>
          </w:rPr>
          <w:t xml:space="preserve">§ 181</w:t>
        </w:r>
      </w:hyperlink>
      <w:r>
        <w:t xml:space="preserve"> Absatz 2 Satz 2 Nummer 4 erklärungspflichtigen Personen.</w:t>
      </w:r>
    </w:p>
    <w:p>
      <w:r>
        <w:t xml:space="preserve">(5) </w:t>
      </w:r>
      <w:r>
        <w:rPr>
          <w:rStyle w:val="Satznummer"/>
        </w:rPr>
        <w:t>1</w:t>
      </w:r>
      <w:r>
        <w:t xml:space="preserve">Der Verspätungszuschlag beträgt vorbehaltlich des Satzes 2, der Absätze 8 und 13 Satz 2 für jeden angefangenen Monat der eingetretenen Verspätung 0,25 Prozent der festgesetzten Steuer, mindestens jedoch 10 Euro für jeden angefangenen Monat der eingetretenen Verspätung. </w:t>
      </w:r>
      <w:r>
        <w:rPr>
          <w:rStyle w:val="Satznummer"/>
        </w:rPr>
        <w:t>2</w:t>
      </w:r>
      <w:r>
        <w:t xml:space="preserve">Für Steuererklärungen, die sich auf ein Kalenderjahr oder auf einen gesetzlich bestimmten Zeitpunkt beziehen, beträgt der Verspätungszuschlag für jeden angefangenen Monat der eingetretenen Verspätung 0,25 Prozent der um die festgesetzten Vorauszahlungen und die anzurechnenden Steuerabzugsbeträge verminderten festgesetzten Steuer, mindestens jedoch 25 Euro für jeden angefangenen Monat der eingetretenen Verspätung. </w:t>
      </w:r>
      <w:r>
        <w:rPr>
          <w:rStyle w:val="Satznummer"/>
        </w:rPr>
        <w:t>3</w:t>
      </w:r>
      <w:r>
        <w:t>Wurde ein Erklärungspflichtiger von der Finanzbehörde erstmals nach Ablauf der gesetzlichen Erklärungsfrist zur Abgabe einer Steuererklärung innerhalb einer dort bezeichneten Frist aufgefordert und konnte er bis zum Zugang dieser Aufforderung davon ausgehen, keine Steuererklärung abgeben zu müssen, so ist der Verspätungszuschlag nur für die Monate zu berechnen, die nach dem Ablauf der in der Aufforderung bezeichneten Erklärungsfrist begonnen haben.</w:t>
      </w:r>
    </w:p>
    <w:p>
      <w:r>
        <w:t xml:space="preserve">(6) </w:t>
      </w:r>
      <w:r>
        <w:rPr>
          <w:rStyle w:val="Satznummer"/>
        </w:rPr>
        <w:t>1</w:t>
      </w:r>
      <w:r>
        <w:t xml:space="preserve">Für Erklärungen zur gesonderten Feststellung von Besteuerungsgrundlagen, für Erklärungen zur Festsetzung des Gewerbesteuermessbetrags und für Zerlegungserklärungen gelten vorbehaltlich des Absatzes 7 die Absätze 1, 2 und 3 Nummer 1 sowie Absatz 4 Satz 1 und 2 entsprechend. </w:t>
      </w:r>
      <w:r>
        <w:rPr>
          <w:rStyle w:val="Satznummer"/>
        </w:rPr>
        <w:t>2</w:t>
      </w:r>
      <w:r>
        <w:t>Der Verspätungszuschlag beträgt für jeden angefangenen Monat der eingetretenen Verspätung 25 Euro.</w:t>
      </w:r>
    </w:p>
    <w:p>
      <w:r>
        <w:t>(7) Für Erklärungen zu gesondert festzustellenden einkommensteuerpflichtigen oder körperschaftsteuerpflichtigen Einkünften beträgt der Verspätungszuschlag für jeden angefangenen Monat der eingetretenen Verspätung 0,0625 Prozent der positiven Summe der festgestellten Einkünfte, mindestens jedoch 25 Euro für jeden angefangenen Monat der eingetretenen Verspätung.</w:t>
      </w:r>
    </w:p>
    <w:p>
      <w:r>
        <w:t xml:space="preserve">(8) </w:t>
      </w:r>
      <w:r>
        <w:rPr>
          <w:rStyle w:val="Satznummer"/>
        </w:rPr>
        <w:t>1</w:t>
      </w:r>
      <w:r>
        <w:t>Absatz 5 gilt nicht für</w:t>
      </w:r>
    </w:p>
    <w:p>
      <w:pPr>
        <w:tabs>
          <w:tab w:pos="567" w:val="left"/>
        </w:tabs>
        <w:ind w:left="567" w:hanging="567"/>
      </w:pPr>
      <w:r>
        <w:t>1.</w:t>
      </w:r>
      <w:r>
        <w:tab/>
      </w:r>
      <w:r>
        <w:t>vierteljährlich oder monatlich abzugebende Steueranmeldungen,</w:t>
      </w:r>
    </w:p>
    <w:p>
      <w:pPr>
        <w:tabs>
          <w:tab w:pos="567" w:val="left"/>
        </w:tabs>
        <w:ind w:left="567" w:hanging="567"/>
      </w:pPr>
      <w:r>
        <w:t>2.</w:t>
      </w:r>
      <w:r>
        <w:tab/>
      </w:r>
      <w:r>
        <w:t>nach § 41a Absatz 2 Satz 2 zweiter Halbsatz des Einkommensteuergesetzes jährlich abzugebende Lohnsteueranmeldungen,</w:t>
      </w:r>
    </w:p>
    <w:p>
      <w:pPr>
        <w:tabs>
          <w:tab w:pos="567" w:val="left"/>
        </w:tabs>
        <w:ind w:left="567" w:hanging="567"/>
      </w:pPr>
      <w:r>
        <w:t>3.</w:t>
      </w:r>
      <w:r>
        <w:tab/>
      </w:r>
      <w:r>
        <w:t>nach § 8 Absatz 2 Satz 3 des Versicherungsteuergesetzes jährlich abzugebende Versicherungsteueranmeldungen,</w:t>
      </w:r>
    </w:p>
    <w:p>
      <w:pPr>
        <w:tabs>
          <w:tab w:pos="567" w:val="left"/>
        </w:tabs>
        <w:ind w:left="567" w:hanging="567"/>
      </w:pPr>
      <w:r>
        <w:t>4.</w:t>
      </w:r>
      <w:r>
        <w:tab/>
      </w:r>
      <w:r>
        <w:t>nach § 8 Absatz 2 Satz 3 des Feuerschutzsteuergesetzes jährlich abzugebende Feuerschutzsteueranmeldungen und</w:t>
      </w:r>
    </w:p>
    <w:p>
      <w:pPr>
        <w:tabs>
          <w:tab w:pos="567" w:val="left"/>
        </w:tabs>
        <w:ind w:left="567" w:hanging="567"/>
      </w:pPr>
      <w:r>
        <w:t>5.</w:t>
      </w:r>
      <w:r>
        <w:tab/>
      </w:r>
      <w:r>
        <w:t>Anmeldungen der Umsatzsteuer-Sondervorauszahlung nach § 48 Absatz 2 der Umsatzsteuer-Durchführungsverordnung.</w:t>
      </w:r>
    </w:p>
    <w:p>
      <w:r>
        <w:rPr>
          <w:rStyle w:val="Satznummer"/>
        </w:rPr>
        <w:t>2</w:t>
      </w:r>
      <w:r>
        <w:t>In diesen Fällen sind bei der Bemessung des Verspätungszuschlags die Dauer und Häufigkeit der Fristüberschreitung sowie die Höhe der Steuer zu berücksichtigen.</w:t>
      </w:r>
    </w:p>
    <w:p>
      <w:r>
        <w:t xml:space="preserve">(9) </w:t>
      </w:r>
      <w:r>
        <w:rPr>
          <w:rStyle w:val="Satznummer"/>
        </w:rPr>
        <w:t>1</w:t>
      </w:r>
      <w:r>
        <w:t xml:space="preserve">Bei Nichtabgabe der Steuererklärung ist der Verspätungszuschlag für einen Zeitraum bis zum Ablauf desjenigen Tages zu berechnen, an dem die erstmalige Festsetzung der Steuer wirksam wird. </w:t>
      </w:r>
      <w:r>
        <w:rPr>
          <w:rStyle w:val="Satznummer"/>
        </w:rPr>
        <w:t>2</w:t>
      </w:r>
      <w:r>
        <w:t>Gleiches gilt für die Nichtabgabe der Erklärung zur Festsetzung des Gewerbesteuermessbetrags, der Zerlegungserklärung oder der Erklärung zur gesonderten Feststellung von Besteuerungsgrundlagen.</w:t>
      </w:r>
    </w:p>
    <w:p>
      <w:r>
        <w:t>(10) Der Verspätungszuschlag ist auf volle Euro abzurunden und darf höchstens 25 000 Euro betragen.</w:t>
      </w:r>
    </w:p>
    <w:p>
      <w:r>
        <w:t xml:space="preserve">(11) </w:t>
      </w:r>
      <w:r>
        <w:rPr>
          <w:rStyle w:val="Satznummer"/>
        </w:rPr>
        <w:t>1</w:t>
      </w:r>
      <w:r>
        <w:t xml:space="preserve">Die Festsetzung des Verspätungszuschlags soll mit dem Steuerbescheid, dem Gewerbesteuermessbescheid oder dem Zerlegungsbescheid verbunden werden; in den Fällen des Absatzes 4 kann sie mit dem Feststellungsbescheid verbunden werden. </w:t>
      </w:r>
      <w:r>
        <w:rPr>
          <w:rStyle w:val="Satznummer"/>
        </w:rPr>
        <w:t>2</w:t>
      </w:r>
      <w:r>
        <w:t>In den Fällen des Absatzes 2 kann die Festsetzung des Verspätungszuschlags ausschließlich automationsgestützt erfolgen.</w:t>
      </w:r>
    </w:p>
    <w:p>
      <w:r>
        <w:t xml:space="preserve">(12) </w:t>
      </w:r>
      <w:r>
        <w:rPr>
          <w:rStyle w:val="Satznummer"/>
        </w:rPr>
        <w:t>1</w:t>
      </w:r>
      <w:r>
        <w:t xml:space="preserve">Wird die Festsetzung der Steuer oder des Gewerbesteuermessbetrags oder der Zerlegungsbescheid oder die gesonderte Feststellung von Besteuerungsgrundlagen aufgehoben, so ist auch die Festsetzung eines Verspätungszuschlags aufzuheben. </w:t>
      </w:r>
      <w:r>
        <w:rPr>
          <w:rStyle w:val="Satznummer"/>
        </w:rPr>
        <w:t>2</w:t>
      </w:r>
      <w:r>
        <w:t xml:space="preserve">Wird die Festsetzung der Steuer, die Anrechnung von Vorauszahlungen oder Steuerabzugsbeträgen auf die festgesetzte Steuer oder in den Fällen des Absatzes 7 die gesonderte Feststellung einkommensteuerpflichtiger oder körperschaftsteuerpflichtiger Einkünfte geändert, zurückgenommen, widerrufen oder nach </w:t>
      </w:r>
      <w:hyperlink w:anchor="b208" w:history="1">
        <w:r>
          <w:rPr>
            <w:color w:val="0A3A8C"/>
            <w:u w:val="single"/>
          </w:rPr>
          <w:t xml:space="preserve">§ 129</w:t>
        </w:r>
      </w:hyperlink>
      <w:r>
        <w:t xml:space="preserve"> berichtigt, so ist ein festgesetzter Verspätungszuschlag entsprechend zu ermäßigen oder zu erhöhen, soweit nicht auch nach der Änderung oder Berichtigung die Mindestbeträge anzusetzen sind. </w:t>
      </w:r>
      <w:r>
        <w:rPr>
          <w:rStyle w:val="Satznummer"/>
        </w:rPr>
        <w:t>3</w:t>
      </w:r>
      <w:r>
        <w:t xml:space="preserve">Ein Verlustrücktrag nach § 10d Absatz 1 des Einkommensteuergesetzes oder ein rückwirkendes Ereignis im Sinne des </w:t>
      </w:r>
      <w:hyperlink w:anchor="b287" w:history="1">
        <w:r>
          <w:rPr>
            <w:color w:val="0A3A8C"/>
            <w:u w:val="single"/>
          </w:rPr>
          <w:t xml:space="preserve">§ 175</w:t>
        </w:r>
      </w:hyperlink>
      <w:r>
        <w:t xml:space="preserve"> Absatz 1 Satz 1 Nummer 2 oder Absatz 2 sind hierbei nicht zu berücksichtigen.</w:t>
      </w:r>
    </w:p>
    <w:p>
      <w:r>
        <w:t xml:space="preserve">(13) </w:t>
      </w:r>
      <w:r>
        <w:rPr>
          <w:rStyle w:val="Satznummer"/>
        </w:rPr>
        <w:t>1</w:t>
      </w:r>
      <w:r>
        <w:t xml:space="preserve">Die Absätze 2, 4 Satz 2, Absatz 5 Satz 2 sowie Absatz 8 gelten vorbehaltlich des Satzes 2 nicht für Steuererklärungen, die gegenüber den Hauptzollämtern abzugeben sind. </w:t>
      </w:r>
      <w:r>
        <w:rPr>
          <w:rStyle w:val="Satznummer"/>
        </w:rPr>
        <w:t>2</w:t>
      </w:r>
      <w:r>
        <w:t>Für die Bemessung des Verspätungszuschlags zu Steuererklärungen zur Luftverkehrsteuer gilt Absatz 8 Satz 2 entsprechend.</w:t>
      </w:r>
    </w:p>
    <w:p>
      <w:pPr>
        <w:pStyle w:val="Heading4"/>
      </w:pPr>
      <w:bookmarkStart w:id="261" w:name="b258"/>
      <w:r>
        <w:t>§ 153 Berichtigung von Erklärungen</w:t>
      </w:r>
      <w:r>
        <w:t xml:space="preserve"> </w:t>
      </w:r>
      <w:r>
        <w:rPr>
          <w:rStyle w:val="Suchmarke"/>
        </w:rPr>
        <w:t>#153#</w:t>
      </w:r>
      <w:bookmarkEnd w:id="261"/>
    </w:p>
    <w:p>
      <w:r>
        <w:t xml:space="preserve">(1) </w:t>
      </w:r>
      <w:r>
        <w:rPr>
          <w:rStyle w:val="Satznummer"/>
        </w:rPr>
        <w:t>1</w:t>
      </w:r>
      <w:r>
        <w:t>Erkennt ein Steuerpflichtiger nachträglich vor Ablauf der Festsetzungsfrist,</w:t>
      </w:r>
    </w:p>
    <w:p>
      <w:pPr>
        <w:tabs>
          <w:tab w:pos="567" w:val="left"/>
        </w:tabs>
        <w:ind w:left="567" w:hanging="567"/>
      </w:pPr>
      <w:r>
        <w:t>1.</w:t>
      </w:r>
      <w:r>
        <w:tab/>
      </w:r>
      <w:r>
        <w:t>dass eine von ihm oder für ihn abgegebene Erklärung unrichtig oder unvollständig ist und dass es dadurch zu einer Verkürzung von Steuern kommen kann oder bereits gekommen ist oder</w:t>
      </w:r>
    </w:p>
    <w:p>
      <w:pPr>
        <w:tabs>
          <w:tab w:pos="567" w:val="left"/>
        </w:tabs>
        <w:ind w:left="567" w:hanging="567"/>
      </w:pPr>
      <w:r>
        <w:t>2.</w:t>
      </w:r>
      <w:r>
        <w:tab/>
      </w:r>
      <w:r>
        <w:t>dass eine durch Verwendung von Steuerzeichen oder Steuerstemplern zu entrichtende Steuer nicht in der richtigen Höhe entrichtet worden ist,</w:t>
      </w:r>
    </w:p>
    <w:p>
      <w:r>
        <w:t xml:space="preserve">so ist er verpflichtet, dies unverzüglich anzuzeigen und die erforderliche Richtigstellung vorzunehmen. </w:t>
      </w:r>
      <w:r>
        <w:rPr>
          <w:rStyle w:val="Satznummer"/>
        </w:rPr>
        <w:t>2</w:t>
      </w:r>
      <w:r>
        <w:t xml:space="preserve">Die Verpflichtung trifft auch den Gesamtrechtsnachfolger eines Steuerpflichtigen und die nach den </w:t>
      </w:r>
      <w:hyperlink w:anchor="b64" w:history="1">
        <w:r>
          <w:rPr>
            <w:color w:val="0A3A8C"/>
            <w:u w:val="single"/>
          </w:rPr>
          <w:t xml:space="preserve">§§ 34</w:t>
        </w:r>
      </w:hyperlink>
      <w:r>
        <w:t xml:space="preserve"> und </w:t>
      </w:r>
      <w:hyperlink w:anchor="b65" w:history="1">
        <w:r>
          <w:rPr>
            <w:color w:val="0A3A8C"/>
            <w:u w:val="single"/>
          </w:rPr>
          <w:t xml:space="preserve">35</w:t>
        </w:r>
      </w:hyperlink>
      <w:r>
        <w:t xml:space="preserve"> für den Gesamtrechtsnachfolger oder den Steuerpflichtigen handelnden Personen.</w:t>
      </w:r>
    </w:p>
    <w:p>
      <w:r>
        <w:t>(2) Die Anzeigepflicht besteht ferner, wenn die Voraussetzungen für eine Steuerbefreiung, Steuerermäßigung oder sonstige Steuervergünstigung nachträglich ganz oder teilweise wegfallen.</w:t>
      </w:r>
    </w:p>
    <w:p>
      <w:r>
        <w:t>(3) Wer Waren, für die eine Steuervergünstigung unter einer Bedingung gewährt worden ist, in einer Weise verwenden will, die der Bedingung nicht entspricht, hat dies vorher der Finanzbehörde anzuzeigen.</w:t>
      </w:r>
    </w:p>
    <w:p>
      <w:r>
        <w:t xml:space="preserve">(4) Die Anzeige- und Berichtigungspflicht besteht ferner, wenn Prüfungsfeststellungen einer Außenprüfung unanfechtbar in einem Steuerbescheid, einem Feststellungsbescheid nach </w:t>
      </w:r>
      <w:hyperlink w:anchor="b297" w:history="1">
        <w:r>
          <w:rPr>
            <w:color w:val="0A3A8C"/>
            <w:u w:val="single"/>
          </w:rPr>
          <w:t xml:space="preserve">§ 180</w:t>
        </w:r>
      </w:hyperlink>
      <w:r>
        <w:t xml:space="preserve"> Absatz 1 Satz 1 Nummer 2 oder einem Teilabschlussbescheid nach </w:t>
      </w:r>
      <w:hyperlink w:anchor="b297" w:history="1">
        <w:r>
          <w:rPr>
            <w:color w:val="0A3A8C"/>
            <w:u w:val="single"/>
          </w:rPr>
          <w:t xml:space="preserve">§ 180</w:t>
        </w:r>
      </w:hyperlink>
      <w:r>
        <w:t xml:space="preserve"> Absatz 1a umgesetzt worden sind und die den Prüfungsfeststellungen zugrunde liegenden Sachverhalte auch in einer anderen vom oder für den Steuerpflichtigen abgegebenen Erklärung, die nicht Gegenstand der Außenprüfung war, zu einer Änderung der Besteuerungsgrundlagen führt.</w:t>
      </w:r>
    </w:p>
    <w:p>
      <w:pPr>
        <w:pStyle w:val="Heading3"/>
      </w:pPr>
      <w:bookmarkStart w:id="262" w:name="b259"/>
      <w:r>
        <w:t>3. Unterabschnitt Kontenwahrheit</w:t>
      </w:r>
      <w:bookmarkEnd w:id="262"/>
    </w:p>
    <w:p>
      <w:pPr>
        <w:pStyle w:val="Heading4"/>
      </w:pPr>
      <w:bookmarkStart w:id="263" w:name="b260"/>
      <w:r>
        <w:t>§ 154 Kontenwahrheit</w:t>
      </w:r>
      <w:r>
        <w:t xml:space="preserve"> </w:t>
      </w:r>
      <w:r>
        <w:rPr>
          <w:rStyle w:val="Suchmarke"/>
        </w:rPr>
        <w:t>#154#</w:t>
      </w:r>
      <w:bookmarkEnd w:id="263"/>
    </w:p>
    <w:p>
      <w:r>
        <w:t>(1) Niemand darf auf einen falschen oder erdichteten Namen für sich oder einen Dritten ein Konto errichten oder Buchungen vornehmen lassen, Wertsachen (Geld, Wertpapiere, Kostbarkeiten) in Verwahrung geben oder verpfänden oder sich ein Schließfach geben lassen.</w:t>
      </w:r>
    </w:p>
    <w:p>
      <w:r>
        <w:t xml:space="preserve">(2) </w:t>
      </w:r>
      <w:r>
        <w:rPr>
          <w:rStyle w:val="Satznummer"/>
        </w:rPr>
        <w:t>1</w:t>
      </w:r>
      <w:r>
        <w:t>Wer ein Konto führt, Wertsachen verwahrt oder als Pfand nimmt oder ein Schließfach überlässt (Verpflichteter), hat</w:t>
      </w:r>
    </w:p>
    <w:p>
      <w:pPr>
        <w:tabs>
          <w:tab w:pos="567" w:val="left"/>
        </w:tabs>
        <w:ind w:left="567" w:hanging="567"/>
      </w:pPr>
      <w:r>
        <w:t>1.</w:t>
      </w:r>
      <w:r>
        <w:tab/>
      </w:r>
      <w:r>
        <w:t>sich zuvor Gewissheit über die Person und Anschrift jedes Verfügungsberechtigten und jedes wirtschaftlich Berechtigten im Sinne des Geldwäschegesetzes zu verschaffen und</w:t>
      </w:r>
    </w:p>
    <w:p>
      <w:pPr>
        <w:tabs>
          <w:tab w:pos="567" w:val="left"/>
        </w:tabs>
        <w:ind w:left="567" w:hanging="567"/>
      </w:pPr>
      <w:r>
        <w:t>2.</w:t>
      </w:r>
      <w:r>
        <w:tab/>
      </w:r>
      <w:r>
        <w:t>die entsprechenden Angaben in geeigneter Form, bei Konten auf dem Konto, festzuhalten.</w:t>
      </w:r>
    </w:p>
    <w:p>
      <w:r>
        <w:rPr>
          <w:rStyle w:val="Satznummer"/>
        </w:rPr>
        <w:t>2</w:t>
      </w:r>
      <w:r>
        <w:t xml:space="preserve">Für Verfügungsberechtigte sind § 11 Absatz 4 und 6, § 12 Absatz 1 und 2 und § 13 Absatz 1 des Geldwäschegesetzes sowie zu § 12 Absatz 3 und § 13 Absatz 2 des Geldwäschegesetzes ergangene Rechtsverordnungen, für wirtschaftlich Berechtigte der § 13 Absatz 1 des Geldwäschegesetzes sowie zu § 13 Absatz 2 des Geldwäschegesetzes ergangene Rechtsverordnungen entsprechend anzuwenden. </w:t>
      </w:r>
      <w:r>
        <w:rPr>
          <w:rStyle w:val="Satznummer"/>
        </w:rPr>
        <w:t>3</w:t>
      </w:r>
      <w:r>
        <w:t xml:space="preserve">Der Verpflichtete hat sicherzustellen, dass er den Finanzbehörden jederzeit Auskunft darüber geben kann, über welche Konten oder Schließfächer eine Person verfügungsberechtigt ist oder welche Wertsachen eine Person zur Verwahrung gegeben oder als Pfand überlassen hat. </w:t>
      </w:r>
      <w:r>
        <w:rPr>
          <w:rStyle w:val="Satznummer"/>
        </w:rPr>
        <w:t>4</w:t>
      </w:r>
      <w:r>
        <w:t>Die Geschäftsbeziehung ist kontinuierlich zu überwachen und die nach Satz 1 zu erhebenden Daten sind in angemessenem zeitlichen Abstand zu aktualisieren.</w:t>
      </w:r>
    </w:p>
    <w:p>
      <w:r>
        <w:t xml:space="preserve">(2a) </w:t>
      </w:r>
      <w:r>
        <w:rPr>
          <w:rStyle w:val="Satznummer"/>
        </w:rPr>
        <w:t>1</w:t>
      </w:r>
      <w:r>
        <w:t>Kreditinstitute haben für jeden Kontoinhaber, jeden anderen Verfügungsberechtigten und jeden wirtschaftlich Berechtigten im Sinne des Geldwäschegesetzes außerdem folgende Daten zu erheben und aufzuzeichnen:</w:t>
      </w:r>
    </w:p>
    <w:p>
      <w:pPr>
        <w:tabs>
          <w:tab w:pos="567" w:val="left"/>
        </w:tabs>
        <w:ind w:left="567" w:hanging="567"/>
      </w:pPr>
      <w:r>
        <w:t>1.</w:t>
      </w:r>
      <w:r>
        <w:tab/>
      </w:r>
      <w:r>
        <w:t xml:space="preserve">die Identifikationsnummer nach </w:t>
      </w:r>
      <w:hyperlink w:anchor="b234" w:history="1">
        <w:r>
          <w:rPr>
            <w:color w:val="0A3A8C"/>
            <w:u w:val="single"/>
          </w:rPr>
          <w:t xml:space="preserve">§ 139b</w:t>
        </w:r>
      </w:hyperlink>
      <w:r>
        <w:t xml:space="preserve"> und</w:t>
      </w:r>
    </w:p>
    <w:p>
      <w:pPr>
        <w:tabs>
          <w:tab w:pos="567" w:val="left"/>
        </w:tabs>
        <w:ind w:left="567" w:hanging="567"/>
      </w:pPr>
      <w:r>
        <w:t>2.</w:t>
      </w:r>
      <w:r>
        <w:tab/>
      </w:r>
      <w:r>
        <w:t xml:space="preserve">die Wirtschafts-Identifikationsnummer nach </w:t>
      </w:r>
      <w:hyperlink w:anchor="b235" w:history="1">
        <w:r>
          <w:rPr>
            <w:color w:val="0A3A8C"/>
            <w:u w:val="single"/>
          </w:rPr>
          <w:t xml:space="preserve">§ 139c</w:t>
        </w:r>
      </w:hyperlink>
      <w:r>
        <w:t xml:space="preserve"> oder, wenn noch keine Wirtschafts-Identifikationsnummer vergeben wurde und es sich nicht um eine natürliche Person handelt, die für die Besteuerung nach dem Einkommen geltende Steuernummer.</w:t>
      </w:r>
    </w:p>
    <w:p>
      <w:r>
        <w:rPr>
          <w:rStyle w:val="Satznummer"/>
        </w:rPr>
        <w:t>2</w:t>
      </w:r>
      <w:r>
        <w:t xml:space="preserve">Der Vertragspartner sowie gegebenenfalls für ihn handelnde Personen haben dem Kreditinstitut die nach Satz 1 zu erhebenden Daten mitzuteilen und sich im Laufe der Geschäftsbeziehung ergebende Änderungen unverzüglich anzuzeigen. </w:t>
      </w:r>
      <w:r>
        <w:rPr>
          <w:rStyle w:val="Satznummer"/>
        </w:rPr>
        <w:t>3</w:t>
      </w:r>
      <w:r>
        <w:t>Die Sätze 1 und 2 sind nicht anzuwenden bei Kreditkonten, wenn der Kredit ausschließlich der Finanzierung privater Konsumgüter dient und der Kreditrahmen einen Betrag von 12 000 Euro nicht übersteigt.</w:t>
      </w:r>
    </w:p>
    <w:p>
      <w:r>
        <w:t xml:space="preserve">(2b) </w:t>
      </w:r>
      <w:r>
        <w:rPr>
          <w:rStyle w:val="Satznummer"/>
        </w:rPr>
        <w:t>1</w:t>
      </w:r>
      <w:r>
        <w:t xml:space="preserve">Teilen der Vertragspartner oder gegebenenfalls für ihn handelnde Personen dem Kreditinstitut die nach Absatz 2a Satz 1 Nummer 1 zu erfassende Identifikationsnummer einer betroffenen Person bis zur Begründung der Geschäftsbeziehung nicht mit und hat das Kreditinstitut die Identifikationsnummer dieser Person auch nicht aus anderem Anlass rechtmäßig erfasst, hat es sie bis zum Ablauf des dritten Monats nach Begründung der Geschäftsbeziehung in einem maschinellen Verfahren beim Bundeszentralamt für Steuern zu erfragen. </w:t>
      </w:r>
      <w:r>
        <w:rPr>
          <w:rStyle w:val="Satznummer"/>
        </w:rPr>
        <w:t>2</w:t>
      </w:r>
      <w:r>
        <w:t xml:space="preserve">In der Anfrage dürfen nur die in </w:t>
      </w:r>
      <w:hyperlink w:anchor="b234" w:history="1">
        <w:r>
          <w:rPr>
            <w:color w:val="0A3A8C"/>
            <w:u w:val="single"/>
          </w:rPr>
          <w:t xml:space="preserve">§ 139b</w:t>
        </w:r>
      </w:hyperlink>
      <w:r>
        <w:t xml:space="preserve"> Absatz 3 genannten Daten der betroffenen Person angegeben werden. </w:t>
      </w:r>
      <w:r>
        <w:rPr>
          <w:rStyle w:val="Satznummer"/>
        </w:rPr>
        <w:t>3</w:t>
      </w:r>
      <w:r>
        <w:t xml:space="preserve">Das Bundeszentralamt für Steuern teilt dem Kreditinstitut die Identifikationsnummer der betroffenen Person mit, sofern die übermittelten Daten mit den bei ihm nach </w:t>
      </w:r>
      <w:hyperlink w:anchor="b234" w:history="1">
        <w:r>
          <w:rPr>
            <w:color w:val="0A3A8C"/>
            <w:u w:val="single"/>
          </w:rPr>
          <w:t xml:space="preserve">§ 139b</w:t>
        </w:r>
      </w:hyperlink>
      <w:r>
        <w:t xml:space="preserve"> Absatz 3 gespeicherten Daten übereinstimmen.</w:t>
      </w:r>
    </w:p>
    <w:p>
      <w:r>
        <w:t xml:space="preserve">(2c) </w:t>
      </w:r>
      <w:r>
        <w:rPr>
          <w:rStyle w:val="Satznummer"/>
        </w:rPr>
        <w:t>1</w:t>
      </w:r>
      <w:r>
        <w:t xml:space="preserve">Soweit das Kreditinstitut die nach Absatz 2a Satz 1 zu erhebenden Daten auf Grund unzureichender Mitwirkung des Vertragspartners und gegebenenfalls für ihn handelnder Personen nicht ermitteln kann, hat es dies auf dem Konto festzuhalten. </w:t>
      </w:r>
      <w:r>
        <w:rPr>
          <w:rStyle w:val="Satznummer"/>
        </w:rPr>
        <w:t>2</w:t>
      </w:r>
      <w:r>
        <w:t>In diesem Fall hat das Kreditinstitut dem Bundeszentralamt für Steuern die betroffenen Konten sowie die hierzu nach Absatz 2 erhobenen Daten mitzuteilen; diese Daten sind für alle in einem Kalenderjahr eröffneten Konten bis Ende Februar des Folgejahrs zu übermitteln.</w:t>
      </w:r>
    </w:p>
    <w:p>
      <w:r>
        <w:t>(2d) Die Finanzbehörden können für einzelne Fälle oder für bestimmte Fallgruppen Erleichterungen zulassen, wenn die Einhaltung der Pflichten nach den Absätzen 2 bis 2c unverhältnismäßige Härten mit sich bringt und die Besteuerung durch die Erleichterung nicht beeinträchtigt wird.</w:t>
      </w:r>
    </w:p>
    <w:p>
      <w:r>
        <w:t>(3) Ist gegen Absatz 1 verstoßen worden, so dürfen Guthaben, Wertsachen und der Inhalt eines Schließfachs nur mit Zustimmung des für die Einkommen- und Körperschaftsteuer des Verfügungsberechtigten zuständigen Finanzamts herausgegeben werden.</w:t>
      </w:r>
    </w:p>
    <w:p>
      <w:pPr>
        <w:pStyle w:val="Heading2"/>
      </w:pPr>
      <w:bookmarkStart w:id="264" w:name="b261"/>
      <w:r>
        <w:t>Dritter Abschnitt Festsetzungs- und Feststellungsverfahren</w:t>
      </w:r>
      <w:bookmarkEnd w:id="264"/>
    </w:p>
    <w:p>
      <w:pPr>
        <w:pStyle w:val="Heading3"/>
      </w:pPr>
      <w:bookmarkStart w:id="265" w:name="b262"/>
      <w:r>
        <w:t>1. Unterabschnitt Steuerfestsetzung</w:t>
      </w:r>
      <w:bookmarkEnd w:id="265"/>
    </w:p>
    <w:p>
      <w:pPr>
        <w:pStyle w:val="Heading4"/>
      </w:pPr>
      <w:bookmarkStart w:id="266" w:name="b263"/>
      <w:r>
        <w:t>I. Allgemeine Vorschriften</w:t>
      </w:r>
      <w:bookmarkEnd w:id="266"/>
    </w:p>
    <w:p>
      <w:pPr>
        <w:pStyle w:val="Heading5"/>
      </w:pPr>
      <w:bookmarkStart w:id="267" w:name="b264"/>
      <w:r>
        <w:t>§ 155 Steuerfestsetzung</w:t>
      </w:r>
      <w:r>
        <w:t xml:space="preserve"> </w:t>
      </w:r>
      <w:r>
        <w:rPr>
          <w:rStyle w:val="Suchmarke"/>
        </w:rPr>
        <w:t>#155#</w:t>
      </w:r>
      <w:bookmarkEnd w:id="267"/>
    </w:p>
    <w:p>
      <w:r>
        <w:t xml:space="preserve">(1) </w:t>
      </w:r>
      <w:r>
        <w:rPr>
          <w:rStyle w:val="Satznummer"/>
        </w:rPr>
        <w:t>1</w:t>
      </w:r>
      <w:r>
        <w:t xml:space="preserve">Die Steuern werden, soweit nichts anderes vorgeschrieben ist, von der Finanzbehörde durch Steuerbescheid festgesetzt. </w:t>
      </w:r>
      <w:r>
        <w:rPr>
          <w:rStyle w:val="Satznummer"/>
        </w:rPr>
        <w:t>2</w:t>
      </w:r>
      <w:r>
        <w:t xml:space="preserve">Steuerbescheid ist der nach </w:t>
      </w:r>
      <w:hyperlink w:anchor="b200" w:history="1">
        <w:r>
          <w:rPr>
            <w:color w:val="0A3A8C"/>
            <w:u w:val="single"/>
          </w:rPr>
          <w:t xml:space="preserve">§ 122</w:t>
        </w:r>
      </w:hyperlink>
      <w:r>
        <w:t xml:space="preserve"> Absatz 1 bekannt gegebene Verwaltungsakt. </w:t>
      </w:r>
      <w:r>
        <w:rPr>
          <w:rStyle w:val="Satznummer"/>
        </w:rPr>
        <w:t>3</w:t>
      </w:r>
      <w:r>
        <w:t>Dies gilt auch für die volle oder teilweise Freistellung von einer Steuer und für die Ablehnung eines Antrags auf Steuerfestsetzung.</w:t>
      </w:r>
    </w:p>
    <w:p>
      <w:r>
        <w:t>(2) Ein Steuerbescheid kann erteilt werden, auch wenn ein Grundlagenbescheid noch nicht erlassen wurde.</w:t>
      </w:r>
    </w:p>
    <w:p>
      <w:r>
        <w:t xml:space="preserve">(3) </w:t>
      </w:r>
      <w:r>
        <w:rPr>
          <w:rStyle w:val="Satznummer"/>
        </w:rPr>
        <w:t>1</w:t>
      </w:r>
      <w:r>
        <w:t xml:space="preserve">Schulden mehrere Steuerpflichtige eine Steuer als Gesamtschuldner, so können gegen sie zusammengefasste Steuerbescheide ergehen. </w:t>
      </w:r>
      <w:r>
        <w:rPr>
          <w:rStyle w:val="Satznummer"/>
        </w:rPr>
        <w:t>2</w:t>
      </w:r>
      <w:r>
        <w:t xml:space="preserve">Mit zusammengefassten Steuerbescheiden können Verwaltungsakte über steuerliche Nebenleistungen oder sonstige Ansprüche, auf die dieses Gesetz anzuwenden ist, gegen einen oder mehrere der Steuerpflichtigen verbunden werden. </w:t>
      </w:r>
      <w:r>
        <w:rPr>
          <w:rStyle w:val="Satznummer"/>
        </w:rPr>
        <w:t>3</w:t>
      </w:r>
      <w:r>
        <w:t>Das gilt auch dann, wenn festgesetzte Steuern, steuerliche Nebenleistungen oder sonstige Ansprüche nach dem zwischen den Steuerpflichtigen bestehenden Rechtsverhältnis nicht von allen Beteiligten zu tragen sind.</w:t>
      </w:r>
    </w:p>
    <w:p>
      <w:r>
        <w:t xml:space="preserve">(4) </w:t>
      </w:r>
      <w:r>
        <w:rPr>
          <w:rStyle w:val="Satznummer"/>
        </w:rPr>
        <w:t>1</w:t>
      </w:r>
      <w:r>
        <w:t xml:space="preserve">Die Finanzbehörden können Steuerfestsetzungen sowie Anrechnungen von Steuerabzugsbeträgen und Vorauszahlungen auf der Grundlage der ihnen vorliegenden Informationen und der Angaben des Steuerpflichtigen ausschließlich automationsgestützt vornehmen, berichtigen, zurücknehmen, widerrufen, aufheben oder ändern, soweit kein Anlass dazu besteht, den Einzelfall durch Amtsträger zu bearbeiten. </w:t>
      </w:r>
      <w:r>
        <w:rPr>
          <w:rStyle w:val="Satznummer"/>
        </w:rPr>
        <w:t>2</w:t>
      </w:r>
      <w:r>
        <w:t>Das gilt auch</w:t>
      </w:r>
    </w:p>
    <w:p>
      <w:pPr>
        <w:tabs>
          <w:tab w:pos="567" w:val="left"/>
        </w:tabs>
        <w:ind w:left="567" w:hanging="567"/>
      </w:pPr>
      <w:r>
        <w:t>1.</w:t>
      </w:r>
      <w:r>
        <w:tab/>
      </w:r>
      <w:r>
        <w:t>für den Erlass, die Berichtigung, die Rücknahme, den Widerruf, die Aufhebung und die Änderung von mit den Steuerfestsetzungen sowie Anrechnungen von Steuerabzugsbeträgen und Vorauszahlungen verbundenen Verwaltungsakten sowie,</w:t>
      </w:r>
    </w:p>
    <w:p>
      <w:pPr>
        <w:tabs>
          <w:tab w:pos="567" w:val="left"/>
        </w:tabs>
        <w:ind w:left="567" w:hanging="567"/>
      </w:pPr>
      <w:r>
        <w:t>2.</w:t>
      </w:r>
      <w:r>
        <w:tab/>
      </w:r>
      <w:r>
        <w:t xml:space="preserve">wenn die Steuerfestsetzungen sowie Anrechnungen von Steuerabzugsbeträgen und Vorauszahlungen mit Nebenbestimmungen nach </w:t>
      </w:r>
      <w:hyperlink w:anchor="b198" w:history="1">
        <w:r>
          <w:rPr>
            <w:color w:val="0A3A8C"/>
            <w:u w:val="single"/>
          </w:rPr>
          <w:t xml:space="preserve">§ 120</w:t>
        </w:r>
      </w:hyperlink>
      <w:r>
        <w:t xml:space="preserve"> versehen oder verbunden werden, soweit dies durch eine Verwaltungsanweisung des Bundesministeriums der Finanzen oder der obersten Landesfinanzbehörden allgemein angeordnet ist.</w:t>
      </w:r>
    </w:p>
    <w:p>
      <w:r>
        <w:rPr>
          <w:rStyle w:val="Satznummer"/>
        </w:rPr>
        <w:t>3</w:t>
      </w:r>
      <w:r>
        <w:t xml:space="preserve">Ein Anlass zur Bearbeitung durch Amtsträger liegt insbesondere vor, soweit der Steuerpflichtige in einem dafür vorgesehenen Abschnitt oder Datenfeld der Steuererklärung Angaben im Sinne des </w:t>
      </w:r>
      <w:hyperlink w:anchor="b255" w:history="1">
        <w:r>
          <w:rPr>
            <w:color w:val="0A3A8C"/>
            <w:u w:val="single"/>
          </w:rPr>
          <w:t xml:space="preserve">§ 150</w:t>
        </w:r>
      </w:hyperlink>
      <w:r>
        <w:t xml:space="preserve"> Absatz 7 gemacht hat. </w:t>
      </w:r>
      <w:r>
        <w:rPr>
          <w:rStyle w:val="Satznummer"/>
        </w:rPr>
        <w:t>4</w:t>
      </w:r>
      <w:r>
        <w:t>Bei vollständig automationsgestütztem Erlass eines Verwaltungsakts gilt die Willensbildung über seinen Erlass und über seine Bekanntgabe im Zeitpunkt des Abschlusses der maschinellen Verarbeitung als abgeschlossen.</w:t>
      </w:r>
    </w:p>
    <w:p>
      <w:r>
        <w:t>(5) Die für die Steuerfestsetzung geltenden Vorschriften sind auf die Festsetzung einer Steuervergütung sinngemäß anzuwenden.</w:t>
      </w:r>
    </w:p>
    <w:p>
      <w:pPr>
        <w:pStyle w:val="Heading5"/>
      </w:pPr>
      <w:bookmarkStart w:id="268" w:name="b265"/>
      <w:r>
        <w:t>§ 156 Absehen von der Steuerfestsetzung</w:t>
      </w:r>
      <w:r>
        <w:t xml:space="preserve"> </w:t>
      </w:r>
      <w:r>
        <w:rPr>
          <w:rStyle w:val="Suchmarke"/>
        </w:rPr>
        <w:t>#156#</w:t>
      </w:r>
      <w:bookmarkEnd w:id="268"/>
    </w:p>
    <w:p>
      <w:r>
        <w:t xml:space="preserve">(1) </w:t>
      </w:r>
      <w:r>
        <w:rPr>
          <w:rStyle w:val="Satznummer"/>
        </w:rPr>
        <w:t>1</w:t>
      </w:r>
      <w:r>
        <w:t xml:space="preserve">Das Bundesministerium der Finanzen kann zur Vereinfachung der Verwaltung durch Rechtsverordnung bestimmen, dass eine Steuer nicht festgesetzt wird, wenn der eigentlich festzusetzende Betrag den durch diese Rechtsverordnung zu bestimmenden Betrag voraussichtlich nicht übersteigt. </w:t>
      </w:r>
      <w:r>
        <w:rPr>
          <w:rStyle w:val="Satznummer"/>
        </w:rPr>
        <w:t>2</w:t>
      </w:r>
      <w:r>
        <w:t xml:space="preserve">Der nach Satz 1 zu bestimmende Betrag darf 25 Euro nicht übersteigen. </w:t>
      </w:r>
      <w:r>
        <w:rPr>
          <w:rStyle w:val="Satznummer"/>
        </w:rPr>
        <w:t>3</w:t>
      </w:r>
      <w:r>
        <w:t xml:space="preserve">Das Gleiche gilt für die Änderung einer Steuerfestsetzung, wenn der Betrag, der sich als Differenz zwischen der geänderten und der bisherigen Steuerfestsetzung ergeben würde, den in der Rechtsverordnung genannten Betrag nicht übersteigt. </w:t>
      </w:r>
      <w:r>
        <w:rPr>
          <w:rStyle w:val="Satznummer"/>
        </w:rPr>
        <w:t>4</w:t>
      </w:r>
      <w:r>
        <w:t>Die Rechtsverordnung bedarf nicht der Zustimmung des Bundesrates, soweit sie die Kraftfahrzeugsteuer, die Luftverkehrsteuer, die Versicherungsteuer, Einfuhr- und Ausfuhrabgaben oder Verbrauchsteuern, mit Ausnahme der Biersteuer, betrifft.</w:t>
      </w:r>
    </w:p>
    <w:p>
      <w:r>
        <w:t xml:space="preserve">(2) </w:t>
      </w:r>
      <w:r>
        <w:rPr>
          <w:rStyle w:val="Satznummer"/>
        </w:rPr>
        <w:t>1</w:t>
      </w:r>
      <w:r>
        <w:t>Die Festsetzung einer Steuer und einer steuerlichen Nebenleistung sowie deren Änderung kann, auch über einen Betrag von 25 Euro hinausgehend, unterbleiben, wenn zu erwarten ist, dass</w:t>
      </w:r>
    </w:p>
    <w:p>
      <w:pPr>
        <w:tabs>
          <w:tab w:pos="567" w:val="left"/>
        </w:tabs>
        <w:ind w:left="567" w:hanging="567"/>
      </w:pPr>
      <w:r>
        <w:t>1.</w:t>
      </w:r>
      <w:r>
        <w:tab/>
      </w:r>
      <w:r>
        <w:t>die Erhebung keinen Erfolg haben wird oder</w:t>
      </w:r>
    </w:p>
    <w:p>
      <w:pPr>
        <w:tabs>
          <w:tab w:pos="567" w:val="left"/>
        </w:tabs>
        <w:ind w:left="567" w:hanging="567"/>
      </w:pPr>
      <w:r>
        <w:t>2.</w:t>
      </w:r>
      <w:r>
        <w:tab/>
      </w:r>
      <w:r>
        <w:t>die Kosten der Festsetzung und die Kosten der Erhebung außer Verhältnis zu dem Betrag stehen werden.</w:t>
      </w:r>
    </w:p>
    <w:p>
      <w:r>
        <w:rPr>
          <w:rStyle w:val="Satznummer"/>
        </w:rPr>
        <w:t>2</w:t>
      </w:r>
      <w:r>
        <w:t xml:space="preserve">Für bestimmte oder bestimmbare Fallgruppen können die obersten Finanzbehörden bundeseinheitliche Weisungen zur Anwendung von Satz 1 Nummer 2 erteilen. </w:t>
      </w:r>
      <w:r>
        <w:rPr>
          <w:rStyle w:val="Satznummer"/>
        </w:rPr>
        <w:t>3</w:t>
      </w:r>
      <w:r>
        <w:t xml:space="preserve">Diese Weisungen dürfen nicht veröffentlicht werden, soweit dies die Gleichmäßigkeit und Gesetzmäßigkeit der Besteuerung gefährden könnte. </w:t>
      </w:r>
      <w:r>
        <w:rPr>
          <w:rStyle w:val="Satznummer"/>
        </w:rPr>
        <w:t>4</w:t>
      </w:r>
      <w:r>
        <w:t>Auf dem Gebiet der von den Landesfinanzbehörden im Auftrag des Bundes verwalteten Steuern legen die obersten Finanzbehörden der Länder diese Weisungen zur Gewährleistung eines bundeseinheitlichen Vollzugs der Steuergesetze im Einvernehmen mit dem Bundesministerium der Finanzen fest.</w:t>
      </w:r>
    </w:p>
    <w:p>
      <w:pPr>
        <w:pStyle w:val="Heading5"/>
      </w:pPr>
      <w:bookmarkStart w:id="269" w:name="b266"/>
      <w:r>
        <w:t>§ 157 Form und Inhalt der Steuerbescheide</w:t>
      </w:r>
      <w:r>
        <w:t xml:space="preserve"> </w:t>
      </w:r>
      <w:r>
        <w:rPr>
          <w:rStyle w:val="Suchmarke"/>
        </w:rPr>
        <w:t>#157#</w:t>
      </w:r>
      <w:bookmarkEnd w:id="269"/>
    </w:p>
    <w:p>
      <w:r>
        <w:t xml:space="preserve">(1) </w:t>
      </w:r>
      <w:r>
        <w:rPr>
          <w:rStyle w:val="Satznummer"/>
        </w:rPr>
        <w:t>1</w:t>
      </w:r>
      <w:r>
        <w:t xml:space="preserve">Steuerbescheide sind schriftlich oder elektronisch zu erteilen, soweit nichts anderes bestimmt ist. </w:t>
      </w:r>
      <w:r>
        <w:rPr>
          <w:rStyle w:val="Satznummer"/>
        </w:rPr>
        <w:t>2</w:t>
      </w:r>
      <w:r>
        <w:t xml:space="preserve">Sie müssen die festgesetzte Steuer nach Art und Betrag bezeichnen und angeben, wer die Steuer schuldet. </w:t>
      </w:r>
      <w:r>
        <w:rPr>
          <w:rStyle w:val="Satznummer"/>
        </w:rPr>
        <w:t>3</w:t>
      </w:r>
      <w:r>
        <w:t>Ihnen ist außerdem eine Belehrung darüber beizufügen, welcher Rechtsbehelf zulässig ist und binnen welcher Frist und bei welcher Behörde er einzulegen ist.</w:t>
      </w:r>
    </w:p>
    <w:p>
      <w:r>
        <w:t>(2) Die Feststellung der Besteuerungsgrundlagen bildet einen mit Rechtsbehelfen nicht selbständig anfechtbaren Teil des Steuerbescheids, soweit die Besteuerungsgrundlagen nicht gesondert festgestellt werden.</w:t>
      </w:r>
    </w:p>
    <w:p>
      <w:pPr>
        <w:pStyle w:val="Heading5"/>
      </w:pPr>
      <w:bookmarkStart w:id="270" w:name="b267"/>
      <w:r>
        <w:t>§ 158 Beweiskraft der Buchführung</w:t>
      </w:r>
      <w:r>
        <w:t xml:space="preserve"> </w:t>
      </w:r>
      <w:r>
        <w:rPr>
          <w:rStyle w:val="Suchmarke"/>
        </w:rPr>
        <w:t>#158#</w:t>
      </w:r>
      <w:bookmarkEnd w:id="270"/>
    </w:p>
    <w:p>
      <w:r>
        <w:t xml:space="preserve">(1) Die Buchführung und die Aufzeichnungen des Steuerpflichtigen, die den Vorschriften der </w:t>
      </w:r>
      <w:hyperlink w:anchor="b240" w:history="1">
        <w:r>
          <w:rPr>
            <w:color w:val="0A3A8C"/>
            <w:u w:val="single"/>
          </w:rPr>
          <w:t xml:space="preserve">§§ 140</w:t>
        </w:r>
      </w:hyperlink>
      <w:r>
        <w:t xml:space="preserve"> bis </w:t>
      </w:r>
      <w:hyperlink w:anchor="b252" w:history="1">
        <w:r>
          <w:rPr>
            <w:color w:val="0A3A8C"/>
            <w:u w:val="single"/>
          </w:rPr>
          <w:t xml:space="preserve">148</w:t>
        </w:r>
      </w:hyperlink>
      <w:r>
        <w:t xml:space="preserve"> entsprechen, sind der Besteuerung zugrunde zu legen.</w:t>
      </w:r>
    </w:p>
    <w:p>
      <w:r>
        <w:t>(2) Absatz 1 gilt nicht,</w:t>
      </w:r>
    </w:p>
    <w:p>
      <w:pPr>
        <w:tabs>
          <w:tab w:pos="567" w:val="left"/>
        </w:tabs>
        <w:ind w:left="567" w:hanging="567"/>
      </w:pPr>
      <w:r>
        <w:t>1.</w:t>
      </w:r>
      <w:r>
        <w:tab/>
      </w:r>
      <w:r>
        <w:t>soweit nach den Umständen des Einzelfalls Anlass besteht, die sachliche Richtigkeit zu beanstanden oder</w:t>
      </w:r>
    </w:p>
    <w:p>
      <w:pPr>
        <w:tabs>
          <w:tab w:pos="567" w:val="left"/>
        </w:tabs>
        <w:ind w:left="567" w:hanging="567"/>
      </w:pPr>
      <w:r>
        <w:t>2.</w:t>
      </w:r>
      <w:r>
        <w:tab/>
      </w:r>
      <w:r>
        <w:t xml:space="preserve">soweit die elektronischen Daten nicht nach der Vorgabe der einheitlichen digitalen Schnittstellen des § 41 Absatz 1 Satz 7 des Einkommensteuergesetzes in Verbindung mit § 4 Absatz 2a der Lohnsteuer-Durchführungsverordnung, des </w:t>
      </w:r>
      <w:hyperlink w:anchor="b247" w:history="1">
        <w:r>
          <w:rPr>
            <w:color w:val="0A3A8C"/>
            <w:u w:val="single"/>
          </w:rPr>
          <w:t xml:space="preserve">§ 146a</w:t>
        </w:r>
      </w:hyperlink>
      <w:r>
        <w:t xml:space="preserve"> oder des </w:t>
      </w:r>
      <w:hyperlink w:anchor="b251" w:history="1">
        <w:r>
          <w:rPr>
            <w:color w:val="0A3A8C"/>
            <w:u w:val="single"/>
          </w:rPr>
          <w:t xml:space="preserve">§ 147b</w:t>
        </w:r>
      </w:hyperlink>
      <w:r>
        <w:t xml:space="preserve"> in Verbindung mit der jeweiligen Rechtsverordnung zur Verfügung gestellt werden.</w:t>
      </w:r>
    </w:p>
    <w:p>
      <w:pPr>
        <w:pStyle w:val="Heading5"/>
      </w:pPr>
      <w:bookmarkStart w:id="271" w:name="b268"/>
      <w:r>
        <w:t>§ 159 Nachweis der Treuhänderschaft</w:t>
      </w:r>
      <w:r>
        <w:t xml:space="preserve"> </w:t>
      </w:r>
      <w:r>
        <w:rPr>
          <w:rStyle w:val="Suchmarke"/>
        </w:rPr>
        <w:t>#159#</w:t>
      </w:r>
      <w:bookmarkEnd w:id="271"/>
    </w:p>
    <w:p>
      <w:r>
        <w:t xml:space="preserve">(1) </w:t>
      </w:r>
      <w:r>
        <w:rPr>
          <w:rStyle w:val="Satznummer"/>
        </w:rPr>
        <w:t>1</w:t>
      </w:r>
      <w:r>
        <w:t xml:space="preserve">Wer behauptet, dass er Rechte, die auf seinen Namen lauten, oder Sachen, die er besitzt, nur als Treuhänder, Vertreter eines anderen oder Pfandgläubiger innehabe oder besitze, hat auf Verlangen nachzuweisen, wem die Rechte oder Sachen gehören; anderenfalls sind sie ihm regelmäßig zuzurechnen. </w:t>
      </w:r>
      <w:r>
        <w:rPr>
          <w:rStyle w:val="Satznummer"/>
        </w:rPr>
        <w:t>2</w:t>
      </w:r>
      <w:r>
        <w:t>Das Recht der Finanzbehörde, den Sachverhalt zu ermitteln, wird dadurch nicht eingeschränkt.</w:t>
      </w:r>
    </w:p>
    <w:p>
      <w:r>
        <w:t xml:space="preserve">(2) </w:t>
      </w:r>
      <w:hyperlink w:anchor="b164" w:history="1">
        <w:r>
          <w:rPr>
            <w:color w:val="0A3A8C"/>
            <w:u w:val="single"/>
          </w:rPr>
          <w:t xml:space="preserve">§ 102</w:t>
        </w:r>
      </w:hyperlink>
      <w:r>
        <w:t xml:space="preserve"> bleibt unberührt.</w:t>
      </w:r>
    </w:p>
    <w:p>
      <w:pPr>
        <w:pStyle w:val="Heading5"/>
      </w:pPr>
      <w:bookmarkStart w:id="272" w:name="b269"/>
      <w:r>
        <w:t>§ 160 Benennung von Gläubigern und Zahlungsempfängern</w:t>
      </w:r>
      <w:r>
        <w:t xml:space="preserve"> </w:t>
      </w:r>
      <w:r>
        <w:rPr>
          <w:rStyle w:val="Suchmarke"/>
        </w:rPr>
        <w:t>#160#</w:t>
      </w:r>
      <w:bookmarkEnd w:id="272"/>
    </w:p>
    <w:p>
      <w:r>
        <w:t xml:space="preserve">(1) </w:t>
      </w:r>
      <w:r>
        <w:rPr>
          <w:rStyle w:val="Satznummer"/>
        </w:rPr>
        <w:t>1</w:t>
      </w:r>
      <w:r>
        <w:t xml:space="preserve">Schulden und andere Lasten, Betriebsausgaben, Werbungskosten und andere Ausgaben sind steuerlich regelmäßig nicht zu berücksichtigen, wenn der Steuerpflichtige dem Verlangen der Finanzbehörde nicht nachkommt, die Gläubiger oder die Empfänger genau zu benennen. </w:t>
      </w:r>
      <w:r>
        <w:rPr>
          <w:rStyle w:val="Satznummer"/>
        </w:rPr>
        <w:t>2</w:t>
      </w:r>
      <w:r>
        <w:t>Das Recht der Finanzbehörde, den Sachverhalt zu ermitteln, bleibt unberührt.</w:t>
      </w:r>
    </w:p>
    <w:p>
      <w:r>
        <w:t xml:space="preserve">(2) </w:t>
      </w:r>
      <w:hyperlink w:anchor="b164" w:history="1">
        <w:r>
          <w:rPr>
            <w:color w:val="0A3A8C"/>
            <w:u w:val="single"/>
          </w:rPr>
          <w:t xml:space="preserve">§ 102</w:t>
        </w:r>
      </w:hyperlink>
      <w:r>
        <w:t xml:space="preserve"> bleibt unberührt.</w:t>
      </w:r>
    </w:p>
    <w:p>
      <w:pPr>
        <w:pStyle w:val="Heading5"/>
      </w:pPr>
      <w:bookmarkStart w:id="273" w:name="b270"/>
      <w:r>
        <w:t>§ 161 Fehlmengen bei Bestandsaufnahmen</w:t>
      </w:r>
      <w:r>
        <w:t xml:space="preserve"> </w:t>
      </w:r>
      <w:r>
        <w:rPr>
          <w:rStyle w:val="Suchmarke"/>
        </w:rPr>
        <w:t>#161#</w:t>
      </w:r>
      <w:bookmarkEnd w:id="273"/>
    </w:p>
    <w:p>
      <w:r>
        <w:rPr>
          <w:rStyle w:val="Satznummer"/>
        </w:rPr>
        <w:t>1</w:t>
      </w:r>
      <w:r>
        <w:t xml:space="preserve">Ergeben sich bei einer vorgeschriebenen oder amtlich durchgeführten Bestandsaufnahme Fehlmengen an verbrauchsteuerpflichtigen Waren, so wird vermutet, dass hinsichtlich der Fehlmengen eine Verbrauchsteuer entstanden oder eine bedingt entstandene Verbrauchsteuer unbedingt geworden ist, soweit nicht glaubhaft gemacht wird, dass die Fehlmengen auf Umstände zurückzuführen sind, die eine Steuer nicht begründen oder eine bedingte Steuer nicht unbedingt werden lassen. </w:t>
      </w:r>
      <w:r>
        <w:rPr>
          <w:rStyle w:val="Satznummer"/>
        </w:rPr>
        <w:t>2</w:t>
      </w:r>
      <w:r>
        <w:t>Die Steuer gilt im Zweifel im Zeitpunkt der Bestandsaufnahme als entstanden oder unbedingt geworden.</w:t>
      </w:r>
    </w:p>
    <w:p>
      <w:pPr>
        <w:pStyle w:val="Heading5"/>
      </w:pPr>
      <w:bookmarkStart w:id="274" w:name="b271"/>
      <w:r>
        <w:t>§ 162 Schätzung von Besteuerungsgrundlagen</w:t>
      </w:r>
      <w:r>
        <w:t xml:space="preserve"> </w:t>
      </w:r>
      <w:r>
        <w:rPr>
          <w:rStyle w:val="Suchmarke"/>
        </w:rPr>
        <w:t>#162#</w:t>
      </w:r>
      <w:bookmarkEnd w:id="274"/>
    </w:p>
    <w:p>
      <w:r>
        <w:t xml:space="preserve">(1) </w:t>
      </w:r>
      <w:r>
        <w:rPr>
          <w:rStyle w:val="Satznummer"/>
        </w:rPr>
        <w:t>1</w:t>
      </w:r>
      <w:r>
        <w:t xml:space="preserve">Soweit die Finanzbehörde die Besteuerungsgrundlagen nicht ermitteln oder berechnen kann, hat sie sie zu schätzen. </w:t>
      </w:r>
      <w:r>
        <w:rPr>
          <w:rStyle w:val="Satznummer"/>
        </w:rPr>
        <w:t>2</w:t>
      </w:r>
      <w:r>
        <w:t>Dabei sind alle Umstände zu berücksichtigen, die für die Schätzung von Bedeutung sind.</w:t>
      </w:r>
    </w:p>
    <w:p>
      <w:r>
        <w:t xml:space="preserve">(2) </w:t>
      </w:r>
      <w:r>
        <w:rPr>
          <w:rStyle w:val="Satznummer"/>
        </w:rPr>
        <w:t>1</w:t>
      </w:r>
      <w:r>
        <w:t xml:space="preserve">Zu schätzen ist insbesondere dann, wenn der Steuerpflichtige über seine Angaben keine ausreichenden Aufklärungen zu geben vermag oder weitere Auskunft oder eine Versicherung an Eides statt verweigert oder seine Mitwirkungspflicht nach </w:t>
      </w:r>
      <w:hyperlink w:anchor="b145" w:history="1">
        <w:r>
          <w:rPr>
            <w:color w:val="0A3A8C"/>
            <w:u w:val="single"/>
          </w:rPr>
          <w:t xml:space="preserve">§ 90</w:t>
        </w:r>
      </w:hyperlink>
      <w:r>
        <w:t xml:space="preserve"> Absatz 2 verletzt. </w:t>
      </w:r>
      <w:r>
        <w:rPr>
          <w:rStyle w:val="Satznummer"/>
        </w:rPr>
        <w:t>2</w:t>
      </w:r>
      <w:r>
        <w:t xml:space="preserve">Das Gleiche gilt, wenn der Steuerpflichtige Bücher oder Aufzeichnungen, die er nach den Steuergesetzen zu führen hat, nicht vorlegen kann, wenn die Buchführung oder die Aufzeichnungen nach </w:t>
      </w:r>
      <w:hyperlink w:anchor="b267" w:history="1">
        <w:r>
          <w:rPr>
            <w:color w:val="0A3A8C"/>
            <w:u w:val="single"/>
          </w:rPr>
          <w:t xml:space="preserve">§ 158</w:t>
        </w:r>
      </w:hyperlink>
      <w:r>
        <w:t xml:space="preserve"> Absatz 2 nicht der Besteuerung zugrunde gelegt werden oder wenn tatsächliche Anhaltspunkte für die Unrichtigkeit oder Unvollständigkeit der vom Steuerpflichtigen gemachten Angaben zu steuerpflichtigen Einnahmen oder Betriebsvermögensmehrungen bestehen und der Steuerpflichtige die Zustimmung nach </w:t>
      </w:r>
      <w:hyperlink w:anchor="b149" w:history="1">
        <w:r>
          <w:rPr>
            <w:color w:val="0A3A8C"/>
            <w:u w:val="single"/>
          </w:rPr>
          <w:t xml:space="preserve">§ 93</w:t>
        </w:r>
      </w:hyperlink>
      <w:r>
        <w:t xml:space="preserve"> Absatz 7 Satz 1 Nummer 5 nicht erteilt. </w:t>
      </w:r>
      <w:r>
        <w:rPr>
          <w:rStyle w:val="Satznummer"/>
        </w:rPr>
        <w:t>3</w:t>
      </w:r>
      <w:r>
        <w:t>Hat der Steuerpflichtige seine Mitwirkungspflichten nach § 12 des Gesetzes zur Abwehr von Steuervermeidung und unfairem Steuerwettbewerb verletzt, so wird widerlegbar vermutet, dass in Deutschland steuerpflichtige Einkünfte in Bezug zu Staaten oder Gebieten im Sinne des § 3 Absatz 1 des Gesetzes zur Abwehr von Steuervermeidung und unfairem Steuerwettbewerb</w:t>
      </w:r>
    </w:p>
    <w:p>
      <w:pPr>
        <w:tabs>
          <w:tab w:pos="567" w:val="left"/>
        </w:tabs>
        <w:ind w:left="567" w:hanging="567"/>
      </w:pPr>
      <w:r>
        <w:t>1.</w:t>
      </w:r>
      <w:r>
        <w:tab/>
      </w:r>
      <w:r>
        <w:t>bisher nicht erklärt wurden, tatsächlich aber vorhanden sind, oder</w:t>
      </w:r>
    </w:p>
    <w:p>
      <w:pPr>
        <w:tabs>
          <w:tab w:pos="567" w:val="left"/>
        </w:tabs>
        <w:ind w:left="567" w:hanging="567"/>
      </w:pPr>
      <w:r>
        <w:t>2.</w:t>
      </w:r>
      <w:r>
        <w:tab/>
      </w:r>
      <w:r>
        <w:t>bisher zwar erklärt wurden, tatsächlich aber höher sind als erklärt.</w:t>
      </w:r>
    </w:p>
    <w:p>
      <w:r>
        <w:t xml:space="preserve">(3) </w:t>
      </w:r>
      <w:r>
        <w:rPr>
          <w:rStyle w:val="Satznummer"/>
        </w:rPr>
        <w:t>1</w:t>
      </w:r>
      <w:r>
        <w:t xml:space="preserve">Verletzt ein Steuerpflichtiger seine Mitwirkungspflichten nach </w:t>
      </w:r>
      <w:hyperlink w:anchor="b145" w:history="1">
        <w:r>
          <w:rPr>
            <w:color w:val="0A3A8C"/>
            <w:u w:val="single"/>
          </w:rPr>
          <w:t xml:space="preserve">§ 90</w:t>
        </w:r>
      </w:hyperlink>
      <w:r>
        <w:t xml:space="preserve"> Absatz 3 dadurch, dass er keine Aufzeichnungen über einen Geschäftsvorfall vorlegt, oder sind die über einen Geschäftsvorfall vorgelegten Aufzeichnungen im Wesentlichen unverwertbar oder wird festgestellt, dass der Steuerpflichtige Aufzeichnungen im Sinne des </w:t>
      </w:r>
      <w:hyperlink w:anchor="b145" w:history="1">
        <w:r>
          <w:rPr>
            <w:color w:val="0A3A8C"/>
            <w:u w:val="single"/>
          </w:rPr>
          <w:t xml:space="preserve">§ 90</w:t>
        </w:r>
      </w:hyperlink>
      <w:r>
        <w:t xml:space="preserve"> Absatz 3 Satz 5 nicht zeitnah erstellt hat, so wird widerlegbar vermutet, dass seine im Inland steuerpflichtigen Einkünfte, zu deren Ermittlung die Aufzeichnungen im Sinne des </w:t>
      </w:r>
      <w:hyperlink w:anchor="b145" w:history="1">
        <w:r>
          <w:rPr>
            <w:color w:val="0A3A8C"/>
            <w:u w:val="single"/>
          </w:rPr>
          <w:t xml:space="preserve">§ 90</w:t>
        </w:r>
      </w:hyperlink>
      <w:r>
        <w:t xml:space="preserve"> Absatz 3 dienen, höher als die von ihm erklärten Einkünfte sind. </w:t>
      </w:r>
      <w:r>
        <w:rPr>
          <w:rStyle w:val="Satznummer"/>
        </w:rPr>
        <w:t>2</w:t>
      </w:r>
      <w:r>
        <w:t xml:space="preserve">Hat in solchen Fällen die Finanzbehörde eine Schätzung vorzunehmen und können diese Einkünfte nur innerhalb eines bestimmten Rahmens, insbesondere nur auf Grund von Preisspannen bestimmt werden, kann dieser Rahmen zu Lasten des Steuerpflichtigen ausgeschöpft werden. </w:t>
      </w:r>
      <w:r>
        <w:rPr>
          <w:rStyle w:val="Satznummer"/>
        </w:rPr>
        <w:t>3</w:t>
      </w:r>
      <w:r>
        <w:t xml:space="preserve">Bestehen trotz Vorlage verwertbarer Aufzeichnungen durch den Steuerpflichtigen Anhaltspunkte dafür, dass seine Einkünfte bei Beachtung des Fremdvergleichsgrundsatzes höher wären als die auf Grund der Aufzeichnungen erklärten Einkünfte, und können entsprechende Zweifel deswegen nicht aufgeklärt werden, weil eine ausländische, nahe stehende Person ihre Mitwirkungspflichten nach </w:t>
      </w:r>
      <w:hyperlink w:anchor="b145" w:history="1">
        <w:r>
          <w:rPr>
            <w:color w:val="0A3A8C"/>
            <w:u w:val="single"/>
          </w:rPr>
          <w:t xml:space="preserve">§ 90</w:t>
        </w:r>
      </w:hyperlink>
      <w:r>
        <w:t xml:space="preserve"> Absatz 2 oder ihre Auskunftspflichten nach </w:t>
      </w:r>
      <w:hyperlink w:anchor="b149" w:history="1">
        <w:r>
          <w:rPr>
            <w:color w:val="0A3A8C"/>
            <w:u w:val="single"/>
          </w:rPr>
          <w:t xml:space="preserve">§ 93</w:t>
        </w:r>
      </w:hyperlink>
      <w:r>
        <w:t xml:space="preserve"> Absatz 1 nicht erfüllt, ist Satz 2 entsprechend anzuwenden.</w:t>
      </w:r>
    </w:p>
    <w:p>
      <w:r>
        <w:t xml:space="preserve">(4) </w:t>
      </w:r>
      <w:r>
        <w:rPr>
          <w:rStyle w:val="Satznummer"/>
        </w:rPr>
        <w:t>1</w:t>
      </w:r>
      <w:r>
        <w:t xml:space="preserve">Legt ein Steuerpflichtiger über einen Geschäftsvorfall keine Aufzeichnungen im Sinne des </w:t>
      </w:r>
      <w:hyperlink w:anchor="b145" w:history="1">
        <w:r>
          <w:rPr>
            <w:color w:val="0A3A8C"/>
            <w:u w:val="single"/>
          </w:rPr>
          <w:t xml:space="preserve">§ 90</w:t>
        </w:r>
      </w:hyperlink>
      <w:r>
        <w:t xml:space="preserve"> Absatz 3 vor oder sind die über einen Geschäftsvorfall vorgelegten Aufzeichnungen im Wesentlichen unverwertbar oder wird die Transaktionsmatrix gemäß </w:t>
      </w:r>
      <w:hyperlink w:anchor="b145" w:history="1">
        <w:r>
          <w:rPr>
            <w:color w:val="0A3A8C"/>
            <w:u w:val="single"/>
          </w:rPr>
          <w:t xml:space="preserve">§ 90</w:t>
        </w:r>
      </w:hyperlink>
      <w:r>
        <w:t xml:space="preserve"> Absatz 3 Satz 2 Nummer 1 nicht vorgelegt, ist ein Zuschlag von 5 000 Euro festzusetzen. </w:t>
      </w:r>
      <w:r>
        <w:rPr>
          <w:rStyle w:val="Satznummer"/>
        </w:rPr>
        <w:t>2</w:t>
      </w:r>
      <w:r>
        <w:t xml:space="preserve">Der Zuschlag beträgt mindestens 5 Prozent und höchstens 10 Prozent des Mehrbetrags der Einkünfte, der sich nach einer Berichtigung auf Grund der Anwendung des Absatzes 3 ergibt, wenn sich danach ein Zuschlag von mehr als 5 000 Euro ergibt. </w:t>
      </w:r>
      <w:r>
        <w:rPr>
          <w:rStyle w:val="Satznummer"/>
        </w:rPr>
        <w:t>3</w:t>
      </w:r>
      <w:r>
        <w:t xml:space="preserve">Der Zuschlag ist regelmäßig nach Abschluss der Außenprüfung festzusetzen. </w:t>
      </w:r>
      <w:r>
        <w:rPr>
          <w:rStyle w:val="Satznummer"/>
        </w:rPr>
        <w:t>4</w:t>
      </w:r>
      <w:r>
        <w:t xml:space="preserve">Bei verspäteter Vorlage von verwertbaren Aufzeichnungen beträgt der Zuschlag bis zu 1 000 000 Euro, mindestens jedoch 100 Euro für jeden vollen Tag der Fristüberschreitung; er kann für volle Wochen und Monate der verspäteten Vorlage in Teilbeträgen festgesetzt werden. </w:t>
      </w:r>
      <w:r>
        <w:rPr>
          <w:rStyle w:val="Satznummer"/>
        </w:rPr>
        <w:t>5</w:t>
      </w:r>
      <w:r>
        <w:t xml:space="preserve">Soweit den Finanzbehörden Ermessen hinsichtlich der Höhe des jeweiligen Zuschlags eingeräumt ist, sind neben dem Zweck dieses Zuschlags, den Steuerpflichtigen zur Erstellung und fristgerechten Vorlage der Aufzeichnungen nach </w:t>
      </w:r>
      <w:hyperlink w:anchor="b145" w:history="1">
        <w:r>
          <w:rPr>
            <w:color w:val="0A3A8C"/>
            <w:u w:val="single"/>
          </w:rPr>
          <w:t xml:space="preserve">§ 90</w:t>
        </w:r>
      </w:hyperlink>
      <w:r>
        <w:t xml:space="preserve"> Absatz 3 anzuhalten, insbesondere die von ihm gezogenen Vorteile und bei verspäteter Vorlage auch die Dauer der Fristüberschreitung zu berücksichtigen. </w:t>
      </w:r>
      <w:r>
        <w:rPr>
          <w:rStyle w:val="Satznummer"/>
        </w:rPr>
        <w:t>6</w:t>
      </w:r>
      <w:r>
        <w:t xml:space="preserve">Von der Festsetzung eines Zuschlags ist abzusehen, wenn die Nichterfüllung der Pflichten nach </w:t>
      </w:r>
      <w:hyperlink w:anchor="b145" w:history="1">
        <w:r>
          <w:rPr>
            <w:color w:val="0A3A8C"/>
            <w:u w:val="single"/>
          </w:rPr>
          <w:t xml:space="preserve">§ 90</w:t>
        </w:r>
      </w:hyperlink>
      <w:r>
        <w:t xml:space="preserve"> Absatz 3 entschuldbar erscheint oder ein Verschulden nur geringfügig ist. </w:t>
      </w:r>
      <w:r>
        <w:rPr>
          <w:rStyle w:val="Satznummer"/>
        </w:rPr>
        <w:t>7</w:t>
      </w:r>
      <w:r>
        <w:t>Das Verschulden eines gesetzlichen Vertreters oder eines Erfüllungsgehilfen steht dem eigenen Verschulden gleich.</w:t>
      </w:r>
    </w:p>
    <w:p>
      <w:r>
        <w:t xml:space="preserve">(4a) </w:t>
      </w:r>
      <w:r>
        <w:rPr>
          <w:rStyle w:val="Satznummer"/>
        </w:rPr>
        <w:t>1</w:t>
      </w:r>
      <w:r>
        <w:t xml:space="preserve">Verletzt der Steuerpflichtige seine Mitwirkungspflichten nach § 12 des Steueroasen-Abwehrgesetzes, ist Absatz 4 entsprechend anzuwenden. </w:t>
      </w:r>
      <w:r>
        <w:rPr>
          <w:rStyle w:val="Satznummer"/>
        </w:rPr>
        <w:t>2</w:t>
      </w:r>
      <w:r>
        <w:t xml:space="preserve">Von der Festsetzung eines Zuschlags ist abzusehen, wenn die Nichterfüllung der Mitwirkungspflichten entschuldbar erscheint oder das Verschulden nur geringfügig ist. </w:t>
      </w:r>
      <w:r>
        <w:rPr>
          <w:rStyle w:val="Satznummer"/>
        </w:rPr>
        <w:t>3</w:t>
      </w:r>
      <w:r>
        <w:t>Das Verschulden eines gesetzlichen Vertreters oder eines Erfüllungsgehilfen ist dem Steuerpflichtigen zuzurechnen.</w:t>
      </w:r>
    </w:p>
    <w:p>
      <w:r>
        <w:t xml:space="preserve">(5) In den Fällen des </w:t>
      </w:r>
      <w:hyperlink w:anchor="b264" w:history="1">
        <w:r>
          <w:rPr>
            <w:color w:val="0A3A8C"/>
            <w:u w:val="single"/>
          </w:rPr>
          <w:t xml:space="preserve">§ 155</w:t>
        </w:r>
      </w:hyperlink>
      <w:r>
        <w:t xml:space="preserve"> Absatz 2 können die in einem Grundlagenbescheid festzustellenden Besteuerungsgrundlagen geschätzt werden.</w:t>
      </w:r>
    </w:p>
    <w:p>
      <w:pPr>
        <w:pStyle w:val="Heading5"/>
      </w:pPr>
      <w:bookmarkStart w:id="275" w:name="b272"/>
      <w:r>
        <w:t>§ 163 Abweichende Festsetzung von Steuern aus Billigkeitsgründen</w:t>
      </w:r>
      <w:r>
        <w:t xml:space="preserve"> </w:t>
      </w:r>
      <w:r>
        <w:rPr>
          <w:rStyle w:val="Suchmarke"/>
        </w:rPr>
        <w:t>#163#</w:t>
      </w:r>
      <w:bookmarkEnd w:id="275"/>
    </w:p>
    <w:p>
      <w:r>
        <w:t xml:space="preserve">(1) </w:t>
      </w:r>
      <w:r>
        <w:rPr>
          <w:rStyle w:val="Satznummer"/>
        </w:rPr>
        <w:t>1</w:t>
      </w:r>
      <w:r>
        <w:t xml:space="preserve">Steuern können niedriger festgesetzt werden und einzelne Besteuerungsgrundlagen, die die Steuern erhöhen, können bei der Festsetzung der Steuer unberücksichtigt bleiben, wenn die Erhebung der Steuer nach Lage des einzelnen Falls unbillig wäre. </w:t>
      </w:r>
      <w:r>
        <w:rPr>
          <w:rStyle w:val="Satznummer"/>
        </w:rPr>
        <w:t>2</w:t>
      </w:r>
      <w:r>
        <w:t>Mit Zustimmung des Steuerpflichtigen kann bei Steuern vom Einkommen zugelassen werden, dass einzelne Besteuerungsgrundlagen, soweit sie die Steuer erhöhen, bei der Steuerfestsetzung erst zu einer späteren Zeit und, soweit sie die Steuer mindern, schon zu einer früheren Zeit berücksichtigt werden.</w:t>
      </w:r>
    </w:p>
    <w:p>
      <w:r>
        <w:t>(2) Eine Billigkeitsmaßnahme nach Absatz 1 kann mit der Steuerfestsetzung verbunden werden, für die sie von Bedeutung ist.</w:t>
      </w:r>
    </w:p>
    <w:p>
      <w:r>
        <w:t xml:space="preserve">(3) </w:t>
      </w:r>
      <w:r>
        <w:rPr>
          <w:rStyle w:val="Satznummer"/>
        </w:rPr>
        <w:t>1</w:t>
      </w:r>
      <w:r>
        <w:t>Eine Billigkeitsmaßnahme nach Absatz 1 steht in den Fällen des Absatzes 2 stets unter Vorbehalt des Widerrufs, wenn sie</w:t>
      </w:r>
    </w:p>
    <w:p>
      <w:pPr>
        <w:tabs>
          <w:tab w:pos="567" w:val="left"/>
        </w:tabs>
        <w:ind w:left="567" w:hanging="567"/>
      </w:pPr>
      <w:r>
        <w:t>1.</w:t>
      </w:r>
      <w:r>
        <w:tab/>
      </w:r>
      <w:r>
        <w:t>von der Finanzbehörde nicht ausdrücklich als eigenständige Billigkeitsentscheidung ausgesprochen worden ist,</w:t>
      </w:r>
    </w:p>
    <w:p>
      <w:pPr>
        <w:tabs>
          <w:tab w:pos="567" w:val="left"/>
        </w:tabs>
        <w:ind w:left="567" w:hanging="567"/>
      </w:pPr>
      <w:r>
        <w:t>2.</w:t>
      </w:r>
      <w:r>
        <w:tab/>
      </w:r>
      <w:r>
        <w:t xml:space="preserve">mit einer Steuerfestsetzung unter Vorbehalt der Nachprüfung nach </w:t>
      </w:r>
      <w:hyperlink w:anchor="b273" w:history="1">
        <w:r>
          <w:rPr>
            <w:color w:val="0A3A8C"/>
            <w:u w:val="single"/>
          </w:rPr>
          <w:t xml:space="preserve">§ 164</w:t>
        </w:r>
      </w:hyperlink>
      <w:r>
        <w:t xml:space="preserve"> verbunden ist oder</w:t>
      </w:r>
    </w:p>
    <w:p>
      <w:pPr>
        <w:tabs>
          <w:tab w:pos="567" w:val="left"/>
        </w:tabs>
        <w:ind w:left="567" w:hanging="567"/>
      </w:pPr>
      <w:r>
        <w:t>3.</w:t>
      </w:r>
      <w:r>
        <w:tab/>
      </w:r>
      <w:r>
        <w:t xml:space="preserve">mit einer vorläufigen Steuerfestsetzung nach </w:t>
      </w:r>
      <w:hyperlink w:anchor="b274" w:history="1">
        <w:r>
          <w:rPr>
            <w:color w:val="0A3A8C"/>
            <w:u w:val="single"/>
          </w:rPr>
          <w:t xml:space="preserve">§ 165</w:t>
        </w:r>
      </w:hyperlink>
      <w:r>
        <w:t xml:space="preserve"> verbunden ist und der Grund der Vorläufigkeit auch für die Entscheidung nach Absatz 1 von Bedeutung ist.</w:t>
      </w:r>
    </w:p>
    <w:p>
      <w:r>
        <w:rPr>
          <w:rStyle w:val="Satznummer"/>
        </w:rPr>
        <w:t>2</w:t>
      </w:r>
      <w:r>
        <w:t xml:space="preserve">In den Fällen von Satz 1 Nummer 1 entfällt der Vorbehalt des Widerrufs, wenn die Festsetzungsfrist für die Steuerfestsetzung abläuft, für die die Billigkeitsmaßnahme Grundlagenbescheid ist. </w:t>
      </w:r>
      <w:r>
        <w:rPr>
          <w:rStyle w:val="Satznummer"/>
        </w:rPr>
        <w:t>3</w:t>
      </w:r>
      <w:r>
        <w:t xml:space="preserve">In den Fällen von Satz 1 Nummer 2 entfällt der Vorbehalt des Widerrufs mit Aufhebung oder Entfallen des Vorbehalts der Nachprüfung der Steuerfestsetzung, für die die Billigkeitsmaßnahme Grundlagenbescheid ist. </w:t>
      </w:r>
      <w:r>
        <w:rPr>
          <w:rStyle w:val="Satznummer"/>
        </w:rPr>
        <w:t>4</w:t>
      </w:r>
      <w:r>
        <w:t>In den Fällen von Satz 1 Nummer 3 entfällt der Vorbehalt des Widerrufs mit Eintritt der Endgültigkeit der Steuerfestsetzung, für die die Billigkeitsmaßnahme Grundlagenbescheid ist.</w:t>
      </w:r>
    </w:p>
    <w:p>
      <w:r>
        <w:t xml:space="preserve">(4) </w:t>
      </w:r>
      <w:r>
        <w:rPr>
          <w:rStyle w:val="Satznummer"/>
        </w:rPr>
        <w:t>1</w:t>
      </w:r>
      <w:r>
        <w:t xml:space="preserve">Ist eine Billigkeitsmaßnahme nach Absatz 1, die nach Absatz 3 unter Vorbehalt des Widerrufs steht, rechtswidrig, ist sie mit Wirkung für die Vergangenheit zurückzunehmen. </w:t>
      </w:r>
      <w:r>
        <w:rPr>
          <w:rStyle w:val="Satznummer"/>
        </w:rPr>
        <w:t>2</w:t>
      </w:r>
      <w:hyperlink w:anchor="b209" w:history="1">
        <w:r>
          <w:rPr>
            <w:color w:val="0A3A8C"/>
            <w:u w:val="single"/>
          </w:rPr>
          <w:t xml:space="preserve">§ 130</w:t>
        </w:r>
      </w:hyperlink>
      <w:r>
        <w:t xml:space="preserve"> Absatz 3 Satz 1 gilt in diesem Fall nicht.</w:t>
      </w:r>
    </w:p>
    <w:p>
      <w:pPr>
        <w:pStyle w:val="Heading5"/>
      </w:pPr>
      <w:bookmarkStart w:id="276" w:name="b273"/>
      <w:r>
        <w:t>§ 164 Steuerfestsetzung unter Vorbehalt der Nachprüfung</w:t>
      </w:r>
      <w:r>
        <w:t xml:space="preserve"> </w:t>
      </w:r>
      <w:r>
        <w:rPr>
          <w:rStyle w:val="Suchmarke"/>
        </w:rPr>
        <w:t>#164#</w:t>
      </w:r>
      <w:bookmarkEnd w:id="276"/>
    </w:p>
    <w:p>
      <w:r>
        <w:t xml:space="preserve">(1) </w:t>
      </w:r>
      <w:r>
        <w:rPr>
          <w:rStyle w:val="Satznummer"/>
        </w:rPr>
        <w:t>1</w:t>
      </w:r>
      <w:r>
        <w:t xml:space="preserve">Die Steuern können, solange der Steuerfall nicht abschließend geprüft ist, allgemein oder im Einzelfall unter dem Vorbehalt der Nachprüfung festgesetzt werden, ohne dass dies einer Begründung bedarf. </w:t>
      </w:r>
      <w:r>
        <w:rPr>
          <w:rStyle w:val="Satznummer"/>
        </w:rPr>
        <w:t>2</w:t>
      </w:r>
      <w:r>
        <w:t>Die Festsetzung einer Vorauszahlung ist stets eine Steuerfestsetzung unter Vorbehalt der Nachprüfung.</w:t>
      </w:r>
    </w:p>
    <w:p>
      <w:r>
        <w:t xml:space="preserve">(2) </w:t>
      </w:r>
      <w:r>
        <w:rPr>
          <w:rStyle w:val="Satznummer"/>
        </w:rPr>
        <w:t>1</w:t>
      </w:r>
      <w:r>
        <w:t xml:space="preserve">Solange der Vorbehalt wirksam ist, kann die Steuerfestsetzung aufgehoben oder geändert werden. </w:t>
      </w:r>
      <w:r>
        <w:rPr>
          <w:rStyle w:val="Satznummer"/>
        </w:rPr>
        <w:t>2</w:t>
      </w:r>
      <w:r>
        <w:t xml:space="preserve">Der Steuerpflichtige kann die Aufhebung oder Änderung der Steuerfestsetzung jederzeit beantragen. </w:t>
      </w:r>
      <w:r>
        <w:rPr>
          <w:rStyle w:val="Satznummer"/>
        </w:rPr>
        <w:t>3</w:t>
      </w:r>
      <w:r>
        <w:t>Die Entscheidung hierüber kann jedoch bis zur abschließenden Prüfung des Steuerfalls, die innerhalb angemessener Frist vorzunehmen ist, hinausgeschoben werden.</w:t>
      </w:r>
    </w:p>
    <w:p>
      <w:r>
        <w:t xml:space="preserve">(3) </w:t>
      </w:r>
      <w:r>
        <w:rPr>
          <w:rStyle w:val="Satznummer"/>
        </w:rPr>
        <w:t>1</w:t>
      </w:r>
      <w:r>
        <w:t xml:space="preserve">Der Vorbehalt der Nachprüfung kann jederzeit aufgehoben werden. </w:t>
      </w:r>
      <w:r>
        <w:rPr>
          <w:rStyle w:val="Satznummer"/>
        </w:rPr>
        <w:t>2</w:t>
      </w:r>
      <w:r>
        <w:t xml:space="preserve">Die Aufhebung steht einer Steuerfestsetzung ohne Vorbehalt der Nachprüfung gleich; </w:t>
      </w:r>
      <w:hyperlink w:anchor="b266" w:history="1">
        <w:r>
          <w:rPr>
            <w:color w:val="0A3A8C"/>
            <w:u w:val="single"/>
          </w:rPr>
          <w:t xml:space="preserve">§ 157</w:t>
        </w:r>
      </w:hyperlink>
      <w:r>
        <w:t xml:space="preserve"> Absatz 1 Satz 1 und 3 gilt sinngemäß. </w:t>
      </w:r>
      <w:r>
        <w:rPr>
          <w:rStyle w:val="Satznummer"/>
        </w:rPr>
        <w:t>3</w:t>
      </w:r>
      <w:r>
        <w:t>Nach einer Außenprüfung ist der Vorbehalt aufzuheben, wenn sich Änderungen gegenüber der Steuerfestsetzung unter Vorbehalt der Nachprüfung nicht ergeben.</w:t>
      </w:r>
    </w:p>
    <w:p>
      <w:r>
        <w:t xml:space="preserve">(4) </w:t>
      </w:r>
      <w:r>
        <w:rPr>
          <w:rStyle w:val="Satznummer"/>
        </w:rPr>
        <w:t>1</w:t>
      </w:r>
      <w:r>
        <w:t xml:space="preserve">Der Vorbehalt der Nachprüfung entfällt, wenn die Festsetzungsfrist abläuft. </w:t>
      </w:r>
      <w:r>
        <w:rPr>
          <w:rStyle w:val="Satznummer"/>
        </w:rPr>
        <w:t>2</w:t>
      </w:r>
      <w:hyperlink w:anchor="b279" w:history="1">
        <w:r>
          <w:rPr>
            <w:color w:val="0A3A8C"/>
            <w:u w:val="single"/>
          </w:rPr>
          <w:t xml:space="preserve">§ 169</w:t>
        </w:r>
      </w:hyperlink>
      <w:r>
        <w:t xml:space="preserve"> Absatz 2 Satz 2, </w:t>
      </w:r>
      <w:hyperlink w:anchor="b280" w:history="1">
        <w:r>
          <w:rPr>
            <w:color w:val="0A3A8C"/>
            <w:u w:val="single"/>
          </w:rPr>
          <w:t xml:space="preserve">§ 170</w:t>
        </w:r>
      </w:hyperlink>
      <w:r>
        <w:t xml:space="preserve"> Absatz 6 und </w:t>
      </w:r>
      <w:hyperlink w:anchor="b281" w:history="1">
        <w:r>
          <w:rPr>
            <w:color w:val="0A3A8C"/>
            <w:u w:val="single"/>
          </w:rPr>
          <w:t xml:space="preserve">§ 171</w:t>
        </w:r>
      </w:hyperlink>
      <w:r>
        <w:t xml:space="preserve"> Absatz 7, 8 und 10 sind nicht anzuwenden.</w:t>
      </w:r>
    </w:p>
    <w:p>
      <w:pPr>
        <w:pStyle w:val="Heading5"/>
      </w:pPr>
      <w:bookmarkStart w:id="277" w:name="b274"/>
      <w:r>
        <w:t>§ 165 Vorläufige Steuerfestsetzung, Aussetzung der Steuerfestsetzung</w:t>
      </w:r>
      <w:r>
        <w:t xml:space="preserve"> </w:t>
      </w:r>
      <w:r>
        <w:rPr>
          <w:rStyle w:val="Suchmarke"/>
        </w:rPr>
        <w:t>#165#</w:t>
      </w:r>
      <w:bookmarkEnd w:id="277"/>
    </w:p>
    <w:p>
      <w:r>
        <w:t xml:space="preserve">(1) </w:t>
      </w:r>
      <w:r>
        <w:rPr>
          <w:rStyle w:val="Satznummer"/>
        </w:rPr>
        <w:t>1</w:t>
      </w:r>
      <w:r>
        <w:t xml:space="preserve">Soweit ungewiss ist, ob die Voraussetzungen für die Entstehung einer Steuer eingetreten sind, kann sie vorläufig festgesetzt werden. </w:t>
      </w:r>
      <w:r>
        <w:rPr>
          <w:rStyle w:val="Satznummer"/>
        </w:rPr>
        <w:t>2</w:t>
      </w:r>
      <w:r>
        <w:t>Diese Regelung ist auch anzuwenden, wenn</w:t>
      </w:r>
    </w:p>
    <w:p>
      <w:pPr>
        <w:tabs>
          <w:tab w:pos="567" w:val="left"/>
        </w:tabs>
        <w:ind w:left="567" w:hanging="567"/>
      </w:pPr>
      <w:r>
        <w:t>1.</w:t>
      </w:r>
      <w:r>
        <w:tab/>
      </w:r>
      <w:r>
        <w:t>ungewiss ist, ob und wann Verträge mit anderen Staaten über die Besteuerung (</w:t>
      </w:r>
      <w:hyperlink w:anchor="b3" w:history="1">
        <w:r>
          <w:rPr>
            <w:color w:val="0A3A8C"/>
            <w:u w:val="single"/>
          </w:rPr>
          <w:t xml:space="preserve">§ 2</w:t>
        </w:r>
      </w:hyperlink>
      <w:r>
        <w:t>), die sich zugunsten des Steuerpflichtigen auswirken, für die Steuerfestsetzung wirksam werden,</w:t>
      </w:r>
    </w:p>
    <w:p>
      <w:pPr>
        <w:tabs>
          <w:tab w:pos="567" w:val="left"/>
        </w:tabs>
        <w:ind w:left="567" w:hanging="567"/>
      </w:pPr>
      <w:r>
        <w:t>2.</w:t>
      </w:r>
      <w:r>
        <w:tab/>
      </w:r>
      <w:r>
        <w:t>das Bundesverfassungsgericht die Unvereinbarkeit eines Steuergesetzes mit dem Grundgesetz festgestellt hat und der Gesetzgeber zu einer Neuregelung verpflichtet ist,</w:t>
      </w:r>
    </w:p>
    <w:p>
      <w:pPr>
        <w:tabs>
          <w:tab w:pos="567" w:val="left"/>
        </w:tabs>
        <w:ind w:left="567" w:hanging="567"/>
      </w:pPr>
      <w:r>
        <w:t>2a.</w:t>
      </w:r>
      <w:r>
        <w:tab/>
      </w:r>
      <w:r>
        <w:t>sich auf Grund einer Entscheidung des Gerichtshofes der Europäischen Union ein Bedarf für eine gesetzliche Neuregelung ergeben kann,</w:t>
      </w:r>
    </w:p>
    <w:p>
      <w:pPr>
        <w:tabs>
          <w:tab w:pos="567" w:val="left"/>
        </w:tabs>
        <w:ind w:left="567" w:hanging="567"/>
      </w:pPr>
      <w:r>
        <w:t>3.</w:t>
      </w:r>
      <w:r>
        <w:tab/>
      </w:r>
      <w:r>
        <w:t>die Vereinbarkeit eines Steuergesetzes mit höherrangigem Recht Gegenstand eines Verfahrens bei dem Gerichtshof der Europäischen Union, dem Bundesverfassungsgericht oder einem obersten Bundesgericht ist oder</w:t>
      </w:r>
    </w:p>
    <w:p>
      <w:pPr>
        <w:tabs>
          <w:tab w:pos="567" w:val="left"/>
        </w:tabs>
        <w:ind w:left="567" w:hanging="567"/>
      </w:pPr>
      <w:r>
        <w:t>4.</w:t>
      </w:r>
      <w:r>
        <w:tab/>
      </w:r>
      <w:r>
        <w:t>die Auslegung eines Steuergesetzes Gegenstand eines Verfahrens bei dem Bundesfinanzhof ist.</w:t>
      </w:r>
    </w:p>
    <w:p>
      <w:r>
        <w:rPr>
          <w:rStyle w:val="Satznummer"/>
        </w:rPr>
        <w:t>3</w:t>
      </w:r>
      <w:r>
        <w:t xml:space="preserve">Umfang und Grund der Vorläufigkeit sind anzugeben. </w:t>
      </w:r>
      <w:r>
        <w:rPr>
          <w:rStyle w:val="Satznummer"/>
        </w:rPr>
        <w:t>4</w:t>
      </w:r>
      <w:r>
        <w:t>Unter den Voraussetzungen der Sätze 1 oder 2 kann die Steuerfestsetzung auch gegen oder ohne Sicherheitsleistung ausgesetzt werden.</w:t>
      </w:r>
    </w:p>
    <w:p>
      <w:r>
        <w:t xml:space="preserve">(2) </w:t>
      </w:r>
      <w:r>
        <w:rPr>
          <w:rStyle w:val="Satznummer"/>
        </w:rPr>
        <w:t>1</w:t>
      </w:r>
      <w:r>
        <w:t xml:space="preserve">Soweit die Finanzbehörde eine Steuer vorläufig festgesetzt hat, kann sie die Festsetzung aufheben oder ändern. </w:t>
      </w:r>
      <w:r>
        <w:rPr>
          <w:rStyle w:val="Satznummer"/>
        </w:rPr>
        <w:t>2</w:t>
      </w:r>
      <w:r>
        <w:t xml:space="preserve">Wenn die Ungewissheit beseitigt ist, ist eine vorläufige Steuerfestsetzung aufzuheben, zu ändern oder für endgültig zu erklären; eine ausgesetzte Steuerfestsetzung ist nachzuholen. </w:t>
      </w:r>
      <w:r>
        <w:rPr>
          <w:rStyle w:val="Satznummer"/>
        </w:rPr>
        <w:t>3</w:t>
      </w:r>
      <w:r>
        <w:t xml:space="preserve">In den Fällen des Absatzes 1 Satz 2 Nummer 4 endet die Ungewissheit, sobald feststeht, dass die Grundsätze der Entscheidung des Bundesfinanzhofs über den entschiedenen Einzelfall hinaus allgemein anzuwenden sind. </w:t>
      </w:r>
      <w:r>
        <w:rPr>
          <w:rStyle w:val="Satznummer"/>
        </w:rPr>
        <w:t>4</w:t>
      </w:r>
      <w:r>
        <w:t>In den Fällen des Absatzes 1 Satz 2 muss eine vorläufige Steuerfestsetzung nach Satz 2 nur auf Antrag des Steuerpflichtigen für endgültig erklärt werden, wenn sie nicht aufzuheben oder zu ändern ist.</w:t>
      </w:r>
    </w:p>
    <w:p>
      <w:r>
        <w:t>(3) Die vorläufige Steuerfestsetzung kann mit einer Steuerfestsetzung unter Vorbehalt der Nachprüfung verbunden werden.</w:t>
      </w:r>
    </w:p>
    <w:p>
      <w:pPr>
        <w:pStyle w:val="Heading5"/>
      </w:pPr>
      <w:bookmarkStart w:id="278" w:name="b275"/>
      <w:r>
        <w:t>§ 166 Drittwirkung der Steuerfestsetzung</w:t>
      </w:r>
      <w:r>
        <w:t xml:space="preserve"> </w:t>
      </w:r>
      <w:r>
        <w:rPr>
          <w:rStyle w:val="Suchmarke"/>
        </w:rPr>
        <w:t>#166#</w:t>
      </w:r>
      <w:bookmarkEnd w:id="278"/>
    </w:p>
    <w:p>
      <w:r>
        <w:t>Ist die Steuer dem Steuerpflichtigen gegenüber unanfechtbar festgesetzt, so hat dies neben einem Gesamtrechtsnachfolger auch gegen sich gelten zu lassen, wer in der Lage gewesen wäre, den gegen den Steuerpflichtigen erlassenen Bescheid als dessen Vertreter, Bevollmächtigter oder kraft eigenen Rechts anzufechten.</w:t>
      </w:r>
    </w:p>
    <w:p>
      <w:pPr>
        <w:pStyle w:val="Heading5"/>
      </w:pPr>
      <w:bookmarkStart w:id="279" w:name="b276"/>
      <w:r>
        <w:t>§ 167 Steueranmeldung, Verwendung von Steuerzeichen oder Steuerstemplern</w:t>
      </w:r>
      <w:r>
        <w:t xml:space="preserve"> </w:t>
      </w:r>
      <w:r>
        <w:rPr>
          <w:rStyle w:val="Suchmarke"/>
        </w:rPr>
        <w:t>#167#</w:t>
      </w:r>
      <w:bookmarkEnd w:id="279"/>
    </w:p>
    <w:p>
      <w:r>
        <w:t xml:space="preserve">(1) </w:t>
      </w:r>
      <w:r>
        <w:rPr>
          <w:rStyle w:val="Satznummer"/>
        </w:rPr>
        <w:t>1</w:t>
      </w:r>
      <w:r>
        <w:t>Ist eine Steuer auf Grund gesetzlicher Verpflichtung anzumelden (</w:t>
      </w:r>
      <w:hyperlink w:anchor="b255" w:history="1">
        <w:r>
          <w:rPr>
            <w:color w:val="0A3A8C"/>
            <w:u w:val="single"/>
          </w:rPr>
          <w:t xml:space="preserve">§ 150</w:t>
        </w:r>
      </w:hyperlink>
      <w:r>
        <w:t xml:space="preserve"> Absatz 1 Satz 3), so ist eine Festsetzung der Steuer nach </w:t>
      </w:r>
      <w:hyperlink w:anchor="b264" w:history="1">
        <w:r>
          <w:rPr>
            <w:color w:val="0A3A8C"/>
            <w:u w:val="single"/>
          </w:rPr>
          <w:t xml:space="preserve">§ 155</w:t>
        </w:r>
      </w:hyperlink>
      <w:r>
        <w:t xml:space="preserve"> nur erforderlich, wenn die Festsetzung zu einer abweichenden Steuer führt oder der Steuer- oder Haftungsschuldner die Steueranmeldung nicht abgibt. </w:t>
      </w:r>
      <w:r>
        <w:rPr>
          <w:rStyle w:val="Satznummer"/>
        </w:rPr>
        <w:t>2</w:t>
      </w:r>
      <w:r>
        <w:t xml:space="preserve">Satz 1 gilt sinngemäß, wenn die Steuer auf Grund gesetzlicher Verpflichtung durch Verwendung von Steuerzeichen oder Steuerstemplern zu entrichten ist. </w:t>
      </w:r>
      <w:r>
        <w:rPr>
          <w:rStyle w:val="Satznummer"/>
        </w:rPr>
        <w:t>3</w:t>
      </w:r>
      <w:r>
        <w:t xml:space="preserve">Erkennt der Steuer- oder Haftungsschuldner nach Abschluss einer Außenprüfung im Sinne des </w:t>
      </w:r>
      <w:hyperlink w:anchor="b316" w:history="1">
        <w:r>
          <w:rPr>
            <w:color w:val="0A3A8C"/>
            <w:u w:val="single"/>
          </w:rPr>
          <w:t xml:space="preserve">§ 193</w:t>
        </w:r>
      </w:hyperlink>
      <w:r>
        <w:t xml:space="preserve"> Absatz 2 Nummer 1 seine Zahlungsverpflichtung schriftlich an, steht das Anerkenntnis einer Steueranmeldung gleich.</w:t>
      </w:r>
    </w:p>
    <w:p>
      <w:r>
        <w:t xml:space="preserve">(2) </w:t>
      </w:r>
      <w:r>
        <w:rPr>
          <w:rStyle w:val="Satznummer"/>
        </w:rPr>
        <w:t>1</w:t>
      </w:r>
      <w:r>
        <w:t xml:space="preserve">Steueranmeldungen gelten auch dann als rechtzeitig abgegeben, wenn sie fristgerecht bei der zuständigen Kasse eingehen. </w:t>
      </w:r>
      <w:r>
        <w:rPr>
          <w:rStyle w:val="Satznummer"/>
        </w:rPr>
        <w:t>2</w:t>
      </w:r>
      <w:r>
        <w:t>Dies gilt nicht für Einfuhr- und Ausfuhrabgaben und Verbrauchsteuern.</w:t>
      </w:r>
    </w:p>
    <w:p>
      <w:pPr>
        <w:pStyle w:val="Heading5"/>
      </w:pPr>
      <w:bookmarkStart w:id="280" w:name="b277"/>
      <w:r>
        <w:t>§ 168 Wirkung einer Steueranmeldung</w:t>
      </w:r>
      <w:r>
        <w:t xml:space="preserve"> </w:t>
      </w:r>
      <w:r>
        <w:rPr>
          <w:rStyle w:val="Suchmarke"/>
        </w:rPr>
        <w:t>#168#</w:t>
      </w:r>
      <w:bookmarkEnd w:id="280"/>
    </w:p>
    <w:p>
      <w:r>
        <w:rPr>
          <w:rStyle w:val="Satznummer"/>
        </w:rPr>
        <w:t>1</w:t>
      </w:r>
      <w:r>
        <w:t xml:space="preserve">Eine Steueranmeldung steht einer Steuerfestsetzung unter Vorbehalt der Nachprüfung gleich. </w:t>
      </w:r>
      <w:r>
        <w:rPr>
          <w:rStyle w:val="Satznummer"/>
        </w:rPr>
        <w:t>2</w:t>
      </w:r>
      <w:r>
        <w:t xml:space="preserve">Führt die Steueranmeldung zu einer Herabsetzung der bisher zu entrichtenden Steuer oder zu einer Steuervergütung, so gilt Satz 1 erst, wenn die Finanzbehörde zustimmt. </w:t>
      </w:r>
      <w:r>
        <w:rPr>
          <w:rStyle w:val="Satznummer"/>
        </w:rPr>
        <w:t>3</w:t>
      </w:r>
      <w:r>
        <w:t>Die Zustimmung bedarf keiner Form.</w:t>
      </w:r>
    </w:p>
    <w:p>
      <w:pPr>
        <w:pStyle w:val="Heading4"/>
      </w:pPr>
      <w:bookmarkStart w:id="281" w:name="b278"/>
      <w:r>
        <w:t>II. Festsetzungsverjährung</w:t>
      </w:r>
      <w:bookmarkEnd w:id="281"/>
    </w:p>
    <w:p>
      <w:pPr>
        <w:pStyle w:val="Heading5"/>
      </w:pPr>
      <w:bookmarkStart w:id="282" w:name="b279"/>
      <w:r>
        <w:t>§ 169 Festsetzungsfrist</w:t>
      </w:r>
      <w:r>
        <w:t xml:space="preserve"> </w:t>
      </w:r>
      <w:r>
        <w:rPr>
          <w:rStyle w:val="Suchmarke"/>
        </w:rPr>
        <w:t>#169#</w:t>
      </w:r>
      <w:bookmarkEnd w:id="282"/>
    </w:p>
    <w:p>
      <w:r>
        <w:t xml:space="preserve">(1) </w:t>
      </w:r>
      <w:r>
        <w:rPr>
          <w:rStyle w:val="Satznummer"/>
        </w:rPr>
        <w:t>1</w:t>
      </w:r>
      <w:r>
        <w:t xml:space="preserve">Eine Steuerfestsetzung sowie ihre Aufhebung oder Änderung sind nicht mehr zulässig, wenn die Festsetzungsfrist abgelaufen ist. </w:t>
      </w:r>
      <w:r>
        <w:rPr>
          <w:rStyle w:val="Satznummer"/>
        </w:rPr>
        <w:t>2</w:t>
      </w:r>
      <w:r>
        <w:t xml:space="preserve">Dies gilt auch für die Berichtigung wegen offenbarer Unrichtigkeit nach </w:t>
      </w:r>
      <w:hyperlink w:anchor="b208" w:history="1">
        <w:r>
          <w:rPr>
            <w:color w:val="0A3A8C"/>
            <w:u w:val="single"/>
          </w:rPr>
          <w:t xml:space="preserve">§ 129</w:t>
        </w:r>
      </w:hyperlink>
      <w:r>
        <w:t xml:space="preserve">. </w:t>
      </w:r>
      <w:r>
        <w:rPr>
          <w:rStyle w:val="Satznummer"/>
        </w:rPr>
        <w:t>3</w:t>
      </w:r>
      <w:r>
        <w:t>Die Frist ist gewahrt, wenn vor Ablauf der Festsetzungsfrist</w:t>
      </w:r>
    </w:p>
    <w:p>
      <w:pPr>
        <w:tabs>
          <w:tab w:pos="567" w:val="left"/>
        </w:tabs>
        <w:ind w:left="567" w:hanging="567"/>
      </w:pPr>
      <w:r>
        <w:t>1.</w:t>
      </w:r>
      <w:r>
        <w:tab/>
      </w:r>
      <w:r>
        <w:t>der Steuerbescheid</w:t>
      </w:r>
    </w:p>
    <w:p>
      <w:pPr>
        <w:tabs>
          <w:tab w:pos="1134" w:val="left"/>
        </w:tabs>
        <w:ind w:left="1134" w:hanging="567"/>
      </w:pPr>
      <w:r>
        <w:t>a)</w:t>
      </w:r>
      <w:r>
        <w:tab/>
      </w:r>
      <w:r>
        <w:t>im Fall des § 122 Absatz 2, 2a oder Absatz 5 den Bereich der für die Steuerfestsetzung zuständigen Finanzbehörde verlassen hat oder</w:t>
      </w:r>
    </w:p>
    <w:p>
      <w:pPr>
        <w:tabs>
          <w:tab w:pos="1134" w:val="left"/>
        </w:tabs>
        <w:ind w:left="1134" w:hanging="567"/>
      </w:pPr>
      <w:r>
        <w:t>b)</w:t>
      </w:r>
      <w:r>
        <w:tab/>
      </w:r>
      <w:r>
        <w:t>im Fall des § 122a zum Abruf bereitgestellt worden ist oder</w:t>
      </w:r>
    </w:p>
    <w:p>
      <w:pPr>
        <w:tabs>
          <w:tab w:pos="567" w:val="left"/>
        </w:tabs>
        <w:ind w:left="567" w:hanging="567"/>
      </w:pPr>
      <w:r>
        <w:t>2.</w:t>
      </w:r>
      <w:r>
        <w:tab/>
      </w:r>
      <w:r>
        <w:t>bei öffentlicher Zustellung nach § 10 des Verwaltungszustellungsgesetzes die Benachrichtigung bekannt gemacht oder veröffentlicht wird.</w:t>
      </w:r>
    </w:p>
    <w:p>
      <w:r>
        <w:t xml:space="preserve">(2) </w:t>
      </w:r>
      <w:r>
        <w:rPr>
          <w:rStyle w:val="Satznummer"/>
        </w:rPr>
        <w:t>1</w:t>
      </w:r>
      <w:r>
        <w:t>Die Festsetzungsfrist beträgt:</w:t>
      </w:r>
    </w:p>
    <w:p>
      <w:pPr>
        <w:tabs>
          <w:tab w:pos="567" w:val="left"/>
        </w:tabs>
        <w:ind w:left="567" w:hanging="567"/>
      </w:pPr>
      <w:r>
        <w:t>1.</w:t>
      </w:r>
      <w:r>
        <w:tab/>
      </w:r>
      <w:r>
        <w:t>ein Jahr</w:t>
      </w:r>
    </w:p>
    <w:p>
      <w:pPr>
        <w:ind w:left="567"/>
      </w:pPr>
      <w:r>
        <w:t>für Verbrauchsteuern und Verbrauchsteuervergütungen,</w:t>
      </w:r>
    </w:p>
    <w:p>
      <w:pPr>
        <w:tabs>
          <w:tab w:pos="567" w:val="left"/>
        </w:tabs>
        <w:ind w:left="567" w:hanging="567"/>
      </w:pPr>
      <w:r>
        <w:t>2.</w:t>
      </w:r>
      <w:r>
        <w:tab/>
      </w:r>
      <w:r>
        <w:t>vier Jahre</w:t>
      </w:r>
    </w:p>
    <w:p>
      <w:pPr>
        <w:ind w:left="567"/>
      </w:pPr>
      <w:r>
        <w:t>für Steuern und Steuervergütungen, die keine Steuern oder Steuervergütungen im Sinne der Nummer 1 oder Einfuhr- und Ausfuhrabgaben nach Artikel 5 Nummer 20 und 21 des Zollkodex der Union sind.</w:t>
      </w:r>
    </w:p>
    <w:p>
      <w:r>
        <w:rPr>
          <w:rStyle w:val="Satznummer"/>
        </w:rPr>
        <w:t>2</w:t>
      </w:r>
      <w:r>
        <w:t xml:space="preserve">Die Festsetzungsfrist beträgt zehn Jahre, soweit eine Steuer hinterzogen, und fünf Jahre, soweit sie leichtfertig verkürzt worden ist. </w:t>
      </w:r>
      <w:r>
        <w:rPr>
          <w:rStyle w:val="Satznummer"/>
        </w:rPr>
        <w:t>3</w:t>
      </w:r>
      <w:r>
        <w:t>Dies gilt auch dann, wenn die Steuerhinterziehung oder leichtfertige Steuerverkürzung nicht durch den Steuerschuldner oder eine Person begangen worden ist, deren er sich zur Erfüllung seiner steuerlichen Pflichten bedient, es sei denn, der Steuerschuldner weist nach, dass er durch die Tat keinen Vermögensvorteil erlangt hat und dass sie auch nicht darauf beruht, dass er die im Verkehr erforderlichen Vorkehrungen zur Verhinderung von Steuerverkürzungen unterlassen hat.</w:t>
      </w:r>
    </w:p>
    <w:p>
      <w:pPr>
        <w:pStyle w:val="Heading5"/>
      </w:pPr>
      <w:bookmarkStart w:id="283" w:name="b280"/>
      <w:r>
        <w:t>§ 170 Beginn der Festsetzungsfrist</w:t>
      </w:r>
      <w:r>
        <w:t xml:space="preserve"> </w:t>
      </w:r>
      <w:r>
        <w:rPr>
          <w:rStyle w:val="Suchmarke"/>
        </w:rPr>
        <w:t>#170#</w:t>
      </w:r>
      <w:bookmarkEnd w:id="283"/>
    </w:p>
    <w:p>
      <w:r>
        <w:t>(1) Die Festsetzungsfrist beginnt mit Ablauf des Kalenderjahrs, in dem die Steuer entstanden ist oder eine bedingt entstandene Steuer unbedingt geworden ist.</w:t>
      </w:r>
    </w:p>
    <w:p>
      <w:r>
        <w:t xml:space="preserve">(2) </w:t>
      </w:r>
      <w:r>
        <w:rPr>
          <w:rStyle w:val="Satznummer"/>
        </w:rPr>
        <w:t>1</w:t>
      </w:r>
      <w:r>
        <w:t>Abweichend von Absatz 1 beginnt die Festsetzungsfrist, wenn</w:t>
      </w:r>
    </w:p>
    <w:p>
      <w:pPr>
        <w:tabs>
          <w:tab w:pos="567" w:val="left"/>
        </w:tabs>
        <w:ind w:left="567" w:hanging="567"/>
      </w:pPr>
      <w:r>
        <w:t>1.</w:t>
      </w:r>
      <w:r>
        <w:tab/>
      </w:r>
      <w:r>
        <w:t>eine Steuererklärung oder eine Steueranmeldung einzureichen oder eine Anzeige zu erstatten ist, mit Ablauf des Kalenderjahrs, in dem die Steuererklärung, die Steueranmeldung oder die Anzeige eingereicht wird, spätestens jedoch mit Ablauf des dritten Kalenderjahrs, das auf das Kalenderjahr folgt, in dem die Steuer entstanden ist, es sei denn, dass die Festsetzungsfrist nach Absatz 1 später beginnt,</w:t>
      </w:r>
    </w:p>
    <w:p>
      <w:pPr>
        <w:tabs>
          <w:tab w:pos="567" w:val="left"/>
        </w:tabs>
        <w:ind w:left="567" w:hanging="567"/>
      </w:pPr>
      <w:r>
        <w:t>2.</w:t>
      </w:r>
      <w:r>
        <w:tab/>
      </w:r>
      <w:r>
        <w:t>eine Steuer durch Verwendung von Steuerzeichen oder Steuerstemplern zu zahlen ist, mit Ablauf des Kalenderjahrs, in dem für den Steuerfall Steuerzeichen oder Steuerstempler verwendet worden sind, spätestens jedoch mit Ablauf des dritten Kalenderjahrs, das auf das Kalenderjahr folgt, in dem die Steuerzeichen oder Steuerstempler hätten verwendet werden müssen.</w:t>
      </w:r>
    </w:p>
    <w:p>
      <w:r>
        <w:rPr>
          <w:rStyle w:val="Satznummer"/>
        </w:rPr>
        <w:t>2</w:t>
      </w:r>
      <w:r>
        <w:t>Dies gilt nicht für Verbrauchsteuern, ausgenommen die Energiesteuer auf Erdgas und die Stromsteuer.</w:t>
      </w:r>
    </w:p>
    <w:p>
      <w:r>
        <w:t xml:space="preserve">(3) Wird eine Steuer oder eine Steuervergütung nur auf Antrag festgesetzt, so beginnt die Frist für die Aufhebung oder Änderung dieser Festsetzung oder ihrer Berichtigung nach </w:t>
      </w:r>
      <w:hyperlink w:anchor="b208" w:history="1">
        <w:r>
          <w:rPr>
            <w:color w:val="0A3A8C"/>
            <w:u w:val="single"/>
          </w:rPr>
          <w:t xml:space="preserve">§ 129</w:t>
        </w:r>
      </w:hyperlink>
      <w:r>
        <w:t xml:space="preserve"> nicht vor Ablauf des Kalenderjahrs, in dem der Antrag gestellt wird.</w:t>
      </w:r>
    </w:p>
    <w:p>
      <w:r>
        <w:t>(4) Wird durch Anwendung des Absatzes 2 Nummer 1 auf die Vermögensteuer oder die Grundsteuer der Beginn der Festsetzungsfrist hinausgeschoben, so wird der Beginn der Festsetzungsfrist für die folgenden Kalenderjahre des Hauptveranlagungszeitraums jeweils um die gleiche Zeit hinausgeschoben.</w:t>
      </w:r>
    </w:p>
    <w:p>
      <w:r>
        <w:t>(5) Für die Erbschaftsteuer (Schenkungsteuer) beginnt die Festsetzungsfrist nach den Absätzen 1 oder 2</w:t>
      </w:r>
    </w:p>
    <w:p>
      <w:pPr>
        <w:tabs>
          <w:tab w:pos="567" w:val="left"/>
        </w:tabs>
        <w:ind w:left="567" w:hanging="567"/>
      </w:pPr>
      <w:r>
        <w:t>1.</w:t>
      </w:r>
      <w:r>
        <w:tab/>
      </w:r>
      <w:r>
        <w:t>bei einem Erwerb von Todes wegen nicht vor Ablauf des Kalenderjahrs, in dem der Erwerber Kenntnis von dem Erwerb erlangt hat,</w:t>
      </w:r>
    </w:p>
    <w:p>
      <w:pPr>
        <w:tabs>
          <w:tab w:pos="567" w:val="left"/>
        </w:tabs>
        <w:ind w:left="567" w:hanging="567"/>
      </w:pPr>
      <w:r>
        <w:t>2.</w:t>
      </w:r>
      <w:r>
        <w:tab/>
      </w:r>
      <w:r>
        <w:t>bei einer Schenkung nicht vor Ablauf des Kalenderjahrs, in dem der Schenker gestorben ist oder die Finanzbehörde von der vollzogenen Schenkung Kenntnis erlangt hat,</w:t>
      </w:r>
    </w:p>
    <w:p>
      <w:pPr>
        <w:tabs>
          <w:tab w:pos="567" w:val="left"/>
        </w:tabs>
        <w:ind w:left="567" w:hanging="567"/>
      </w:pPr>
      <w:r>
        <w:t>3.</w:t>
      </w:r>
      <w:r>
        <w:tab/>
      </w:r>
      <w:r>
        <w:t>bei einer Zweckzuwendung unter Lebenden nicht vor Ablauf des Kalenderjahrs, in dem die Verpflichtung erfüllt worden ist.</w:t>
      </w:r>
    </w:p>
    <w:p>
      <w:r>
        <w:t>(6) Für die Steuer, die auf Kapitalerträge entfällt, die</w:t>
      </w:r>
    </w:p>
    <w:p>
      <w:pPr>
        <w:tabs>
          <w:tab w:pos="567" w:val="left"/>
        </w:tabs>
        <w:ind w:left="567" w:hanging="567"/>
      </w:pPr>
      <w:r>
        <w:t>1.</w:t>
      </w:r>
      <w:r>
        <w:tab/>
      </w:r>
      <w:r>
        <w:t>aus Staaten oder Territorien stammen, die nicht Mitglieder der Europäischen Union oder der Europäischen Freihandelsassoziation sind, und</w:t>
      </w:r>
    </w:p>
    <w:p>
      <w:pPr>
        <w:tabs>
          <w:tab w:pos="567" w:val="left"/>
        </w:tabs>
        <w:ind w:left="567" w:hanging="567"/>
      </w:pPr>
      <w:r>
        <w:t>2.</w:t>
      </w:r>
      <w:r>
        <w:tab/>
      </w:r>
      <w:r>
        <w:t xml:space="preserve">nicht nach Verträgen im Sinne des </w:t>
      </w:r>
      <w:hyperlink w:anchor="b3" w:history="1">
        <w:r>
          <w:rPr>
            <w:color w:val="0A3A8C"/>
            <w:u w:val="single"/>
          </w:rPr>
          <w:t xml:space="preserve">§ 2</w:t>
        </w:r>
      </w:hyperlink>
      <w:r>
        <w:t xml:space="preserve"> Absatz 1 oder hierauf beruhenden Vereinbarungen automatisch mitgeteilt werden,</w:t>
      </w:r>
    </w:p>
    <w:p>
      <w:r>
        <w:t>beginnt die Festsetzungsfrist frühestens mit Ablauf des Kalenderjahres, in dem diese Kapitalerträge der Finanzbehörde durch Erklärung des Steuerpflichtigen oder in sonstiger Weise bekannt geworden sind, spätestens jedoch zehn Jahre nach Ablauf des Kalenderjahres, in dem die Steuer entstanden ist.</w:t>
      </w:r>
    </w:p>
    <w:p>
      <w:r>
        <w:t xml:space="preserve">(7) Für Steuern auf Einkünfte oder Erträge, die in Zusammenhang stehen mit Beziehungen zu einer Drittstaat-Gesellschaft im Sinne des </w:t>
      </w:r>
      <w:hyperlink w:anchor="b219" w:history="1">
        <w:r>
          <w:rPr>
            <w:color w:val="0A3A8C"/>
            <w:u w:val="single"/>
          </w:rPr>
          <w:t xml:space="preserve">§ 138</w:t>
        </w:r>
      </w:hyperlink>
      <w:r>
        <w:t xml:space="preserve"> Absatz 3, auf die der Steuerpflichtige allein oder zusammen mit nahestehenden Personen im Sinne des § 1 Absatz 2 des Außensteuergesetzes unmittelbar oder mittelbar einen beherrschenden oder bestimmenden Einfluss ausüben kann, beginnt die Festsetzungsfrist frühestens mit Ablauf des Kalenderjahres, in dem diese Beziehungen durch Mitteilung des Steuerpflichtigen oder auf andere Weise bekannt geworden sind, spätestens jedoch zehn Jahre nach Ablauf des Kalenderjahres, in dem die Steuer entstanden ist.</w:t>
      </w:r>
    </w:p>
    <w:p>
      <w:pPr>
        <w:pStyle w:val="Heading5"/>
      </w:pPr>
      <w:bookmarkStart w:id="284" w:name="b281"/>
      <w:r>
        <w:t>§ 171 Ablaufhemmung</w:t>
      </w:r>
      <w:r>
        <w:t xml:space="preserve"> </w:t>
      </w:r>
      <w:r>
        <w:rPr>
          <w:rStyle w:val="Suchmarke"/>
        </w:rPr>
        <w:t>#171#</w:t>
      </w:r>
      <w:bookmarkEnd w:id="284"/>
    </w:p>
    <w:p>
      <w:r>
        <w:t>(1) Die Festsetzungsfrist läuft nicht ab, solange die Steuerfestsetzung wegen höherer Gewalt innerhalb der letzten sechs Monate des Fristlaufs nicht erfolgen kann.</w:t>
      </w:r>
    </w:p>
    <w:p>
      <w:r>
        <w:t xml:space="preserve">(2) </w:t>
      </w:r>
      <w:r>
        <w:rPr>
          <w:rStyle w:val="Satznummer"/>
        </w:rPr>
        <w:t>1</w:t>
      </w:r>
      <w:r>
        <w:t xml:space="preserve">Ist beim Erlass eines Steuerbescheids eine offenbare Unrichtigkeit unterlaufen, so endet die Festsetzungsfrist insoweit nicht vor Ablauf eines Jahres nach Bekanntgabe dieses Steuerbescheids. </w:t>
      </w:r>
      <w:r>
        <w:rPr>
          <w:rStyle w:val="Satznummer"/>
        </w:rPr>
        <w:t>2</w:t>
      </w:r>
      <w:r>
        <w:t xml:space="preserve">Das Gleiche gilt in den Fällen des </w:t>
      </w:r>
      <w:hyperlink w:anchor="b285" w:history="1">
        <w:r>
          <w:rPr>
            <w:color w:val="0A3A8C"/>
            <w:u w:val="single"/>
          </w:rPr>
          <w:t xml:space="preserve">§ 173a</w:t>
        </w:r>
      </w:hyperlink>
      <w:r>
        <w:t>.</w:t>
      </w:r>
    </w:p>
    <w:p>
      <w:r>
        <w:t xml:space="preserve">(3) Wird vor Ablauf der Festsetzungsfrist außerhalb eines Einspruchs- oder Klageverfahrens ein Antrag auf Steuerfestsetzung oder auf Aufhebung oder Änderung einer Steuerfestsetzung oder ihrer Berichtigung nach </w:t>
      </w:r>
      <w:hyperlink w:anchor="b208" w:history="1">
        <w:r>
          <w:rPr>
            <w:color w:val="0A3A8C"/>
            <w:u w:val="single"/>
          </w:rPr>
          <w:t xml:space="preserve">§ 129</w:t>
        </w:r>
      </w:hyperlink>
      <w:r>
        <w:t xml:space="preserve"> gestellt, so läuft die Festsetzungsfrist insoweit nicht ab, bevor über den Antrag unanfechtbar entschieden worden ist.</w:t>
      </w:r>
    </w:p>
    <w:p>
      <w:r>
        <w:t xml:space="preserve">(3a) </w:t>
      </w:r>
      <w:r>
        <w:rPr>
          <w:rStyle w:val="Satznummer"/>
        </w:rPr>
        <w:t>1</w:t>
      </w:r>
      <w:r>
        <w:t xml:space="preserve">Wird ein Steuerbescheid mit einem Einspruch oder einer Klage angefochten, so läuft die Festsetzungsfrist nicht ab, bevor über den Rechtsbehelf unanfechtbar entschieden ist; dies gilt auch, wenn der Rechtsbehelf erst nach Ablauf der Festsetzungsfrist eingelegt wird. </w:t>
      </w:r>
      <w:r>
        <w:rPr>
          <w:rStyle w:val="Satznummer"/>
        </w:rPr>
        <w:t>2</w:t>
      </w:r>
      <w:r>
        <w:t xml:space="preserve">Der Ablauf der Festsetzungsfrist ist hinsichtlich des gesamten Steueranspruchs gehemmt; dies gilt nicht, soweit der Rechtsbehelf unzulässig ist. </w:t>
      </w:r>
      <w:r>
        <w:rPr>
          <w:rStyle w:val="Satznummer"/>
        </w:rPr>
        <w:t>3</w:t>
      </w:r>
      <w:r>
        <w:t>In den Fällen des § 100 Absatz 1 Satz 1, Absatz 2 Satz 2, Absatz 3 Satz 1, § 101 der Finanzgerichtsordnung ist über den Rechtsbehelf erst dann unanfechtbar entschieden, wenn ein auf Grund der genannten Vorschriften erlassener Steuerbescheid unanfechtbar geworden ist.</w:t>
      </w:r>
    </w:p>
    <w:p>
      <w:r>
        <w:t xml:space="preserve">(4) </w:t>
      </w:r>
      <w:r>
        <w:rPr>
          <w:rStyle w:val="Satznummer"/>
        </w:rPr>
        <w:t>1</w:t>
      </w:r>
      <w:r>
        <w:t xml:space="preserve">Wird vor Ablauf der Festsetzungsfrist mit einer Außenprüfung begonnen oder wird deren Beginn auf Antrag des Steuerpflichtigen hinausgeschoben, so läuft die Festsetzungsfrist für die Steuern, auf die sich die Außenprüfung erstreckt oder im Fall der Hinausschiebung der Außenprüfung erstrecken sollte, nicht ab, bevor die aufgrund der Außenprüfung zu erlassenden Steuerbescheide unanfechtbar geworden sind oder nach Bekanntgabe der Mitteilung nach </w:t>
      </w:r>
      <w:hyperlink w:anchor="b326" w:history="1">
        <w:r>
          <w:rPr>
            <w:color w:val="0A3A8C"/>
            <w:u w:val="single"/>
          </w:rPr>
          <w:t xml:space="preserve">§ 202</w:t>
        </w:r>
      </w:hyperlink>
      <w:r>
        <w:t xml:space="preserve"> Absatz 1 Satz 3 drei Monate verstrichen sind. </w:t>
      </w:r>
      <w:r>
        <w:rPr>
          <w:rStyle w:val="Satznummer"/>
        </w:rPr>
        <w:t>2</w:t>
      </w:r>
      <w:r>
        <w:t xml:space="preserve">Dies gilt nicht, wenn eine Außenprüfung unmittelbar nach ihrem Beginn für die Dauer von mehr als sechs Monaten aus Gründen unterbrochen wird, die die Finanzbehörde zu vertreten hat. </w:t>
      </w:r>
      <w:r>
        <w:rPr>
          <w:rStyle w:val="Satznummer"/>
        </w:rPr>
        <w:t>3</w:t>
      </w:r>
      <w:r>
        <w:t xml:space="preserve">Die Ablaufhemmung nach Satz 1 endet spätestens fünf Jahre nach Ablauf des Kalenderjahres, in dem die Prüfungsanordnung bekanntgegeben wurde; eine weitergehende Ablaufhemmung nach anderen Vorschriften bleibt unberührt. </w:t>
      </w:r>
      <w:r>
        <w:rPr>
          <w:rStyle w:val="Satznummer"/>
        </w:rPr>
        <w:t>4</w:t>
      </w:r>
      <w:r>
        <w:t xml:space="preserve">Wird auf Antrag des Steuerpflichtigen der Beginn der Außenprüfung verschoben oder die Außenprüfung unterbrochen, so verlängert sich die Frist nach Satz 3 erster Halbsatz für die in Satz 1 genannten Steuern um die Dauer des Hinausschiebens oder der Unterbrechung. </w:t>
      </w:r>
      <w:r>
        <w:rPr>
          <w:rStyle w:val="Satznummer"/>
        </w:rPr>
        <w:t>5</w:t>
      </w:r>
      <w:r>
        <w:t xml:space="preserve">Nimmt die Finanzbehörde für die in Satz 1 genannten Steuern vor Ablauf der Frist nach Satz 3 erster Halbsatz zwischenstaatliche Amtshilfe in Anspruch, verlängert sich diese Frist um die Dauer der zwischenstaatlichen Amtshilfe, mindestens aber um ein Jahr. </w:t>
      </w:r>
      <w:r>
        <w:rPr>
          <w:rStyle w:val="Satznummer"/>
        </w:rPr>
        <w:t>6</w:t>
      </w:r>
      <w:r>
        <w:t xml:space="preserve">Satz 5 gilt nur, sofern der Steuerpflichtige auf die Inanspruchnahme der zwischenstaatlichen Amtshilfe vor Ablauf der Frist nach Satz 3 erster Halbsatz hingewiesen wurde. </w:t>
      </w:r>
      <w:r>
        <w:rPr>
          <w:rStyle w:val="Satznummer"/>
        </w:rPr>
        <w:t>7</w:t>
      </w:r>
      <w:r>
        <w:t xml:space="preserve">Wird dem Steuerpflichtigen vor Ablauf der Festsetzungsfrist die Einleitung eines Strafverfahrens für eine der in Satz 1 genannten Steuern bekanntgegeben und wird infolgedessen mit einer Außenprüfung nicht begonnen oder eine bereits begonnene Außenprüfung unterbrochen, ist Satz 3 nicht anzuwenden; die Absätze 5 und 6 bleiben unberührt. </w:t>
      </w:r>
      <w:r>
        <w:rPr>
          <w:rStyle w:val="Satznummer"/>
        </w:rPr>
        <w:t>8</w:t>
      </w:r>
      <w:hyperlink w:anchor="b324" w:history="1">
        <w:r>
          <w:rPr>
            <w:color w:val="0A3A8C"/>
            <w:u w:val="single"/>
          </w:rPr>
          <w:t xml:space="preserve">§ 200a</w:t>
        </w:r>
      </w:hyperlink>
      <w:r>
        <w:t xml:space="preserve"> Absatz 4 und 5 bleibt unberührt.</w:t>
      </w:r>
    </w:p>
    <w:p>
      <w:r>
        <w:t xml:space="preserve">(5) </w:t>
      </w:r>
      <w:r>
        <w:rPr>
          <w:rStyle w:val="Satznummer"/>
        </w:rPr>
        <w:t>1</w:t>
      </w:r>
      <w:r>
        <w:t xml:space="preserve">Beginnen die Behörden des Zollfahndungsdienstes oder die mit der Steuerfahndung betrauten Dienststellen der Landesfinanzbehörden vor Ablauf der Festsetzungsfrist beim Steuerpflichtigen mit Ermittlungen der Besteuerungsgrundlagen, so läuft die Festsetzungsfrist insoweit nicht ab, bevor die auf Grund der Ermittlungen zu erlassenden Steuerbescheide unanfechtbar geworden sind; Absatz 4 Satz 2 gilt sinngemäß. </w:t>
      </w:r>
      <w:r>
        <w:rPr>
          <w:rStyle w:val="Satznummer"/>
        </w:rPr>
        <w:t>2</w:t>
      </w:r>
      <w:r>
        <w:t xml:space="preserve">Das Gleiche gilt, wenn dem Steuerpflichtigen vor Ablauf der Festsetzungsfrist die Einleitung des Steuerstrafverfahrens oder des Bußgeldverfahrens wegen einer Steuerordnungswidrigkeit bekannt gegeben worden ist; </w:t>
      </w:r>
      <w:hyperlink w:anchor="b279" w:history="1">
        <w:r>
          <w:rPr>
            <w:color w:val="0A3A8C"/>
            <w:u w:val="single"/>
          </w:rPr>
          <w:t xml:space="preserve">§ 169</w:t>
        </w:r>
      </w:hyperlink>
      <w:r>
        <w:t xml:space="preserve"> Absatz 1 Satz 3 gilt sinngemäß.</w:t>
      </w:r>
    </w:p>
    <w:p>
      <w:r>
        <w:t xml:space="preserve">(6) </w:t>
      </w:r>
      <w:r>
        <w:rPr>
          <w:rStyle w:val="Satznummer"/>
        </w:rPr>
        <w:t>1</w:t>
      </w:r>
      <w:r>
        <w:t xml:space="preserve">Ist bei Steuerpflichtigen eine Außenprüfung im Geltungsbereich dieses Gesetzes nicht durchführbar, wird der Ablauf der Festsetzungsfrist auch durch sonstige Ermittlungshandlungen im Sinne des </w:t>
      </w:r>
      <w:hyperlink w:anchor="b147" w:history="1">
        <w:r>
          <w:rPr>
            <w:color w:val="0A3A8C"/>
            <w:u w:val="single"/>
          </w:rPr>
          <w:t xml:space="preserve">§ 92</w:t>
        </w:r>
      </w:hyperlink>
      <w:r>
        <w:t xml:space="preserve"> gehemmt, bis die auf Grund dieser Ermittlungen erlassenen Steuerbescheide unanfechtbar geworden sind. </w:t>
      </w:r>
      <w:r>
        <w:rPr>
          <w:rStyle w:val="Satznummer"/>
        </w:rPr>
        <w:t>2</w:t>
      </w:r>
      <w:r>
        <w:t xml:space="preserve">Die Ablaufhemmung tritt jedoch nur dann ein, wenn der Steuerpflichtige vor Ablauf der Festsetzungsfrist auf den Beginn der Ermittlungen nach Satz 1 hingewiesen worden ist; </w:t>
      </w:r>
      <w:hyperlink w:anchor="b279" w:history="1">
        <w:r>
          <w:rPr>
            <w:color w:val="0A3A8C"/>
            <w:u w:val="single"/>
          </w:rPr>
          <w:t xml:space="preserve">§ 169</w:t>
        </w:r>
      </w:hyperlink>
      <w:r>
        <w:t xml:space="preserve"> Absatz 1 Satz 3 gilt sinngemäß.</w:t>
      </w:r>
    </w:p>
    <w:p>
      <w:r>
        <w:t xml:space="preserve">(7) In den Fällen des </w:t>
      </w:r>
      <w:hyperlink w:anchor="b279" w:history="1">
        <w:r>
          <w:rPr>
            <w:color w:val="0A3A8C"/>
            <w:u w:val="single"/>
          </w:rPr>
          <w:t xml:space="preserve">§ 169</w:t>
        </w:r>
      </w:hyperlink>
      <w:r>
        <w:t xml:space="preserve"> Absatz 2 Satz 2 endet die Festsetzungsfrist nicht, bevor die Verfolgung der Steuerstraftat oder der Steuerordnungswidrigkeit verjährt ist.</w:t>
      </w:r>
    </w:p>
    <w:p>
      <w:r>
        <w:t xml:space="preserve">(8) </w:t>
      </w:r>
      <w:r>
        <w:rPr>
          <w:rStyle w:val="Satznummer"/>
        </w:rPr>
        <w:t>1</w:t>
      </w:r>
      <w:r>
        <w:t xml:space="preserve">Ist die Festsetzung einer Steuer nach </w:t>
      </w:r>
      <w:hyperlink w:anchor="b274" w:history="1">
        <w:r>
          <w:rPr>
            <w:color w:val="0A3A8C"/>
            <w:u w:val="single"/>
          </w:rPr>
          <w:t xml:space="preserve">§ 165</w:t>
        </w:r>
      </w:hyperlink>
      <w:r>
        <w:t xml:space="preserve"> ausgesetzt oder die Steuer vorläufig festgesetzt worden, so endet die Festsetzungsfrist nicht vor dem Ablauf eines Jahres, nachdem die Ungewissheit beseitigt ist und die Finanzbehörde hiervon Kenntnis erhalten hat. </w:t>
      </w:r>
      <w:r>
        <w:rPr>
          <w:rStyle w:val="Satznummer"/>
        </w:rPr>
        <w:t>2</w:t>
      </w:r>
      <w:r>
        <w:t xml:space="preserve">In den Fällen des </w:t>
      </w:r>
      <w:hyperlink w:anchor="b274" w:history="1">
        <w:r>
          <w:rPr>
            <w:color w:val="0A3A8C"/>
            <w:u w:val="single"/>
          </w:rPr>
          <w:t xml:space="preserve">§ 165</w:t>
        </w:r>
      </w:hyperlink>
      <w:r>
        <w:t xml:space="preserve"> Absatz 1 Satz 2 endet die Festsetzungsfrist nicht vor Ablauf von zwei Jahren, nachdem die Ungewissheit beseitigt ist und die Finanzbehörde hiervon Kenntnis erlangt hat.</w:t>
      </w:r>
    </w:p>
    <w:p>
      <w:r>
        <w:t xml:space="preserve">(9) Erstattet der Steuerpflichtige vor Ablauf der Festsetzungsfrist eine Anzeige nach den </w:t>
      </w:r>
      <w:hyperlink w:anchor="b258" w:history="1">
        <w:r>
          <w:rPr>
            <w:color w:val="0A3A8C"/>
            <w:u w:val="single"/>
          </w:rPr>
          <w:t xml:space="preserve">§§ 153</w:t>
        </w:r>
      </w:hyperlink>
      <w:r>
        <w:t xml:space="preserve">, </w:t>
      </w:r>
      <w:hyperlink w:anchor="b534" w:history="1">
        <w:r>
          <w:rPr>
            <w:color w:val="0A3A8C"/>
            <w:u w:val="single"/>
          </w:rPr>
          <w:t xml:space="preserve">371</w:t>
        </w:r>
      </w:hyperlink>
      <w:r>
        <w:t xml:space="preserve"> und </w:t>
      </w:r>
      <w:hyperlink w:anchor="b542" w:history="1">
        <w:r>
          <w:rPr>
            <w:color w:val="0A3A8C"/>
            <w:u w:val="single"/>
          </w:rPr>
          <w:t xml:space="preserve">378</w:t>
        </w:r>
      </w:hyperlink>
      <w:r>
        <w:t xml:space="preserve"> Absatz 3, so endet die Festsetzungsfrist nicht vor Ablauf eines Jahres nach Eingang der Anzeige.</w:t>
      </w:r>
    </w:p>
    <w:p>
      <w:r>
        <w:t xml:space="preserve">(10) </w:t>
      </w:r>
      <w:r>
        <w:rPr>
          <w:rStyle w:val="Satznummer"/>
        </w:rPr>
        <w:t>1</w:t>
      </w:r>
      <w:r>
        <w:t xml:space="preserve">Soweit für die Festsetzung einer Steuer ein Feststellungsbescheid, ein Steuermessbescheid oder ein anderer Verwaltungsakt bindend ist (Grundlagenbescheid), endet die Festsetzungsfrist nicht vor Ablauf von zwei Jahren nach Bekanntgabe des Grundlagenbescheids. </w:t>
      </w:r>
      <w:r>
        <w:rPr>
          <w:rStyle w:val="Satznummer"/>
        </w:rPr>
        <w:t>2</w:t>
      </w:r>
      <w:r>
        <w:t xml:space="preserve">Ist für den Erlass des Grundlagenbescheids eine Stelle zuständig, die keine Finanzbehörde im Sinne des </w:t>
      </w:r>
      <w:hyperlink w:anchor="b9" w:history="1">
        <w:r>
          <w:rPr>
            <w:color w:val="0A3A8C"/>
            <w:u w:val="single"/>
          </w:rPr>
          <w:t xml:space="preserve">§ 6</w:t>
        </w:r>
      </w:hyperlink>
      <w:r>
        <w:t xml:space="preserve"> Absatz 2 ist, endet die Festsetzungsfrist nicht vor Ablauf von zwei Jahren nach dem Zeitpunkt, in dem die für den Folgebescheid zuständige Finanzbehörde Kenntnis von der Entscheidung über den Erlass des Grundlagenbescheids erlangt hat. </w:t>
      </w:r>
      <w:r>
        <w:rPr>
          <w:rStyle w:val="Satznummer"/>
        </w:rPr>
        <w:t>3</w:t>
      </w:r>
      <w:r>
        <w:t xml:space="preserve">Die Sätze 1 und 2 gelten für einen Grundlagenbescheid, auf den </w:t>
      </w:r>
      <w:hyperlink w:anchor="b298" w:history="1">
        <w:r>
          <w:rPr>
            <w:color w:val="0A3A8C"/>
            <w:u w:val="single"/>
          </w:rPr>
          <w:t xml:space="preserve">§ 181</w:t>
        </w:r>
      </w:hyperlink>
      <w:r>
        <w:t xml:space="preserve"> nicht anzuwenden ist, nur, sofern dieser Grundlagenbescheid vor Ablauf der für den Folgebescheid geltenden Festsetzungsfrist bei der zuständigen Behörde beantragt worden ist. </w:t>
      </w:r>
      <w:r>
        <w:rPr>
          <w:rStyle w:val="Satznummer"/>
        </w:rPr>
        <w:t>4</w:t>
      </w:r>
      <w:r>
        <w:t>Ist der Ablauf der Festsetzungsfrist hinsichtlich des Teils der Steuer, für den der Grundlagenbescheid nicht bindend ist, nach Absatz 4 gehemmt, endet die Festsetzungsfrist für den Teil der Steuer, für den der Grundlagenbescheid bindend ist, nicht vor Ablauf der nach Absatz 4 gehemmten Frist.</w:t>
      </w:r>
    </w:p>
    <w:p>
      <w:r>
        <w:t xml:space="preserve">(10a) Soweit Daten eines Steuerpflichtigen im Sinne des </w:t>
      </w:r>
      <w:hyperlink w:anchor="b152" w:history="1">
        <w:r>
          <w:rPr>
            <w:color w:val="0A3A8C"/>
            <w:u w:val="single"/>
          </w:rPr>
          <w:t xml:space="preserve">§ 93c</w:t>
        </w:r>
      </w:hyperlink>
      <w:r>
        <w:t xml:space="preserve"> innerhalb von sieben Kalenderjahren nach dem Besteuerungszeitraum oder dem Besteuerungszeitpunkt den Finanzbehörden zugegangen sind, endet die Festsetzungsfrist nicht vor Ablauf von zwei Jahren nach Zugang dieser Daten.</w:t>
      </w:r>
    </w:p>
    <w:p>
      <w:r>
        <w:t xml:space="preserve">(11) </w:t>
      </w:r>
      <w:r>
        <w:rPr>
          <w:rStyle w:val="Satznummer"/>
        </w:rPr>
        <w:t>1</w:t>
      </w:r>
      <w:r>
        <w:t xml:space="preserve">Ist eine geschäftsunfähige oder in der Geschäftsfähigkeit beschränkte Person ohne gesetzlichen Vertreter, so endet die Festsetzungsfrist nicht vor Ablauf von sechs Monaten nach dem Zeitpunkt, in dem die Person unbeschränkt geschäftsfähig wird oder der Mangel der Vertretung aufhört. </w:t>
      </w:r>
      <w:r>
        <w:rPr>
          <w:rStyle w:val="Satznummer"/>
        </w:rPr>
        <w:t>2</w:t>
      </w:r>
      <w:r>
        <w:t>Dies gilt auch, soweit für eine Person ein Betreuer bestellt und ein Einwilligungsvorbehalt nach § 1825 des Bürgerlichen Gesetzbuchs angeordnet ist, der Betreuer jedoch verstorben oder auf andere Weise weggefallen oder aus rechtlichen Gründen an der Vertretung des Betreuten verhindert ist.</w:t>
      </w:r>
    </w:p>
    <w:p>
      <w:r>
        <w:t>(12) Richtet sich die Steuer gegen einen Nachlass, so endet die Festsetzungsfrist nicht vor dem Ablauf von sechs Monaten nach dem Zeitpunkt, in dem die Erbschaft von dem Erben angenommen oder das Insolvenzverfahren über den Nachlass eröffnet wird oder von dem an die Steuer gegen einen Vertreter festgesetzt werden kann.</w:t>
      </w:r>
    </w:p>
    <w:p>
      <w:r>
        <w:t>(13) Wird vor Ablauf der Festsetzungsfrist eine noch nicht festgesetzte Steuer im Insolvenzverfahren angemeldet, so läuft die Festsetzungsfrist insoweit nicht vor Ablauf von drei Monaten nach Beendigung des Insolvenzverfahrens ab.</w:t>
      </w:r>
    </w:p>
    <w:p>
      <w:r>
        <w:t xml:space="preserve">(14) Die Festsetzungsfrist für einen Steueranspruch endet nicht, soweit ein damit zusammenhängender Erstattungsanspruch nach </w:t>
      </w:r>
      <w:hyperlink w:anchor="b68" w:history="1">
        <w:r>
          <w:rPr>
            <w:color w:val="0A3A8C"/>
            <w:u w:val="single"/>
          </w:rPr>
          <w:t xml:space="preserve">§ 37</w:t>
        </w:r>
      </w:hyperlink>
      <w:r>
        <w:t xml:space="preserve"> Absatz 2 noch nicht verjährt ist (</w:t>
      </w:r>
      <w:hyperlink w:anchor="b363" w:history="1">
        <w:r>
          <w:rPr>
            <w:color w:val="0A3A8C"/>
            <w:u w:val="single"/>
          </w:rPr>
          <w:t xml:space="preserve">§ 228</w:t>
        </w:r>
      </w:hyperlink>
      <w:r>
        <w:t>).</w:t>
      </w:r>
    </w:p>
    <w:p>
      <w:r>
        <w:t>(15) Soweit ein Dritter Steuern für Rechnung des Steuerschuldners einzubehalten und abzuführen oder für Rechnung des Steuerschuldners zu entrichten hat, endet die Festsetzungsfrist gegenüber dem Steuerschuldner nicht vor Ablauf der gegenüber dem Steuerentrichtungspflichtigen geltenden Festsetzungsfrist.</w:t>
      </w:r>
    </w:p>
    <w:p>
      <w:pPr>
        <w:pStyle w:val="Heading4"/>
      </w:pPr>
      <w:bookmarkStart w:id="285" w:name="b282"/>
      <w:r>
        <w:t>III. Bestandskraft</w:t>
      </w:r>
      <w:bookmarkEnd w:id="285"/>
    </w:p>
    <w:p>
      <w:pPr>
        <w:pStyle w:val="Heading5"/>
      </w:pPr>
      <w:bookmarkStart w:id="286" w:name="b283"/>
      <w:r>
        <w:t>§ 172 Aufhebung und Änderung von Steuerbescheiden</w:t>
      </w:r>
      <w:r>
        <w:t xml:space="preserve"> </w:t>
      </w:r>
      <w:r>
        <w:rPr>
          <w:rStyle w:val="Suchmarke"/>
        </w:rPr>
        <w:t>#172#</w:t>
      </w:r>
      <w:bookmarkEnd w:id="286"/>
    </w:p>
    <w:p>
      <w:r>
        <w:t xml:space="preserve">(1) </w:t>
      </w:r>
      <w:r>
        <w:rPr>
          <w:rStyle w:val="Satznummer"/>
        </w:rPr>
        <w:t>1</w:t>
      </w:r>
      <w:r>
        <w:t>Ein Steuerbescheid darf, soweit er nicht vorläufig oder unter dem Vorbehalt der Nachprüfung ergangen ist, nur aufgehoben oder geändert werden,</w:t>
      </w:r>
    </w:p>
    <w:p>
      <w:pPr>
        <w:tabs>
          <w:tab w:pos="567" w:val="left"/>
        </w:tabs>
        <w:ind w:left="567" w:hanging="567"/>
      </w:pPr>
      <w:r>
        <w:t>1.</w:t>
      </w:r>
      <w:r>
        <w:tab/>
      </w:r>
      <w:r>
        <w:t>wenn er Verbrauchsteuern betrifft,</w:t>
      </w:r>
    </w:p>
    <w:p>
      <w:pPr>
        <w:tabs>
          <w:tab w:pos="567" w:val="left"/>
        </w:tabs>
        <w:ind w:left="567" w:hanging="567"/>
      </w:pPr>
      <w:r>
        <w:t>2.</w:t>
      </w:r>
      <w:r>
        <w:tab/>
      </w:r>
      <w:r>
        <w:t>wenn er andere Steuern als Einfuhr- oder Ausfuhrabgaben nach Artikel 5 Nummer 20 und 21 des Zollkodex der Union oder Verbrauchsteuern betrifft,</w:t>
      </w:r>
    </w:p>
    <w:p>
      <w:pPr>
        <w:tabs>
          <w:tab w:pos="1134" w:val="left"/>
        </w:tabs>
        <w:ind w:left="1134" w:hanging="567"/>
      </w:pPr>
      <w:r>
        <w:t>a)</w:t>
      </w:r>
      <w:r>
        <w:tab/>
      </w:r>
      <w:r>
        <w:t>soweit der Steuerpflichtige zustimmt oder seinem Antrag der Sache nach entsprochen wird; dies gilt jedoch zugunsten des Steuerpflichtigen nur, soweit er vor Ablauf der Einspruchsfrist zugestimmt oder den Antrag gestellt hat oder soweit die Finanzbehörde einem Einspruch oder einer Klage abhilft,</w:t>
      </w:r>
    </w:p>
    <w:p>
      <w:pPr>
        <w:tabs>
          <w:tab w:pos="1134" w:val="left"/>
        </w:tabs>
        <w:ind w:left="1134" w:hanging="567"/>
      </w:pPr>
      <w:r>
        <w:t>b)</w:t>
      </w:r>
      <w:r>
        <w:tab/>
      </w:r>
      <w:r>
        <w:t>soweit er von einer sachlich unzuständigen Behörde erlassen worden ist,</w:t>
      </w:r>
    </w:p>
    <w:p>
      <w:pPr>
        <w:tabs>
          <w:tab w:pos="1134" w:val="left"/>
        </w:tabs>
        <w:ind w:left="1134" w:hanging="567"/>
      </w:pPr>
      <w:r>
        <w:t>c)</w:t>
      </w:r>
      <w:r>
        <w:tab/>
      </w:r>
      <w:r>
        <w:t>soweit er durch unlautere Mittel, wie arglistige Täuschung, Drohung oder Bestechung erwirkt worden ist,</w:t>
      </w:r>
    </w:p>
    <w:p>
      <w:pPr>
        <w:tabs>
          <w:tab w:pos="1134" w:val="left"/>
        </w:tabs>
        <w:ind w:left="1134" w:hanging="567"/>
      </w:pPr>
      <w:r>
        <w:t>d)</w:t>
      </w:r>
      <w:r>
        <w:tab/>
      </w:r>
      <w:r>
        <w:t xml:space="preserve">soweit dies sonst gesetzlich zugelassen ist; die </w:t>
      </w:r>
      <w:hyperlink w:anchor="b209" w:history="1">
        <w:r>
          <w:rPr>
            <w:color w:val="0A3A8C"/>
            <w:u w:val="single"/>
          </w:rPr>
          <w:t xml:space="preserve">§§ 130</w:t>
        </w:r>
      </w:hyperlink>
      <w:r>
        <w:t xml:space="preserve"> und </w:t>
      </w:r>
      <w:hyperlink w:anchor="b210" w:history="1">
        <w:r>
          <w:rPr>
            <w:color w:val="0A3A8C"/>
            <w:u w:val="single"/>
          </w:rPr>
          <w:t xml:space="preserve">131</w:t>
        </w:r>
      </w:hyperlink>
      <w:r>
        <w:t xml:space="preserve"> gelten nicht.</w:t>
      </w:r>
    </w:p>
    <w:p>
      <w:r>
        <w:rPr>
          <w:rStyle w:val="Satznummer"/>
        </w:rPr>
        <w:t>2</w:t>
      </w:r>
      <w:r>
        <w:t xml:space="preserve">Dies gilt auch dann, wenn der Steuerbescheid durch Einspruchsentscheidung bestätigt oder geändert worden ist. </w:t>
      </w:r>
      <w:r>
        <w:rPr>
          <w:rStyle w:val="Satznummer"/>
        </w:rPr>
        <w:t>3</w:t>
      </w:r>
      <w:r>
        <w:t>In den Fällen des Satzes 2 ist Satz 1 Nummer 2 Buchstabe a ebenfalls anzuwenden, wenn der Steuerpflichtige vor Ablauf der Klagefrist zugestimmt oder den Antrag gestellt hat; Erklärungen und Beweismittel, die nach § 364b Absatz 2 in der Einspruchsentscheidung nicht berücksichtigt wurden, dürfen hierbei nicht berücksichtigt werden.</w:t>
      </w:r>
    </w:p>
    <w:p>
      <w:r>
        <w:t>(2) Absatz 1 gilt auch für einen Verwaltungsakt, durch den ein Antrag auf Erlass, Aufhebung oder Änderung eines Steuerbescheids ganz oder teilweise abgelehnt wird.</w:t>
      </w:r>
    </w:p>
    <w:p>
      <w:r>
        <w:t xml:space="preserve">(3) </w:t>
      </w:r>
      <w:r>
        <w:rPr>
          <w:rStyle w:val="Satznummer"/>
        </w:rPr>
        <w:t>1</w:t>
      </w:r>
      <w:r>
        <w:t xml:space="preserve">Anhängige, außerhalb eines Einspruchs- oder Klageverfahrens gestellte Anträge auf Aufhebung oder Änderung einer Steuerfestsetzung, die eine vom Gerichtshof der Europäischen Union, vom Bundesverfassungsgericht oder vom Bundesfinanzhof entschiedene Rechtsfrage betreffen und denen nach dem Ausgang des Verfahrens vor diesen Gerichten nicht entsprochen werden kann, können durch Allgemeinverfügung insoweit zurückgewiesen werden. </w:t>
      </w:r>
      <w:r>
        <w:rPr>
          <w:rStyle w:val="Satznummer"/>
        </w:rPr>
        <w:t>2</w:t>
      </w:r>
      <w:hyperlink w:anchor="b528" w:history="1">
        <w:r>
          <w:rPr>
            <w:color w:val="0A3A8C"/>
            <w:u w:val="single"/>
          </w:rPr>
          <w:t xml:space="preserve">§ 367</w:t>
        </w:r>
      </w:hyperlink>
      <w:r>
        <w:t xml:space="preserve"> Absatz 2b Satz 2 bis 6 gilt entsprechend.</w:t>
      </w:r>
    </w:p>
    <w:p>
      <w:pPr>
        <w:pStyle w:val="Heading5"/>
      </w:pPr>
      <w:bookmarkStart w:id="287" w:name="b284"/>
      <w:r>
        <w:t>§ 173 Aufhebung oder Änderung von Steuerbescheiden wegen neuer Tatsachen oder Beweismittel</w:t>
      </w:r>
      <w:r>
        <w:t xml:space="preserve"> </w:t>
      </w:r>
      <w:r>
        <w:rPr>
          <w:rStyle w:val="Suchmarke"/>
        </w:rPr>
        <w:t>#173#</w:t>
      </w:r>
      <w:bookmarkEnd w:id="287"/>
    </w:p>
    <w:p>
      <w:r>
        <w:t>(1) Steuerbescheide sind aufzuheben oder zu ändern,</w:t>
      </w:r>
    </w:p>
    <w:p>
      <w:pPr>
        <w:tabs>
          <w:tab w:pos="567" w:val="left"/>
        </w:tabs>
        <w:ind w:left="567" w:hanging="567"/>
      </w:pPr>
      <w:r>
        <w:t>1.</w:t>
      </w:r>
      <w:r>
        <w:tab/>
      </w:r>
      <w:r>
        <w:t>soweit Tatsachen oder Beweismittel nachträglich bekannt werden, die zu einer höheren Steuer führen,</w:t>
      </w:r>
    </w:p>
    <w:p>
      <w:pPr>
        <w:tabs>
          <w:tab w:pos="567" w:val="left"/>
        </w:tabs>
        <w:ind w:left="567" w:hanging="567"/>
      </w:pPr>
      <w:r>
        <w:t>2.</w:t>
      </w:r>
      <w:r>
        <w:tab/>
      </w:r>
      <w:r>
        <w:t xml:space="preserve">soweit Tatsachen oder Beweismittel nachträglich bekannt werden, die zu einer niedrigeren Steuer führen und den Steuerpflichtigen kein grobes Verschulden daran trifft, dass die Tatsachen oder Beweismittel erst nachträglich bekannt werden. </w:t>
      </w:r>
      <w:r>
        <w:rPr>
          <w:rStyle w:val="Satznummer"/>
        </w:rPr>
        <w:t>2</w:t>
      </w:r>
      <w:r>
        <w:t>Das Verschulden ist unbeachtlich, wenn die Tatsachen oder Beweismittel in einem unmittelbaren oder mittelbaren Zusammenhang mit Tatsachen oder Beweismitteln im Sinne der Nummer 1 stehen.</w:t>
      </w:r>
    </w:p>
    <w:p>
      <w:r>
        <w:t xml:space="preserve">(2) </w:t>
      </w:r>
      <w:r>
        <w:rPr>
          <w:rStyle w:val="Satznummer"/>
        </w:rPr>
        <w:t>1</w:t>
      </w:r>
      <w:r>
        <w:t xml:space="preserve">Abweichend von Absatz 1 können Steuerbescheide, soweit sie auf Grund einer Außenprüfung ergangen sind, nur aufgehoben oder geändert werden, wenn eine Steuerhinterziehung oder eine leichtfertige Steuerverkürzung vorliegt. </w:t>
      </w:r>
      <w:r>
        <w:rPr>
          <w:rStyle w:val="Satznummer"/>
        </w:rPr>
        <w:t>2</w:t>
      </w:r>
      <w:r>
        <w:t xml:space="preserve">Dies gilt auch in den Fällen, in denen eine Mitteilung nach </w:t>
      </w:r>
      <w:hyperlink w:anchor="b326" w:history="1">
        <w:r>
          <w:rPr>
            <w:color w:val="0A3A8C"/>
            <w:u w:val="single"/>
          </w:rPr>
          <w:t xml:space="preserve">§ 202</w:t>
        </w:r>
      </w:hyperlink>
      <w:r>
        <w:t xml:space="preserve"> Absatz 1 Satz 3 ergangen ist.</w:t>
      </w:r>
    </w:p>
    <w:p>
      <w:pPr>
        <w:pStyle w:val="Heading5"/>
      </w:pPr>
      <w:bookmarkStart w:id="288" w:name="b285"/>
      <w:r>
        <w:t>§ 173a Schreib- oder Rechenfehler bei Erstellung einer Steuererklärung</w:t>
      </w:r>
      <w:r>
        <w:t xml:space="preserve"> </w:t>
      </w:r>
      <w:r>
        <w:rPr>
          <w:rStyle w:val="Suchmarke"/>
        </w:rPr>
        <w:t>#173a#</w:t>
      </w:r>
      <w:bookmarkEnd w:id="288"/>
    </w:p>
    <w:p>
      <w:r>
        <w:t>Steuerbescheide sind aufzuheben oder zu ändern, soweit dem Steuerpflichtigen bei Erstellung seiner Steuererklärung Schreib- oder Rechenfehler unterlaufen sind und er deshalb der Finanzbehörde bestimmte, nach den Verhältnissen zum Zeitpunkt des Erlasses des Steuerbescheids rechtserhebliche Tatsachen unzutreffend mitgeteilt hat.</w:t>
      </w:r>
    </w:p>
    <w:p>
      <w:pPr>
        <w:pStyle w:val="Heading5"/>
      </w:pPr>
      <w:bookmarkStart w:id="289" w:name="b286"/>
      <w:r>
        <w:t>§ 174 Widerstreitende Steuerfestsetzungen</w:t>
      </w:r>
      <w:r>
        <w:t xml:space="preserve"> </w:t>
      </w:r>
      <w:r>
        <w:rPr>
          <w:rStyle w:val="Suchmarke"/>
        </w:rPr>
        <w:t>#174#</w:t>
      </w:r>
      <w:bookmarkEnd w:id="289"/>
    </w:p>
    <w:p>
      <w:r>
        <w:t xml:space="preserve">(1) </w:t>
      </w:r>
      <w:r>
        <w:rPr>
          <w:rStyle w:val="Satznummer"/>
        </w:rPr>
        <w:t>1</w:t>
      </w:r>
      <w:r>
        <w:t xml:space="preserve">Ist ein bestimmter Sachverhalt in mehreren Steuerbescheiden zuungunsten eines oder mehrerer Steuerpflichtiger berücksichtigt worden, obwohl er nur einmal hätte berücksichtigt werden dürfen, so ist der fehlerhafte Steuerbescheid auf Antrag aufzuheben oder zu ändern. </w:t>
      </w:r>
      <w:r>
        <w:rPr>
          <w:rStyle w:val="Satznummer"/>
        </w:rPr>
        <w:t>2</w:t>
      </w:r>
      <w:r>
        <w:t xml:space="preserve">Ist die Festsetzungsfrist für diese Steuerfestsetzung bereits abgelaufen, so kann der Antrag noch bis zum Ablauf eines Jahres gestellt werden, nachdem der letzte der betroffenen Steuerbescheide unanfechtbar geworden ist. </w:t>
      </w:r>
      <w:r>
        <w:rPr>
          <w:rStyle w:val="Satznummer"/>
        </w:rPr>
        <w:t>3</w:t>
      </w:r>
      <w:r>
        <w:t>Wird der Antrag rechtzeitig gestellt, steht der Aufhebung oder Änderung des Steuerbescheids insoweit keine Frist entgegen.</w:t>
      </w:r>
    </w:p>
    <w:p>
      <w:r>
        <w:t xml:space="preserve">(2) </w:t>
      </w:r>
      <w:r>
        <w:rPr>
          <w:rStyle w:val="Satznummer"/>
        </w:rPr>
        <w:t>1</w:t>
      </w:r>
      <w:r>
        <w:t xml:space="preserve">Absatz 1 gilt sinngemäß, wenn ein bestimmter Sachverhalt in unvereinbarer Weise mehrfach zugunsten eines oder mehrerer Steuerpflichtiger berücksichtigt worden ist; ein Antrag ist nicht erforderlich. </w:t>
      </w:r>
      <w:r>
        <w:rPr>
          <w:rStyle w:val="Satznummer"/>
        </w:rPr>
        <w:t>2</w:t>
      </w:r>
      <w:r>
        <w:t>Der fehlerhafte Steuerbescheid darf jedoch nur dann geändert werden, wenn die Berücksichtigung des Sachverhalts auf einen Antrag oder eine Erklärung des Steuerpflichtigen zurückzuführen ist.</w:t>
      </w:r>
    </w:p>
    <w:p>
      <w:r>
        <w:t xml:space="preserve">(3) </w:t>
      </w:r>
      <w:r>
        <w:rPr>
          <w:rStyle w:val="Satznummer"/>
        </w:rPr>
        <w:t>1</w:t>
      </w:r>
      <w:r>
        <w:t xml:space="preserve">Ist ein bestimmter Sachverhalt in einem Steuerbescheid erkennbar in der Annahme nicht berücksichtigt worden, dass er in einem anderen Steuerbescheid zu berücksichtigen sei, und stellt sich diese Annahme als unrichtig heraus, so kann die Steuerfestsetzung, bei der die Berücksichtigung des Sachverhalts unterblieben ist, insoweit nachgeholt, aufgehoben oder geändert werden. </w:t>
      </w:r>
      <w:r>
        <w:rPr>
          <w:rStyle w:val="Satznummer"/>
        </w:rPr>
        <w:t>2</w:t>
      </w:r>
      <w:r>
        <w:t>Die Nachholung, Aufhebung oder Änderung ist nur zulässig bis zum Ablauf der für die andere Steuerfestsetzung geltenden Festsetzungsfrist.</w:t>
      </w:r>
    </w:p>
    <w:p>
      <w:r>
        <w:t xml:space="preserve">(4) </w:t>
      </w:r>
      <w:r>
        <w:rPr>
          <w:rStyle w:val="Satznummer"/>
        </w:rPr>
        <w:t>1</w:t>
      </w:r>
      <w:r>
        <w:t xml:space="preserve">Ist auf Grund irriger Beurteilung eines bestimmten Sachverhalts ein Steuerbescheid ergangen, der auf Grund eines Rechtsbehelfs oder sonst auf Antrag des Steuerpflichtigen durch die Finanzbehörde zu seinen Gunsten aufgehoben oder geändert wird, so können aus dem Sachverhalt nachträglich durch Erlass oder Änderung eines Steuerbescheids die richtigen steuerlichen Folgerungen gezogen werden. </w:t>
      </w:r>
      <w:r>
        <w:rPr>
          <w:rStyle w:val="Satznummer"/>
        </w:rPr>
        <w:t>2</w:t>
      </w:r>
      <w:r>
        <w:t xml:space="preserve">Dies gilt auch dann, wenn der Steuerbescheid durch das Gericht aufgehoben oder geändert wird. </w:t>
      </w:r>
      <w:r>
        <w:rPr>
          <w:rStyle w:val="Satznummer"/>
        </w:rPr>
        <w:t>3</w:t>
      </w:r>
      <w:r>
        <w:t xml:space="preserve">Der Ablauf der Festsetzungsfrist ist unbeachtlich, wenn die steuerlichen Folgerungen innerhalb eines Jahres nach Aufhebung oder Änderung des fehlerhaften Steuerbescheids gezogen werden. </w:t>
      </w:r>
      <w:r>
        <w:rPr>
          <w:rStyle w:val="Satznummer"/>
        </w:rPr>
        <w:t>4</w:t>
      </w:r>
      <w:r>
        <w:t>War die Festsetzungsfrist bereits abgelaufen, als der später aufgehobene oder geänderte Steuerbescheid erlassen wurde, gilt dies nur unter den Voraussetzungen des Absatzes 3 Satz 1.</w:t>
      </w:r>
    </w:p>
    <w:p>
      <w:r>
        <w:t xml:space="preserve">(5) </w:t>
      </w:r>
      <w:r>
        <w:rPr>
          <w:rStyle w:val="Satznummer"/>
        </w:rPr>
        <w:t>1</w:t>
      </w:r>
      <w:r>
        <w:t xml:space="preserve">Gegenüber Dritten gilt Absatz 4, wenn sie an dem Verfahren, das zur Aufhebung oder Änderung des fehlerhaften Steuerbescheids geführt hat, beteiligt waren. </w:t>
      </w:r>
      <w:r>
        <w:rPr>
          <w:rStyle w:val="Satznummer"/>
        </w:rPr>
        <w:t>2</w:t>
      </w:r>
      <w:r>
        <w:t>Ihre Hinzuziehung oder Beiladung zu diesem Verfahren ist zulässig.</w:t>
      </w:r>
    </w:p>
    <w:p>
      <w:pPr>
        <w:pStyle w:val="Heading5"/>
      </w:pPr>
      <w:bookmarkStart w:id="290" w:name="b287"/>
      <w:r>
        <w:t>§ 175 Änderung von Steuerbescheiden auf Grund von Grundlagenbescheiden und bei rückwirkenden Ereignissen</w:t>
      </w:r>
      <w:r>
        <w:t xml:space="preserve"> </w:t>
      </w:r>
      <w:r>
        <w:rPr>
          <w:rStyle w:val="Suchmarke"/>
        </w:rPr>
        <w:t>#175#</w:t>
      </w:r>
      <w:bookmarkEnd w:id="290"/>
    </w:p>
    <w:p>
      <w:r>
        <w:t xml:space="preserve">(1) </w:t>
      </w:r>
      <w:r>
        <w:rPr>
          <w:rStyle w:val="Satznummer"/>
        </w:rPr>
        <w:t>1</w:t>
      </w:r>
      <w:r>
        <w:t>Ein Steuerbescheid ist zu erlassen, aufzuheben oder zu ändern,</w:t>
      </w:r>
    </w:p>
    <w:p>
      <w:pPr>
        <w:tabs>
          <w:tab w:pos="567" w:val="left"/>
        </w:tabs>
        <w:ind w:left="567" w:hanging="567"/>
      </w:pPr>
      <w:r>
        <w:t>1.</w:t>
      </w:r>
      <w:r>
        <w:tab/>
      </w:r>
      <w:r>
        <w:t>soweit ein Grundlagenbescheid (</w:t>
      </w:r>
      <w:hyperlink w:anchor="b281" w:history="1">
        <w:r>
          <w:rPr>
            <w:color w:val="0A3A8C"/>
            <w:u w:val="single"/>
          </w:rPr>
          <w:t xml:space="preserve">§ 171</w:t>
        </w:r>
      </w:hyperlink>
      <w:r>
        <w:t xml:space="preserve"> Absatz 10), dem Bindungswirkung für diesen Steuerbescheid zukommt, erlassen, aufgehoben oder geändert wird,</w:t>
      </w:r>
    </w:p>
    <w:p>
      <w:pPr>
        <w:tabs>
          <w:tab w:pos="567" w:val="left"/>
        </w:tabs>
        <w:ind w:left="567" w:hanging="567"/>
      </w:pPr>
      <w:r>
        <w:t>2.</w:t>
      </w:r>
      <w:r>
        <w:tab/>
      </w:r>
      <w:r>
        <w:t>soweit ein Ereignis eintritt, das steuerliche Wirkung für die Vergangenheit hat (rückwirkendes Ereignis).</w:t>
      </w:r>
    </w:p>
    <w:p>
      <w:r>
        <w:rPr>
          <w:rStyle w:val="Satznummer"/>
        </w:rPr>
        <w:t>2</w:t>
      </w:r>
      <w:r>
        <w:t>In den Fällen des Satzes 1 Nummer 2 beginnt die Festsetzungsfrist mit Ablauf des Kalenderjahrs, in dem das Ereignis eintritt.</w:t>
      </w:r>
    </w:p>
    <w:p>
      <w:r>
        <w:t xml:space="preserve">(2) </w:t>
      </w:r>
      <w:r>
        <w:rPr>
          <w:rStyle w:val="Satznummer"/>
        </w:rPr>
        <w:t>1</w:t>
      </w:r>
      <w:r>
        <w:t xml:space="preserve">Als rückwirkendes Ereignis gilt auch der Wegfall einer Voraussetzung für eine Steuervergünstigung, wenn gesetzlich bestimmt ist, dass diese Voraussetzung für eine bestimmte Zeit gegeben sein muss, oder wenn durch Verwaltungsakt festgestellt worden ist, dass sie die Grundlage für die Gewährung der Steuervergünstigung bildet. </w:t>
      </w:r>
      <w:r>
        <w:rPr>
          <w:rStyle w:val="Satznummer"/>
        </w:rPr>
        <w:t>2</w:t>
      </w:r>
      <w:r>
        <w:t>Die nachträgliche Erteilung oder Vorlage einer Bescheinigung oder Bestätigung gilt nicht als rückwirkendes Ereignis.</w:t>
      </w:r>
    </w:p>
    <w:p>
      <w:pPr>
        <w:pStyle w:val="Heading5"/>
      </w:pPr>
      <w:bookmarkStart w:id="291" w:name="b288"/>
      <w:r>
        <w:t>§ 175a Umsetzung von Verständigungsvereinbarungen</w:t>
      </w:r>
      <w:r>
        <w:t xml:space="preserve"> </w:t>
      </w:r>
      <w:r>
        <w:rPr>
          <w:rStyle w:val="Suchmarke"/>
        </w:rPr>
        <w:t>#175a#</w:t>
      </w:r>
      <w:bookmarkEnd w:id="291"/>
    </w:p>
    <w:p>
      <w:r>
        <w:rPr>
          <w:rStyle w:val="Satznummer"/>
        </w:rPr>
        <w:t>1</w:t>
      </w:r>
      <w:r>
        <w:t xml:space="preserve">Ein Steuerbescheid ist zu erlassen, aufzuheben oder zu ändern, soweit dies zur Umsetzung einer Vorabverständigungsvereinbarung nach </w:t>
      </w:r>
      <w:hyperlink w:anchor="b143" w:history="1">
        <w:r>
          <w:rPr>
            <w:color w:val="0A3A8C"/>
            <w:u w:val="single"/>
          </w:rPr>
          <w:t xml:space="preserve">§ 89a</w:t>
        </w:r>
      </w:hyperlink>
      <w:r>
        <w:t xml:space="preserve">, einer Verständigungsvereinbarung oder eines Schiedsspruchs nach einem Vertrag im Sinne des </w:t>
      </w:r>
      <w:hyperlink w:anchor="b3" w:history="1">
        <w:r>
          <w:rPr>
            <w:color w:val="0A3A8C"/>
            <w:u w:val="single"/>
          </w:rPr>
          <w:t xml:space="preserve">§ 2</w:t>
        </w:r>
      </w:hyperlink>
      <w:r>
        <w:t xml:space="preserve"> Absatz 1 geboten ist. </w:t>
      </w:r>
      <w:r>
        <w:rPr>
          <w:rStyle w:val="Satznummer"/>
        </w:rPr>
        <w:t>2</w:t>
      </w:r>
      <w:r>
        <w:t xml:space="preserve">Verbindliche Auskünfte nach </w:t>
      </w:r>
      <w:hyperlink w:anchor="b142" w:history="1">
        <w:r>
          <w:rPr>
            <w:color w:val="0A3A8C"/>
            <w:u w:val="single"/>
          </w:rPr>
          <w:t xml:space="preserve">§ 89</w:t>
        </w:r>
      </w:hyperlink>
      <w:r>
        <w:t xml:space="preserve">, verbindliche Zusagen nach </w:t>
      </w:r>
      <w:hyperlink w:anchor="b330" w:history="1">
        <w:r>
          <w:rPr>
            <w:color w:val="0A3A8C"/>
            <w:u w:val="single"/>
          </w:rPr>
          <w:t xml:space="preserve">§ 204</w:t>
        </w:r>
      </w:hyperlink>
      <w:r>
        <w:t xml:space="preserve"> oder rechtlich bindende Vereinbarungen zwischen dem Steuerpflichtigen und der Finanzverwaltung stehen dem nicht entgegen. </w:t>
      </w:r>
      <w:r>
        <w:rPr>
          <w:rStyle w:val="Satznummer"/>
        </w:rPr>
        <w:t>3</w:t>
      </w:r>
      <w:r>
        <w:t>Die Festsetzungsfrist endet insoweit nicht vor Ablauf eines Jahres nach dem Wirksamwerden der Verständigungsvereinbarung oder des Schiedsspruchs oder der einvernehmlichen rückwirkenden Anwendung einer Vorabverständigungsvereinbarung.</w:t>
      </w:r>
    </w:p>
    <w:p>
      <w:pPr>
        <w:pStyle w:val="Heading5"/>
      </w:pPr>
      <w:bookmarkStart w:id="292" w:name="b289"/>
      <w:r>
        <w:t>§ 175b Änderung von Steuerbescheiden bei Datenübermittlung durch Dritte</w:t>
      </w:r>
      <w:r>
        <w:t xml:space="preserve"> </w:t>
      </w:r>
      <w:r>
        <w:rPr>
          <w:rStyle w:val="Suchmarke"/>
        </w:rPr>
        <w:t>#175b#</w:t>
      </w:r>
      <w:bookmarkEnd w:id="292"/>
    </w:p>
    <w:p>
      <w:r>
        <w:t xml:space="preserve">(1) Ein Steuerbescheid ist aufzuheben oder zu ändern, soweit von der mitteilungspflichtigen Stelle an die Finanzbehörden übermittelte Daten im Sinne des </w:t>
      </w:r>
      <w:hyperlink w:anchor="b152" w:history="1">
        <w:r>
          <w:rPr>
            <w:color w:val="0A3A8C"/>
            <w:u w:val="single"/>
          </w:rPr>
          <w:t xml:space="preserve">§ 93c</w:t>
        </w:r>
      </w:hyperlink>
      <w:r>
        <w:t xml:space="preserve"> bei der Steuerfestsetzung nicht oder nicht zutreffend berücksichtigt wurden.</w:t>
      </w:r>
    </w:p>
    <w:p>
      <w:r>
        <w:t xml:space="preserve">(2) Gelten Daten, die von mitteilungspflichtigen Stellen nach Maßgabe des </w:t>
      </w:r>
      <w:hyperlink w:anchor="b152" w:history="1">
        <w:r>
          <w:rPr>
            <w:color w:val="0A3A8C"/>
            <w:u w:val="single"/>
          </w:rPr>
          <w:t xml:space="preserve">§ 93c</w:t>
        </w:r>
      </w:hyperlink>
      <w:r>
        <w:t xml:space="preserve"> an die Finanzverwaltung übermittelt wurden, nach </w:t>
      </w:r>
      <w:hyperlink w:anchor="b255" w:history="1">
        <w:r>
          <w:rPr>
            <w:color w:val="0A3A8C"/>
            <w:u w:val="single"/>
          </w:rPr>
          <w:t xml:space="preserve">§ 150</w:t>
        </w:r>
      </w:hyperlink>
      <w:r>
        <w:t xml:space="preserve"> Absatz 7 Satz 2 als Angaben des Steuerpflichtigen, ist der Steuerbescheid aufzuheben oder zu ändern, soweit diese Daten zu Ungunsten des Steuerpflichtigen unrichtig sind.</w:t>
      </w:r>
    </w:p>
    <w:p>
      <w:r>
        <w:t xml:space="preserve">(3) Ist eine Einwilligung des Steuerpflichtigen in die Übermittlung von Daten im Sinne des </w:t>
      </w:r>
      <w:hyperlink w:anchor="b152" w:history="1">
        <w:r>
          <w:rPr>
            <w:color w:val="0A3A8C"/>
            <w:u w:val="single"/>
          </w:rPr>
          <w:t xml:space="preserve">§ 93c</w:t>
        </w:r>
      </w:hyperlink>
      <w:r>
        <w:t xml:space="preserve"> an die Finanzbehörden Voraussetzung für die steuerliche Berücksichtigung der Daten, so ist ein Steuerbescheid aufzuheben oder zu ändern, soweit die Einwilligung nicht vorliegt.</w:t>
      </w:r>
    </w:p>
    <w:p>
      <w:r>
        <w:t xml:space="preserve">(4) Die Absätze 1 und 2 gelten nicht, wenn Daten nach </w:t>
      </w:r>
      <w:hyperlink w:anchor="b152" w:history="1">
        <w:r>
          <w:rPr>
            <w:color w:val="0A3A8C"/>
            <w:u w:val="single"/>
          </w:rPr>
          <w:t xml:space="preserve">§ 93c</w:t>
        </w:r>
      </w:hyperlink>
      <w:r>
        <w:t xml:space="preserve"> Absatz 1 oder Absatz 3 nicht rechtserheblich sind.</w:t>
      </w:r>
    </w:p>
    <w:p>
      <w:pPr>
        <w:pStyle w:val="Heading5"/>
      </w:pPr>
      <w:bookmarkStart w:id="293" w:name="b290"/>
      <w:r>
        <w:t>§ 176 Vertrauensschutz bei der Aufhebung und Änderung von Steuerbescheiden</w:t>
      </w:r>
      <w:r>
        <w:t xml:space="preserve"> </w:t>
      </w:r>
      <w:r>
        <w:rPr>
          <w:rStyle w:val="Suchmarke"/>
        </w:rPr>
        <w:t>#176#</w:t>
      </w:r>
      <w:bookmarkEnd w:id="293"/>
    </w:p>
    <w:p>
      <w:r>
        <w:t xml:space="preserve">(1) </w:t>
      </w:r>
      <w:r>
        <w:rPr>
          <w:rStyle w:val="Satznummer"/>
        </w:rPr>
        <w:t>1</w:t>
      </w:r>
      <w:r>
        <w:t>Bei der Aufhebung oder Änderung eines Steuerbescheids darf nicht zuungunsten des Steuerpflichtigen berücksichtigt werden, dass</w:t>
      </w:r>
    </w:p>
    <w:p>
      <w:pPr>
        <w:tabs>
          <w:tab w:pos="567" w:val="left"/>
        </w:tabs>
        <w:ind w:left="567" w:hanging="567"/>
      </w:pPr>
      <w:r>
        <w:t>1.</w:t>
      </w:r>
      <w:r>
        <w:tab/>
      </w:r>
      <w:r>
        <w:t>das Bundesverfassungsgericht die Nichtigkeit eines Gesetzes feststellt, auf dem die bisherige Steuerfestsetzung beruht,</w:t>
      </w:r>
    </w:p>
    <w:p>
      <w:pPr>
        <w:tabs>
          <w:tab w:pos="567" w:val="left"/>
        </w:tabs>
        <w:ind w:left="567" w:hanging="567"/>
      </w:pPr>
      <w:r>
        <w:t>2.</w:t>
      </w:r>
      <w:r>
        <w:tab/>
      </w:r>
      <w:r>
        <w:t>ein oberster Gerichtshof des Bundes eine Norm, auf der die bisherige Steuerfestsetzung beruht, nicht anwendet, weil er sie für verfassungswidrig hält,</w:t>
      </w:r>
    </w:p>
    <w:p>
      <w:pPr>
        <w:tabs>
          <w:tab w:pos="567" w:val="left"/>
        </w:tabs>
        <w:ind w:left="567" w:hanging="567"/>
      </w:pPr>
      <w:r>
        <w:t>3.</w:t>
      </w:r>
      <w:r>
        <w:tab/>
      </w:r>
      <w:r>
        <w:t>sich die Rechtsprechung eines obersten Gerichtshofes des Bundes geändert hat, die bei der bisherigen Steuerfestsetzung von der Finanzbehörde angewandt worden ist.</w:t>
      </w:r>
    </w:p>
    <w:p>
      <w:r>
        <w:rPr>
          <w:rStyle w:val="Satznummer"/>
        </w:rPr>
        <w:t>2</w:t>
      </w:r>
      <w:r>
        <w:t>Ist die bisherige Rechtsprechung bereits in einer Steuererklärung oder einer Steueranmeldung berücksichtigt worden, ohne dass das für die Finanzbehörde erkennbar war, so gilt Nummer 3 nur, wenn anzunehmen ist, dass die Finanzbehörde bei Kenntnis der Umstände die bisherige Rechtsprechung angewandt hätte.</w:t>
      </w:r>
    </w:p>
    <w:p>
      <w:r>
        <w:t>(2) Bei der Aufhebung oder Änderung eines Steuerbescheids darf nicht zuungunsten des Steuerpflichtigen berücksichtigt werden, dass eine allgemeine Verwaltungsvorschrift der Bundesregierung, einer obersten Bundes- oder Landesbehörde von einem obersten Gerichtshof des Bundes als nicht mit dem geltenden Recht in Einklang stehend bezeichnet worden ist.</w:t>
      </w:r>
    </w:p>
    <w:p>
      <w:pPr>
        <w:pStyle w:val="Heading5"/>
      </w:pPr>
      <w:bookmarkStart w:id="294" w:name="b291"/>
      <w:r>
        <w:t>§ 177 Berichtigung von materiellen Fehlern</w:t>
      </w:r>
      <w:r>
        <w:t xml:space="preserve"> </w:t>
      </w:r>
      <w:r>
        <w:rPr>
          <w:rStyle w:val="Suchmarke"/>
        </w:rPr>
        <w:t>#177#</w:t>
      </w:r>
      <w:bookmarkEnd w:id="294"/>
    </w:p>
    <w:p>
      <w:r>
        <w:t>(1) Liegen die Voraussetzungen für die Aufhebung oder Änderung eines Steuerbescheids zuungunsten des Steuerpflichtigen vor, so sind, soweit die Änderung reicht, zugunsten und zuungunsten des Steuerpflichtigen solche materiellen Fehler zu berichtigen, die nicht Anlass der Aufhebung oder Änderung sind.</w:t>
      </w:r>
    </w:p>
    <w:p>
      <w:r>
        <w:t>(2) Liegen die Voraussetzungen für die Aufhebung oder Änderung eines Steuerbescheids zugunsten des Steuerpflichtigen vor, so sind, soweit die Änderung reicht, zuungunsten und zugunsten des Steuerpflichtigen solche materiellen Fehler zu berichtigen, die nicht Anlass der Aufhebung oder Änderung sind.</w:t>
      </w:r>
    </w:p>
    <w:p>
      <w:r>
        <w:t xml:space="preserve">(3) Materielle Fehler im Sinne der Absätze 1 und 2 sind alle Fehler einschließlich offenbarer Unrichtigkeiten im Sinne des </w:t>
      </w:r>
      <w:hyperlink w:anchor="b208" w:history="1">
        <w:r>
          <w:rPr>
            <w:color w:val="0A3A8C"/>
            <w:u w:val="single"/>
          </w:rPr>
          <w:t xml:space="preserve">§ 129</w:t>
        </w:r>
      </w:hyperlink>
      <w:r>
        <w:t>, die zur Festsetzung einer Steuer führen, die von der kraft Gesetzes entstandenen Steuer abweicht.</w:t>
      </w:r>
    </w:p>
    <w:p>
      <w:r>
        <w:t xml:space="preserve">(4) </w:t>
      </w:r>
      <w:hyperlink w:anchor="b273" w:history="1">
        <w:r>
          <w:rPr>
            <w:color w:val="0A3A8C"/>
            <w:u w:val="single"/>
          </w:rPr>
          <w:t xml:space="preserve">§ 164</w:t>
        </w:r>
      </w:hyperlink>
      <w:r>
        <w:t xml:space="preserve"> Absatz 2, </w:t>
      </w:r>
      <w:hyperlink w:anchor="b274" w:history="1">
        <w:r>
          <w:rPr>
            <w:color w:val="0A3A8C"/>
            <w:u w:val="single"/>
          </w:rPr>
          <w:t xml:space="preserve">§ 165</w:t>
        </w:r>
      </w:hyperlink>
      <w:r>
        <w:t xml:space="preserve"> Absatz 2 und </w:t>
      </w:r>
      <w:hyperlink w:anchor="b290" w:history="1">
        <w:r>
          <w:rPr>
            <w:color w:val="0A3A8C"/>
            <w:u w:val="single"/>
          </w:rPr>
          <w:t xml:space="preserve">§ 176</w:t>
        </w:r>
      </w:hyperlink>
      <w:r>
        <w:t xml:space="preserve"> bleiben unberührt.</w:t>
      </w:r>
    </w:p>
    <w:p>
      <w:pPr>
        <w:pStyle w:val="Heading4"/>
      </w:pPr>
      <w:bookmarkStart w:id="295" w:name="b292"/>
      <w:r>
        <w:t>IV. Kosten</w:t>
      </w:r>
      <w:bookmarkEnd w:id="295"/>
    </w:p>
    <w:p>
      <w:pPr>
        <w:pStyle w:val="Heading5"/>
      </w:pPr>
      <w:bookmarkStart w:id="296" w:name="b293"/>
      <w:r>
        <w:t>§ 178 Kosten bei besonderer Inanspruchnahme der Zollbehörden</w:t>
      </w:r>
      <w:r>
        <w:t xml:space="preserve"> </w:t>
      </w:r>
      <w:r>
        <w:rPr>
          <w:rStyle w:val="Suchmarke"/>
        </w:rPr>
        <w:t>#178#</w:t>
      </w:r>
      <w:bookmarkEnd w:id="296"/>
    </w:p>
    <w:p>
      <w:r>
        <w:t>(1) Die Behörden der Bundeszollverwaltung sowie die Behörden, denen die Wahrnehmung von Aufgaben der Bundeszollverwaltung übertragen worden ist, können für eine besondere Inanspruchnahme oder Leistung (kostenpflichtige Amtshandlung) Gebühren erheben und die Erstattung von Auslagen verlangen.</w:t>
      </w:r>
    </w:p>
    <w:p>
      <w:r>
        <w:t>(2) Eine besondere Inanspruchnahme oder Leistung im Sinne des Absatzes 1 liegt insbesondere vor bei</w:t>
      </w:r>
    </w:p>
    <w:p>
      <w:pPr>
        <w:tabs>
          <w:tab w:pos="567" w:val="left"/>
        </w:tabs>
        <w:ind w:left="567" w:hanging="567"/>
      </w:pPr>
      <w:r>
        <w:t>1.</w:t>
      </w:r>
      <w:r>
        <w:tab/>
      </w:r>
      <w:r>
        <w:t>Amtshandlungen außerhalb des Amtsplatzes und außerhalb der Öffnungszeiten, soweit es sich nicht um Maßnahmen der Steueraufsicht handelt,</w:t>
      </w:r>
    </w:p>
    <w:p>
      <w:pPr>
        <w:tabs>
          <w:tab w:pos="567" w:val="left"/>
        </w:tabs>
        <w:ind w:left="567" w:hanging="567"/>
      </w:pPr>
      <w:r>
        <w:t>2.</w:t>
      </w:r>
      <w:r>
        <w:tab/>
      </w:r>
      <w:r>
        <w:t>Amtshandlungen, die zu einer Diensterschwernis führen, weil sie antragsgemäß zu einer bestimmten Zeit vorgenommen werden sollen,</w:t>
      </w:r>
    </w:p>
    <w:p>
      <w:pPr>
        <w:tabs>
          <w:tab w:pos="567" w:val="left"/>
        </w:tabs>
        <w:ind w:left="567" w:hanging="567"/>
      </w:pPr>
      <w:r>
        <w:t>3.</w:t>
      </w:r>
      <w:r>
        <w:tab/>
      </w:r>
      <w:r>
        <w:t>Untersuchungen von Waren, wenn</w:t>
      </w:r>
    </w:p>
    <w:p>
      <w:pPr>
        <w:tabs>
          <w:tab w:pos="1134" w:val="left"/>
        </w:tabs>
        <w:ind w:left="1134" w:hanging="567"/>
      </w:pPr>
      <w:r>
        <w:t>a)</w:t>
      </w:r>
      <w:r>
        <w:tab/>
      </w:r>
      <w:r>
        <w:t>sie durch einen Antrag auf Erteilung einer verbindlichen Zolltarifauskunft, Gewährung einer Steuervergütung oder sonstigen Vergünstigungen veranlasst sind oder</w:t>
      </w:r>
    </w:p>
    <w:p>
      <w:pPr>
        <w:tabs>
          <w:tab w:pos="1134" w:val="left"/>
        </w:tabs>
        <w:ind w:left="1134" w:hanging="567"/>
      </w:pPr>
      <w:r>
        <w:t>b)</w:t>
      </w:r>
      <w:r>
        <w:tab/>
      </w:r>
      <w:r>
        <w:t>bei Untersuchungen von Amts wegen Angaben oder Einwendungen des Verfügungsberechtigten sich als unrichtig oder unbegründet erweisen oder</w:t>
      </w:r>
    </w:p>
    <w:p>
      <w:pPr>
        <w:tabs>
          <w:tab w:pos="1134" w:val="left"/>
        </w:tabs>
        <w:ind w:left="1134" w:hanging="567"/>
      </w:pPr>
      <w:r>
        <w:t>c)</w:t>
      </w:r>
      <w:r>
        <w:tab/>
      </w:r>
      <w:r>
        <w:t>die untersuchten Waren den an sie gestellten Anforderungen nicht entsprechen,</w:t>
      </w:r>
    </w:p>
    <w:p>
      <w:pPr>
        <w:tabs>
          <w:tab w:pos="567" w:val="left"/>
        </w:tabs>
        <w:ind w:left="567" w:hanging="567"/>
      </w:pPr>
      <w:r>
        <w:t>4.</w:t>
      </w:r>
      <w:r>
        <w:tab/>
      </w:r>
      <w:r>
        <w:t>Überwachungsmaßnahmen in Betrieben und bei Betriebsvorgängen, wenn sie durch Zuwiderhandlungen gegen die zur Sicherung des Steueraufkommens erlassenen Rechtsvorschriften veranlasst sind,</w:t>
      </w:r>
    </w:p>
    <w:p>
      <w:pPr>
        <w:tabs>
          <w:tab w:pos="567" w:val="left"/>
        </w:tabs>
        <w:ind w:left="567" w:hanging="567"/>
      </w:pPr>
      <w:r>
        <w:t>5.</w:t>
      </w:r>
      <w:r>
        <w:tab/>
      </w:r>
      <w:r>
        <w:t>amtlichen Bewachungen und Begleitungen von Beförderungsmitteln oder Waren,</w:t>
      </w:r>
    </w:p>
    <w:p>
      <w:pPr>
        <w:tabs>
          <w:tab w:pos="567" w:val="left"/>
        </w:tabs>
        <w:ind w:left="567" w:hanging="567"/>
      </w:pPr>
      <w:r>
        <w:t>6.</w:t>
      </w:r>
      <w:r>
        <w:tab/>
      </w:r>
      <w:r>
        <w:t>Verwahrung von Nicht-Unionswaren,</w:t>
      </w:r>
    </w:p>
    <w:p>
      <w:pPr>
        <w:tabs>
          <w:tab w:pos="567" w:val="left"/>
        </w:tabs>
        <w:ind w:left="567" w:hanging="567"/>
      </w:pPr>
      <w:r>
        <w:t>7.</w:t>
      </w:r>
      <w:r>
        <w:tab/>
      </w:r>
      <w:r>
        <w:t>Fertigung von Schriftstücken, elektronischen Dokumenten, Abschriften und Ablichtungen sowie bei der elektronischen Übersendung oder dem Ausdruck von elektronischen Dokumenten und anderen Dateien, wenn diese Arbeiten auf Antrag erfolgen,</w:t>
      </w:r>
    </w:p>
    <w:p>
      <w:pPr>
        <w:tabs>
          <w:tab w:pos="567" w:val="left"/>
        </w:tabs>
        <w:ind w:left="567" w:hanging="567"/>
      </w:pPr>
      <w:r>
        <w:t>8.</w:t>
      </w:r>
      <w:r>
        <w:tab/>
      </w:r>
      <w:r>
        <w:t>Vernichtung oder Zerstörung von Waren, die von Amts wegen oder auf Antrag vorgenommen wird.</w:t>
      </w:r>
    </w:p>
    <w:p>
      <w:r>
        <w:t>(3) Das Bundesministerium der Finanzen wird ermächtigt, durch Rechtsverordnung, die der Zustimmung des Bundesrates nicht bedarf, die kostenpflichtigen Amtshandlungen näher festzulegen, die für sie zu erhebenden Kosten nach dem auf sie entfallenden durchschnittlichen Verwaltungsaufwand zu bemessen und zu pauschalieren sowie die Voraussetzungen zu bestimmen, unter denen von ihrer Erhebung wegen Geringfügigkeit, zur Vermeidung von Härten oder aus ähnlichen Gründen ganz oder teilweise abgesehen werden kann.</w:t>
      </w:r>
    </w:p>
    <w:p>
      <w:r>
        <w:t xml:space="preserve">(4) </w:t>
      </w:r>
      <w:r>
        <w:rPr>
          <w:rStyle w:val="Satznummer"/>
        </w:rPr>
        <w:t>1</w:t>
      </w:r>
      <w:r>
        <w:t xml:space="preserve">Auf die Festsetzung der Kosten sind die für Verbrauchssteuern geltenden Vorschriften entsprechend anzuwenden. </w:t>
      </w:r>
      <w:r>
        <w:rPr>
          <w:rStyle w:val="Satznummer"/>
        </w:rPr>
        <w:t>2</w:t>
      </w:r>
      <w:r>
        <w:t xml:space="preserve">Im Übrigen gilt für diese Kosten das Verwaltungskostengesetz in der bis zum 14. August 2013 geltenden Fassung. </w:t>
      </w:r>
      <w:r>
        <w:rPr>
          <w:rStyle w:val="Satznummer"/>
        </w:rPr>
        <w:t>3</w:t>
      </w:r>
      <w:r>
        <w:t>Die §§ 18 bis 22 des Verwaltungskostengesetzes in der bis zum 14. August 2013 geltenden Fassung finden keine Anwendung.</w:t>
      </w:r>
    </w:p>
    <w:p>
      <w:pPr>
        <w:pStyle w:val="Heading3"/>
      </w:pPr>
      <w:bookmarkStart w:id="297" w:name="b294"/>
      <w:r>
        <w:t>2. Unterabschnitt Gesonderte Feststellung von Besteuerungsgrundlagen, Festsetzung von Steuermessbeträgen</w:t>
      </w:r>
      <w:bookmarkEnd w:id="297"/>
    </w:p>
    <w:p>
      <w:pPr>
        <w:pStyle w:val="Heading4"/>
      </w:pPr>
      <w:bookmarkStart w:id="298" w:name="b295"/>
      <w:r>
        <w:t>I. Gesonderte Feststellungen</w:t>
      </w:r>
      <w:bookmarkEnd w:id="298"/>
    </w:p>
    <w:p>
      <w:pPr>
        <w:pStyle w:val="Heading5"/>
      </w:pPr>
      <w:bookmarkStart w:id="299" w:name="b296"/>
      <w:r>
        <w:t>§ 179 Feststellung von Besteuerungsgrundlagen</w:t>
      </w:r>
      <w:r>
        <w:t xml:space="preserve"> </w:t>
      </w:r>
      <w:r>
        <w:rPr>
          <w:rStyle w:val="Suchmarke"/>
        </w:rPr>
        <w:t>#179#</w:t>
      </w:r>
      <w:bookmarkEnd w:id="299"/>
    </w:p>
    <w:p>
      <w:r>
        <w:t xml:space="preserve">(1) Abweichend von </w:t>
      </w:r>
      <w:hyperlink w:anchor="b266" w:history="1">
        <w:r>
          <w:rPr>
            <w:color w:val="0A3A8C"/>
            <w:u w:val="single"/>
          </w:rPr>
          <w:t xml:space="preserve">§ 157</w:t>
        </w:r>
      </w:hyperlink>
      <w:r>
        <w:t xml:space="preserve"> Absatz 2 werden die Besteuerungsgrundlagen durch Feststellungsbescheid gesondert festgestellt, soweit dies in diesem Gesetz oder sonst in den Steuergesetzen bestimmt ist.</w:t>
      </w:r>
    </w:p>
    <w:p>
      <w:r>
        <w:t xml:space="preserve">(2) </w:t>
      </w:r>
      <w:r>
        <w:rPr>
          <w:rStyle w:val="Satznummer"/>
        </w:rPr>
        <w:t>1</w:t>
      </w:r>
      <w:r>
        <w:t xml:space="preserve">Ein Feststellungsbescheid richtet sich gegen den Steuerpflichtigen, dem der Gegenstand der Feststellung bei der Besteuerung zuzurechnen ist. </w:t>
      </w:r>
      <w:r>
        <w:rPr>
          <w:rStyle w:val="Satznummer"/>
        </w:rPr>
        <w:t>2</w:t>
      </w:r>
      <w:r>
        <w:t xml:space="preserve">Die gesonderte Feststellung wird gegenüber mehreren Beteiligten einheitlich vorgenommen, wenn dies gesetzlich bestimmt ist oder der Gegenstand der Feststellung mehreren Personen zuzurechnen ist. </w:t>
      </w:r>
      <w:r>
        <w:rPr>
          <w:rStyle w:val="Satznummer"/>
        </w:rPr>
        <w:t>3</w:t>
      </w:r>
      <w:r>
        <w:t>Ist eine dieser Personen an dem Gegenstand der Feststellung nur über eine andere Person beteiligt, so kann insoweit eine besondere gesonderte Feststellung vorgenommen werden.</w:t>
      </w:r>
    </w:p>
    <w:p>
      <w:r>
        <w:t>(3) Soweit in einem Feststellungsbescheid eine notwendige Feststellung unterblieben ist, ist sie in einem Ergänzungsbescheid nachzuholen.</w:t>
      </w:r>
    </w:p>
    <w:p>
      <w:pPr>
        <w:pStyle w:val="Heading5"/>
      </w:pPr>
      <w:bookmarkStart w:id="300" w:name="b297"/>
      <w:r>
        <w:t>§ 180 Gesonderte Feststellung von Besteuerungsgrundlagen</w:t>
      </w:r>
      <w:r>
        <w:t xml:space="preserve"> </w:t>
      </w:r>
      <w:r>
        <w:rPr>
          <w:rStyle w:val="Suchmarke"/>
        </w:rPr>
        <w:t>#180#</w:t>
      </w:r>
      <w:bookmarkEnd w:id="300"/>
    </w:p>
    <w:p>
      <w:r>
        <w:t xml:space="preserve">(1) </w:t>
      </w:r>
      <w:r>
        <w:rPr>
          <w:rStyle w:val="Satznummer"/>
        </w:rPr>
        <w:t>1</w:t>
      </w:r>
      <w:r>
        <w:t>Gesondert festgestellt werden insbesondere:</w:t>
      </w:r>
    </w:p>
    <w:p>
      <w:pPr>
        <w:tabs>
          <w:tab w:pos="567" w:val="left"/>
        </w:tabs>
        <w:ind w:left="567" w:hanging="567"/>
      </w:pPr>
      <w:r>
        <w:t>1.</w:t>
      </w:r>
      <w:r>
        <w:tab/>
      </w:r>
      <w:r>
        <w:t>die Grundsteuerwerte nach Maßgabe des Bewertungsgesetzes,</w:t>
      </w:r>
    </w:p>
    <w:p>
      <w:pPr>
        <w:tabs>
          <w:tab w:pos="567" w:val="left"/>
        </w:tabs>
        <w:ind w:left="567" w:hanging="567"/>
      </w:pPr>
      <w:r>
        <w:t>2.</w:t>
      </w:r>
      <w:r>
        <w:tab/>
      </w:r>
    </w:p>
    <w:p>
      <w:pPr>
        <w:tabs>
          <w:tab w:pos="1134" w:val="left"/>
        </w:tabs>
        <w:ind w:left="1134" w:hanging="567"/>
      </w:pPr>
      <w:r>
        <w:t>a)</w:t>
      </w:r>
      <w:r>
        <w:tab/>
      </w:r>
      <w:r>
        <w:t>die einkommensteuerpflichtigen und körperschaftsteuerpflichtigen Einkünfte und mit ihnen im Zusammenhang stehende andere Besteuerungsgrundlagen, wenn an den Einkünften mehrere Personen beteiligt sind und die Einkünfte diesen Personen steuerlich zuzurechnen sind,</w:t>
      </w:r>
    </w:p>
    <w:p>
      <w:pPr>
        <w:tabs>
          <w:tab w:pos="1134" w:val="left"/>
        </w:tabs>
        <w:ind w:left="1134" w:hanging="567"/>
      </w:pPr>
      <w:r>
        <w:t>b)</w:t>
      </w:r>
      <w:r>
        <w:tab/>
      </w:r>
      <w:r>
        <w:t>in anderen als den in Buchstabe a genannten Fällen die Einkünfte aus Land- und Forstwirtschaft, Gewerbebetrieb oder einer freiberuflichen Tätigkeit, wenn nach den Verhältnissen zum Schluss des Gewinnermittlungszeitraums das für die gesonderte Feststellung zuständige Finanzamt nicht auch für die Steuern vom Einkommen zuständig ist,</w:t>
      </w:r>
    </w:p>
    <w:p>
      <w:pPr>
        <w:tabs>
          <w:tab w:pos="567" w:val="left"/>
        </w:tabs>
        <w:ind w:left="567" w:hanging="567"/>
      </w:pPr>
      <w:r>
        <w:t>3.</w:t>
      </w:r>
      <w:r>
        <w:tab/>
      </w:r>
      <w:r>
        <w:t>der Wert der vermögensteuerpflichtigen Wirtschaftsgüter (</w:t>
      </w:r>
      <w:hyperlink w:anchor="b179" w:history="1">
        <w:r>
          <w:rPr>
            <w:color w:val="0A3A8C"/>
            <w:u w:val="single"/>
          </w:rPr>
          <w:t xml:space="preserve">§§ 114</w:t>
        </w:r>
      </w:hyperlink>
      <w:r>
        <w:t xml:space="preserve"> bis </w:t>
      </w:r>
      <w:hyperlink w:anchor="b182" w:history="1">
        <w:r>
          <w:rPr>
            <w:color w:val="0A3A8C"/>
            <w:u w:val="single"/>
          </w:rPr>
          <w:t xml:space="preserve">117</w:t>
        </w:r>
      </w:hyperlink>
      <w:r>
        <w:t xml:space="preserve"> a des Bewertungsgesetzes) und der Wert der Schulden und sonstigen Abzüge (§ 118 des Bewertungsgesetzes), wenn die Wirtschaftsgüter, Schulden und sonstigen Abzüge mehreren Personen zuzurechnen sind und die Feststellungen für die Besteuerung von Bedeutung sind.</w:t>
      </w:r>
    </w:p>
    <w:p>
      <w:r>
        <w:rPr>
          <w:rStyle w:val="Satznummer"/>
        </w:rPr>
        <w:t>2</w:t>
      </w:r>
      <w:r>
        <w:t xml:space="preserve">Wenn sich in den Fällen von Satz 1 Nummer 2 Buchstabe b die für die örtliche Zuständigkeit maßgeblichen Verhältnisse nach Schluss des Gewinnermittlungszeitraums geändert haben, so richtet sich die örtliche Zuständigkeit auch für Feststellungszeiträume, die vor der Änderung der maßgeblichen Verhältnisse liegen, nach </w:t>
      </w:r>
      <w:hyperlink w:anchor="b24" w:history="1">
        <w:r>
          <w:rPr>
            <w:color w:val="0A3A8C"/>
            <w:u w:val="single"/>
          </w:rPr>
          <w:t xml:space="preserve">§ 18</w:t>
        </w:r>
      </w:hyperlink>
      <w:r>
        <w:t xml:space="preserve"> Absatz 1 Nummer 1 bis 3 in Verbindung mit </w:t>
      </w:r>
      <w:hyperlink w:anchor="b34" w:history="1">
        <w:r>
          <w:rPr>
            <w:color w:val="0A3A8C"/>
            <w:u w:val="single"/>
          </w:rPr>
          <w:t xml:space="preserve">§ 26</w:t>
        </w:r>
      </w:hyperlink>
      <w:r>
        <w:t>.</w:t>
      </w:r>
    </w:p>
    <w:p>
      <w:r>
        <w:t xml:space="preserve">(1a) </w:t>
      </w:r>
      <w:r>
        <w:rPr>
          <w:rStyle w:val="Satznummer"/>
        </w:rPr>
        <w:t>1</w:t>
      </w:r>
      <w:r>
        <w:t xml:space="preserve">Einzelne, im Rahmen einer Außenprüfung für den Prüfungszeitraum ermittelte und abgrenzbare Besteuerungsgrundlagen können gesondert festgestellt werden (Teilabschlussbescheid), solange noch kein Prüfungsbericht nach </w:t>
      </w:r>
      <w:hyperlink w:anchor="b326" w:history="1">
        <w:r>
          <w:rPr>
            <w:color w:val="0A3A8C"/>
            <w:u w:val="single"/>
          </w:rPr>
          <w:t xml:space="preserve">§ 202</w:t>
        </w:r>
      </w:hyperlink>
      <w:r>
        <w:t xml:space="preserve"> Absatz 1 ergangen ist. </w:t>
      </w:r>
      <w:r>
        <w:rPr>
          <w:rStyle w:val="Satznummer"/>
        </w:rPr>
        <w:t>2</w:t>
      </w:r>
      <w:r>
        <w:t>Auf Antrag des Steuerpflichtigen soll ein Teilabschlussbescheid ergehen, wenn daran ein erhebliches Interesse besteht und dies vom Steuerpflichtigen glaubhaft gemacht wird.</w:t>
      </w:r>
    </w:p>
    <w:p>
      <w:r>
        <w:t xml:space="preserve">(2) </w:t>
      </w:r>
      <w:r>
        <w:rPr>
          <w:rStyle w:val="Satznummer"/>
        </w:rPr>
        <w:t>1</w:t>
      </w:r>
      <w:r>
        <w:t xml:space="preserve">Zur Sicherstellung einer einheitlichen Rechtsanwendung bei gleichen Sachverhalten und zur Erleichterung des Besteuerungsverfahrens kann das Bundesministerium der Finanzen durch Rechtsverordnung mit Zustimmung des Bundesrates bestimmen, dass in anderen als den in Absatz 1 genannten Fällen Besteuerungsgrundlagen gesondert und für mehrere Personen einheitlich festgestellt werden. </w:t>
      </w:r>
      <w:r>
        <w:rPr>
          <w:rStyle w:val="Satznummer"/>
        </w:rPr>
        <w:t>2</w:t>
      </w:r>
      <w:r>
        <w:t>Dabei können insbesondere geregelt werden</w:t>
      </w:r>
    </w:p>
    <w:p>
      <w:pPr>
        <w:tabs>
          <w:tab w:pos="567" w:val="left"/>
        </w:tabs>
        <w:ind w:left="567" w:hanging="567"/>
      </w:pPr>
      <w:r>
        <w:t>1.</w:t>
      </w:r>
      <w:r>
        <w:tab/>
      </w:r>
      <w:r>
        <w:t>der Gegenstand und der Umfang der gesonderten Feststellung,</w:t>
      </w:r>
    </w:p>
    <w:p>
      <w:pPr>
        <w:tabs>
          <w:tab w:pos="567" w:val="left"/>
        </w:tabs>
        <w:ind w:left="567" w:hanging="567"/>
      </w:pPr>
      <w:r>
        <w:t>2.</w:t>
      </w:r>
      <w:r>
        <w:tab/>
      </w:r>
      <w:r>
        <w:t>die Voraussetzungen für das Feststellungsverfahren,</w:t>
      </w:r>
    </w:p>
    <w:p>
      <w:pPr>
        <w:tabs>
          <w:tab w:pos="567" w:val="left"/>
        </w:tabs>
        <w:ind w:left="567" w:hanging="567"/>
      </w:pPr>
      <w:r>
        <w:t>3.</w:t>
      </w:r>
      <w:r>
        <w:tab/>
      </w:r>
      <w:r>
        <w:t>die örtliche Zuständigkeit der Finanzbehörden,</w:t>
      </w:r>
    </w:p>
    <w:p>
      <w:pPr>
        <w:tabs>
          <w:tab w:pos="567" w:val="left"/>
        </w:tabs>
        <w:ind w:left="567" w:hanging="567"/>
      </w:pPr>
      <w:r>
        <w:t>4.</w:t>
      </w:r>
      <w:r>
        <w:tab/>
      </w:r>
      <w:r>
        <w:t>die Bestimmung der am Feststellungsverfahren beteiligten Personen (Verfahrensbeteiligte) und der Umfang ihrer steuerlichen Pflichten und Rechte einschließlich der Vertretung Beteiligter durch andere Beteiligte,</w:t>
      </w:r>
    </w:p>
    <w:p>
      <w:pPr>
        <w:tabs>
          <w:tab w:pos="567" w:val="left"/>
        </w:tabs>
        <w:ind w:left="567" w:hanging="567"/>
      </w:pPr>
      <w:r>
        <w:t>5.</w:t>
      </w:r>
      <w:r>
        <w:tab/>
      </w:r>
      <w:r>
        <w:t>die Bekanntgabe von Verwaltungsakten an die Verfahrensbeteiligten und Empfangsbevollmächtigte,</w:t>
      </w:r>
    </w:p>
    <w:p>
      <w:pPr>
        <w:tabs>
          <w:tab w:pos="567" w:val="left"/>
        </w:tabs>
        <w:ind w:left="567" w:hanging="567"/>
      </w:pPr>
      <w:r>
        <w:t>6.</w:t>
      </w:r>
      <w:r>
        <w:tab/>
      </w:r>
      <w:r>
        <w:t>die Zulässigkeit, der Umfang und die Durchführung von Außenprüfungen zur Ermittlung der Besteuerungsgrundlagen.</w:t>
      </w:r>
    </w:p>
    <w:p>
      <w:r>
        <w:rPr>
          <w:rStyle w:val="Satznummer"/>
        </w:rPr>
        <w:t>3</w:t>
      </w:r>
      <w:r>
        <w:t xml:space="preserve">Durch Rechtsverordnung kann das Bundesministerium der Finanzen mit Zustimmung des Bundesrates bestimmen, dass Besteuerungsgrundlagen, die sich erst später auswirken, zur Sicherung der späteren zutreffenden Besteuerung gesondert und für mehrere Personen einheitlich festgestellt werden; Satz 2 gilt entsprechend. </w:t>
      </w:r>
      <w:r>
        <w:rPr>
          <w:rStyle w:val="Satznummer"/>
        </w:rPr>
        <w:t>4</w:t>
      </w:r>
      <w:r>
        <w:t>Die Rechtsverordnungen bedürfen nicht der Zustimmung des Bundesrates, soweit sie Einfuhr- und Ausfuhrabgaben und Verbrauchsteuern, mit Ausnahme der Biersteuer, betreffen.</w:t>
      </w:r>
    </w:p>
    <w:p>
      <w:r>
        <w:t xml:space="preserve">(3) </w:t>
      </w:r>
      <w:r>
        <w:rPr>
          <w:rStyle w:val="Satznummer"/>
        </w:rPr>
        <w:t>1</w:t>
      </w:r>
      <w:r>
        <w:t>Absatz 1 Satz 1 Nummer 2 Buchstabe a gilt nicht, wenn</w:t>
      </w:r>
    </w:p>
    <w:p>
      <w:pPr>
        <w:tabs>
          <w:tab w:pos="567" w:val="left"/>
        </w:tabs>
        <w:ind w:left="567" w:hanging="567"/>
      </w:pPr>
      <w:r>
        <w:t>1.</w:t>
      </w:r>
      <w:r>
        <w:tab/>
      </w:r>
      <w:r>
        <w:t>nur eine der an den Einkünften beteiligten Personen mit ihren Einkünften im Geltungsbereich dieses Gesetzes einkommensteuerpflichtig oder körperschaftsteuerpflichtig ist oder</w:t>
      </w:r>
    </w:p>
    <w:p>
      <w:pPr>
        <w:tabs>
          <w:tab w:pos="567" w:val="left"/>
        </w:tabs>
        <w:ind w:left="567" w:hanging="567"/>
      </w:pPr>
      <w:r>
        <w:t>2.</w:t>
      </w:r>
      <w:r>
        <w:tab/>
      </w:r>
      <w:r>
        <w:t>es sich um einen Fall von geringer Bedeutung handelt, insbesondere weil die Höhe des festgestellten Betrags und die Aufteilung feststehen; dies gilt sinngemäß auch für die Fälle des Absatzes 1 Satz 1 Nummer 2 Buchstabe b und Nummer 3.</w:t>
      </w:r>
    </w:p>
    <w:p>
      <w:r>
        <w:rPr>
          <w:rStyle w:val="Satznummer"/>
        </w:rPr>
        <w:t>2</w:t>
      </w:r>
      <w:r>
        <w:t xml:space="preserve">Das nach </w:t>
      </w:r>
      <w:hyperlink w:anchor="b24" w:history="1">
        <w:r>
          <w:rPr>
            <w:color w:val="0A3A8C"/>
            <w:u w:val="single"/>
          </w:rPr>
          <w:t xml:space="preserve">§ 18</w:t>
        </w:r>
      </w:hyperlink>
      <w:r>
        <w:t xml:space="preserve"> Absatz 1 Nummer 4 zuständige Finanzamt kann durch Bescheid feststellen, dass eine gesonderte Feststellung nicht durchzuführen ist. </w:t>
      </w:r>
      <w:r>
        <w:rPr>
          <w:rStyle w:val="Satznummer"/>
        </w:rPr>
        <w:t>3</w:t>
      </w:r>
      <w:r>
        <w:t>Der Bescheid gilt als Steuerbescheid.</w:t>
      </w:r>
    </w:p>
    <w:p>
      <w:r>
        <w:t>(4) Absatz 1 Satz 1 Nummer 2 Buchstabe a gilt ferner nicht für Arbeitsgemeinschaften, deren alleiniger Zweck in der Erfüllung eines einzigen Werkvertrages oder Werklieferungsvertrages besteht.</w:t>
      </w:r>
    </w:p>
    <w:p>
      <w:r>
        <w:t>(5) Absatz 1 Satz 1 Nummer 2 sowie die Absätze 2 und 3 sind entsprechend anzuwenden, soweit</w:t>
      </w:r>
    </w:p>
    <w:p>
      <w:pPr>
        <w:tabs>
          <w:tab w:pos="567" w:val="left"/>
        </w:tabs>
        <w:ind w:left="567" w:hanging="567"/>
      </w:pPr>
      <w:r>
        <w:t>1.</w:t>
      </w:r>
      <w:r>
        <w:tab/>
      </w:r>
      <w:r>
        <w:t>die nach einem Abkommen zur Vermeidung der Doppelbesteuerung von der Bemessungsgrundlage ausgenommenen Einkünfte bei der Festsetzung der Steuern der beteiligten Personen von Bedeutung sind oder</w:t>
      </w:r>
    </w:p>
    <w:p>
      <w:pPr>
        <w:tabs>
          <w:tab w:pos="567" w:val="left"/>
        </w:tabs>
        <w:ind w:left="567" w:hanging="567"/>
      </w:pPr>
      <w:r>
        <w:t>2.</w:t>
      </w:r>
      <w:r>
        <w:tab/>
      </w:r>
      <w:r>
        <w:t>Steuerabzugsbeträge und Körperschaftsteuer auf die festgesetzte Steuer anzurechnen sind.</w:t>
      </w:r>
    </w:p>
    <w:p>
      <w:pPr>
        <w:pStyle w:val="Heading5"/>
      </w:pPr>
      <w:bookmarkStart w:id="301" w:name="b298"/>
      <w:r>
        <w:t>§ 181 Verfahrensvorschriften für die gesonderte Feststellung, Feststellungsfrist, Erklärungspflicht</w:t>
      </w:r>
      <w:r>
        <w:t xml:space="preserve"> </w:t>
      </w:r>
      <w:r>
        <w:rPr>
          <w:rStyle w:val="Suchmarke"/>
        </w:rPr>
        <w:t>#181#</w:t>
      </w:r>
      <w:bookmarkEnd w:id="301"/>
    </w:p>
    <w:p>
      <w:r>
        <w:t xml:space="preserve">(1) </w:t>
      </w:r>
      <w:r>
        <w:rPr>
          <w:rStyle w:val="Satznummer"/>
        </w:rPr>
        <w:t>1</w:t>
      </w:r>
      <w:r>
        <w:t xml:space="preserve">Für die gesonderte Feststellung gelten die Vorschriften über die Durchführung der Besteuerung sinngemäß. </w:t>
      </w:r>
      <w:r>
        <w:rPr>
          <w:rStyle w:val="Satznummer"/>
        </w:rPr>
        <w:t>2</w:t>
      </w:r>
      <w:r>
        <w:t xml:space="preserve">Steuererklärung im Sinne des </w:t>
      </w:r>
      <w:hyperlink w:anchor="b280" w:history="1">
        <w:r>
          <w:rPr>
            <w:color w:val="0A3A8C"/>
            <w:u w:val="single"/>
          </w:rPr>
          <w:t xml:space="preserve">§ 170</w:t>
        </w:r>
      </w:hyperlink>
      <w:r>
        <w:t xml:space="preserve"> Absatz 2 Satz 1 Nummer 1 ist die Erklärung zur gesonderten Feststellung. </w:t>
      </w:r>
      <w:r>
        <w:rPr>
          <w:rStyle w:val="Satznummer"/>
        </w:rPr>
        <w:t>3</w:t>
      </w:r>
      <w:r>
        <w:t xml:space="preserve">Wird eine Erklärung zur gesonderten Feststellung nach </w:t>
      </w:r>
      <w:hyperlink w:anchor="b297" w:history="1">
        <w:r>
          <w:rPr>
            <w:color w:val="0A3A8C"/>
            <w:u w:val="single"/>
          </w:rPr>
          <w:t xml:space="preserve">§ 180</w:t>
        </w:r>
      </w:hyperlink>
      <w:r>
        <w:t xml:space="preserve"> Absatz 2 ohne Aufforderung durch die Finanzbehörde abgegeben, gilt </w:t>
      </w:r>
      <w:hyperlink w:anchor="b280" w:history="1">
        <w:r>
          <w:rPr>
            <w:color w:val="0A3A8C"/>
            <w:u w:val="single"/>
          </w:rPr>
          <w:t xml:space="preserve">§ 170</w:t>
        </w:r>
      </w:hyperlink>
      <w:r>
        <w:t xml:space="preserve"> Absatz 3 sinngemäß. </w:t>
      </w:r>
      <w:r>
        <w:rPr>
          <w:rStyle w:val="Satznummer"/>
        </w:rPr>
        <w:t>4</w:t>
      </w:r>
      <w:r>
        <w:t xml:space="preserve">In den Fällen des </w:t>
      </w:r>
      <w:hyperlink w:anchor="b297" w:history="1">
        <w:r>
          <w:rPr>
            <w:color w:val="0A3A8C"/>
            <w:u w:val="single"/>
          </w:rPr>
          <w:t xml:space="preserve">§ 180</w:t>
        </w:r>
      </w:hyperlink>
      <w:r>
        <w:t xml:space="preserve"> Absatz 1a ist keine Erklärung zur gesonderten Feststellung abzugeben; als Steuererklärung nach </w:t>
      </w:r>
      <w:hyperlink w:anchor="b280" w:history="1">
        <w:r>
          <w:rPr>
            <w:color w:val="0A3A8C"/>
            <w:u w:val="single"/>
          </w:rPr>
          <w:t xml:space="preserve">§ 170</w:t>
        </w:r>
      </w:hyperlink>
      <w:r>
        <w:t xml:space="preserve"> Absatz 2 Satz 1 Nummer 1 gilt in diesem Fall die Steuererklärung, für deren Besteuerungszeitraum der Teilabschlussbescheid unmittelbar Bindungswirkung entfaltet.</w:t>
      </w:r>
    </w:p>
    <w:p>
      <w:r>
        <w:t xml:space="preserve">(2) </w:t>
      </w:r>
      <w:r>
        <w:rPr>
          <w:rStyle w:val="Satznummer"/>
        </w:rPr>
        <w:t>1</w:t>
      </w:r>
      <w:r>
        <w:t xml:space="preserve">Eine Erklärung zur gesonderten Feststellung hat derjenige abzugeben, dem der Gegenstand der Feststellung ganz oder teilweise zuzurechnen ist. </w:t>
      </w:r>
      <w:r>
        <w:rPr>
          <w:rStyle w:val="Satznummer"/>
        </w:rPr>
        <w:t>2</w:t>
      </w:r>
      <w:r>
        <w:t>Erklärungspflichtig sind insbesondere</w:t>
      </w:r>
    </w:p>
    <w:p>
      <w:pPr>
        <w:tabs>
          <w:tab w:pos="567" w:val="left"/>
        </w:tabs>
        <w:ind w:left="567" w:hanging="567"/>
      </w:pPr>
      <w:r>
        <w:t>1.</w:t>
      </w:r>
      <w:r>
        <w:tab/>
      </w:r>
      <w:r>
        <w:t>in den Fällen des § 180 Absatz 1 Satz 1 Nummer 2 Buchstabe a</w:t>
      </w:r>
    </w:p>
    <w:p>
      <w:pPr>
        <w:tabs>
          <w:tab w:pos="1134" w:val="left"/>
        </w:tabs>
        <w:ind w:left="1134" w:hanging="567"/>
      </w:pPr>
      <w:r>
        <w:t>a)</w:t>
      </w:r>
      <w:r>
        <w:tab/>
      </w:r>
      <w:r>
        <w:t>bei rechtsfähigen Personenvereinigungen vorrangig die Personenvereinigung und nachrangig jeder Feststellungsbeteiligte, dem ein Anteil an den einkommensteuerpflichtigen oder körperschaftsteuerpflichtigen Einkünften zuzurechnen ist,</w:t>
      </w:r>
    </w:p>
    <w:p>
      <w:pPr>
        <w:tabs>
          <w:tab w:pos="1134" w:val="left"/>
        </w:tabs>
        <w:ind w:left="1134" w:hanging="567"/>
      </w:pPr>
      <w:r>
        <w:t>b)</w:t>
      </w:r>
      <w:r>
        <w:tab/>
      </w:r>
      <w:r>
        <w:t>bei nicht rechtsfähigen Personenvereinigungen und in sonstigen Fällen jeder Feststellungsbeteiligte, dem ein Anteil an den einkommensteuerpflichtigen oder körperschaftsteuerpflichtigen Einkünften zuzurechnen ist;</w:t>
      </w:r>
    </w:p>
    <w:p>
      <w:pPr>
        <w:tabs>
          <w:tab w:pos="567" w:val="left"/>
        </w:tabs>
        <w:ind w:left="567" w:hanging="567"/>
      </w:pPr>
      <w:r>
        <w:t>2.</w:t>
      </w:r>
      <w:r>
        <w:tab/>
      </w:r>
      <w:r>
        <w:t>in den Fällen des § 180 Absatz 1 Satz 1 Nummer 2 Buchstabe b der Unternehmer;</w:t>
      </w:r>
    </w:p>
    <w:p>
      <w:pPr>
        <w:tabs>
          <w:tab w:pos="567" w:val="left"/>
        </w:tabs>
        <w:ind w:left="567" w:hanging="567"/>
      </w:pPr>
      <w:r>
        <w:t>3.</w:t>
      </w:r>
      <w:r>
        <w:tab/>
      </w:r>
      <w:r>
        <w:t xml:space="preserve">in den Fällen des </w:t>
      </w:r>
      <w:hyperlink w:anchor="b297" w:history="1">
        <w:r>
          <w:rPr>
            <w:color w:val="0A3A8C"/>
            <w:u w:val="single"/>
          </w:rPr>
          <w:t xml:space="preserve">§ 180</w:t>
        </w:r>
      </w:hyperlink>
      <w:r>
        <w:t xml:space="preserve"> Absatz 1 Satz 1 Nummer 3 jeder Feststellungsbeteiligte, dem ein Anteil an den Wirtschaftsgütern, Schulden oder sonstigen Abzügen zuzurechnen ist;</w:t>
      </w:r>
    </w:p>
    <w:p>
      <w:pPr>
        <w:tabs>
          <w:tab w:pos="567" w:val="left"/>
        </w:tabs>
        <w:ind w:left="567" w:hanging="567"/>
      </w:pPr>
      <w:r>
        <w:t>4.</w:t>
      </w:r>
      <w:r>
        <w:tab/>
      </w:r>
      <w:r>
        <w:t xml:space="preserve">in den Fällen des § 180 Absatz 1 Satz 1 Nummer 2 Buchstabe a und Nummer 3 bei nicht rechtsfähigen Personenvereinigungen auch die in </w:t>
      </w:r>
      <w:hyperlink w:anchor="b64" w:history="1">
        <w:r>
          <w:rPr>
            <w:color w:val="0A3A8C"/>
            <w:u w:val="single"/>
          </w:rPr>
          <w:t xml:space="preserve">§ 34</w:t>
        </w:r>
      </w:hyperlink>
      <w:r>
        <w:t xml:space="preserve"> bezeichneten Personen.</w:t>
      </w:r>
    </w:p>
    <w:p>
      <w:r>
        <w:rPr>
          <w:rStyle w:val="Satznummer"/>
        </w:rPr>
        <w:t>3</w:t>
      </w:r>
      <w:r>
        <w:t>Hat ein Erklärungspflichtiger eine Erklärung zur gesonderten Feststellung abgegeben, sind andere Beteiligte insoweit von der Erklärungspflicht befreit.</w:t>
      </w:r>
    </w:p>
    <w:p>
      <w:r>
        <w:t xml:space="preserve">(2a) </w:t>
      </w:r>
      <w:r>
        <w:rPr>
          <w:rStyle w:val="Satznummer"/>
        </w:rPr>
        <w:t>1</w:t>
      </w:r>
      <w:r>
        <w:t xml:space="preserve">Die Erklärung zur gesonderten Feststellung nach </w:t>
      </w:r>
      <w:hyperlink w:anchor="b297" w:history="1">
        <w:r>
          <w:rPr>
            <w:color w:val="0A3A8C"/>
            <w:u w:val="single"/>
          </w:rPr>
          <w:t xml:space="preserve">§ 180</w:t>
        </w:r>
      </w:hyperlink>
      <w:r>
        <w:t xml:space="preserve"> Absatz 1 Satz 1 Nummer 2 ist nach amtlich vorgeschriebenem Datensatz durch Datenfernübertragung zu übermitteln. </w:t>
      </w:r>
      <w:r>
        <w:rPr>
          <w:rStyle w:val="Satznummer"/>
        </w:rPr>
        <w:t>2</w:t>
      </w:r>
      <w:r>
        <w:t>Auf Antrag kann die Finanzbehörde zur Vermeidung unbilliger Härten auf eine elektronische Übermittlung verzichten; in diesem Fall ist die Erklärung zur gesonderten Feststellung nach amtlich vorgeschriebenem Vordruck abzugeben und vom Erklärungspflichtigen eigenhändig zu unterschreiben.</w:t>
      </w:r>
    </w:p>
    <w:p>
      <w:r>
        <w:t xml:space="preserve">(3) </w:t>
      </w:r>
      <w:r>
        <w:rPr>
          <w:rStyle w:val="Satznummer"/>
        </w:rPr>
        <w:t>1</w:t>
      </w:r>
      <w:r>
        <w:t xml:space="preserve">Die Frist für die gesonderte Feststellung von Grundsteuerwerten (Feststellungsfrist) beginnt mit Ablauf des Kalenderjahres, auf dessen Beginn die Hauptfeststellung, die Fortschreibung, die Nachfeststellung oder die Aufhebung eines Grundsteuerwerts vorzunehmen ist. </w:t>
      </w:r>
      <w:r>
        <w:rPr>
          <w:rStyle w:val="Satznummer"/>
        </w:rPr>
        <w:t>2</w:t>
      </w:r>
      <w:r>
        <w:t xml:space="preserve">Ist eine Erklärung zur gesonderten Feststellung des Grundsteuerwerts abzugeben, beginnt die Feststellungsfrist mit Ablauf des Kalenderjahres, in dem die Erklärung eingereicht wird, spätestens jedoch mit Ablauf des dritten Kalenderjahres, das auf das Kalenderjahr folgt, auf dessen Beginn die Grundsteuerwertfeststellung vorzunehmen oder aufzuheben ist. </w:t>
      </w:r>
      <w:r>
        <w:rPr>
          <w:rStyle w:val="Satznummer"/>
        </w:rPr>
        <w:t>3</w:t>
      </w:r>
      <w:r>
        <w:t>Wird der Beginn der Feststellungsfrist nach Satz 2 hinausgeschoben, wird der Beginn der Feststellungsfrist für die weiteren Feststellungszeitpunkte des Hauptfeststellungszeitraums jeweils um die gleiche Zeit hinausgeschoben.</w:t>
      </w:r>
    </w:p>
    <w:p>
      <w:r>
        <w:t>(4) In den Fällen des Absatzes 3 beginnt die Feststellungsfrist nicht vor Ablauf des Kalenderjahrs, auf dessen Beginn der Grundsteuerwert erstmals steuerlich anzuwenden ist.</w:t>
      </w:r>
    </w:p>
    <w:p>
      <w:r>
        <w:t xml:space="preserve">(5) </w:t>
      </w:r>
      <w:r>
        <w:rPr>
          <w:rStyle w:val="Satznummer"/>
        </w:rPr>
        <w:t>1</w:t>
      </w:r>
      <w:r>
        <w:t xml:space="preserve">Eine gesonderte Feststellung kann auch nach Ablauf der für sie geltenden Feststellungsfrist insoweit erfolgen, als die gesonderte Feststellung für eine Steuerfestsetzung von Bedeutung ist, für die die Festsetzungsfrist im Zeitpunkt der gesonderten Feststellung noch nicht abgelaufen ist; hierbei bleibt </w:t>
      </w:r>
      <w:hyperlink w:anchor="b281" w:history="1">
        <w:r>
          <w:rPr>
            <w:color w:val="0A3A8C"/>
            <w:u w:val="single"/>
          </w:rPr>
          <w:t xml:space="preserve">§ 171</w:t>
        </w:r>
      </w:hyperlink>
      <w:r>
        <w:t xml:space="preserve"> Absatz 10 außer Betracht. </w:t>
      </w:r>
      <w:r>
        <w:rPr>
          <w:rStyle w:val="Satznummer"/>
        </w:rPr>
        <w:t>2</w:t>
      </w:r>
      <w:r>
        <w:t xml:space="preserve">Hierauf ist im Feststellungsbescheid hinzuweisen. </w:t>
      </w:r>
      <w:r>
        <w:rPr>
          <w:rStyle w:val="Satznummer"/>
        </w:rPr>
        <w:t>3</w:t>
      </w:r>
      <w:hyperlink w:anchor="b279" w:history="1">
        <w:r>
          <w:rPr>
            <w:color w:val="0A3A8C"/>
            <w:u w:val="single"/>
          </w:rPr>
          <w:t xml:space="preserve">§ 169</w:t>
        </w:r>
      </w:hyperlink>
      <w:r>
        <w:t xml:space="preserve"> Absatz 1 Satz 3 gilt sinngemäß.</w:t>
      </w:r>
    </w:p>
    <w:p>
      <w:pPr>
        <w:pStyle w:val="Heading5"/>
      </w:pPr>
      <w:bookmarkStart w:id="302" w:name="b299"/>
      <w:r>
        <w:t>§ 182 Wirkungen der gesonderten Feststellung</w:t>
      </w:r>
      <w:r>
        <w:t xml:space="preserve"> </w:t>
      </w:r>
      <w:r>
        <w:rPr>
          <w:rStyle w:val="Suchmarke"/>
        </w:rPr>
        <w:t>#182#</w:t>
      </w:r>
      <w:bookmarkEnd w:id="302"/>
    </w:p>
    <w:p>
      <w:r>
        <w:t xml:space="preserve">(1) </w:t>
      </w:r>
      <w:r>
        <w:rPr>
          <w:rStyle w:val="Satznummer"/>
        </w:rPr>
        <w:t>1</w:t>
      </w:r>
      <w:r>
        <w:t xml:space="preserve">Feststellungsbescheide sind, auch wenn sie noch nicht unanfechtbar sind, für andere Feststellungsbescheide, für Steuermessbescheide, für Steuerbescheide und für Steueranmeldungen (Folgebescheide) bindend, soweit die in den Feststellungsbescheiden getroffenen Feststellungen für diese Folgebescheide von Bedeutung sind. </w:t>
      </w:r>
      <w:r>
        <w:rPr>
          <w:rStyle w:val="Satznummer"/>
        </w:rPr>
        <w:t>2</w:t>
      </w:r>
      <w:r>
        <w:t xml:space="preserve">Dies gilt entsprechend bei Feststellungen nach </w:t>
      </w:r>
      <w:hyperlink w:anchor="b297" w:history="1">
        <w:r>
          <w:rPr>
            <w:color w:val="0A3A8C"/>
            <w:u w:val="single"/>
          </w:rPr>
          <w:t xml:space="preserve">§ 180</w:t>
        </w:r>
      </w:hyperlink>
      <w:r>
        <w:t xml:space="preserve"> Absatz 5 Nummer 2 für Verwaltungsakte, die die Verwirklichung der Ansprüche aus dem Steuerschuldverhältnis betreffen. </w:t>
      </w:r>
      <w:r>
        <w:rPr>
          <w:rStyle w:val="Satznummer"/>
        </w:rPr>
        <w:t>3</w:t>
      </w:r>
      <w:r>
        <w:t xml:space="preserve">Wird ein Feststellungsbescheid nach </w:t>
      </w:r>
      <w:hyperlink w:anchor="b297" w:history="1">
        <w:r>
          <w:rPr>
            <w:color w:val="0A3A8C"/>
            <w:u w:val="single"/>
          </w:rPr>
          <w:t xml:space="preserve">§ 180</w:t>
        </w:r>
      </w:hyperlink>
      <w:r>
        <w:t xml:space="preserve"> Absatz 5 Nummer 2 erlassen, aufgehoben oder geändert, ist ein Verwaltungsakt, für den dieser Feststellungsbescheid Bindungswirkung entfaltet, in entsprechender Anwendung des </w:t>
      </w:r>
      <w:hyperlink w:anchor="b287" w:history="1">
        <w:r>
          <w:rPr>
            <w:color w:val="0A3A8C"/>
            <w:u w:val="single"/>
          </w:rPr>
          <w:t xml:space="preserve">§ 175</w:t>
        </w:r>
      </w:hyperlink>
      <w:r>
        <w:t xml:space="preserve"> Absatz 1 Satz 1 Nummer 1 zu korrigieren.</w:t>
      </w:r>
    </w:p>
    <w:p>
      <w:r>
        <w:t xml:space="preserve">(2) </w:t>
      </w:r>
      <w:r>
        <w:rPr>
          <w:rStyle w:val="Satznummer"/>
        </w:rPr>
        <w:t>1</w:t>
      </w:r>
      <w:r>
        <w:t xml:space="preserve">Ein Feststellungsbescheid über einen Grundsteuerwert nach </w:t>
      </w:r>
      <w:hyperlink w:anchor="b297" w:history="1">
        <w:r>
          <w:rPr>
            <w:color w:val="0A3A8C"/>
            <w:u w:val="single"/>
          </w:rPr>
          <w:t xml:space="preserve">§ 180</w:t>
        </w:r>
      </w:hyperlink>
      <w:r>
        <w:t xml:space="preserve"> Absatz 1 Satz 1 Nummer 1 wirkt auch gegenüber dem Rechtsnachfolger, auf den der Gegenstand der Feststellung nach dem Feststellungszeitpunkt mit steuerlicher Wirkung übergeht. </w:t>
      </w:r>
      <w:r>
        <w:rPr>
          <w:rStyle w:val="Satznummer"/>
        </w:rPr>
        <w:t>2</w:t>
      </w:r>
      <w:r>
        <w:t xml:space="preserve">Tritt die Rechtsnachfolge jedoch ein, bevor der Feststellungsbescheid ergangen ist, so wirkt er gegen den Rechtsnachfolger nur dann, wenn er ihm bekannt gegeben wird. </w:t>
      </w:r>
      <w:r>
        <w:rPr>
          <w:rStyle w:val="Satznummer"/>
        </w:rPr>
        <w:t>3</w:t>
      </w:r>
      <w:r>
        <w:t>Die Sätze 1 und 2 gelten für gesonderte sowie gesonderte und einheitliche Feststellungen von Besteuerungsgrundlagen, die sich erst später auswirken, nach der Verordnung über die gesonderte Feststellung von Besteuerungsgrundlagen nach § 180 Abs. 2 der Abgabenordnung entsprechend.</w:t>
      </w:r>
    </w:p>
    <w:p>
      <w:r>
        <w:t xml:space="preserve">(3) Erfolgt eine gesonderte Feststellung gegenüber mehreren Beteiligten nach </w:t>
      </w:r>
      <w:hyperlink w:anchor="b296" w:history="1">
        <w:r>
          <w:rPr>
            <w:color w:val="0A3A8C"/>
            <w:u w:val="single"/>
          </w:rPr>
          <w:t xml:space="preserve">§ 179</w:t>
        </w:r>
      </w:hyperlink>
      <w:r>
        <w:t xml:space="preserve"> Absatz 2 Satz 2 einheitlich und ist ein Beteiligter im Feststellungsbescheid unrichtig bezeichnet worden, weil Rechtsnachfolge eingetreten ist, kann dies durch besonderen Bescheid gegenüber dem Rechtsnachfolger berichtigt werden.</w:t>
      </w:r>
    </w:p>
    <w:p>
      <w:pPr>
        <w:pStyle w:val="Heading5"/>
      </w:pPr>
      <w:bookmarkStart w:id="303" w:name="b300"/>
      <w:r>
        <w:t>§ 183 Bekanntgabe bei der gesonderten und einheitlichen Feststellung gegenüber rechtsfähigen Personenvereinigungen</w:t>
      </w:r>
      <w:r>
        <w:t xml:space="preserve"> </w:t>
      </w:r>
      <w:r>
        <w:rPr>
          <w:rStyle w:val="Suchmarke"/>
        </w:rPr>
        <w:t>#183#</w:t>
      </w:r>
      <w:bookmarkEnd w:id="303"/>
    </w:p>
    <w:p>
      <w:r>
        <w:t xml:space="preserve">(1) </w:t>
      </w:r>
      <w:r>
        <w:rPr>
          <w:rStyle w:val="Satznummer"/>
        </w:rPr>
        <w:t>1</w:t>
      </w:r>
      <w:r>
        <w:t xml:space="preserve">Sind mehrere Personen am Gegenstand der gesonderten und einheitlichen Feststellung als Gesellschafter oder Gemeinschafter beteiligt (Feststellungsbeteiligte) und bilden sie eine rechtsfähige Personenvereinigung, sind alle Verwaltungsakte und Mitteilungen, die nach diesem Gesetz und den Steuergesetzen mit der gesonderten und einheitlichen Feststellung zusammenhängen, der Personenvereinigung in Vertretung der Feststellungsbeteiligten bekannt zu geben. </w:t>
      </w:r>
      <w:r>
        <w:rPr>
          <w:rStyle w:val="Satznummer"/>
        </w:rPr>
        <w:t>2</w:t>
      </w:r>
      <w:r>
        <w:t>Bei der Bekanntgabe ist darauf hinzuweisen, dass die Bekanntgabe mit Wirkung für und gegen alle Feststellungsbeteiligten erfolgt.</w:t>
      </w:r>
    </w:p>
    <w:p>
      <w:r>
        <w:t xml:space="preserve">(2) </w:t>
      </w:r>
      <w:r>
        <w:rPr>
          <w:rStyle w:val="Satznummer"/>
        </w:rPr>
        <w:t>1</w:t>
      </w:r>
      <w:r>
        <w:t>Absatz 1 ist nicht anzuwenden,</w:t>
      </w:r>
    </w:p>
    <w:p>
      <w:pPr>
        <w:tabs>
          <w:tab w:pos="567" w:val="left"/>
        </w:tabs>
        <w:ind w:left="567" w:hanging="567"/>
      </w:pPr>
      <w:r>
        <w:t>1.</w:t>
      </w:r>
      <w:r>
        <w:tab/>
      </w:r>
      <w:r>
        <w:t>wenn die Personenvereinigung vollbeendet ist oder der Finanzbehörde bekannt ist, dass die Personenvereinigung nicht mehr rechtsfähig ist, oder</w:t>
      </w:r>
    </w:p>
    <w:p>
      <w:pPr>
        <w:tabs>
          <w:tab w:pos="567" w:val="left"/>
        </w:tabs>
        <w:ind w:left="567" w:hanging="567"/>
      </w:pPr>
      <w:r>
        <w:t>2.</w:t>
      </w:r>
      <w:r>
        <w:tab/>
      </w:r>
      <w:r>
        <w:t>soweit ein Feststellungsbeteiligter aus der Personenvereinigung ausgeschieden ist oder zwischen den Feststellungsbeteiligten ernstliche Meinungsverschiedenheiten bestehen.</w:t>
      </w:r>
    </w:p>
    <w:p>
      <w:r>
        <w:rPr>
          <w:rStyle w:val="Satznummer"/>
        </w:rPr>
        <w:t>2</w:t>
      </w:r>
      <w:r>
        <w:t xml:space="preserve">In den Fällen von Satz 1 Nummer 2 können die in Absatz 1 Satz 1 genannten Verwaltungsakte und Mitteilungen der Personenvereinigung auch mit Wirkung für und gegen einen in Satz 1 Nummer 2 genannten Feststellungsbeteiligten bekannt gegeben werden, soweit und solange dieser Feststellungsbeteiligte dem nicht widersprochen hat. </w:t>
      </w:r>
      <w:r>
        <w:rPr>
          <w:rStyle w:val="Satznummer"/>
        </w:rPr>
        <w:t>3</w:t>
      </w:r>
      <w:r>
        <w:t>Ein Widerspruch nach Satz 2 wird der Finanzbehörde gegenüber erst wirksam, wenn er ihr zugeht.</w:t>
      </w:r>
    </w:p>
    <w:p>
      <w:r>
        <w:t xml:space="preserve">(3) </w:t>
      </w:r>
      <w:r>
        <w:rPr>
          <w:rStyle w:val="Satznummer"/>
        </w:rPr>
        <w:t>1</w:t>
      </w:r>
      <w:r>
        <w:t>Ist nach Absatz 2 Satz 1 Einzelbekanntgabe erforderlich, so sind dem Feststellungsbeteiligten</w:t>
      </w:r>
    </w:p>
    <w:p>
      <w:pPr>
        <w:tabs>
          <w:tab w:pos="567" w:val="left"/>
        </w:tabs>
        <w:ind w:left="567" w:hanging="567"/>
      </w:pPr>
      <w:r>
        <w:t>1.</w:t>
      </w:r>
      <w:r>
        <w:tab/>
      </w:r>
      <w:r>
        <w:t>der Gegenstand der gesonderten und einheitlichen Feststellung,</w:t>
      </w:r>
    </w:p>
    <w:p>
      <w:pPr>
        <w:tabs>
          <w:tab w:pos="567" w:val="left"/>
        </w:tabs>
        <w:ind w:left="567" w:hanging="567"/>
      </w:pPr>
      <w:r>
        <w:t>2.</w:t>
      </w:r>
      <w:r>
        <w:tab/>
      </w:r>
      <w:r>
        <w:t>die alle Feststellungsbeteiligten betreffenden Besteuerungsgrundlagen,</w:t>
      </w:r>
    </w:p>
    <w:p>
      <w:pPr>
        <w:tabs>
          <w:tab w:pos="567" w:val="left"/>
        </w:tabs>
        <w:ind w:left="567" w:hanging="567"/>
      </w:pPr>
      <w:r>
        <w:t>3.</w:t>
      </w:r>
      <w:r>
        <w:tab/>
      </w:r>
      <w:r>
        <w:t>sein Anteil,</w:t>
      </w:r>
    </w:p>
    <w:p>
      <w:pPr>
        <w:tabs>
          <w:tab w:pos="567" w:val="left"/>
        </w:tabs>
        <w:ind w:left="567" w:hanging="567"/>
      </w:pPr>
      <w:r>
        <w:t>4.</w:t>
      </w:r>
      <w:r>
        <w:tab/>
      </w:r>
      <w:r>
        <w:t>die Zahl der Feststellungsbeteiligten und</w:t>
      </w:r>
    </w:p>
    <w:p>
      <w:pPr>
        <w:tabs>
          <w:tab w:pos="567" w:val="left"/>
        </w:tabs>
        <w:ind w:left="567" w:hanging="567"/>
      </w:pPr>
      <w:r>
        <w:t>5.</w:t>
      </w:r>
      <w:r>
        <w:tab/>
      </w:r>
      <w:r>
        <w:t>die ihn persönlich betreffenden Besteuerungsgrundlagen</w:t>
      </w:r>
    </w:p>
    <w:p>
      <w:r>
        <w:t xml:space="preserve">bekannt zu geben. </w:t>
      </w:r>
      <w:r>
        <w:rPr>
          <w:rStyle w:val="Satznummer"/>
        </w:rPr>
        <w:t>2</w:t>
      </w:r>
      <w:r>
        <w:t>Bei berechtigtem Interesse ist dem Feststellungsbeteiligten der gesamte Inhalt des Feststellungsbescheids mitzuteilen.</w:t>
      </w:r>
    </w:p>
    <w:p>
      <w:pPr>
        <w:pStyle w:val="Heading5"/>
      </w:pPr>
      <w:bookmarkStart w:id="304" w:name="b301"/>
      <w:r>
        <w:t>§ 183a Empfangsbevollmächtigte bei der gesonderten und einheitlichen Feststellung bei nicht rechtsfähigen Personenvereinigungen und in sonstigen Fällen</w:t>
      </w:r>
      <w:r>
        <w:t xml:space="preserve"> </w:t>
      </w:r>
      <w:r>
        <w:rPr>
          <w:rStyle w:val="Suchmarke"/>
        </w:rPr>
        <w:t>#183a#</w:t>
      </w:r>
      <w:bookmarkEnd w:id="304"/>
    </w:p>
    <w:p>
      <w:r>
        <w:t xml:space="preserve">(1) </w:t>
      </w:r>
      <w:r>
        <w:rPr>
          <w:rStyle w:val="Satznummer"/>
        </w:rPr>
        <w:t>1</w:t>
      </w:r>
      <w:r>
        <w:t xml:space="preserve">Bilden die Feststellungsbeteiligten keine rechtsfähige Personenvereinigung, so sollen sie einen gemeinsamen Empfangsbevollmächtigten bestellen, der ermächtigt ist, für sie alle Verwaltungsakte und Mitteilungen in Empfang zu nehmen, die nach diesem Gesetz und den Steuergesetzen mit der gesonderten und einheitlichen Feststellung zusammenhängen. </w:t>
      </w:r>
      <w:r>
        <w:rPr>
          <w:rStyle w:val="Satznummer"/>
        </w:rPr>
        <w:t>2</w:t>
      </w:r>
      <w:r>
        <w:t xml:space="preserve">Ist kein gemeinsamer Empfangsbevollmächtigter nach Satz 1 vorhanden, kann die Finanzbehörde die Feststellungsbeteiligten auffordern, innerhalb einer bestimmten angemessenen Frist einen Empfangsbevollmächtigten zu benennen. </w:t>
      </w:r>
      <w:r>
        <w:rPr>
          <w:rStyle w:val="Satznummer"/>
        </w:rPr>
        <w:t>3</w:t>
      </w:r>
      <w:r>
        <w:t xml:space="preserve">Hierbei ist ein Feststellungsbeteiligter vorzuschlagen und darauf hinzuweisen, dass diesem die in Satz 1 genannten Verwaltungsakte und Mitteilungen mit Wirkung für und gegen alle Feststellungsbeteiligten bekannt gegeben werden, soweit nicht ein anderer Empfangsbevollmächtigter benannt wird. </w:t>
      </w:r>
      <w:r>
        <w:rPr>
          <w:rStyle w:val="Satznummer"/>
        </w:rPr>
        <w:t>4</w:t>
      </w:r>
      <w:r>
        <w:t>Bei der Bekanntgabe an den Empfangsbevollmächtigten ist darauf hinzuweisen, dass die Bekanntgabe mit Wirkung für und gegen alle Feststellungsbeteiligten erfolgt.</w:t>
      </w:r>
    </w:p>
    <w:p>
      <w:r>
        <w:t xml:space="preserve">(2) </w:t>
      </w:r>
      <w:r>
        <w:rPr>
          <w:rStyle w:val="Satznummer"/>
        </w:rPr>
        <w:t>1</w:t>
      </w:r>
      <w:r>
        <w:t>Absatz 1 ist insoweit nicht anzuwenden, als der Finanzbehörde bekannt ist, dass</w:t>
      </w:r>
    </w:p>
    <w:p>
      <w:pPr>
        <w:tabs>
          <w:tab w:pos="567" w:val="left"/>
        </w:tabs>
        <w:ind w:left="567" w:hanging="567"/>
      </w:pPr>
      <w:r>
        <w:t>1.</w:t>
      </w:r>
      <w:r>
        <w:tab/>
      </w:r>
      <w:r>
        <w:t>die Personenvereinigung nicht mehr besteht oder rechtsfähig geworden ist,</w:t>
      </w:r>
    </w:p>
    <w:p>
      <w:pPr>
        <w:tabs>
          <w:tab w:pos="567" w:val="left"/>
        </w:tabs>
        <w:ind w:left="567" w:hanging="567"/>
      </w:pPr>
      <w:r>
        <w:t>2.</w:t>
      </w:r>
      <w:r>
        <w:tab/>
      </w:r>
      <w:r>
        <w:t>ein Feststellungsbeteiligter aus der Personenvereinigung ausgeschieden ist oder zwischen den Feststellungsbeteiligten ernstliche Meinungsverschiedenheiten bestehen.</w:t>
      </w:r>
    </w:p>
    <w:p>
      <w:r>
        <w:rPr>
          <w:rStyle w:val="Satznummer"/>
        </w:rPr>
        <w:t>2</w:t>
      </w:r>
      <w:r>
        <w:t xml:space="preserve">Ist ein Empfangsbevollmächtigter nach Absatz 1 Satz 1 vorhanden, können die in Absatz 1 Satz 1 genannten Verwaltungsakte und Mitteilungen ihm auch mit Wirkung für einen in Satz 1 Nummer 2 genannten Feststellungsbeteiligten bekannt gegeben werden, soweit und solange dieser Feststellungsbeteiligte oder der Empfangsbevollmächtigte nicht widersprochen hat. </w:t>
      </w:r>
      <w:r>
        <w:rPr>
          <w:rStyle w:val="Satznummer"/>
        </w:rPr>
        <w:t>3</w:t>
      </w:r>
      <w:r>
        <w:t>Ein Widerruf der Empfangsvollmacht nach Absatz 1 Satz 1 und ein Widerspruch nach Satz 2 werden der Finanzbehörde gegenüber erst wirksam, wenn sie ihr zugehen.</w:t>
      </w:r>
    </w:p>
    <w:p>
      <w:r>
        <w:t xml:space="preserve">(3) Ist nach Absatz 2 Einzelbekanntgabe erforderlich, gilt </w:t>
      </w:r>
      <w:hyperlink w:anchor="b300" w:history="1">
        <w:r>
          <w:rPr>
            <w:color w:val="0A3A8C"/>
            <w:u w:val="single"/>
          </w:rPr>
          <w:t xml:space="preserve">§ 183</w:t>
        </w:r>
      </w:hyperlink>
      <w:r>
        <w:t xml:space="preserve"> Absatz 3 entsprechend.</w:t>
      </w:r>
    </w:p>
    <w:p>
      <w:r>
        <w:t>(4) Wird eine wirtschaftliche Einheit</w:t>
      </w:r>
    </w:p>
    <w:p>
      <w:pPr>
        <w:tabs>
          <w:tab w:pos="567" w:val="left"/>
        </w:tabs>
        <w:ind w:left="567" w:hanging="567"/>
      </w:pPr>
      <w:r>
        <w:t>1.</w:t>
      </w:r>
      <w:r>
        <w:tab/>
      </w:r>
      <w:r>
        <w:t>Ehegatten oder Lebenspartnern oder</w:t>
      </w:r>
    </w:p>
    <w:p>
      <w:pPr>
        <w:tabs>
          <w:tab w:pos="567" w:val="left"/>
        </w:tabs>
        <w:ind w:left="567" w:hanging="567"/>
      </w:pPr>
      <w:r>
        <w:t>2.</w:t>
      </w:r>
      <w:r>
        <w:tab/>
      </w:r>
      <w:r>
        <w:t>Ehegatten mit ihren Kindern, Lebenspartnern mit ihren Kindern oder Alleinstehenden mit ihren Kindern</w:t>
      </w:r>
    </w:p>
    <w:p>
      <w:r>
        <w:t xml:space="preserve">zugerechnet und haben die Feststellungsbeteiligten keinen gemeinsamen Empfangsbevollmächtigten bestellt, so gelten für die Bekanntgabe von Feststellungsbescheiden über den Grundsteuerwert die Regelungen über zusammengefasste Bescheide in </w:t>
      </w:r>
      <w:hyperlink w:anchor="b200" w:history="1">
        <w:r>
          <w:rPr>
            <w:color w:val="0A3A8C"/>
            <w:u w:val="single"/>
          </w:rPr>
          <w:t xml:space="preserve">§ 122</w:t>
        </w:r>
      </w:hyperlink>
      <w:r>
        <w:t xml:space="preserve"> Absatz 7 entsprechend.</w:t>
      </w:r>
    </w:p>
    <w:p>
      <w:pPr>
        <w:pStyle w:val="Heading4"/>
      </w:pPr>
      <w:bookmarkStart w:id="305" w:name="b302"/>
      <w:r>
        <w:t>II. Festsetzung von Steuermessbeträgen</w:t>
      </w:r>
      <w:bookmarkEnd w:id="305"/>
    </w:p>
    <w:p>
      <w:pPr>
        <w:pStyle w:val="Heading5"/>
      </w:pPr>
      <w:bookmarkStart w:id="306" w:name="b303"/>
      <w:r>
        <w:t>§ 184 Festsetzung von Steuermessbeträgen</w:t>
      </w:r>
      <w:r>
        <w:t xml:space="preserve"> </w:t>
      </w:r>
      <w:r>
        <w:rPr>
          <w:rStyle w:val="Suchmarke"/>
        </w:rPr>
        <w:t>#184#</w:t>
      </w:r>
      <w:bookmarkEnd w:id="306"/>
    </w:p>
    <w:p>
      <w:r>
        <w:t xml:space="preserve">(1) </w:t>
      </w:r>
      <w:r>
        <w:rPr>
          <w:rStyle w:val="Satznummer"/>
        </w:rPr>
        <w:t>1</w:t>
      </w:r>
      <w:r>
        <w:t xml:space="preserve">Steuermessbeträge, die nach den Steuergesetzen zu ermitteln sind, werden durch Steuermessbescheid festgesetzt. </w:t>
      </w:r>
      <w:r>
        <w:rPr>
          <w:rStyle w:val="Satznummer"/>
        </w:rPr>
        <w:t>2</w:t>
      </w:r>
      <w:r>
        <w:t xml:space="preserve">Mit der Festsetzung der Steuermessbeträge wird auch über die persönliche und sachliche Steuerpflicht entschieden. </w:t>
      </w:r>
      <w:r>
        <w:rPr>
          <w:rStyle w:val="Satznummer"/>
        </w:rPr>
        <w:t>3</w:t>
      </w:r>
      <w:r>
        <w:t xml:space="preserve">Die Vorschriften über die Durchführung der Besteuerung sind sinngemäß anzuwenden. </w:t>
      </w:r>
      <w:r>
        <w:rPr>
          <w:rStyle w:val="Satznummer"/>
        </w:rPr>
        <w:t>4</w:t>
      </w:r>
      <w:r>
        <w:t xml:space="preserve">Ferner sind </w:t>
      </w:r>
      <w:hyperlink w:anchor="b299" w:history="1">
        <w:r>
          <w:rPr>
            <w:color w:val="0A3A8C"/>
            <w:u w:val="single"/>
          </w:rPr>
          <w:t xml:space="preserve">§ 182</w:t>
        </w:r>
      </w:hyperlink>
      <w:r>
        <w:t xml:space="preserve"> Absatz 1 und für Grundsteuermessbescheide auch Absatz 2 und </w:t>
      </w:r>
      <w:hyperlink w:anchor="b300" w:history="1">
        <w:r>
          <w:rPr>
            <w:color w:val="0A3A8C"/>
            <w:u w:val="single"/>
          </w:rPr>
          <w:t xml:space="preserve">§ 183</w:t>
        </w:r>
      </w:hyperlink>
      <w:r>
        <w:t xml:space="preserve"> sinngemäß anzuwenden.</w:t>
      </w:r>
    </w:p>
    <w:p>
      <w:r>
        <w:t xml:space="preserve">(2) </w:t>
      </w:r>
      <w:r>
        <w:rPr>
          <w:rStyle w:val="Satznummer"/>
        </w:rPr>
        <w:t>1</w:t>
      </w:r>
      <w:r>
        <w:t xml:space="preserve">Die Befugnis, Realsteuermessbeträge festzusetzen, schließt auch die Befugnis zu Maßnahmen nach </w:t>
      </w:r>
      <w:hyperlink w:anchor="b272" w:history="1">
        <w:r>
          <w:rPr>
            <w:color w:val="0A3A8C"/>
            <w:u w:val="single"/>
          </w:rPr>
          <w:t xml:space="preserve">§ 163</w:t>
        </w:r>
      </w:hyperlink>
      <w:r>
        <w:t xml:space="preserve"> Absatz 1 Satz 1 ein, soweit für solche Maßnahmen in einer allgemeinen Verwaltungsvorschrift der Bundesregierung, der obersten Bundesfinanzbehörde oder einer obersten Landesfinanzbehörde Richtlinien aufgestellt worden sind. </w:t>
      </w:r>
      <w:r>
        <w:rPr>
          <w:rStyle w:val="Satznummer"/>
        </w:rPr>
        <w:t>2</w:t>
      </w:r>
      <w:r>
        <w:t xml:space="preserve">Eine Maßnahme nach </w:t>
      </w:r>
      <w:hyperlink w:anchor="b272" w:history="1">
        <w:r>
          <w:rPr>
            <w:color w:val="0A3A8C"/>
            <w:u w:val="single"/>
          </w:rPr>
          <w:t xml:space="preserve">§ 163</w:t>
        </w:r>
      </w:hyperlink>
      <w:r>
        <w:t xml:space="preserve"> Absatz 1 Satz 2 wirkt, soweit sie die gewerblichen Einkünfte als Grundlage für die Festsetzung der Steuer vom Einkommen beeinflusst, auch für den Gewerbeertrag als Grundlage für die Festsetzung des Gewerbesteuermessbetrags.</w:t>
      </w:r>
    </w:p>
    <w:p>
      <w:r>
        <w:t xml:space="preserve">(3) </w:t>
      </w:r>
      <w:r>
        <w:rPr>
          <w:rStyle w:val="Satznummer"/>
        </w:rPr>
        <w:t>1</w:t>
      </w:r>
      <w:r>
        <w:t xml:space="preserve">Die Finanzbehörden teilen den Inhalt des Steuermessbescheids sowie die nach Absatz 2 getroffenen Maßnahmen den Gemeinden mit, denen die Steuerfestsetzung (der Erlass des Realsteuerbescheids) obliegt. </w:t>
      </w:r>
      <w:r>
        <w:rPr>
          <w:rStyle w:val="Satznummer"/>
        </w:rPr>
        <w:t>2</w:t>
      </w:r>
      <w:r>
        <w:t xml:space="preserve">Die Mitteilungen an die Gemeinden erfolgen durch Bereitstellung zum Abruf; </w:t>
      </w:r>
      <w:hyperlink w:anchor="b133" w:history="1">
        <w:r>
          <w:rPr>
            <w:color w:val="0A3A8C"/>
            <w:u w:val="single"/>
          </w:rPr>
          <w:t xml:space="preserve">§ 87a</w:t>
        </w:r>
      </w:hyperlink>
      <w:r>
        <w:t xml:space="preserve"> Absatz 8 und </w:t>
      </w:r>
      <w:hyperlink w:anchor="b134" w:history="1">
        <w:r>
          <w:rPr>
            <w:color w:val="0A3A8C"/>
            <w:u w:val="single"/>
          </w:rPr>
          <w:t xml:space="preserve">§ 87b</w:t>
        </w:r>
      </w:hyperlink>
      <w:r>
        <w:t xml:space="preserve"> Absatz 1 gelten dabei entsprechend.</w:t>
      </w:r>
    </w:p>
    <w:p>
      <w:pPr>
        <w:pStyle w:val="Heading3"/>
      </w:pPr>
      <w:bookmarkStart w:id="307" w:name="b304"/>
      <w:r>
        <w:t>3. Unterabschnitt Zerlegung und Zuteilung</w:t>
      </w:r>
      <w:bookmarkEnd w:id="307"/>
    </w:p>
    <w:p>
      <w:pPr>
        <w:pStyle w:val="Heading4"/>
      </w:pPr>
      <w:bookmarkStart w:id="308" w:name="b305"/>
      <w:r>
        <w:t>§ 185 Geltung der allgemeinen Vorschriften</w:t>
      </w:r>
      <w:r>
        <w:t xml:space="preserve"> </w:t>
      </w:r>
      <w:r>
        <w:rPr>
          <w:rStyle w:val="Suchmarke"/>
        </w:rPr>
        <w:t>#185#</w:t>
      </w:r>
      <w:bookmarkEnd w:id="308"/>
    </w:p>
    <w:p>
      <w:r>
        <w:t>Auf die in den Steuergesetzen vorgesehene Zerlegung von Steuermessbeträgen sind die für die Steuermessbeträge geltenden Vorschriften entsprechend anzuwenden, soweit im Folgenden nichts anderes bestimmt ist.</w:t>
      </w:r>
    </w:p>
    <w:p>
      <w:pPr>
        <w:pStyle w:val="Heading4"/>
      </w:pPr>
      <w:bookmarkStart w:id="309" w:name="b306"/>
      <w:r>
        <w:t>§ 186 Beteiligte</w:t>
      </w:r>
      <w:r>
        <w:t xml:space="preserve"> </w:t>
      </w:r>
      <w:r>
        <w:rPr>
          <w:rStyle w:val="Suchmarke"/>
        </w:rPr>
        <w:t>#186#</w:t>
      </w:r>
      <w:bookmarkEnd w:id="309"/>
    </w:p>
    <w:p>
      <w:r>
        <w:t>Am Zerlegungsverfahren sind beteiligt:</w:t>
      </w:r>
    </w:p>
    <w:p>
      <w:pPr>
        <w:tabs>
          <w:tab w:pos="567" w:val="left"/>
        </w:tabs>
        <w:ind w:left="567" w:hanging="567"/>
      </w:pPr>
      <w:r>
        <w:t>1.</w:t>
      </w:r>
      <w:r>
        <w:tab/>
      </w:r>
      <w:r>
        <w:t>der Steuerpflichtige,</w:t>
      </w:r>
    </w:p>
    <w:p>
      <w:pPr>
        <w:tabs>
          <w:tab w:pos="567" w:val="left"/>
        </w:tabs>
        <w:ind w:left="567" w:hanging="567"/>
      </w:pPr>
      <w:r>
        <w:t>2.</w:t>
      </w:r>
      <w:r>
        <w:tab/>
      </w:r>
      <w:r>
        <w:t xml:space="preserve">die Steuerberechtigten, denen ein Anteil an dem Steuermessbetrag zugeteilt worden ist oder die einen Anteil beanspruchen. </w:t>
      </w:r>
      <w:r>
        <w:rPr>
          <w:rStyle w:val="Satznummer"/>
        </w:rPr>
        <w:t>2</w:t>
      </w:r>
      <w:r>
        <w:t>Soweit die Festsetzung der Steuer dem Steuerberechtigten nicht obliegt, tritt an seine Stelle die für die Festsetzung der Steuer zuständige Behörde.</w:t>
      </w:r>
    </w:p>
    <w:p>
      <w:pPr>
        <w:pStyle w:val="Heading4"/>
      </w:pPr>
      <w:bookmarkStart w:id="310" w:name="b307"/>
      <w:r>
        <w:t>§ 187 Akteneinsicht</w:t>
      </w:r>
      <w:r>
        <w:t xml:space="preserve"> </w:t>
      </w:r>
      <w:r>
        <w:rPr>
          <w:rStyle w:val="Suchmarke"/>
        </w:rPr>
        <w:t>#187#</w:t>
      </w:r>
      <w:bookmarkEnd w:id="310"/>
    </w:p>
    <w:p>
      <w:r>
        <w:t>Die beteiligten Steuerberechtigten können von der zuständigen Finanzbehörde Auskunft über die Zerlegungsgrundlagen verlangen und durch ihre Amtsträger Einsicht in die Zerlegungsunterlagen nehmen.</w:t>
      </w:r>
    </w:p>
    <w:p>
      <w:pPr>
        <w:pStyle w:val="Heading4"/>
      </w:pPr>
      <w:bookmarkStart w:id="311" w:name="b308"/>
      <w:r>
        <w:t>§ 188 Zerlegungsbescheid</w:t>
      </w:r>
      <w:r>
        <w:t xml:space="preserve"> </w:t>
      </w:r>
      <w:r>
        <w:rPr>
          <w:rStyle w:val="Suchmarke"/>
        </w:rPr>
        <w:t>#188#</w:t>
      </w:r>
      <w:bookmarkEnd w:id="311"/>
    </w:p>
    <w:p>
      <w:r>
        <w:t xml:space="preserve">(1) </w:t>
      </w:r>
      <w:r>
        <w:rPr>
          <w:rStyle w:val="Satznummer"/>
        </w:rPr>
        <w:t>1</w:t>
      </w:r>
      <w:r>
        <w:t xml:space="preserve">Über die Zerlegung ergeht ein schriftlicher oder elektronischer Bescheid (Zerlegungsbescheid), der den Beteiligten bekannt zu geben ist, soweit sie betroffen sind. </w:t>
      </w:r>
      <w:r>
        <w:rPr>
          <w:rStyle w:val="Satznummer"/>
        </w:rPr>
        <w:t>2</w:t>
      </w:r>
      <w:r>
        <w:t xml:space="preserve">Die Bekanntgabe an Gemeinden erfolgt durch Bereitstellung zum Abruf nach </w:t>
      </w:r>
      <w:hyperlink w:anchor="b201" w:history="1">
        <w:r>
          <w:rPr>
            <w:color w:val="0A3A8C"/>
            <w:u w:val="single"/>
          </w:rPr>
          <w:t xml:space="preserve">§ 122a</w:t>
        </w:r>
      </w:hyperlink>
      <w:r>
        <w:t>; eine Einwilligung der Gemeinde ist nicht erforderlich.</w:t>
      </w:r>
    </w:p>
    <w:p>
      <w:r>
        <w:t xml:space="preserve">(2) </w:t>
      </w:r>
      <w:r>
        <w:rPr>
          <w:rStyle w:val="Satznummer"/>
        </w:rPr>
        <w:t>1</w:t>
      </w:r>
      <w:r>
        <w:t xml:space="preserve">Der Zerlegungsbescheid muss die Höhe des zu zerlegenden Steuermessbetrags angeben und bestimmen, welche Anteile den beteiligten Steuerberechtigten zugeteilt werden. </w:t>
      </w:r>
      <w:r>
        <w:rPr>
          <w:rStyle w:val="Satznummer"/>
        </w:rPr>
        <w:t>2</w:t>
      </w:r>
      <w:r>
        <w:t>Er muss ferner die Zerlegungsgrundlagen angeben.</w:t>
      </w:r>
    </w:p>
    <w:p>
      <w:pPr>
        <w:pStyle w:val="Heading4"/>
      </w:pPr>
      <w:bookmarkStart w:id="312" w:name="b309"/>
      <w:r>
        <w:t>§ 189 Änderung der Zerlegung</w:t>
      </w:r>
      <w:r>
        <w:t xml:space="preserve"> </w:t>
      </w:r>
      <w:r>
        <w:rPr>
          <w:rStyle w:val="Suchmarke"/>
        </w:rPr>
        <w:t>#189#</w:t>
      </w:r>
      <w:bookmarkEnd w:id="312"/>
    </w:p>
    <w:p>
      <w:r>
        <w:rPr>
          <w:rStyle w:val="Satznummer"/>
        </w:rPr>
        <w:t>1</w:t>
      </w:r>
      <w:r>
        <w:t xml:space="preserve">Ist der Anspruch eines Steuerberechtigten auf einen Anteil am Steuermessbetrag nicht berücksichtigt und auch nicht zurückgewiesen worden, so wird die Zerlegung von Amts wegen oder auf Antrag geändert oder nachgeholt. </w:t>
      </w:r>
      <w:r>
        <w:rPr>
          <w:rStyle w:val="Satznummer"/>
        </w:rPr>
        <w:t>2</w:t>
      </w:r>
      <w:r>
        <w:t xml:space="preserve">Ist der bisherige Zerlegungsbescheid gegenüber denjenigen Steuerberechtigten, die an dem Zerlegungsverfahren bereits beteiligt waren, unanfechtbar geworden, so dürfen bei der Änderung der Zerlegung nur solche Änderungen vorgenommen werden, die sich aus der nachträglichen Berücksichtigung der bisher übergangenen Steuerberechtigten ergeben. </w:t>
      </w:r>
      <w:r>
        <w:rPr>
          <w:rStyle w:val="Satznummer"/>
        </w:rPr>
        <w:t>3</w:t>
      </w:r>
      <w:r>
        <w:t>Eine Änderung oder Nachholung der Zerlegung unterbleibt, wenn ein Jahr vergangen ist, seitdem der Steuermessbescheid unanfechtbar geworden ist, es sei denn, dass der übergangene Steuerberechtigte die Änderung oder Nachholung der Zerlegung vor Ablauf des Jahres beantragt hatte.</w:t>
      </w:r>
    </w:p>
    <w:p>
      <w:pPr>
        <w:pStyle w:val="Heading4"/>
      </w:pPr>
      <w:bookmarkStart w:id="313" w:name="b310"/>
      <w:r>
        <w:t>§ 190 Zuteilungsverfahren</w:t>
      </w:r>
      <w:r>
        <w:t xml:space="preserve"> </w:t>
      </w:r>
      <w:r>
        <w:rPr>
          <w:rStyle w:val="Suchmarke"/>
        </w:rPr>
        <w:t>#190#</w:t>
      </w:r>
      <w:bookmarkEnd w:id="313"/>
    </w:p>
    <w:p>
      <w:r>
        <w:rPr>
          <w:rStyle w:val="Satznummer"/>
        </w:rPr>
        <w:t>1</w:t>
      </w:r>
      <w:r>
        <w:t xml:space="preserve">Ist ein Steuermessbetrag in voller Höhe einem Steuerberechtigten zuzuteilen, besteht aber Streit darüber, welchem Steuerberechtigten der Steuermessbetrag zusteht, so entscheidet die Finanzbehörde auf Antrag eines Beteiligten durch Zuteilungsbescheid. </w:t>
      </w:r>
      <w:r>
        <w:rPr>
          <w:rStyle w:val="Satznummer"/>
        </w:rPr>
        <w:t>2</w:t>
      </w:r>
      <w:r>
        <w:t>Die für das Zerlegungsverfahren geltenden Vorschriften sind entsprechend anzuwenden.</w:t>
      </w:r>
    </w:p>
    <w:p>
      <w:pPr>
        <w:pStyle w:val="Heading3"/>
      </w:pPr>
      <w:bookmarkStart w:id="314" w:name="b311"/>
      <w:r>
        <w:t>4. Unterabschnitt Haftung</w:t>
      </w:r>
      <w:bookmarkEnd w:id="314"/>
    </w:p>
    <w:p>
      <w:pPr>
        <w:pStyle w:val="Heading4"/>
      </w:pPr>
      <w:bookmarkStart w:id="315" w:name="b312"/>
      <w:r>
        <w:t>§ 191 Haftungsbescheide, Duldungsbescheide</w:t>
      </w:r>
      <w:r>
        <w:t xml:space="preserve"> </w:t>
      </w:r>
      <w:r>
        <w:rPr>
          <w:rStyle w:val="Suchmarke"/>
        </w:rPr>
        <w:t>#191#</w:t>
      </w:r>
      <w:bookmarkEnd w:id="315"/>
    </w:p>
    <w:p>
      <w:r>
        <w:t xml:space="preserve">(1) </w:t>
      </w:r>
      <w:r>
        <w:rPr>
          <w:rStyle w:val="Satznummer"/>
        </w:rPr>
        <w:t>1</w:t>
      </w:r>
      <w:r>
        <w:t xml:space="preserve">Wer kraft Gesetzes für eine Steuer haftet (Haftungsschuldner), kann durch Haftungsbescheid, wer kraft Gesetzes verpflichtet ist, die Vollstreckung zu dulden, kann durch Duldungsbescheid in Anspruch genommen werden. </w:t>
      </w:r>
      <w:r>
        <w:rPr>
          <w:rStyle w:val="Satznummer"/>
        </w:rPr>
        <w:t>2</w:t>
      </w:r>
      <w:r>
        <w:t xml:space="preserve">Die Anfechtung wegen Ansprüchen aus dem Steuerschuldverhältnis außerhalb des Insolvenzverfahrens erfolgt durch Duldungsbescheid, soweit sie nicht im Wege der Einrede nach § 9 des Anfechtungsgesetzes geltend zu machen ist; bei der Berechnung von Fristen nach den §§ 3 und 4 des Anfechtungsgesetzes steht der Erlass eines Duldungsbescheids der gerichtlichen Geltendmachung der Anfechtung nach § 7 Absatz 1 des Anfechtungsgesetzes gleich. </w:t>
      </w:r>
      <w:r>
        <w:rPr>
          <w:rStyle w:val="Satznummer"/>
        </w:rPr>
        <w:t>3</w:t>
      </w:r>
      <w:r>
        <w:t>Die Bescheide sind schriftlich oder elektronisch zu erteilen.</w:t>
      </w:r>
    </w:p>
    <w:p>
      <w:r>
        <w:t xml:space="preserve">(2) Bevor gegen einen Rechtsanwalt, Patentanwalt, Notar, Steuerberater, Steuerbevollmächtigten, Wirtschaftsprüfer oder vereidigten Buchprüfer wegen einer Handlung im Sinne des </w:t>
      </w:r>
      <w:hyperlink w:anchor="b106" w:history="1">
        <w:r>
          <w:rPr>
            <w:color w:val="0A3A8C"/>
            <w:u w:val="single"/>
          </w:rPr>
          <w:t xml:space="preserve">§ 69</w:t>
        </w:r>
      </w:hyperlink>
      <w:r>
        <w:t>, die er in Ausübung seines Berufs vorgenommen hat, ein Haftungsbescheid erlassen wird, gibt die Finanzbehörde der zuständigen Berufskammer Gelegenheit, die Gesichtspunkte vorzubringen, die von ihrem Standpunkt für die Entscheidung von Bedeutung sind.</w:t>
      </w:r>
    </w:p>
    <w:p>
      <w:r>
        <w:t xml:space="preserve">(3) </w:t>
      </w:r>
      <w:r>
        <w:rPr>
          <w:rStyle w:val="Satznummer"/>
        </w:rPr>
        <w:t>1</w:t>
      </w:r>
      <w:r>
        <w:t xml:space="preserve">Die Vorschriften über die Festsetzungsfrist sind auf den Erlass von Haftungsbescheiden entsprechend anzuwenden. </w:t>
      </w:r>
      <w:r>
        <w:rPr>
          <w:rStyle w:val="Satznummer"/>
        </w:rPr>
        <w:t>2</w:t>
      </w:r>
      <w:r>
        <w:t xml:space="preserve">Die Festsetzungsfrist beträgt vier Jahre, in den Fällen des </w:t>
      </w:r>
      <w:hyperlink w:anchor="b107" w:history="1">
        <w:r>
          <w:rPr>
            <w:color w:val="0A3A8C"/>
            <w:u w:val="single"/>
          </w:rPr>
          <w:t xml:space="preserve">§ 70</w:t>
        </w:r>
      </w:hyperlink>
      <w:r>
        <w:t xml:space="preserve"> bei Steuerhinterziehung zehn Jahre, bei leichtfertiger Steuerverkürzung fünf Jahre, in den Fällen des </w:t>
      </w:r>
      <w:hyperlink w:anchor="b108" w:history="1">
        <w:r>
          <w:rPr>
            <w:color w:val="0A3A8C"/>
            <w:u w:val="single"/>
          </w:rPr>
          <w:t xml:space="preserve">§ 71</w:t>
        </w:r>
      </w:hyperlink>
      <w:r>
        <w:t xml:space="preserve"> zehn Jahre. </w:t>
      </w:r>
      <w:r>
        <w:rPr>
          <w:rStyle w:val="Satznummer"/>
        </w:rPr>
        <w:t>3</w:t>
      </w:r>
      <w:r>
        <w:t xml:space="preserve">Die Festsetzungsfrist beginnt mit Ablauf des Kalenderjahrs, in dem der Tatbestand verwirklicht worden ist, an den das Gesetz die Haftungsfolge knüpft. </w:t>
      </w:r>
      <w:r>
        <w:rPr>
          <w:rStyle w:val="Satznummer"/>
        </w:rPr>
        <w:t>4</w:t>
      </w:r>
      <w:r>
        <w:t xml:space="preserve">Ist die Steuer, für die gehaftet wird, noch nicht festgesetzt worden, so endet die Festsetzungsfrist für den Haftungsbescheid nicht vor Ablauf der für die Steuerfestsetzung geltenden Festsetzungsfrist; andernfalls gilt </w:t>
      </w:r>
      <w:hyperlink w:anchor="b281" w:history="1">
        <w:r>
          <w:rPr>
            <w:color w:val="0A3A8C"/>
            <w:u w:val="single"/>
          </w:rPr>
          <w:t xml:space="preserve">§ 171</w:t>
        </w:r>
      </w:hyperlink>
      <w:r>
        <w:t xml:space="preserve"> Absatz 10 sinngemäß. </w:t>
      </w:r>
      <w:r>
        <w:rPr>
          <w:rStyle w:val="Satznummer"/>
        </w:rPr>
        <w:t>5</w:t>
      </w:r>
      <w:r>
        <w:t xml:space="preserve">In den Fällen der </w:t>
      </w:r>
      <w:hyperlink w:anchor="b111" w:history="1">
        <w:r>
          <w:rPr>
            <w:color w:val="0A3A8C"/>
            <w:u w:val="single"/>
          </w:rPr>
          <w:t xml:space="preserve">§§ 73</w:t>
        </w:r>
      </w:hyperlink>
      <w:r>
        <w:t xml:space="preserve"> und </w:t>
      </w:r>
      <w:hyperlink w:anchor="b112" w:history="1">
        <w:r>
          <w:rPr>
            <w:color w:val="0A3A8C"/>
            <w:u w:val="single"/>
          </w:rPr>
          <w:t xml:space="preserve">74</w:t>
        </w:r>
      </w:hyperlink>
      <w:r>
        <w:t xml:space="preserve"> endet die Festsetzungsfrist nicht, bevor die gegen den Steuerschuldner festgesetzte Steuer verjährt (</w:t>
      </w:r>
      <w:hyperlink w:anchor="b363" w:history="1">
        <w:r>
          <w:rPr>
            <w:color w:val="0A3A8C"/>
            <w:u w:val="single"/>
          </w:rPr>
          <w:t xml:space="preserve">§ 228</w:t>
        </w:r>
      </w:hyperlink>
      <w:r>
        <w:t>) ist.</w:t>
      </w:r>
    </w:p>
    <w:p>
      <w:r>
        <w:t>(4) Ergibt sich die Haftung nicht aus den Steuergesetzen, so kann ein Haftungsbescheid ergehen, solange die Haftungsansprüche nach dem für sie maßgebenden Recht noch nicht verjährt sind.</w:t>
      </w:r>
    </w:p>
    <w:p>
      <w:r>
        <w:t xml:space="preserve">(5) </w:t>
      </w:r>
      <w:r>
        <w:rPr>
          <w:rStyle w:val="Satznummer"/>
        </w:rPr>
        <w:t>1</w:t>
      </w:r>
      <w:r>
        <w:t>Ein Haftungsbescheid kann nicht mehr ergehen,</w:t>
      </w:r>
    </w:p>
    <w:p>
      <w:pPr>
        <w:tabs>
          <w:tab w:pos="567" w:val="left"/>
        </w:tabs>
        <w:ind w:left="567" w:hanging="567"/>
      </w:pPr>
      <w:r>
        <w:t>1.</w:t>
      </w:r>
      <w:r>
        <w:tab/>
      </w:r>
      <w:r>
        <w:t>soweit die Steuer gegen den Steuerschuldner nicht festgesetzt worden ist und wegen Ablaufs der Festsetzungsfrist auch nicht mehr festgesetzt werden kann,</w:t>
      </w:r>
    </w:p>
    <w:p>
      <w:pPr>
        <w:tabs>
          <w:tab w:pos="567" w:val="left"/>
        </w:tabs>
        <w:ind w:left="567" w:hanging="567"/>
      </w:pPr>
      <w:r>
        <w:t>2.</w:t>
      </w:r>
      <w:r>
        <w:tab/>
      </w:r>
      <w:r>
        <w:t>soweit die gegen den Steuerschuldner festgesetzte Steuer verjährt ist oder die Steuer erlassen worden ist.</w:t>
      </w:r>
    </w:p>
    <w:p>
      <w:r>
        <w:rPr>
          <w:rStyle w:val="Satznummer"/>
        </w:rPr>
        <w:t>2</w:t>
      </w:r>
      <w:r>
        <w:t>Dies gilt nicht, wenn die Haftung darauf beruht, dass der Haftungsschuldner Steuerhinterziehung oder Steuerhehlerei begangen hat.</w:t>
      </w:r>
    </w:p>
    <w:p>
      <w:pPr>
        <w:pStyle w:val="Heading4"/>
      </w:pPr>
      <w:bookmarkStart w:id="316" w:name="b313"/>
      <w:r>
        <w:t>§ 192 Vertragliche Haftung</w:t>
      </w:r>
      <w:r>
        <w:t xml:space="preserve"> </w:t>
      </w:r>
      <w:r>
        <w:rPr>
          <w:rStyle w:val="Suchmarke"/>
        </w:rPr>
        <w:t>#192#</w:t>
      </w:r>
      <w:bookmarkEnd w:id="316"/>
    </w:p>
    <w:p>
      <w:r>
        <w:t>Wer sich auf Grund eines Vertrags verpflichtet hat, für die Steuer eines anderen einzustehen, kann nur nach den Vorschriften des bürgerlichen Rechts in Anspruch genommen werden.</w:t>
      </w:r>
    </w:p>
    <w:p>
      <w:pPr>
        <w:pStyle w:val="Heading2"/>
      </w:pPr>
      <w:bookmarkStart w:id="317" w:name="b314"/>
      <w:r>
        <w:t>Vierter Abschnitt Außenprüfung</w:t>
      </w:r>
      <w:bookmarkEnd w:id="317"/>
    </w:p>
    <w:p>
      <w:pPr>
        <w:pStyle w:val="Heading3"/>
      </w:pPr>
      <w:bookmarkStart w:id="318" w:name="b315"/>
      <w:r>
        <w:t>1. Unterabschnitt Allgemeine Vorschriften</w:t>
      </w:r>
      <w:bookmarkEnd w:id="318"/>
    </w:p>
    <w:p>
      <w:pPr>
        <w:pStyle w:val="Heading4"/>
      </w:pPr>
      <w:bookmarkStart w:id="319" w:name="b316"/>
      <w:r>
        <w:t>§ 193 Zulässigkeit einer Außenprüfung</w:t>
      </w:r>
      <w:r>
        <w:t xml:space="preserve"> </w:t>
      </w:r>
      <w:r>
        <w:rPr>
          <w:rStyle w:val="Suchmarke"/>
        </w:rPr>
        <w:t>#193#</w:t>
      </w:r>
      <w:bookmarkEnd w:id="319"/>
    </w:p>
    <w:p>
      <w:r>
        <w:t xml:space="preserve">(1) Eine Außenprüfung ist zulässig bei Steuerpflichtigen, die einen gewerblichen oder land- und forstwirtschaftlichen Betrieb unterhalten, die freiberuflich tätig sind und bei Steuerpflichtigen im Sinne des </w:t>
      </w:r>
      <w:hyperlink w:anchor="b250" w:history="1">
        <w:r>
          <w:rPr>
            <w:color w:val="0A3A8C"/>
            <w:u w:val="single"/>
          </w:rPr>
          <w:t xml:space="preserve">§ 147a</w:t>
        </w:r>
      </w:hyperlink>
      <w:r>
        <w:t>.</w:t>
      </w:r>
    </w:p>
    <w:p>
      <w:r>
        <w:t>(2) Bei anderen als den in Absatz 1 bezeichneten Steuerpflichtigen ist eine Außenprüfung zulässig,</w:t>
      </w:r>
    </w:p>
    <w:p>
      <w:pPr>
        <w:tabs>
          <w:tab w:pos="567" w:val="left"/>
        </w:tabs>
        <w:ind w:left="567" w:hanging="567"/>
      </w:pPr>
      <w:r>
        <w:t>1.</w:t>
      </w:r>
      <w:r>
        <w:tab/>
      </w:r>
      <w:r>
        <w:t>soweit sie die Verpflichtung dieser Steuerpflichtigen betrifft, für Rechnung eines anderen Steuern zu entrichten oder Steuern einzubehalten und abzuführen,</w:t>
      </w:r>
    </w:p>
    <w:p>
      <w:pPr>
        <w:tabs>
          <w:tab w:pos="567" w:val="left"/>
        </w:tabs>
        <w:ind w:left="567" w:hanging="567"/>
      </w:pPr>
      <w:r>
        <w:t>2.</w:t>
      </w:r>
      <w:r>
        <w:tab/>
      </w:r>
      <w:r>
        <w:t>wenn die für die Besteuerung erheblichen Verhältnisse der Aufklärung bedürfen und eine Prüfung an Amtsstelle nach Art und Umfang des zu prüfenden Sachverhalts nicht zweckmäßig ist oder</w:t>
      </w:r>
    </w:p>
    <w:p>
      <w:pPr>
        <w:tabs>
          <w:tab w:pos="567" w:val="left"/>
        </w:tabs>
        <w:ind w:left="567" w:hanging="567"/>
      </w:pPr>
      <w:r>
        <w:t>3.</w:t>
      </w:r>
      <w:r>
        <w:tab/>
      </w:r>
      <w:r>
        <w:t>wenn ein Steuerpflichtiger seinen Mitwirkungspflichten nach § 12 des Gesetzes zur Abwehr von Steuervermeidung und unfairem Steuerwettbewerb nicht nachkommt.</w:t>
      </w:r>
    </w:p>
    <w:p>
      <w:pPr>
        <w:pStyle w:val="Heading4"/>
      </w:pPr>
      <w:bookmarkStart w:id="320" w:name="b317"/>
      <w:r>
        <w:t>§ 194 Sachlicher Umfang einer Außenprüfung</w:t>
      </w:r>
      <w:r>
        <w:t xml:space="preserve"> </w:t>
      </w:r>
      <w:r>
        <w:rPr>
          <w:rStyle w:val="Suchmarke"/>
        </w:rPr>
        <w:t>#194#</w:t>
      </w:r>
      <w:bookmarkEnd w:id="320"/>
    </w:p>
    <w:p>
      <w:r>
        <w:t xml:space="preserve">(1) </w:t>
      </w:r>
      <w:r>
        <w:rPr>
          <w:rStyle w:val="Satznummer"/>
        </w:rPr>
        <w:t>1</w:t>
      </w:r>
      <w:r>
        <w:t xml:space="preserve">Die Außenprüfung dient der Ermittlung der steuerlichen Verhältnisse des Steuerpflichtigen. </w:t>
      </w:r>
      <w:r>
        <w:rPr>
          <w:rStyle w:val="Satznummer"/>
        </w:rPr>
        <w:t>2</w:t>
      </w:r>
      <w:r>
        <w:t xml:space="preserve">Sie kann eine oder mehrere Steuerarten, einen oder mehrere Besteuerungszeiträume umfassen oder sich auf bestimmte Sachverhalte beschränken. </w:t>
      </w:r>
      <w:r>
        <w:rPr>
          <w:rStyle w:val="Satznummer"/>
        </w:rPr>
        <w:t>3</w:t>
      </w:r>
      <w:r>
        <w:t xml:space="preserve">Die Außenprüfung bei einer Personengesellschaft umfasst die steuerlichen Verhältnisse der Gesellschafter insoweit, als diese Verhältnisse für die zu überprüfenden einheitlichen Feststellungen von Bedeutung sind. </w:t>
      </w:r>
      <w:r>
        <w:rPr>
          <w:rStyle w:val="Satznummer"/>
        </w:rPr>
        <w:t>4</w:t>
      </w:r>
      <w:r>
        <w:t>Die steuerlichen Verhältnisse anderer Personen können insoweit geprüft werden, als der Steuerpflichtige verpflichtet war oder verpflichtet ist, für Rechnung dieser Personen Steuern zu entrichten oder Steuern einzubehalten und abzuführen; dies gilt auch dann, wenn etwaige Steuernachforderungen den anderen Personen gegenüber geltend zu machen sind.</w:t>
      </w:r>
    </w:p>
    <w:p>
      <w:r>
        <w:t xml:space="preserve">(1a) Das Ergebnis eines internationalen Risikobewertungsverfahrens nach </w:t>
      </w:r>
      <w:hyperlink w:anchor="b144" w:history="1">
        <w:r>
          <w:rPr>
            <w:color w:val="0A3A8C"/>
            <w:u w:val="single"/>
          </w:rPr>
          <w:t xml:space="preserve">§ 89b</w:t>
        </w:r>
      </w:hyperlink>
      <w:r>
        <w:t xml:space="preserve"> und auch die bei dessen Durchführung erlangten Erkenntnisse, die nicht im Risikobewertungsbericht nach </w:t>
      </w:r>
      <w:hyperlink w:anchor="b144" w:history="1">
        <w:r>
          <w:rPr>
            <w:color w:val="0A3A8C"/>
            <w:u w:val="single"/>
          </w:rPr>
          <w:t xml:space="preserve">§ 89b</w:t>
        </w:r>
      </w:hyperlink>
      <w:r>
        <w:t xml:space="preserve"> Absatz 6 enthalten sind, sollen bei der Bestimmung des sachlichen Umfangs einer Außenprüfung nach Absatz 1 Satz 2 berücksichtigt werden.</w:t>
      </w:r>
    </w:p>
    <w:p>
      <w:r>
        <w:t>(2) Die steuerlichen Verhältnisse von Gesellschaftern und Mitgliedern sowie von Mitgliedern der Überwachungsorgane können über die in Absatz 1 geregelten Fälle hinaus in die bei einer Gesellschaft durchzuführende Außenprüfung einbezogen werden, wenn dies im Einzelfall zweckmäßig ist.</w:t>
      </w:r>
    </w:p>
    <w:p>
      <w:r>
        <w:t>(3) Werden anlässlich einer Außenprüfung Verhältnisse anderer als der in Absatz 1 genannten Personen festgestellt, so ist die Auswertung der Feststellungen insoweit zulässig, als ihre Kenntnis für die Besteuerung dieser anderen Personen von Bedeutung ist oder die Feststellungen eine unerlaubte Hilfeleistung in Steuersachen betreffen.</w:t>
      </w:r>
    </w:p>
    <w:p>
      <w:pPr>
        <w:pStyle w:val="Heading4"/>
      </w:pPr>
      <w:bookmarkStart w:id="321" w:name="b318"/>
      <w:r>
        <w:t>§ 195 Zuständigkeit</w:t>
      </w:r>
      <w:r>
        <w:t xml:space="preserve"> </w:t>
      </w:r>
      <w:r>
        <w:rPr>
          <w:rStyle w:val="Suchmarke"/>
        </w:rPr>
        <w:t>#195#</w:t>
      </w:r>
      <w:bookmarkEnd w:id="321"/>
    </w:p>
    <w:p>
      <w:r>
        <w:rPr>
          <w:rStyle w:val="Satznummer"/>
        </w:rPr>
        <w:t>1</w:t>
      </w:r>
      <w:r>
        <w:t xml:space="preserve">Außenprüfungen werden von den für die Besteuerung zuständigen Finanzbehörden durchgeführt. </w:t>
      </w:r>
      <w:r>
        <w:rPr>
          <w:rStyle w:val="Satznummer"/>
        </w:rPr>
        <w:t>2</w:t>
      </w:r>
      <w:r>
        <w:t xml:space="preserve">Sie können andere Finanzbehörden mit der Außenprüfung beauftragen. </w:t>
      </w:r>
      <w:r>
        <w:rPr>
          <w:rStyle w:val="Satznummer"/>
        </w:rPr>
        <w:t>3</w:t>
      </w:r>
      <w:r>
        <w:t>Die beauftragte Finanzbehörde kann im Namen der zuständigen Finanzbehörde die Steuerfestsetzung vornehmen und verbindliche Zusagen (</w:t>
      </w:r>
      <w:hyperlink w:anchor="b330" w:history="1">
        <w:r>
          <w:rPr>
            <w:color w:val="0A3A8C"/>
            <w:u w:val="single"/>
          </w:rPr>
          <w:t xml:space="preserve">§§ 204</w:t>
        </w:r>
      </w:hyperlink>
      <w:r>
        <w:t xml:space="preserve"> bis </w:t>
      </w:r>
      <w:hyperlink w:anchor="b333" w:history="1">
        <w:r>
          <w:rPr>
            <w:color w:val="0A3A8C"/>
            <w:u w:val="single"/>
          </w:rPr>
          <w:t xml:space="preserve">207</w:t>
        </w:r>
      </w:hyperlink>
      <w:r>
        <w:t>) erteilen.</w:t>
      </w:r>
    </w:p>
    <w:p>
      <w:pPr>
        <w:pStyle w:val="Heading4"/>
      </w:pPr>
      <w:bookmarkStart w:id="322" w:name="b319"/>
      <w:r>
        <w:t>§ 196 Prüfungsanordnung</w:t>
      </w:r>
      <w:r>
        <w:t xml:space="preserve"> </w:t>
      </w:r>
      <w:r>
        <w:rPr>
          <w:rStyle w:val="Suchmarke"/>
        </w:rPr>
        <w:t>#196#</w:t>
      </w:r>
      <w:bookmarkEnd w:id="322"/>
    </w:p>
    <w:p>
      <w:r>
        <w:t xml:space="preserve">Die Finanzbehörde bestimmt den Umfang der Außenprüfung in einer schriftlich oder elektronisch zu erteilenden Prüfungsanordnung mit Rechtsbehelfsbelehrung nach </w:t>
      </w:r>
      <w:hyperlink w:anchor="b515" w:history="1">
        <w:r>
          <w:rPr>
            <w:color w:val="0A3A8C"/>
            <w:u w:val="single"/>
          </w:rPr>
          <w:t xml:space="preserve">§ 356</w:t>
        </w:r>
      </w:hyperlink>
      <w:r>
        <w:t>.</w:t>
      </w:r>
    </w:p>
    <w:p>
      <w:pPr>
        <w:pStyle w:val="Heading4"/>
      </w:pPr>
      <w:bookmarkStart w:id="323" w:name="b320"/>
      <w:r>
        <w:t>§ 197 Bekanntgabe der Prüfungsanordnung</w:t>
      </w:r>
      <w:r>
        <w:t xml:space="preserve"> </w:t>
      </w:r>
      <w:r>
        <w:rPr>
          <w:rStyle w:val="Suchmarke"/>
        </w:rPr>
        <w:t>#197#</w:t>
      </w:r>
      <w:bookmarkEnd w:id="323"/>
    </w:p>
    <w:p>
      <w:r>
        <w:t xml:space="preserve">(1) </w:t>
      </w:r>
      <w:r>
        <w:rPr>
          <w:rStyle w:val="Satznummer"/>
        </w:rPr>
        <w:t>1</w:t>
      </w:r>
      <w:r>
        <w:t xml:space="preserve">Die Prüfungsanordnung sowie der voraussichtliche Prüfungsbeginn und die Namen der Prüfer sind dem Steuerpflichtigen, bei dem die Außenprüfung durchgeführt werden soll, angemessene Zeit vor Beginn der Prüfung bekannt zu geben, wenn der Prüfungszweck dadurch nicht gefährdet wird. </w:t>
      </w:r>
      <w:r>
        <w:rPr>
          <w:rStyle w:val="Satznummer"/>
        </w:rPr>
        <w:t>2</w:t>
      </w:r>
      <w:r>
        <w:t xml:space="preserve">Der Steuerpflichtige kann auf die Einhaltung der Frist verzichten. </w:t>
      </w:r>
      <w:r>
        <w:rPr>
          <w:rStyle w:val="Satznummer"/>
        </w:rPr>
        <w:t>3</w:t>
      </w:r>
      <w:r>
        <w:t xml:space="preserve">Soll die Prüfung nach </w:t>
      </w:r>
      <w:hyperlink w:anchor="b317" w:history="1">
        <w:r>
          <w:rPr>
            <w:color w:val="0A3A8C"/>
            <w:u w:val="single"/>
          </w:rPr>
          <w:t xml:space="preserve">§ 194</w:t>
        </w:r>
      </w:hyperlink>
      <w:r>
        <w:t xml:space="preserve"> Absatz 2 auf die steuerlichen Verhältnisse von Gesellschaftern und Mitgliedern sowie von Mitgliedern der Überwachungsorgane erstreckt werden, so ist die Prüfungsanordnung insoweit auch diesen Personen bekannt zu geben.</w:t>
      </w:r>
    </w:p>
    <w:p>
      <w:r>
        <w:t>(2) Auf Antrag der Steuerpflichtigen soll der Beginn der Außenprüfung auf einen anderen Zeitpunkt verlegt werden, wenn dafür wichtige Gründe glaubhaft gemacht werden.</w:t>
      </w:r>
    </w:p>
    <w:p>
      <w:r>
        <w:t xml:space="preserve">(3) </w:t>
      </w:r>
      <w:r>
        <w:rPr>
          <w:rStyle w:val="Satznummer"/>
        </w:rPr>
        <w:t>1</w:t>
      </w:r>
      <w:r>
        <w:t xml:space="preserve">Mit der Prüfungsanordnung kann die Vorlage von aufzeichnungs- oder aufbewahrungspflichtigen Unterlagen innerhalb einer angemessenen Frist verlangt werden. </w:t>
      </w:r>
      <w:r>
        <w:rPr>
          <w:rStyle w:val="Satznummer"/>
        </w:rPr>
        <w:t>2</w:t>
      </w:r>
      <w:r>
        <w:t xml:space="preserve">Sind diese Unterlagen mit Hilfe eines Datenverarbeitungssystems erstellt worden, sind die Daten in einem maschinell auswertbaren Format an die Finanzbehörde zu übertragen. </w:t>
      </w:r>
      <w:r>
        <w:rPr>
          <w:rStyle w:val="Satznummer"/>
        </w:rPr>
        <w:t>3</w:t>
      </w:r>
      <w:r>
        <w:t xml:space="preserve">Im Übrigen bleibt </w:t>
      </w:r>
      <w:hyperlink w:anchor="b249" w:history="1">
        <w:r>
          <w:rPr>
            <w:color w:val="0A3A8C"/>
            <w:u w:val="single"/>
          </w:rPr>
          <w:t xml:space="preserve">§ 147</w:t>
        </w:r>
      </w:hyperlink>
      <w:r>
        <w:t xml:space="preserve"> Absatz 6 unberührt.</w:t>
      </w:r>
    </w:p>
    <w:p>
      <w:r>
        <w:t xml:space="preserve">(4) </w:t>
      </w:r>
      <w:r>
        <w:rPr>
          <w:rStyle w:val="Satznummer"/>
        </w:rPr>
        <w:t>1</w:t>
      </w:r>
      <w:r>
        <w:t xml:space="preserve">Sind Unterlagen nach Absatz 3 vorgelegt worden, sollen dem Steuerpflichtigen die beabsichtigten Prüfungsschwerpunkte der Außenprüfung mitgeteilt werden. </w:t>
      </w:r>
      <w:r>
        <w:rPr>
          <w:rStyle w:val="Satznummer"/>
        </w:rPr>
        <w:t>2</w:t>
      </w:r>
      <w:r>
        <w:t xml:space="preserve">Die Nennung von Prüfungsschwerpunkten stellt keine Einschränkung der Außenprüfung auf bestimmte Sachverhalte nach </w:t>
      </w:r>
      <w:hyperlink w:anchor="b317" w:history="1">
        <w:r>
          <w:rPr>
            <w:color w:val="0A3A8C"/>
            <w:u w:val="single"/>
          </w:rPr>
          <w:t xml:space="preserve">§ 194</w:t>
        </w:r>
      </w:hyperlink>
      <w:r>
        <w:t xml:space="preserve"> dar.</w:t>
      </w:r>
    </w:p>
    <w:p>
      <w:r>
        <w:t xml:space="preserve">(5) </w:t>
      </w:r>
      <w:r>
        <w:rPr>
          <w:rStyle w:val="Satznummer"/>
        </w:rPr>
        <w:t>1</w:t>
      </w:r>
      <w:r>
        <w:t xml:space="preserve">Ist Grundlage der Außenprüfung ein Steuerbescheid, der aufgrund einer in </w:t>
      </w:r>
      <w:hyperlink w:anchor="b254" w:history="1">
        <w:r>
          <w:rPr>
            <w:color w:val="0A3A8C"/>
            <w:u w:val="single"/>
          </w:rPr>
          <w:t xml:space="preserve">§ 149</w:t>
        </w:r>
      </w:hyperlink>
      <w:r>
        <w:t xml:space="preserve"> Absatz 3 genannten Steuererklärung erlassen wurde, soll die Prüfungsanordnung bis zum Ablauf des Kalenderjahres erlassen werden, das auf das Kalenderjahr folgt, in dem der Steuerbescheid wirksam geworden ist. </w:t>
      </w:r>
      <w:r>
        <w:rPr>
          <w:rStyle w:val="Satznummer"/>
        </w:rPr>
        <w:t>2</w:t>
      </w:r>
      <w:r>
        <w:t xml:space="preserve">Wird die Prüfungsanordnung aus Gründen, die die Finanzbehörde zu vertreten hat, zu einem späteren Zeitpunkt bekanntgegeben, beginnt die Frist nach </w:t>
      </w:r>
      <w:hyperlink w:anchor="b281" w:history="1">
        <w:r>
          <w:rPr>
            <w:color w:val="0A3A8C"/>
            <w:u w:val="single"/>
          </w:rPr>
          <w:t xml:space="preserve">§ 171</w:t>
        </w:r>
      </w:hyperlink>
      <w:r>
        <w:t xml:space="preserve"> Absatz 4 Satz 3 erster Halbsatz mit Ablauf des Kalenderjahres, das auf das Kalenderjahr folgt, in dem der in Satz 1 bezeichnete Steuerbescheid wirksam geworden ist. </w:t>
      </w:r>
      <w:r>
        <w:rPr>
          <w:rStyle w:val="Satznummer"/>
        </w:rPr>
        <w:t>3</w:t>
      </w:r>
      <w:r>
        <w:t>Erstreckt sich die Außenprüfung zugleich auf mehrere Steuerbescheide, sind die Sätze 1 und 2 mit der Maßgabe anzuwenden, dass der Zeitpunkt des Wirksamwerdens des zuletzt ergangenen Steuerbescheids einheitlich maßgeblich ist.</w:t>
      </w:r>
    </w:p>
    <w:p>
      <w:pPr>
        <w:pStyle w:val="Heading4"/>
      </w:pPr>
      <w:bookmarkStart w:id="324" w:name="b321"/>
      <w:r>
        <w:t>§ 198 Ausweispflicht, Beginn der Außenprüfung</w:t>
      </w:r>
      <w:r>
        <w:t xml:space="preserve"> </w:t>
      </w:r>
      <w:r>
        <w:rPr>
          <w:rStyle w:val="Suchmarke"/>
        </w:rPr>
        <w:t>#198#</w:t>
      </w:r>
      <w:bookmarkEnd w:id="324"/>
    </w:p>
    <w:p>
      <w:r>
        <w:rPr>
          <w:rStyle w:val="Satznummer"/>
        </w:rPr>
        <w:t>1</w:t>
      </w:r>
      <w:r>
        <w:t xml:space="preserve">Die Prüfer haben sich bei Erscheinen unverzüglich auszuweisen. </w:t>
      </w:r>
      <w:r>
        <w:rPr>
          <w:rStyle w:val="Satznummer"/>
        </w:rPr>
        <w:t>2</w:t>
      </w:r>
      <w:r>
        <w:t>Der Beginn der Außenprüfung ist unter Angabe von Datum und Uhrzeit aktenkundig zu machen.</w:t>
      </w:r>
    </w:p>
    <w:p>
      <w:pPr>
        <w:pStyle w:val="Heading4"/>
      </w:pPr>
      <w:bookmarkStart w:id="325" w:name="b322"/>
      <w:r>
        <w:t>§ 199 Prüfungsgrundsätze</w:t>
      </w:r>
      <w:r>
        <w:t xml:space="preserve"> </w:t>
      </w:r>
      <w:r>
        <w:rPr>
          <w:rStyle w:val="Suchmarke"/>
        </w:rPr>
        <w:t>#199#</w:t>
      </w:r>
      <w:bookmarkEnd w:id="325"/>
    </w:p>
    <w:p>
      <w:r>
        <w:t>(1) Der Außenprüfer hat die tatsächlichen und rechtlichen Verhältnisse, die für die Steuerpflicht und für die Bemessung der Steuer maßgebend sind (Besteuerungsgrundlagen), zugunsten wie zuungunsten des Steuerpflichtigen zu prüfen.</w:t>
      </w:r>
    </w:p>
    <w:p>
      <w:r>
        <w:t xml:space="preserve">(2) </w:t>
      </w:r>
      <w:r>
        <w:rPr>
          <w:rStyle w:val="Satznummer"/>
        </w:rPr>
        <w:t>1</w:t>
      </w:r>
      <w:r>
        <w:t xml:space="preserve">Der Steuerpflichtige ist während der Außenprüfung über die festgestellten Sachverhalte und die möglichen steuerlichen Auswirkungen zu unterrichten, wenn dadurch Zweck und Ablauf der Prüfung nicht beeinträchtigt werden. </w:t>
      </w:r>
      <w:r>
        <w:rPr>
          <w:rStyle w:val="Satznummer"/>
        </w:rPr>
        <w:t>2</w:t>
      </w:r>
      <w:r>
        <w:t xml:space="preserve">Die Finanzbehörde kann mit dem Steuerpflichtigen vereinbaren, in regelmäßigen Abständen Gespräche über die festgestellten Sachverhalte und die möglichen steuerlichen Auswirkungen zu führen. </w:t>
      </w:r>
      <w:r>
        <w:rPr>
          <w:rStyle w:val="Satznummer"/>
        </w:rPr>
        <w:t>3</w:t>
      </w:r>
      <w:r>
        <w:t xml:space="preserve">Sie kann im Einvernehmen mit dem Steuerpflichtigen Rahmenbedingungen für die Mitwirkung nach </w:t>
      </w:r>
      <w:hyperlink w:anchor="b323" w:history="1">
        <w:r>
          <w:rPr>
            <w:color w:val="0A3A8C"/>
            <w:u w:val="single"/>
          </w:rPr>
          <w:t xml:space="preserve">§ 200</w:t>
        </w:r>
      </w:hyperlink>
      <w:r>
        <w:t xml:space="preserve"> festlegen; werden die Rahmenbedingungen vom Steuerpflichtigen erfüllt, unterbleibt ein qualifiziertes Mitwirkungsverlangen nach </w:t>
      </w:r>
      <w:hyperlink w:anchor="b324" w:history="1">
        <w:r>
          <w:rPr>
            <w:color w:val="0A3A8C"/>
            <w:u w:val="single"/>
          </w:rPr>
          <w:t xml:space="preserve">§ 200a</w:t>
        </w:r>
      </w:hyperlink>
      <w:r>
        <w:t>.</w:t>
      </w:r>
    </w:p>
    <w:p>
      <w:pPr>
        <w:pStyle w:val="Heading4"/>
      </w:pPr>
      <w:bookmarkStart w:id="326" w:name="b323"/>
      <w:r>
        <w:t>§ 200 Mitwirkungspflichten des Steuerpflichtigen</w:t>
      </w:r>
      <w:r>
        <w:t xml:space="preserve"> </w:t>
      </w:r>
      <w:r>
        <w:rPr>
          <w:rStyle w:val="Suchmarke"/>
        </w:rPr>
        <w:t>#200#</w:t>
      </w:r>
      <w:bookmarkEnd w:id="326"/>
    </w:p>
    <w:p>
      <w:r>
        <w:t xml:space="preserve">(1) </w:t>
      </w:r>
      <w:r>
        <w:rPr>
          <w:rStyle w:val="Satznummer"/>
        </w:rPr>
        <w:t>1</w:t>
      </w:r>
      <w:r>
        <w:t xml:space="preserve">Der Steuerpflichtige hat bei der Feststellung der Sachverhalte, die für die Besteuerung erheblich sein können, mitzuwirken. </w:t>
      </w:r>
      <w:r>
        <w:rPr>
          <w:rStyle w:val="Satznummer"/>
        </w:rPr>
        <w:t>2</w:t>
      </w:r>
      <w:r>
        <w:t xml:space="preserve">Er hat insbesondere Auskünfte zu erteilen, Aufzeichnungen, Bücher, Geschäftspapiere und andere Urkunden zur Einsicht und Prüfung vorzulegen, die zum Verständnis der Aufzeichnungen erforderlichen Erläuterungen zu geben und die Finanzbehörde bei Ausübung ihrer Befugnisse nach </w:t>
      </w:r>
      <w:hyperlink w:anchor="b249" w:history="1">
        <w:r>
          <w:rPr>
            <w:color w:val="0A3A8C"/>
            <w:u w:val="single"/>
          </w:rPr>
          <w:t xml:space="preserve">§ 147</w:t>
        </w:r>
      </w:hyperlink>
      <w:r>
        <w:t xml:space="preserve"> Absatz 6 zu unterstützen. </w:t>
      </w:r>
      <w:r>
        <w:rPr>
          <w:rStyle w:val="Satznummer"/>
        </w:rPr>
        <w:t>3</w:t>
      </w:r>
      <w:r>
        <w:t xml:space="preserve">Sind der Steuerpflichtige oder die von ihm benannten Personen nicht in der Lage, Auskünfte zu erteilen, oder sind die Auskünfte zur Klärung des Sachverhalts unzureichend oder versprechen Auskünfte des Steuerpflichtigen keinen Erfolg, so kann der Außenprüfer auch andere Betriebsangehörige um Auskunft ersuchen. </w:t>
      </w:r>
      <w:r>
        <w:rPr>
          <w:rStyle w:val="Satznummer"/>
        </w:rPr>
        <w:t>4</w:t>
      </w:r>
      <w:hyperlink w:anchor="b149" w:history="1">
        <w:r>
          <w:rPr>
            <w:color w:val="0A3A8C"/>
            <w:u w:val="single"/>
          </w:rPr>
          <w:t xml:space="preserve">§ 93</w:t>
        </w:r>
      </w:hyperlink>
      <w:r>
        <w:t xml:space="preserve"> Absatz 2 Satz 2 gilt nicht.</w:t>
      </w:r>
    </w:p>
    <w:p>
      <w:r>
        <w:t xml:space="preserve">(2) </w:t>
      </w:r>
      <w:r>
        <w:rPr>
          <w:rStyle w:val="Satznummer"/>
        </w:rPr>
        <w:t>1</w:t>
      </w:r>
      <w:r>
        <w:t xml:space="preserve">Die in Absatz 1 genannten Unterlagen hat der Steuerpflichtige in seinen Geschäftsräumen oder, soweit ein zur Durchführung der Außenprüfung geeigneter Geschäftsraum nicht vorhanden ist, in seinen Wohnräumen oder an Amtsstelle vorzulegen. </w:t>
      </w:r>
      <w:r>
        <w:rPr>
          <w:rStyle w:val="Satznummer"/>
        </w:rPr>
        <w:t>2</w:t>
      </w:r>
      <w:r>
        <w:t xml:space="preserve">Werden mobile Endgeräte in der Außenprüfung eingesetzt, gilt die ortsunabhängige Tätigkeit als an Amtsstelle ausgeübt. </w:t>
      </w:r>
      <w:r>
        <w:rPr>
          <w:rStyle w:val="Satznummer"/>
        </w:rPr>
        <w:t>3</w:t>
      </w:r>
      <w:r>
        <w:t xml:space="preserve">Ein zur Durchführung der Außenprüfung geeigneter Raum oder Arbeitsplatz sowie die erforderlichen Hilfsmittel sind unentgeltlich zur Verfügung zu stellen. </w:t>
      </w:r>
      <w:r>
        <w:rPr>
          <w:rStyle w:val="Satznummer"/>
        </w:rPr>
        <w:t>4</w:t>
      </w:r>
      <w:hyperlink w:anchor="b249" w:history="1">
        <w:r>
          <w:rPr>
            <w:color w:val="0A3A8C"/>
            <w:u w:val="single"/>
          </w:rPr>
          <w:t xml:space="preserve">§ 147</w:t>
        </w:r>
      </w:hyperlink>
      <w:r>
        <w:t xml:space="preserve"> Absatz 6 und 7 bleibt unberührt.</w:t>
      </w:r>
    </w:p>
    <w:p>
      <w:r>
        <w:t xml:space="preserve">(3) </w:t>
      </w:r>
      <w:r>
        <w:rPr>
          <w:rStyle w:val="Satznummer"/>
        </w:rPr>
        <w:t>1</w:t>
      </w:r>
      <w:r>
        <w:t xml:space="preserve">Die Außenprüfung findet während der üblichen Geschäfts- oder Arbeitszeit statt. </w:t>
      </w:r>
      <w:r>
        <w:rPr>
          <w:rStyle w:val="Satznummer"/>
        </w:rPr>
        <w:t>2</w:t>
      </w:r>
      <w:r>
        <w:t xml:space="preserve">Die Prüfer sind berechtigt, Grundstücke und Betriebsräume zu betreten und zu besichtigen. </w:t>
      </w:r>
      <w:r>
        <w:rPr>
          <w:rStyle w:val="Satznummer"/>
        </w:rPr>
        <w:t>3</w:t>
      </w:r>
      <w:r>
        <w:t>Bei der Betriebsbesichtigung soll der Betriebsinhaber oder sein Beauftragter hinzugezogen werden.</w:t>
      </w:r>
    </w:p>
    <w:p>
      <w:pPr>
        <w:pStyle w:val="Heading4"/>
      </w:pPr>
      <w:bookmarkStart w:id="327" w:name="b324"/>
      <w:r>
        <w:t>§ 200a Qualifiziertes Mitwirkungsverlangen</w:t>
      </w:r>
      <w:r>
        <w:t xml:space="preserve"> </w:t>
      </w:r>
      <w:r>
        <w:rPr>
          <w:rStyle w:val="Suchmarke"/>
        </w:rPr>
        <w:t>#200a#</w:t>
      </w:r>
      <w:bookmarkEnd w:id="327"/>
    </w:p>
    <w:p>
      <w:r>
        <w:t xml:space="preserve">(1) </w:t>
      </w:r>
      <w:r>
        <w:rPr>
          <w:rStyle w:val="Satznummer"/>
        </w:rPr>
        <w:t>1</w:t>
      </w:r>
      <w:r>
        <w:t xml:space="preserve">Nach Ablauf von sechs Monaten seit Bekanntgabe der Prüfungsanordnung kann der Steuerpflichtige zur Mitwirkung nach § 200 Absatz 1 in einem schriftlich oder elektronisch zu erteilenden Mitwirkungsverlangen mit Rechtsbehelfsbelehrung nach </w:t>
      </w:r>
      <w:hyperlink w:anchor="b515" w:history="1">
        <w:r>
          <w:rPr>
            <w:color w:val="0A3A8C"/>
            <w:u w:val="single"/>
          </w:rPr>
          <w:t xml:space="preserve">§ 356</w:t>
        </w:r>
      </w:hyperlink>
      <w:r>
        <w:t xml:space="preserve"> aufgefordert werden (qualifiziertes Mitwirkungsverlangen). </w:t>
      </w:r>
      <w:r>
        <w:rPr>
          <w:rStyle w:val="Satznummer"/>
        </w:rPr>
        <w:t>2</w:t>
      </w:r>
      <w:r>
        <w:t xml:space="preserve">Hat die Finanzbehörde den Steuerpflichtigen auf die Möglichkeit eines qualifizierten Mitwirkungsverlangens hingewiesen und ist der Steuerpflichtige seinen Mitwirkungspflichten dennoch nicht oder nicht hinreichend nachgekommen, ist eine weitergehende Begründung nicht erforderlich. </w:t>
      </w:r>
      <w:r>
        <w:rPr>
          <w:rStyle w:val="Satznummer"/>
        </w:rPr>
        <w:t>3</w:t>
      </w:r>
      <w:hyperlink w:anchor="b323" w:history="1">
        <w:r>
          <w:rPr>
            <w:color w:val="0A3A8C"/>
            <w:u w:val="single"/>
          </w:rPr>
          <w:t xml:space="preserve">§ 200</w:t>
        </w:r>
      </w:hyperlink>
      <w:r>
        <w:t xml:space="preserve"> Absatz 2 gilt entsprechend. </w:t>
      </w:r>
      <w:r>
        <w:rPr>
          <w:rStyle w:val="Satznummer"/>
        </w:rPr>
        <w:t>4</w:t>
      </w:r>
      <w:r>
        <w:t>Das qualifizierte Mitwirkungsverlangen ist innerhalb einer Frist von einem Monat nach Bekanntgabe zu erfüllen; in begründeten Einzelfällen kann die Frist verlängert werden.</w:t>
      </w:r>
    </w:p>
    <w:p>
      <w:r>
        <w:t xml:space="preserve">(2) </w:t>
      </w:r>
      <w:r>
        <w:rPr>
          <w:rStyle w:val="Satznummer"/>
        </w:rPr>
        <w:t>1</w:t>
      </w:r>
      <w:r>
        <w:t xml:space="preserve">Kommt der Steuerpflichtige dem qualifizierten Mitwirkungsverlangen innerhalb der Frist nach Absatz 1 Satz 4 nicht oder nicht hinreichend nach (Mitwirkungsverzögerung), ist ein Mitwirkungsverzögerungsgeld festzusetzen. </w:t>
      </w:r>
      <w:r>
        <w:rPr>
          <w:rStyle w:val="Satznummer"/>
        </w:rPr>
        <w:t>2</w:t>
      </w:r>
      <w:r>
        <w:t xml:space="preserve">Das Mitwirkungsverzögerungsgeld beträgt 75 Euro für jeden vollen Kalendertag der Mitwirkungsverzögerung. </w:t>
      </w:r>
      <w:r>
        <w:rPr>
          <w:rStyle w:val="Satznummer"/>
        </w:rPr>
        <w:t>3</w:t>
      </w:r>
      <w:r>
        <w:t xml:space="preserve">Es ist höchstens für 150 Kalendertage festzusetzen. </w:t>
      </w:r>
      <w:r>
        <w:rPr>
          <w:rStyle w:val="Satznummer"/>
        </w:rPr>
        <w:t>4</w:t>
      </w:r>
      <w:r>
        <w:t xml:space="preserve">Die Festsetzung des Mitwirkungsverzögerungsgeldes kann für volle Wochen und Monate der Mitwirkungsverzögerung in Teilbeträgen erfolgen. </w:t>
      </w:r>
      <w:r>
        <w:rPr>
          <w:rStyle w:val="Satznummer"/>
        </w:rPr>
        <w:t>5</w:t>
      </w:r>
      <w:r>
        <w:t xml:space="preserve">Die Mitwirkungsverzögerung endet mit Ablauf des Tages, an dem das qualifizierte Mitwirkungsverlangen vollständig erfüllt wurde, spätestens mit Ablauf des Tages der Schlussbesprechung. </w:t>
      </w:r>
      <w:r>
        <w:rPr>
          <w:rStyle w:val="Satznummer"/>
        </w:rPr>
        <w:t>6</w:t>
      </w:r>
      <w:r>
        <w:t>Von der Festsetzung eines Mitwirkungsverzögerungsgeldes ist abzusehen, wenn der Steuerpflichtige glaubhaft macht, dass die Mitwirkungsverzögerung entschuldbar ist; das Verschulden eines Vertreters oder eines Erfüllungsgehilfen ist dem Steuerpflichtigen zuzurechnen.</w:t>
      </w:r>
    </w:p>
    <w:p>
      <w:r>
        <w:t xml:space="preserve">(3) </w:t>
      </w:r>
      <w:r>
        <w:rPr>
          <w:rStyle w:val="Satznummer"/>
        </w:rPr>
        <w:t>1</w:t>
      </w:r>
      <w:r>
        <w:t>Liegt eine Mitwirkungsverzögerung vor, kann ein Zuschlag zum Mitwirkungsverzögerungsgeld festgesetzt werden, wenn</w:t>
      </w:r>
    </w:p>
    <w:p>
      <w:pPr>
        <w:tabs>
          <w:tab w:pos="567" w:val="left"/>
        </w:tabs>
        <w:ind w:left="567" w:hanging="567"/>
      </w:pPr>
      <w:r>
        <w:t>1.</w:t>
      </w:r>
      <w:r>
        <w:tab/>
      </w:r>
      <w:r>
        <w:t>in den letzten fünf Jahren vor dem ersten Tag der Mitwirkungsverzögerung ein Mitwirkungsverzögerungsgeld festgesetzt wurde und zu befürchten ist, dass der Steuerpflichtige ohne einen Zuschlag zum Mitwirkungsverzögerungsgeld seiner aktuellen Verpflichtung nach Absatz 1 nicht nachkommt, oder</w:t>
      </w:r>
    </w:p>
    <w:p>
      <w:pPr>
        <w:tabs>
          <w:tab w:pos="567" w:val="left"/>
        </w:tabs>
        <w:ind w:left="567" w:hanging="567"/>
      </w:pPr>
      <w:r>
        <w:t>2.</w:t>
      </w:r>
      <w:r>
        <w:tab/>
      </w:r>
      <w:r>
        <w:t xml:space="preserve">zu befürchten ist, dass der Steuerpflichtige aufgrund seiner wirtschaftlichen Leistungsfähigkeit ohne einen Zuschlag zum Mitwirkungsverzögerungsgeld seiner aktuellen Verpflichtung nach Absatz 1 nicht nachkommt. </w:t>
      </w:r>
      <w:r>
        <w:rPr>
          <w:rStyle w:val="Satznummer"/>
        </w:rPr>
        <w:t>2</w:t>
      </w:r>
      <w:r>
        <w:t>Dies ist insbesondere anzunehmen, wenn die Umsatzerlöse des Steuerpflichtigen in einem der von der Außenprüfung umfassten Kalenderjahre mindestens 12 Millionen Euro betragen haben oder der Steuerpflichtige einem Konzern angehört, dessen im Konzernabschluss ausgewiesene konsolidierte Umsatzerlöse in einem der von der Außenprüfung umfassten Kalenderjahre mindestens 120 Millionen Euro betragen haben.</w:t>
      </w:r>
    </w:p>
    <w:p>
      <w:r>
        <w:rPr>
          <w:rStyle w:val="Satznummer"/>
        </w:rPr>
        <w:t>2</w:t>
      </w:r>
      <w:r>
        <w:t xml:space="preserve">Der Zuschlag zum Mitwirkungsverzögerungsgeld beträgt höchstens 25 000 Euro für jeden vollen Kalendertag der Mitwirkungsverzögerung und ist höchstens für 150 Kalendertage festzusetzen; er kann für volle Wochen und Monate der Mitwirkungsverzögerung in Teilbeträgen festgesetzt werden. </w:t>
      </w:r>
      <w:r>
        <w:rPr>
          <w:rStyle w:val="Satznummer"/>
        </w:rPr>
        <w:t>3</w:t>
      </w:r>
      <w:r>
        <w:t>Absatz 2 Satz 5 und 6 gilt entsprechend.</w:t>
      </w:r>
    </w:p>
    <w:p>
      <w:r>
        <w:t xml:space="preserve">(4) </w:t>
      </w:r>
      <w:r>
        <w:rPr>
          <w:rStyle w:val="Satznummer"/>
        </w:rPr>
        <w:t>1</w:t>
      </w:r>
      <w:r>
        <w:t xml:space="preserve">Wurde wegen einer Mitwirkungsverzögerung ein Mitwirkungsverzögerungsgeld nach Absatz 2 festgesetzt, verlängert sich die Frist nach </w:t>
      </w:r>
      <w:hyperlink w:anchor="b281" w:history="1">
        <w:r>
          <w:rPr>
            <w:color w:val="0A3A8C"/>
            <w:u w:val="single"/>
          </w:rPr>
          <w:t xml:space="preserve">§ 171</w:t>
        </w:r>
      </w:hyperlink>
      <w:r>
        <w:t xml:space="preserve"> Absatz 4 Satz 3 erster Halbsatz für die Steuern, auf die sich die Außenprüfung erstreckt, um die Dauer der Mitwirkungsverzögerung, mindestens aber um ein Jahr. </w:t>
      </w:r>
      <w:r>
        <w:rPr>
          <w:rStyle w:val="Satznummer"/>
        </w:rPr>
        <w:t>2</w:t>
      </w:r>
      <w:r>
        <w:t xml:space="preserve">Abweichend von Satz 1 gilt </w:t>
      </w:r>
      <w:hyperlink w:anchor="b281" w:history="1">
        <w:r>
          <w:rPr>
            <w:color w:val="0A3A8C"/>
            <w:u w:val="single"/>
          </w:rPr>
          <w:t xml:space="preserve">§ 171</w:t>
        </w:r>
      </w:hyperlink>
      <w:r>
        <w:t xml:space="preserve"> Absatz 4 Satz 3 erster Halbsatz für die Steuern, auf die sich die Außenprüfung erstreckt, nicht, wenn außerdem in den letzten fünf Jahren vor dem ersten Tag der Mitwirkungsverzögerung ein Mitwirkungsverzögerungsgeld nach Absatz 2 festgesetzt wurde. </w:t>
      </w:r>
      <w:r>
        <w:rPr>
          <w:rStyle w:val="Satznummer"/>
        </w:rPr>
        <w:t>3</w:t>
      </w:r>
      <w:r>
        <w:t>Ist die Erfüllung der geforderten Mitwirkung unmöglich, gelten die Sätze 1 und 2 entsprechend, wenn der Steuerpflichtige auf die Unmöglichkeit nicht unverzüglich hingewiesen hat.</w:t>
      </w:r>
    </w:p>
    <w:p>
      <w:r>
        <w:t>(5) Wird ein qualifiziertes Mitwirkungsverlangen nach Absatz 1, die Festsetzung eines Mitwirkungsverzögerungsgeldes nach Absatz 2 oder die Festsetzung eines Zuschlags zum Mitwirkungsverzögerungsgeld nach Absatz 3 mit einem Einspruch oder einer Klage angefochten, so läuft die Festsetzungsfrist für die Steuern, auf die sich die Außenprüfung erstreckt, nicht vor Ablauf eines Jahres nach der Unanfechtbarkeit der Entscheidung über den Rechtsbehelf ab.</w:t>
      </w:r>
    </w:p>
    <w:p>
      <w:r>
        <w:t>(6) Im qualifizierten Mitwirkungsverlangen ist auf die Möglichkeit der Festsetzung eines Mitwirkungsverzögerungsgeldes nach Absatz 2 und eines Zuschlags zum Mitwirkungsverzögerungsgeld nach Absatz 3 sowie auf die voraussichtliche Höhe des Zuschlags und auf die Rechtsfolgen nach den Absätzen 4 und 5 hinzuweisen.</w:t>
      </w:r>
    </w:p>
    <w:p>
      <w:r>
        <w:t>(7) Die Betragsgrenzen nach Absatz 3 Satz 1 Nummer 2 sind mindestens alle drei Jahre und spätestens erstmals zum 1. Januar 2026 zu evaluieren.</w:t>
      </w:r>
    </w:p>
    <w:p>
      <w:pPr>
        <w:pStyle w:val="Heading4"/>
      </w:pPr>
      <w:bookmarkStart w:id="328" w:name="b325"/>
      <w:r>
        <w:t>§ 201 Schlussbesprechung</w:t>
      </w:r>
      <w:r>
        <w:t xml:space="preserve"> </w:t>
      </w:r>
      <w:r>
        <w:rPr>
          <w:rStyle w:val="Suchmarke"/>
        </w:rPr>
        <w:t>#201#</w:t>
      </w:r>
      <w:bookmarkEnd w:id="328"/>
    </w:p>
    <w:p>
      <w:r>
        <w:t xml:space="preserve">(1) </w:t>
      </w:r>
      <w:r>
        <w:rPr>
          <w:rStyle w:val="Satznummer"/>
        </w:rPr>
        <w:t>1</w:t>
      </w:r>
      <w:r>
        <w:t xml:space="preserve">Über das Ergebnis der Außenprüfung ist eine Besprechung abzuhalten (Schlussbesprechung), es sei denn, dass sich nach dem Ergebnis der Außenprüfung keine Änderung der Besteuerungsgrundlagen ergibt oder dass der Steuerpflichtige auf die Besprechung verzichtet. </w:t>
      </w:r>
      <w:r>
        <w:rPr>
          <w:rStyle w:val="Satznummer"/>
        </w:rPr>
        <w:t>2</w:t>
      </w:r>
      <w:r>
        <w:t xml:space="preserve">Bei der Schlussbesprechung sind insbesondere strittige Sachverhalte sowie die rechtliche Beurteilung der Prüfungsfeststellungen und ihre steuerlichen Auswirkungen zu erörtern. </w:t>
      </w:r>
      <w:r>
        <w:rPr>
          <w:rStyle w:val="Satznummer"/>
        </w:rPr>
        <w:t>3</w:t>
      </w:r>
      <w:r>
        <w:t xml:space="preserve">Eine Schlussbesprechung kann mit Zustimmung des Steuerpflichtigen auch fernmündlich oder nach </w:t>
      </w:r>
      <w:hyperlink w:anchor="b133" w:history="1">
        <w:r>
          <w:rPr>
            <w:color w:val="0A3A8C"/>
            <w:u w:val="single"/>
          </w:rPr>
          <w:t xml:space="preserve">§ 87a</w:t>
        </w:r>
      </w:hyperlink>
      <w:r>
        <w:t xml:space="preserve"> Absatz 1a elektronisch durchgeführt werden.</w:t>
      </w:r>
    </w:p>
    <w:p>
      <w:r>
        <w:t>(2) Besteht die Möglichkeit, dass auf Grund der Prüfungsfeststellungen ein Straf- oder Bußgeldverfahren durchgeführt werden muss, soll der Steuerpflichtige darauf hingewiesen werden, dass die straf- oder bußgeldrechtliche Würdigung einem besonderen Verfahren vorbehalten bleibt.</w:t>
      </w:r>
    </w:p>
    <w:p>
      <w:pPr>
        <w:pStyle w:val="Heading4"/>
      </w:pPr>
      <w:bookmarkStart w:id="329" w:name="b326"/>
      <w:r>
        <w:t>§ 202 Inhalt und Bekanntgabe des Prüfungsberichts</w:t>
      </w:r>
      <w:r>
        <w:t xml:space="preserve"> </w:t>
      </w:r>
      <w:r>
        <w:rPr>
          <w:rStyle w:val="Suchmarke"/>
        </w:rPr>
        <w:t>#202#</w:t>
      </w:r>
      <w:bookmarkEnd w:id="329"/>
    </w:p>
    <w:p>
      <w:r>
        <w:t xml:space="preserve">(1) </w:t>
      </w:r>
      <w:r>
        <w:rPr>
          <w:rStyle w:val="Satznummer"/>
        </w:rPr>
        <w:t>1</w:t>
      </w:r>
      <w:r>
        <w:t xml:space="preserve">Über das Ergebnis der Außenprüfung ergeht ein schriftlicher oder elektronischer Bericht (Prüfungsbericht). </w:t>
      </w:r>
      <w:r>
        <w:rPr>
          <w:rStyle w:val="Satznummer"/>
        </w:rPr>
        <w:t>2</w:t>
      </w:r>
      <w:r>
        <w:t xml:space="preserve">Im Prüfungsbericht sind die für die Besteuerung erheblichen Prüfungsfeststellungen in tatsächlicher und rechtlicher Hinsicht sowie die Änderungen der Besteuerungsgrundlagen darzustellen. </w:t>
      </w:r>
      <w:r>
        <w:rPr>
          <w:rStyle w:val="Satznummer"/>
        </w:rPr>
        <w:t>3</w:t>
      </w:r>
      <w:r>
        <w:t xml:space="preserve">Führt die Außenprüfung zu keiner Änderung der Besteuerungsgrundlagen, so genügt es, wenn dies dem Steuerpflichtigen schriftlich oder elektronisch mitgeteilt wird. </w:t>
      </w:r>
      <w:r>
        <w:rPr>
          <w:rStyle w:val="Satznummer"/>
        </w:rPr>
        <w:t>4</w:t>
      </w:r>
      <w:r>
        <w:t xml:space="preserve">Wurden Besteuerungsgrundlagen in einem Teilabschlussbescheid nach </w:t>
      </w:r>
      <w:hyperlink w:anchor="b297" w:history="1">
        <w:r>
          <w:rPr>
            <w:color w:val="0A3A8C"/>
            <w:u w:val="single"/>
          </w:rPr>
          <w:t xml:space="preserve">§ 180</w:t>
        </w:r>
      </w:hyperlink>
      <w:r>
        <w:t xml:space="preserve"> Absatz 1a gesondert festgestellt, ist im Prüfungsbericht darauf hinzuweisen.</w:t>
      </w:r>
    </w:p>
    <w:p>
      <w:r>
        <w:t>(2) Die Finanzbehörde hat dem Steuerpflichtigen auf Antrag den Prüfungsbericht vor seiner Auswertung zu übersenden und ihm Gelegenheit zu geben, in angemessener Zeit dazu Stellung zu nehmen.</w:t>
      </w:r>
    </w:p>
    <w:p>
      <w:r>
        <w:t xml:space="preserve">(3) Sollen Besteuerungsgrundlagen in einem Teilabschlussbescheid nach </w:t>
      </w:r>
      <w:hyperlink w:anchor="b297" w:history="1">
        <w:r>
          <w:rPr>
            <w:color w:val="0A3A8C"/>
            <w:u w:val="single"/>
          </w:rPr>
          <w:t xml:space="preserve">§ 180</w:t>
        </w:r>
      </w:hyperlink>
      <w:r>
        <w:t xml:space="preserve"> Absatz 1a gesondert festgestellt werden, ergeht vor Erlass des Teilabschlussbescheids ein schriftlicher oder elektronischer Teilprüfungsbericht; Absatz 1 Satz 2 bis 4 und Absatz 2 gelten entsprechend.</w:t>
      </w:r>
    </w:p>
    <w:p>
      <w:pPr>
        <w:pStyle w:val="Heading4"/>
      </w:pPr>
      <w:bookmarkStart w:id="330" w:name="b327"/>
      <w:r>
        <w:t>§ 203 Abgekürzte Außenprüfung</w:t>
      </w:r>
      <w:r>
        <w:t xml:space="preserve"> </w:t>
      </w:r>
      <w:r>
        <w:rPr>
          <w:rStyle w:val="Suchmarke"/>
        </w:rPr>
        <w:t>#203#</w:t>
      </w:r>
      <w:bookmarkEnd w:id="330"/>
    </w:p>
    <w:p>
      <w:r>
        <w:t xml:space="preserve">(1) </w:t>
      </w:r>
      <w:r>
        <w:rPr>
          <w:rStyle w:val="Satznummer"/>
        </w:rPr>
        <w:t>1</w:t>
      </w:r>
      <w:r>
        <w:t xml:space="preserve">Bei Steuerpflichtigen, bei denen die Finanzbehörde eine Außenprüfung in regelmäßigen Zeitabständen nach den Umständen des Falles nicht für erforderlich hält, kann sie eine abgekürzte Außenprüfung durchführen. </w:t>
      </w:r>
      <w:r>
        <w:rPr>
          <w:rStyle w:val="Satznummer"/>
        </w:rPr>
        <w:t>2</w:t>
      </w:r>
      <w:r>
        <w:t>Die Prüfung hat sich auf die wesentlichen Besteuerungsgrundlagen zu beschränken.</w:t>
      </w:r>
    </w:p>
    <w:p>
      <w:r>
        <w:t xml:space="preserve">(2) </w:t>
      </w:r>
      <w:r>
        <w:rPr>
          <w:rStyle w:val="Satznummer"/>
        </w:rPr>
        <w:t>1</w:t>
      </w:r>
      <w:r>
        <w:t xml:space="preserve">Der Steuerpflichtige ist vor Abschluss der Prüfung darauf hinzuweisen, inwieweit von den Steuererklärungen oder den Steuerfestsetzungen abgewichen werden soll. </w:t>
      </w:r>
      <w:r>
        <w:rPr>
          <w:rStyle w:val="Satznummer"/>
        </w:rPr>
        <w:t>2</w:t>
      </w:r>
      <w:r>
        <w:t xml:space="preserve">Die steuerlich erheblichen Prüfungsfeststellungen sind dem Steuerpflichtigen spätestens mit den Steuerbescheiden schriftlich oder elektronisch mitzuteilen. </w:t>
      </w:r>
      <w:r>
        <w:rPr>
          <w:rStyle w:val="Satznummer"/>
        </w:rPr>
        <w:t>3</w:t>
      </w:r>
      <w:hyperlink w:anchor="b325" w:history="1">
        <w:r>
          <w:rPr>
            <w:color w:val="0A3A8C"/>
            <w:u w:val="single"/>
          </w:rPr>
          <w:t xml:space="preserve">§ 201</w:t>
        </w:r>
      </w:hyperlink>
      <w:r>
        <w:t xml:space="preserve"> Absatz 1 und </w:t>
      </w:r>
      <w:hyperlink w:anchor="b326" w:history="1">
        <w:r>
          <w:rPr>
            <w:color w:val="0A3A8C"/>
            <w:u w:val="single"/>
          </w:rPr>
          <w:t xml:space="preserve">§ 202</w:t>
        </w:r>
      </w:hyperlink>
      <w:r>
        <w:t xml:space="preserve"> Absatz 2 gelten nicht.</w:t>
      </w:r>
    </w:p>
    <w:p>
      <w:pPr>
        <w:pStyle w:val="Heading4"/>
      </w:pPr>
      <w:bookmarkStart w:id="331" w:name="b328"/>
      <w:r>
        <w:t>§ 203a Außenprüfung bei Datenübermittlung durch Dritte</w:t>
      </w:r>
      <w:r>
        <w:t xml:space="preserve"> </w:t>
      </w:r>
      <w:r>
        <w:rPr>
          <w:rStyle w:val="Suchmarke"/>
        </w:rPr>
        <w:t>#203a#</w:t>
      </w:r>
      <w:bookmarkEnd w:id="331"/>
    </w:p>
    <w:p>
      <w:r>
        <w:t xml:space="preserve">(1) Bei einer mitteilungspflichtigen Stelle im Sinne des </w:t>
      </w:r>
      <w:hyperlink w:anchor="b152" w:history="1">
        <w:r>
          <w:rPr>
            <w:color w:val="0A3A8C"/>
            <w:u w:val="single"/>
          </w:rPr>
          <w:t xml:space="preserve">§ 93c</w:t>
        </w:r>
      </w:hyperlink>
      <w:r>
        <w:t xml:space="preserve"> Absatz 1 ist eine Außenprüfung zulässig, um zu ermitteln, ob die mitteilungspflichtige Stelle</w:t>
      </w:r>
    </w:p>
    <w:p>
      <w:pPr>
        <w:tabs>
          <w:tab w:pos="567" w:val="left"/>
        </w:tabs>
        <w:ind w:left="567" w:hanging="567"/>
      </w:pPr>
      <w:r>
        <w:t>1.</w:t>
      </w:r>
      <w:r>
        <w:tab/>
      </w:r>
      <w:r>
        <w:t xml:space="preserve">ihre Verpflichtung nach </w:t>
      </w:r>
      <w:hyperlink w:anchor="b152" w:history="1">
        <w:r>
          <w:rPr>
            <w:color w:val="0A3A8C"/>
            <w:u w:val="single"/>
          </w:rPr>
          <w:t xml:space="preserve">§ 93c</w:t>
        </w:r>
      </w:hyperlink>
      <w:r>
        <w:t xml:space="preserve"> Absatz 1 Nummer 1, 2 und 4, Absatz 2 und 3 erfüllt und</w:t>
      </w:r>
    </w:p>
    <w:p>
      <w:pPr>
        <w:tabs>
          <w:tab w:pos="567" w:val="left"/>
        </w:tabs>
        <w:ind w:left="567" w:hanging="567"/>
      </w:pPr>
      <w:r>
        <w:t>2.</w:t>
      </w:r>
      <w:r>
        <w:tab/>
      </w:r>
      <w:r>
        <w:t>den Inhalt des Datensatzes nach den Vorgaben des jeweiligen Steuergesetzes bestimmt hat.</w:t>
      </w:r>
    </w:p>
    <w:p>
      <w:r>
        <w:t xml:space="preserve">(2) Die Außenprüfung wird von der für Ermittlungen nach </w:t>
      </w:r>
      <w:hyperlink w:anchor="b152" w:history="1">
        <w:r>
          <w:rPr>
            <w:color w:val="0A3A8C"/>
            <w:u w:val="single"/>
          </w:rPr>
          <w:t xml:space="preserve">§ 93c</w:t>
        </w:r>
      </w:hyperlink>
      <w:r>
        <w:t xml:space="preserve"> Absatz 4 Satz 1 zuständigen Finanzbehörde durchgeführt.</w:t>
      </w:r>
    </w:p>
    <w:p>
      <w:r>
        <w:t xml:space="preserve">(3) </w:t>
      </w:r>
      <w:hyperlink w:anchor="b318" w:history="1">
        <w:r>
          <w:rPr>
            <w:color w:val="0A3A8C"/>
            <w:u w:val="single"/>
          </w:rPr>
          <w:t xml:space="preserve">§ 195</w:t>
        </w:r>
      </w:hyperlink>
      <w:r>
        <w:t xml:space="preserve"> Satz 2 sowie die </w:t>
      </w:r>
      <w:hyperlink w:anchor="b319" w:history="1">
        <w:r>
          <w:rPr>
            <w:color w:val="0A3A8C"/>
            <w:u w:val="single"/>
          </w:rPr>
          <w:t xml:space="preserve">§§ 196</w:t>
        </w:r>
      </w:hyperlink>
      <w:r>
        <w:t xml:space="preserve"> bis </w:t>
      </w:r>
      <w:hyperlink w:anchor="b327" w:history="1">
        <w:r>
          <w:rPr>
            <w:color w:val="0A3A8C"/>
            <w:u w:val="single"/>
          </w:rPr>
          <w:t xml:space="preserve">203</w:t>
        </w:r>
      </w:hyperlink>
      <w:r>
        <w:t xml:space="preserve"> gelten entsprechend.</w:t>
      </w:r>
    </w:p>
    <w:p>
      <w:pPr>
        <w:pStyle w:val="Heading3"/>
      </w:pPr>
      <w:bookmarkStart w:id="332" w:name="b329"/>
      <w:r>
        <w:t>2. Unterabschnitt Verbindliche Zusagen auf Grund einer Außenprüfung</w:t>
      </w:r>
      <w:bookmarkEnd w:id="332"/>
    </w:p>
    <w:p>
      <w:pPr>
        <w:pStyle w:val="Heading4"/>
      </w:pPr>
      <w:bookmarkStart w:id="333" w:name="b330"/>
      <w:r>
        <w:t>§ 204 Voraussetzung der verbindlichen Zusage</w:t>
      </w:r>
      <w:r>
        <w:t xml:space="preserve"> </w:t>
      </w:r>
      <w:r>
        <w:rPr>
          <w:rStyle w:val="Suchmarke"/>
        </w:rPr>
        <w:t>#204#</w:t>
      </w:r>
      <w:bookmarkEnd w:id="333"/>
    </w:p>
    <w:p>
      <w:r>
        <w:t>(1) Im Anschluss an eine Außenprüfung soll die Finanzbehörde dem Steuerpflichtigen auf Antrag verbindlich zusagen, wie ein für die Vergangenheit geprüfter und im Prüfungsbericht dargestellter Sachverhalt in Zukunft steuerrechtlich behandelt wird, wenn die Kenntnis der künftigen steuerrechtlichen Behandlung für die geschäftlichen Maßnahmen des Steuerpflichtigen von Bedeutung ist.</w:t>
      </w:r>
    </w:p>
    <w:p>
      <w:r>
        <w:t xml:space="preserve">(2) Abweichend von Absatz 1 kann die Finanzverwaltung dem Steuerpflichtigen bereits nach Erlass eines Teilabschlussbescheids nach </w:t>
      </w:r>
      <w:hyperlink w:anchor="b297" w:history="1">
        <w:r>
          <w:rPr>
            <w:color w:val="0A3A8C"/>
            <w:u w:val="single"/>
          </w:rPr>
          <w:t xml:space="preserve">§ 180</w:t>
        </w:r>
      </w:hyperlink>
      <w:r>
        <w:t xml:space="preserve"> Absatz 1a auf Antrag verbindlich zusagen, wie ein für die Vergangenheit geprüfter und im Teilabschlussbericht dargestellter Sachverhalt in Zukunft steuerlich behandelt wird, wenn</w:t>
      </w:r>
    </w:p>
    <w:p>
      <w:pPr>
        <w:tabs>
          <w:tab w:pos="567" w:val="left"/>
        </w:tabs>
        <w:ind w:left="567" w:hanging="567"/>
      </w:pPr>
      <w:r>
        <w:t>1.</w:t>
      </w:r>
      <w:r>
        <w:tab/>
      </w:r>
      <w:r>
        <w:t>die Kenntnis der künftigen steuerrechtlichen Behandlung für die geschäftlichen Maßnahmen des Steuerpflichtigen von Bedeutung ist und</w:t>
      </w:r>
    </w:p>
    <w:p>
      <w:pPr>
        <w:tabs>
          <w:tab w:pos="567" w:val="left"/>
        </w:tabs>
        <w:ind w:left="567" w:hanging="567"/>
      </w:pPr>
      <w:r>
        <w:t>2.</w:t>
      </w:r>
      <w:r>
        <w:tab/>
      </w:r>
      <w:r>
        <w:t>ein besonderes Interesse des Steuerpflichtigen an einer Erteilung vor dem Abschluss der Außenprüfung besteht und dies glaubhaft gemacht wird.</w:t>
      </w:r>
    </w:p>
    <w:p>
      <w:pPr>
        <w:pStyle w:val="Heading4"/>
      </w:pPr>
      <w:bookmarkStart w:id="334" w:name="b331"/>
      <w:r>
        <w:t>§ 205 Form der verbindlichen Zusage</w:t>
      </w:r>
      <w:r>
        <w:t xml:space="preserve"> </w:t>
      </w:r>
      <w:r>
        <w:rPr>
          <w:rStyle w:val="Suchmarke"/>
        </w:rPr>
        <w:t>#205#</w:t>
      </w:r>
      <w:bookmarkEnd w:id="334"/>
    </w:p>
    <w:p>
      <w:r>
        <w:t>(1) Die verbindliche Zusage wird schriftlich erteilt und als verbindlich gekennzeichnet.</w:t>
      </w:r>
    </w:p>
    <w:p>
      <w:r>
        <w:t>(2) Die verbindliche Zusage muss enthalten:</w:t>
      </w:r>
    </w:p>
    <w:p>
      <w:pPr>
        <w:tabs>
          <w:tab w:pos="567" w:val="left"/>
        </w:tabs>
        <w:ind w:left="567" w:hanging="567"/>
      </w:pPr>
      <w:r>
        <w:t>1.</w:t>
      </w:r>
      <w:r>
        <w:tab/>
      </w:r>
      <w:r>
        <w:t>den ihr zugrunde gelegten Sachverhalt; dabei kann auf den im Prüfungsbericht dargestellten Sachverhalt Bezug genommen werden,</w:t>
      </w:r>
    </w:p>
    <w:p>
      <w:pPr>
        <w:tabs>
          <w:tab w:pos="567" w:val="left"/>
        </w:tabs>
        <w:ind w:left="567" w:hanging="567"/>
      </w:pPr>
      <w:r>
        <w:t>2.</w:t>
      </w:r>
      <w:r>
        <w:tab/>
      </w:r>
      <w:r>
        <w:t>die Entscheidung über den Antrag und die dafür maßgebenden Gründe,</w:t>
      </w:r>
    </w:p>
    <w:p>
      <w:pPr>
        <w:tabs>
          <w:tab w:pos="567" w:val="left"/>
        </w:tabs>
        <w:ind w:left="567" w:hanging="567"/>
      </w:pPr>
      <w:r>
        <w:t>3.</w:t>
      </w:r>
      <w:r>
        <w:tab/>
      </w:r>
      <w:r>
        <w:t>eine Angabe darüber, für welche Steuern und für welchen Zeitraum die verbindliche Zusage gilt.</w:t>
      </w:r>
    </w:p>
    <w:p>
      <w:pPr>
        <w:pStyle w:val="Heading4"/>
      </w:pPr>
      <w:bookmarkStart w:id="335" w:name="b332"/>
      <w:r>
        <w:t>§ 206 Bindungswirkung</w:t>
      </w:r>
      <w:r>
        <w:t xml:space="preserve"> </w:t>
      </w:r>
      <w:r>
        <w:rPr>
          <w:rStyle w:val="Suchmarke"/>
        </w:rPr>
        <w:t>#206#</w:t>
      </w:r>
      <w:bookmarkEnd w:id="335"/>
    </w:p>
    <w:p>
      <w:r>
        <w:t>(1) Die verbindliche Zusage ist für die Besteuerung bindend, wenn sich der später verwirklichte Sachverhalt mit dem der verbindlichen Zusage zugrunde gelegten Sachverhalt deckt.</w:t>
      </w:r>
    </w:p>
    <w:p>
      <w:r>
        <w:t>(2) Absatz 1 gilt nicht, wenn die verbindliche Zusage zuungunsten des Antragstellers dem geltenden Recht widerspricht.</w:t>
      </w:r>
    </w:p>
    <w:p>
      <w:pPr>
        <w:pStyle w:val="Heading4"/>
      </w:pPr>
      <w:bookmarkStart w:id="336" w:name="b333"/>
      <w:r>
        <w:t>§ 207 Außerkrafttreten, Aufhebung und Änderung der verbindlichen Zusage</w:t>
      </w:r>
      <w:r>
        <w:t xml:space="preserve"> </w:t>
      </w:r>
      <w:r>
        <w:rPr>
          <w:rStyle w:val="Suchmarke"/>
        </w:rPr>
        <w:t>#207#</w:t>
      </w:r>
      <w:bookmarkEnd w:id="336"/>
    </w:p>
    <w:p>
      <w:r>
        <w:t>(1) Die verbindliche Zusage tritt außer Kraft, wenn die Rechtsvorschriften, auf denen die Entscheidung beruht, geändert werden.</w:t>
      </w:r>
    </w:p>
    <w:p>
      <w:r>
        <w:t>(2) Die Finanzbehörde kann die verbindliche Zusage mit Wirkung für die Zukunft aufheben oder ändern.</w:t>
      </w:r>
    </w:p>
    <w:p>
      <w:r>
        <w:t xml:space="preserve">(3) Eine rückwirkende Aufhebung oder Änderung der verbindlichen Zusage ist nur zulässig, falls der Steuerpflichtige zustimmt oder wenn die Voraussetzungen des </w:t>
      </w:r>
      <w:hyperlink w:anchor="b209" w:history="1">
        <w:r>
          <w:rPr>
            <w:color w:val="0A3A8C"/>
            <w:u w:val="single"/>
          </w:rPr>
          <w:t xml:space="preserve">§ 130</w:t>
        </w:r>
      </w:hyperlink>
      <w:r>
        <w:t xml:space="preserve"> Absatz 2 Nummer 1 oder 2 vorliegen.</w:t>
      </w:r>
    </w:p>
    <w:p>
      <w:pPr>
        <w:pStyle w:val="Heading2"/>
      </w:pPr>
      <w:bookmarkStart w:id="337" w:name="b334"/>
      <w:r>
        <w:t>Fünfter Abschnitt Steuerfahndung (Zollfahndung)</w:t>
      </w:r>
      <w:bookmarkEnd w:id="337"/>
    </w:p>
    <w:p>
      <w:pPr>
        <w:pStyle w:val="Heading3"/>
      </w:pPr>
      <w:bookmarkStart w:id="338" w:name="b335"/>
      <w:r>
        <w:t>§ 208 Steuerfahndung (Zollfahndung)</w:t>
      </w:r>
      <w:r>
        <w:t xml:space="preserve"> </w:t>
      </w:r>
      <w:r>
        <w:rPr>
          <w:rStyle w:val="Suchmarke"/>
        </w:rPr>
        <w:t>#208#</w:t>
      </w:r>
      <w:bookmarkEnd w:id="338"/>
    </w:p>
    <w:p>
      <w:r>
        <w:t xml:space="preserve">(1) </w:t>
      </w:r>
      <w:r>
        <w:rPr>
          <w:rStyle w:val="Satznummer"/>
        </w:rPr>
        <w:t>1</w:t>
      </w:r>
      <w:r>
        <w:t>Aufgabe der Steuerfahndung (Zollfahndung) ist</w:t>
      </w:r>
    </w:p>
    <w:p>
      <w:pPr>
        <w:tabs>
          <w:tab w:pos="567" w:val="left"/>
        </w:tabs>
        <w:ind w:left="567" w:hanging="567"/>
      </w:pPr>
      <w:r>
        <w:t>1.</w:t>
      </w:r>
      <w:r>
        <w:tab/>
      </w:r>
      <w:r>
        <w:t>die Erforschung von Steuerstraftaten und Steuerordnungswidrigkeiten,</w:t>
      </w:r>
    </w:p>
    <w:p>
      <w:pPr>
        <w:tabs>
          <w:tab w:pos="567" w:val="left"/>
        </w:tabs>
        <w:ind w:left="567" w:hanging="567"/>
      </w:pPr>
      <w:r>
        <w:t>2.</w:t>
      </w:r>
      <w:r>
        <w:tab/>
      </w:r>
      <w:r>
        <w:t>die Ermittlung der Besteuerungsgrundlagen in den in Nummer 1 bezeichneten Fällen,</w:t>
      </w:r>
    </w:p>
    <w:p>
      <w:pPr>
        <w:tabs>
          <w:tab w:pos="567" w:val="left"/>
        </w:tabs>
        <w:ind w:left="567" w:hanging="567"/>
      </w:pPr>
      <w:r>
        <w:t>3.</w:t>
      </w:r>
      <w:r>
        <w:tab/>
      </w:r>
      <w:r>
        <w:t>die Aufdeckung und Ermittlung unbekannter Steuerfälle.</w:t>
      </w:r>
    </w:p>
    <w:p>
      <w:r>
        <w:rPr>
          <w:rStyle w:val="Satznummer"/>
        </w:rPr>
        <w:t>2</w:t>
      </w:r>
      <w:r>
        <w:t xml:space="preserve">Die mit der Steuerfahndung betrauten Dienststellen der Landesfinanzbehörden und die Behörden des Zollfahndungsdienstes haben außer den Befugnissen nach </w:t>
      </w:r>
      <w:hyperlink w:anchor="b579" w:history="1">
        <w:r>
          <w:rPr>
            <w:color w:val="0A3A8C"/>
            <w:u w:val="single"/>
          </w:rPr>
          <w:t xml:space="preserve">§ 404</w:t>
        </w:r>
      </w:hyperlink>
      <w:r>
        <w:t xml:space="preserve"> Absatz 2 auch die Ermittlungsbefugnisse, die den Finanzämtern (Hauptzollämtern) zustehen. </w:t>
      </w:r>
      <w:r>
        <w:rPr>
          <w:rStyle w:val="Satznummer"/>
        </w:rPr>
        <w:t>3</w:t>
      </w:r>
      <w:r>
        <w:t xml:space="preserve">In den Fällen der Nummern 2 und 3 gelten die Einschränkungen des </w:t>
      </w:r>
      <w:hyperlink w:anchor="b149" w:history="1">
        <w:r>
          <w:rPr>
            <w:color w:val="0A3A8C"/>
            <w:u w:val="single"/>
          </w:rPr>
          <w:t xml:space="preserve">§ 93</w:t>
        </w:r>
      </w:hyperlink>
      <w:r>
        <w:t xml:space="preserve"> Absatz 1 Satz 3, Absatz 2 Satz 2 und des </w:t>
      </w:r>
      <w:hyperlink w:anchor="b158" w:history="1">
        <w:r>
          <w:rPr>
            <w:color w:val="0A3A8C"/>
            <w:u w:val="single"/>
          </w:rPr>
          <w:t xml:space="preserve">§ 97</w:t>
        </w:r>
      </w:hyperlink>
      <w:r>
        <w:t xml:space="preserve"> Absatz 2 nicht; </w:t>
      </w:r>
      <w:hyperlink w:anchor="b323" w:history="1">
        <w:r>
          <w:rPr>
            <w:color w:val="0A3A8C"/>
            <w:u w:val="single"/>
          </w:rPr>
          <w:t xml:space="preserve">§ 200</w:t>
        </w:r>
      </w:hyperlink>
      <w:r>
        <w:t xml:space="preserve"> Absatz 1 Satz 1 und 2, Absatz 2, Absatz 3 Satz 1 und 2 gilt sinngemäß, </w:t>
      </w:r>
      <w:hyperlink w:anchor="b562" w:history="1">
        <w:r>
          <w:rPr>
            <w:color w:val="0A3A8C"/>
            <w:u w:val="single"/>
          </w:rPr>
          <w:t xml:space="preserve">§ 393</w:t>
        </w:r>
      </w:hyperlink>
      <w:r>
        <w:t xml:space="preserve"> Absatz 1 bleibt unberührt.</w:t>
      </w:r>
    </w:p>
    <w:p>
      <w:r>
        <w:t>(2) Unabhängig von Absatz 1 sind die mit der Steuerfahndung betrauten Dienststellen der Landesfinanzbehörden und die Behörden des Zollfahndungsdienstes zuständig</w:t>
      </w:r>
    </w:p>
    <w:p>
      <w:pPr>
        <w:tabs>
          <w:tab w:pos="567" w:val="left"/>
        </w:tabs>
        <w:ind w:left="567" w:hanging="567"/>
      </w:pPr>
      <w:r>
        <w:t>1.</w:t>
      </w:r>
      <w:r>
        <w:tab/>
      </w:r>
      <w:r>
        <w:t>für steuerliche Ermittlungen einschließlich der Außenprüfung auf Ersuchen der zuständigen Finanzbehörde,</w:t>
      </w:r>
    </w:p>
    <w:p>
      <w:pPr>
        <w:tabs>
          <w:tab w:pos="567" w:val="left"/>
        </w:tabs>
        <w:ind w:left="567" w:hanging="567"/>
      </w:pPr>
      <w:r>
        <w:t>2.</w:t>
      </w:r>
      <w:r>
        <w:tab/>
      </w:r>
      <w:r>
        <w:t>für die ihnen sonst im Rahmen der Zuständigkeit der Finanzbehörden übertragenen Aufgaben.</w:t>
      </w:r>
    </w:p>
    <w:p>
      <w:r>
        <w:t>(3) Die Aufgaben und Befugnisse der Finanzämter (Hauptzollämter) bleiben unberührt.</w:t>
      </w:r>
    </w:p>
    <w:p>
      <w:pPr>
        <w:pStyle w:val="Heading3"/>
      </w:pPr>
      <w:bookmarkStart w:id="339" w:name="b336"/>
      <w:r>
        <w:t>§ 208a Steuerfahndung des Bundeszentralamts für Steuern</w:t>
      </w:r>
      <w:r>
        <w:t xml:space="preserve"> </w:t>
      </w:r>
      <w:r>
        <w:rPr>
          <w:rStyle w:val="Suchmarke"/>
        </w:rPr>
        <w:t>#208a#</w:t>
      </w:r>
      <w:bookmarkEnd w:id="339"/>
    </w:p>
    <w:p>
      <w:r>
        <w:t xml:space="preserve">(1) Dem Bundeszentralamt für Steuern obliegt, soweit Aufgaben der Steuerverwaltung übertragen wurden, die Aufgabe nach </w:t>
      </w:r>
      <w:hyperlink w:anchor="b335" w:history="1">
        <w:r>
          <w:rPr>
            <w:color w:val="0A3A8C"/>
            <w:u w:val="single"/>
          </w:rPr>
          <w:t xml:space="preserve">§ 208</w:t>
        </w:r>
      </w:hyperlink>
      <w:r>
        <w:t xml:space="preserve"> Absatz 1 Satz 1 Nummer 3.</w:t>
      </w:r>
    </w:p>
    <w:p>
      <w:r>
        <w:t xml:space="preserve">(2) </w:t>
      </w:r>
      <w:r>
        <w:rPr>
          <w:rStyle w:val="Satznummer"/>
        </w:rPr>
        <w:t>1</w:t>
      </w:r>
      <w:r>
        <w:t xml:space="preserve">Hierzu hat es die Ermittlungsbefugnisse, die den Finanzämtern (Hauptzollämtern) zustehen. </w:t>
      </w:r>
      <w:r>
        <w:rPr>
          <w:rStyle w:val="Satznummer"/>
        </w:rPr>
        <w:t>2</w:t>
      </w:r>
      <w:r>
        <w:t xml:space="preserve">Die Einschränkungen des </w:t>
      </w:r>
      <w:hyperlink w:anchor="b149" w:history="1">
        <w:r>
          <w:rPr>
            <w:color w:val="0A3A8C"/>
            <w:u w:val="single"/>
          </w:rPr>
          <w:t xml:space="preserve">§ 93</w:t>
        </w:r>
      </w:hyperlink>
      <w:r>
        <w:t xml:space="preserve"> Absatz 1 Satz 3, Absatz 2 Satz 2 und des </w:t>
      </w:r>
      <w:hyperlink w:anchor="b158" w:history="1">
        <w:r>
          <w:rPr>
            <w:color w:val="0A3A8C"/>
            <w:u w:val="single"/>
          </w:rPr>
          <w:t xml:space="preserve">§ 97</w:t>
        </w:r>
      </w:hyperlink>
      <w:r>
        <w:t xml:space="preserve"> Absatz 2 gelten nicht; </w:t>
      </w:r>
      <w:hyperlink w:anchor="b323" w:history="1">
        <w:r>
          <w:rPr>
            <w:color w:val="0A3A8C"/>
            <w:u w:val="single"/>
          </w:rPr>
          <w:t xml:space="preserve">§ 200</w:t>
        </w:r>
      </w:hyperlink>
      <w:r>
        <w:t xml:space="preserve"> Absatz 1 Satz 1 und 2, Absatz 2 und 3 Satz 1 und 2 gilt sinngemäß, </w:t>
      </w:r>
      <w:hyperlink w:anchor="b562" w:history="1">
        <w:r>
          <w:rPr>
            <w:color w:val="0A3A8C"/>
            <w:u w:val="single"/>
          </w:rPr>
          <w:t xml:space="preserve">§ 393</w:t>
        </w:r>
      </w:hyperlink>
      <w:r>
        <w:t xml:space="preserve"> Absatz 1 bleibt unberührt.</w:t>
      </w:r>
    </w:p>
    <w:p>
      <w:r>
        <w:t>(3) Die Aufgaben und Befugnisse des Bundeszentralamts für Steuern im Übrigen bleiben unberührt.</w:t>
      </w:r>
    </w:p>
    <w:p>
      <w:pPr>
        <w:pStyle w:val="Heading2"/>
      </w:pPr>
      <w:bookmarkStart w:id="340" w:name="b337"/>
      <w:r>
        <w:t>Sechster Abschnitt Steueraufsicht in besonderen Fällen</w:t>
      </w:r>
      <w:bookmarkEnd w:id="340"/>
    </w:p>
    <w:p>
      <w:pPr>
        <w:pStyle w:val="Heading3"/>
      </w:pPr>
      <w:bookmarkStart w:id="341" w:name="b338"/>
      <w:r>
        <w:t>§ 209 Gegenstand der Steueraufsicht</w:t>
      </w:r>
      <w:r>
        <w:t xml:space="preserve"> </w:t>
      </w:r>
      <w:r>
        <w:rPr>
          <w:rStyle w:val="Suchmarke"/>
        </w:rPr>
        <w:t>#209#</w:t>
      </w:r>
      <w:bookmarkEnd w:id="341"/>
    </w:p>
    <w:p>
      <w:r>
        <w:t>(1) Der Warenverkehr über die Grenze und in den Freizonen und Freilagern sowie die Gewinnung und Herstellung, Lagerung, Beförderung und gewerbliche Verwendung verbrauchsteuerpflichtiger Waren und der Handel mit verbrauchsteuerpflichtigen Waren unterliegen der zollamtlichen Überwachung (Steueraufsicht).</w:t>
      </w:r>
    </w:p>
    <w:p>
      <w:r>
        <w:t>(2) Der Steueraufsicht unterliegen ferner:</w:t>
      </w:r>
    </w:p>
    <w:p>
      <w:pPr>
        <w:tabs>
          <w:tab w:pos="567" w:val="left"/>
        </w:tabs>
        <w:ind w:left="567" w:hanging="567"/>
      </w:pPr>
      <w:r>
        <w:t>1.</w:t>
      </w:r>
      <w:r>
        <w:tab/>
      </w:r>
      <w:r>
        <w:t>der Versand, die Ausfuhr, Lagerung, Verwendung, Vernichtung, Veredelung, Umwandlung und sonstige Bearbeitung oder Verarbeitung von Waren in einem Verbrauchsteuerverfahren,</w:t>
      </w:r>
    </w:p>
    <w:p>
      <w:pPr>
        <w:tabs>
          <w:tab w:pos="567" w:val="left"/>
        </w:tabs>
        <w:ind w:left="567" w:hanging="567"/>
      </w:pPr>
      <w:r>
        <w:t>2.</w:t>
      </w:r>
      <w:r>
        <w:tab/>
      </w:r>
      <w:r>
        <w:t>die Herstellung und Ausfuhr von Waren, für die ein Erlass, eine Erstattung oder Vergütung von Verbrauchsteuer beansprucht wird.</w:t>
      </w:r>
    </w:p>
    <w:p>
      <w:r>
        <w:t>(3) Andere Sachverhalte unterliegen der Steueraufsicht, wenn es gesetzlich bestimmt ist.</w:t>
      </w:r>
    </w:p>
    <w:p>
      <w:pPr>
        <w:pStyle w:val="Heading3"/>
      </w:pPr>
      <w:bookmarkStart w:id="342" w:name="b339"/>
      <w:r>
        <w:t>§ 210 Befugnisse der Finanzbehörde</w:t>
      </w:r>
      <w:r>
        <w:t xml:space="preserve"> </w:t>
      </w:r>
      <w:r>
        <w:rPr>
          <w:rStyle w:val="Suchmarke"/>
        </w:rPr>
        <w:t>#210#</w:t>
      </w:r>
      <w:bookmarkEnd w:id="342"/>
    </w:p>
    <w:p>
      <w:r>
        <w:t>(1) Die von der Finanzbehörde mit der Steueraufsicht betrauten Amtsträger sind berechtigt, Grundstücke und Räume von Personen, die eine gewerbliche oder berufliche Tätigkeit selbständig ausüben und denen ein der Steueraufsicht unterliegender Sachverhalt zuzurechnen ist, während der Geschäfts- und Arbeitszeiten zu betreten, um Prüfungen vorzunehmen oder sonst Feststellungen zu treffen, die für die Besteuerung erheblich sein können (Nachschau).</w:t>
      </w:r>
    </w:p>
    <w:p>
      <w:r>
        <w:t xml:space="preserve">(2) </w:t>
      </w:r>
      <w:r>
        <w:rPr>
          <w:rStyle w:val="Satznummer"/>
        </w:rPr>
        <w:t>1</w:t>
      </w:r>
      <w:r>
        <w:t xml:space="preserve">Der Nachschau unterliegen ferner Grundstücke und Räume von Personen, denen ein der Steueraufsicht unterliegender Sachverhalt zuzurechnen ist ohne zeitliche Einschränkung, wenn Tatsachen die Annahme rechtfertigen, dass sich dort Schmuggelwaren oder nicht ordnungsgemäß versteuerte verbrauchsteuerpflichtige Waren befinden oder dort sonst gegen Vorschriften oder Anordnungen verstoßen wird, deren Einhaltung durch die Steueraufsicht gesichert werden soll. </w:t>
      </w:r>
      <w:r>
        <w:rPr>
          <w:rStyle w:val="Satznummer"/>
        </w:rPr>
        <w:t>2</w:t>
      </w:r>
      <w:r>
        <w:t>Bei Gefahr im Verzug ist eine Durchsuchung von Wohn- und Geschäftsräumen auch ohne richterliche Anordnung zulässig.</w:t>
      </w:r>
    </w:p>
    <w:p>
      <w:r>
        <w:t xml:space="preserve">(3) </w:t>
      </w:r>
      <w:r>
        <w:rPr>
          <w:rStyle w:val="Satznummer"/>
        </w:rPr>
        <w:t>1</w:t>
      </w:r>
      <w:r>
        <w:t xml:space="preserve">Die von der Finanzbehörde mit der Steueraufsicht betrauten Amtsträger sind ferner berechtigt, im Rahmen von zeitlich und örtlich begrenzten Kontrollen, Schiffe und andere Fahrzeuge, die nach ihrer äußeren Erscheinung gewerblichen Zwecken dienen, anzuhalten. </w:t>
      </w:r>
      <w:r>
        <w:rPr>
          <w:rStyle w:val="Satznummer"/>
        </w:rPr>
        <w:t>2</w:t>
      </w:r>
      <w:r>
        <w:t xml:space="preserve">Die betroffenen Personen haben sich auszuweisen und Auskunft über die mitgeführten Waren zu geben; sie haben insbesondere Frachtbriefe und sonstige Beförderungspapiere, auch nicht steuerlicher Art, vorzulegen. </w:t>
      </w:r>
      <w:r>
        <w:rPr>
          <w:rStyle w:val="Satznummer"/>
        </w:rPr>
        <w:t>3</w:t>
      </w:r>
      <w:r>
        <w:t xml:space="preserve">Ergeben sich dadurch oder auf Grund sonstiger Tatsachen Anhaltspunkte, dass verbrauchsteuerpflichtige Waren mitgeführt werden, können die Amtsträger die mitgeführten Waren überprüfen und alle Feststellungen treffen, die für eine Besteuerung dieser Waren erheblich sein können. </w:t>
      </w:r>
      <w:r>
        <w:rPr>
          <w:rStyle w:val="Satznummer"/>
        </w:rPr>
        <w:t>4</w:t>
      </w:r>
      <w:r>
        <w:t>Die betroffenen Personen haben die Herkunft der verbrauchsteuerpflichtigen Waren anzugeben, die Entnahme von unentgeltlichen Proben zu dulden und die erforderliche Hilfe zu leisten.</w:t>
      </w:r>
    </w:p>
    <w:p>
      <w:r>
        <w:t xml:space="preserve">(4) </w:t>
      </w:r>
      <w:r>
        <w:rPr>
          <w:rStyle w:val="Satznummer"/>
        </w:rPr>
        <w:t>1</w:t>
      </w:r>
      <w:r>
        <w:t>Wenn Feststellungen bei Ausübung der Steueraufsicht hierzu Anlass geben, kann ohne vorherige Prüfungsanordnung (</w:t>
      </w:r>
      <w:hyperlink w:anchor="b319" w:history="1">
        <w:r>
          <w:rPr>
            <w:color w:val="0A3A8C"/>
            <w:u w:val="single"/>
          </w:rPr>
          <w:t xml:space="preserve">§ 196</w:t>
        </w:r>
      </w:hyperlink>
      <w:r>
        <w:t xml:space="preserve">) zu einer Außenprüfung nach </w:t>
      </w:r>
      <w:hyperlink w:anchor="b316" w:history="1">
        <w:r>
          <w:rPr>
            <w:color w:val="0A3A8C"/>
            <w:u w:val="single"/>
          </w:rPr>
          <w:t xml:space="preserve">§ 193</w:t>
        </w:r>
      </w:hyperlink>
      <w:r>
        <w:t xml:space="preserve"> übergegangen werden. </w:t>
      </w:r>
      <w:r>
        <w:rPr>
          <w:rStyle w:val="Satznummer"/>
        </w:rPr>
        <w:t>2</w:t>
      </w:r>
      <w:r>
        <w:t>Auf den Übergang zur Außenprüfung wird schriftlich hingewiesen.</w:t>
      </w:r>
    </w:p>
    <w:p>
      <w:r>
        <w:t xml:space="preserve">(5) </w:t>
      </w:r>
      <w:r>
        <w:rPr>
          <w:rStyle w:val="Satznummer"/>
        </w:rPr>
        <w:t>1</w:t>
      </w:r>
      <w:r>
        <w:t xml:space="preserve">Wird eine Nachschau in einem Dienstgebäude oder einer nicht allgemein zugänglichen Einrichtung oder Anlage der Bundeswehr erforderlich, so wird die vorgesetzte Dienststelle der Bundeswehr um ihre Durchführung ersucht. </w:t>
      </w:r>
      <w:r>
        <w:rPr>
          <w:rStyle w:val="Satznummer"/>
        </w:rPr>
        <w:t>2</w:t>
      </w:r>
      <w:r>
        <w:t xml:space="preserve">Die Finanzbehörde ist zur Mitwirkung berechtigt. </w:t>
      </w:r>
      <w:r>
        <w:rPr>
          <w:rStyle w:val="Satznummer"/>
        </w:rPr>
        <w:t>3</w:t>
      </w:r>
      <w:r>
        <w:t>Ein Ersuchen ist nicht erforderlich, wenn die Nachschau in Räumen vorzunehmen ist, die ausschließlich von anderen Personen als Soldaten bewohnt werden.</w:t>
      </w:r>
    </w:p>
    <w:p>
      <w:pPr>
        <w:pStyle w:val="Heading3"/>
      </w:pPr>
      <w:bookmarkStart w:id="343" w:name="b340"/>
      <w:r>
        <w:t>§ 211 Pflichten der betroffenen Person</w:t>
      </w:r>
      <w:r>
        <w:t xml:space="preserve"> </w:t>
      </w:r>
      <w:r>
        <w:rPr>
          <w:rStyle w:val="Suchmarke"/>
        </w:rPr>
        <w:t>#211#</w:t>
      </w:r>
      <w:bookmarkEnd w:id="343"/>
    </w:p>
    <w:p>
      <w:r>
        <w:t xml:space="preserve">(1) </w:t>
      </w:r>
      <w:r>
        <w:rPr>
          <w:rStyle w:val="Satznummer"/>
        </w:rPr>
        <w:t>1</w:t>
      </w:r>
      <w:r>
        <w:t xml:space="preserve">Wer von einer Maßnahme der Steueraufsicht betroffen wird, hat den Amtsträgern auf Verlangen Aufzeichnungen, Bücher, Geschäftspapiere und andere Urkunden über die der Steueraufsicht unterliegenden Sachverhalte und über den Bezug und den Absatz verbrauchsteuerpflichtiger Waren vorzulegen, Auskünfte zu erteilen und die zur Durchführung der Steueraufsicht sonst erforderlichen Hilfsdienste zu leisten. </w:t>
      </w:r>
      <w:r>
        <w:rPr>
          <w:rStyle w:val="Satznummer"/>
        </w:rPr>
        <w:t>2</w:t>
      </w:r>
      <w:hyperlink w:anchor="b323" w:history="1">
        <w:r>
          <w:rPr>
            <w:color w:val="0A3A8C"/>
            <w:u w:val="single"/>
          </w:rPr>
          <w:t xml:space="preserve">§ 200</w:t>
        </w:r>
      </w:hyperlink>
      <w:r>
        <w:t xml:space="preserve"> Absatz 2 Satz 3 gilt sinngemäß.</w:t>
      </w:r>
    </w:p>
    <w:p>
      <w:r>
        <w:t>(2) Die Pflichten nach Absatz 1 gelten auch dann, wenn bei einer gesetzlich vorgeschriebenen Nachversteuerung verbrauchsteuerpflichtiger Waren in einem der Steueraufsicht unterliegenden Betrieb oder Unternehmen festgestellt werden soll, an welche Empfänger und in welcher Menge nachsteuerpflichtige Waren geliefert worden sind.</w:t>
      </w:r>
    </w:p>
    <w:p>
      <w:r>
        <w:t>(3) Vorkehrungen, die die Ausübung der Steueraufsicht hindern oder erschweren, sind unzulässig.</w:t>
      </w:r>
    </w:p>
    <w:p>
      <w:pPr>
        <w:pStyle w:val="Heading3"/>
      </w:pPr>
      <w:bookmarkStart w:id="344" w:name="b341"/>
      <w:r>
        <w:t>§ 212 Durchführungsvorschriften</w:t>
      </w:r>
      <w:r>
        <w:t xml:space="preserve"> </w:t>
      </w:r>
      <w:r>
        <w:rPr>
          <w:rStyle w:val="Suchmarke"/>
        </w:rPr>
        <w:t>#212#</w:t>
      </w:r>
      <w:bookmarkEnd w:id="344"/>
    </w:p>
    <w:p>
      <w:r>
        <w:t>(1) Das Bundesministerium der Finanzen kann durch Rechtsverordnung zur näheren Bestimmung der im Rahmen der Steueraufsicht zu erfüllenden Pflichten anordnen, dass</w:t>
      </w:r>
    </w:p>
    <w:p>
      <w:pPr>
        <w:tabs>
          <w:tab w:pos="567" w:val="left"/>
        </w:tabs>
        <w:ind w:left="567" w:hanging="567"/>
      </w:pPr>
      <w:r>
        <w:t>1.</w:t>
      </w:r>
      <w:r>
        <w:tab/>
      </w:r>
      <w:r>
        <w:t>bestimmte Handlungen nur in Räumen vorgenommen werden dürfen, die der Finanzbehörde angemeldet sind oder deren Benutzung für diesen Zweck von der Finanzbehörde besonders genehmigt ist,</w:t>
      </w:r>
    </w:p>
    <w:p>
      <w:pPr>
        <w:tabs>
          <w:tab w:pos="567" w:val="left"/>
        </w:tabs>
        <w:ind w:left="567" w:hanging="567"/>
      </w:pPr>
      <w:r>
        <w:t>2.</w:t>
      </w:r>
      <w:r>
        <w:tab/>
      </w:r>
      <w:r>
        <w:t>Räume, Fahrzeuge, Geräte, Gefäße und Leitungen, die der Herstellung, Bearbeitung, Verarbeitung, Lagerung, Beförderung oder Messung steuerpflichtiger Waren dienen oder dienen können, auf Kosten des Betriebsinhabers in bestimmter Weise einzurichten, herzurichten, zu kennzeichnen oder amtlich zu verschließen sind,</w:t>
      </w:r>
    </w:p>
    <w:p>
      <w:pPr>
        <w:tabs>
          <w:tab w:pos="567" w:val="left"/>
        </w:tabs>
        <w:ind w:left="567" w:hanging="567"/>
      </w:pPr>
      <w:r>
        <w:t>3.</w:t>
      </w:r>
      <w:r>
        <w:tab/>
      </w:r>
      <w:r>
        <w:t>der Überwachung unterliegende Waren in bestimmter Weise behandelt, bezeichnet, gelagert, verpackt, versandt oder verwendet werden müssen,</w:t>
      </w:r>
    </w:p>
    <w:p>
      <w:pPr>
        <w:tabs>
          <w:tab w:pos="567" w:val="left"/>
        </w:tabs>
        <w:ind w:left="567" w:hanging="567"/>
      </w:pPr>
      <w:r>
        <w:t>4.</w:t>
      </w:r>
      <w:r>
        <w:tab/>
      </w:r>
      <w:r>
        <w:t>der Handel mit steuerpflichtigen Waren besonders überwacht wird, wenn der Händler zugleich Hersteller der Waren ist,</w:t>
      </w:r>
    </w:p>
    <w:p>
      <w:pPr>
        <w:tabs>
          <w:tab w:pos="567" w:val="left"/>
        </w:tabs>
        <w:ind w:left="567" w:hanging="567"/>
      </w:pPr>
      <w:r>
        <w:t>5.</w:t>
      </w:r>
      <w:r>
        <w:tab/>
      </w:r>
      <w:r>
        <w:t>über die Betriebsvorgänge und über die steuerpflichtigen Waren sowie über die zu ihrer Herstellung verwendeten Einsatzstoffe, Fertigungsstoffe, Hilfsstoffe und Zwischenerzeugnisse in bestimmter Weise Anschreibungen zu führen und die Bestände festzustellen sind,</w:t>
      </w:r>
    </w:p>
    <w:p>
      <w:pPr>
        <w:tabs>
          <w:tab w:pos="567" w:val="left"/>
        </w:tabs>
        <w:ind w:left="567" w:hanging="567"/>
      </w:pPr>
      <w:r>
        <w:t>6.</w:t>
      </w:r>
      <w:r>
        <w:tab/>
      </w:r>
      <w:r>
        <w:t>Bücher, Aufzeichnungen und sonstige Unterlagen in bestimmter Weise aufzubewahren sind,</w:t>
      </w:r>
    </w:p>
    <w:p>
      <w:pPr>
        <w:tabs>
          <w:tab w:pos="567" w:val="left"/>
        </w:tabs>
        <w:ind w:left="567" w:hanging="567"/>
      </w:pPr>
      <w:r>
        <w:t>7.</w:t>
      </w:r>
      <w:r>
        <w:tab/>
      </w:r>
      <w:r>
        <w:t>Vorgänge und Maßnahmen in Betrieben oder Unternehmen, die für die Besteuerung von Bedeutung sind, der Finanzbehörde anzumelden sind,</w:t>
      </w:r>
    </w:p>
    <w:p>
      <w:pPr>
        <w:tabs>
          <w:tab w:pos="567" w:val="left"/>
        </w:tabs>
        <w:ind w:left="567" w:hanging="567"/>
      </w:pPr>
      <w:r>
        <w:t>8.</w:t>
      </w:r>
      <w:r>
        <w:tab/>
      </w:r>
      <w:r>
        <w:t>von steuerpflichtigen Waren, von Waren, für die ein Erlass, eine Erstattung oder Vergütung von Verbrauchsteuern beansprucht wird, von Stoffen, die zur Herstellung dieser Waren bestimmt sind, sowie von Umschließungen dieser Waren unentgeltlich Proben entnommen werden dürfen oder unentgeltlich Muster zu hinterlegen sind.</w:t>
      </w:r>
    </w:p>
    <w:p>
      <w:r>
        <w:t>(2) Die Rechtsverordnung bedarf, außer wenn sie die Biersteuer betrifft, nicht der Zustimmung des Bundesrates.</w:t>
      </w:r>
    </w:p>
    <w:p>
      <w:pPr>
        <w:pStyle w:val="Heading3"/>
      </w:pPr>
      <w:bookmarkStart w:id="345" w:name="b342"/>
      <w:r>
        <w:t>§ 213 Besondere Aufsichtsmaßnahmen</w:t>
      </w:r>
      <w:r>
        <w:t xml:space="preserve"> </w:t>
      </w:r>
      <w:r>
        <w:rPr>
          <w:rStyle w:val="Suchmarke"/>
        </w:rPr>
        <w:t>#213#</w:t>
      </w:r>
      <w:bookmarkEnd w:id="345"/>
    </w:p>
    <w:p>
      <w:r>
        <w:rPr>
          <w:rStyle w:val="Satznummer"/>
        </w:rPr>
        <w:t>1</w:t>
      </w:r>
      <w:r>
        <w:t xml:space="preserve">Betriebe oder Unternehmen, deren Inhaber oder deren leitende Angehörige wegen Steuerhinterziehung, versuchter Steuerhinterziehung oder wegen der Teilnahme an einer solchen Tat rechtskräftig bestraft worden sind, dürfen auf ihre Kosten besonderen Aufsichtsmaßnahmen unterworfen werden, wenn dies zur Gewährleistung einer wirksamen Steueraufsicht erforderlich ist. </w:t>
      </w:r>
      <w:r>
        <w:rPr>
          <w:rStyle w:val="Satznummer"/>
        </w:rPr>
        <w:t>2</w:t>
      </w:r>
      <w:r>
        <w:t>Insbesondere dürfen zusätzliche Anschreibungen und Meldepflichten, der sichere Verschluss von Räumen, Behältnissen und Geräten sowie ähnliche Maßnahmen vorgeschrieben werden.</w:t>
      </w:r>
    </w:p>
    <w:p>
      <w:pPr>
        <w:pStyle w:val="Heading3"/>
      </w:pPr>
      <w:bookmarkStart w:id="346" w:name="b343"/>
      <w:r>
        <w:t>§ 214 Beauftragte</w:t>
      </w:r>
      <w:r>
        <w:t xml:space="preserve"> </w:t>
      </w:r>
      <w:r>
        <w:rPr>
          <w:rStyle w:val="Suchmarke"/>
        </w:rPr>
        <w:t>#214#</w:t>
      </w:r>
      <w:bookmarkEnd w:id="346"/>
    </w:p>
    <w:p>
      <w:r>
        <w:t>Wer sich zur Erfüllung steuerlicher Pflichten, die ihm auf Grund eines der Steueraufsicht unterliegenden Sachverhalts obliegen, durch einen mit der Wahrnehmung dieser Pflichten beauftragten Angehörigen seines Betriebs oder Unternehmens vertreten lässt, bedarf der Zustimmung der Finanzbehörde.</w:t>
      </w:r>
    </w:p>
    <w:p>
      <w:pPr>
        <w:pStyle w:val="Heading3"/>
      </w:pPr>
      <w:bookmarkStart w:id="347" w:name="b344"/>
      <w:r>
        <w:t>§ 215 Sicherstellung im Aufsichtsweg</w:t>
      </w:r>
      <w:r>
        <w:t xml:space="preserve"> </w:t>
      </w:r>
      <w:r>
        <w:rPr>
          <w:rStyle w:val="Suchmarke"/>
        </w:rPr>
        <w:t>#215#</w:t>
      </w:r>
      <w:bookmarkEnd w:id="347"/>
    </w:p>
    <w:p>
      <w:r>
        <w:t xml:space="preserve">(1) </w:t>
      </w:r>
      <w:r>
        <w:rPr>
          <w:rStyle w:val="Satznummer"/>
        </w:rPr>
        <w:t>1</w:t>
      </w:r>
      <w:r>
        <w:t>Die Finanzbehörde kann durch Wegnahme, Anbringen von Siegeln oder durch Verfügungsverbot sicherstellen:</w:t>
      </w:r>
    </w:p>
    <w:p>
      <w:pPr>
        <w:tabs>
          <w:tab w:pos="567" w:val="left"/>
        </w:tabs>
        <w:ind w:left="567" w:hanging="567"/>
      </w:pPr>
      <w:r>
        <w:t>1.</w:t>
      </w:r>
      <w:r>
        <w:tab/>
      </w:r>
      <w:r>
        <w:t>verbrauchsteuerpflichtige Waren, die ein Amtsträger vorfindet</w:t>
      </w:r>
    </w:p>
    <w:p>
      <w:pPr>
        <w:tabs>
          <w:tab w:pos="1134" w:val="left"/>
        </w:tabs>
        <w:ind w:left="1134" w:hanging="567"/>
      </w:pPr>
      <w:r>
        <w:t>a)</w:t>
      </w:r>
      <w:r>
        <w:tab/>
      </w:r>
      <w:r>
        <w:t>in Herstellungsbetrieben oder anderen anmeldepflichtigen Räumen, die der Finanzbehörde nicht angemeldet sind,</w:t>
      </w:r>
    </w:p>
    <w:p>
      <w:pPr>
        <w:tabs>
          <w:tab w:pos="1134" w:val="left"/>
        </w:tabs>
        <w:ind w:left="1134" w:hanging="567"/>
      </w:pPr>
      <w:r>
        <w:t>b)</w:t>
      </w:r>
      <w:r>
        <w:tab/>
      </w:r>
      <w:r>
        <w:t>im Handel ohne eine den Steuergesetzen entsprechende Verpackung, Bezeichnung, Kennzeichnung oder ohne vorschriftsmäßige Steuerzeichen,</w:t>
      </w:r>
    </w:p>
    <w:p>
      <w:pPr>
        <w:tabs>
          <w:tab w:pos="567" w:val="left"/>
        </w:tabs>
        <w:ind w:left="567" w:hanging="567"/>
      </w:pPr>
      <w:r>
        <w:t>2.</w:t>
      </w:r>
      <w:r>
        <w:tab/>
      </w:r>
      <w:r>
        <w:t>Waren, die im grenznahen Raum oder in Gebieten, die der Grenzaufsicht unterliegen, aufgefunden werden, wenn sie weder offenbar Unionswaren noch den Umständen nach in den zollrechtlich freien Verkehr überführt worden sind,</w:t>
      </w:r>
    </w:p>
    <w:p>
      <w:pPr>
        <w:tabs>
          <w:tab w:pos="567" w:val="left"/>
        </w:tabs>
        <w:ind w:left="567" w:hanging="567"/>
      </w:pPr>
      <w:r>
        <w:t>3.</w:t>
      </w:r>
      <w:r>
        <w:tab/>
      </w:r>
      <w:r>
        <w:t>die Umschließungen der in den Nummern 1 und 2 genannten Waren,</w:t>
      </w:r>
    </w:p>
    <w:p>
      <w:pPr>
        <w:tabs>
          <w:tab w:pos="567" w:val="left"/>
        </w:tabs>
        <w:ind w:left="567" w:hanging="567"/>
      </w:pPr>
      <w:r>
        <w:t>4.</w:t>
      </w:r>
      <w:r>
        <w:tab/>
      </w:r>
      <w:r>
        <w:t>Geräte, die zur Herstellung von verbrauchsteuerpflichtigen Waren bestimmt sind und die sich in einem der Finanzbehörde nicht angemeldeten Herstellungsbetrieb befinden.</w:t>
      </w:r>
    </w:p>
    <w:p>
      <w:r>
        <w:rPr>
          <w:rStyle w:val="Satznummer"/>
        </w:rPr>
        <w:t>2</w:t>
      </w:r>
      <w:r>
        <w:t>Die Sicherstellung ist auch zulässig, wenn die Sachen zunächst in einem Strafverfahren beschlagnahmt und dann der Finanzbehörde zur Verfügung gestellt worden sind.</w:t>
      </w:r>
    </w:p>
    <w:p>
      <w:r>
        <w:t xml:space="preserve">(2) </w:t>
      </w:r>
      <w:r>
        <w:rPr>
          <w:rStyle w:val="Satznummer"/>
        </w:rPr>
        <w:t>1</w:t>
      </w:r>
      <w:r>
        <w:t xml:space="preserve">Über die Sicherstellung ist eine Niederschrift aufzunehmen. </w:t>
      </w:r>
      <w:r>
        <w:rPr>
          <w:rStyle w:val="Satznummer"/>
        </w:rPr>
        <w:t>2</w:t>
      </w:r>
      <w:r>
        <w:t>Die Sicherstellung ist den betroffenen Personen (Eigentümer, Besitzer) mitzuteilen, soweit sie bekannt sind.</w:t>
      </w:r>
    </w:p>
    <w:p>
      <w:pPr>
        <w:pStyle w:val="Heading3"/>
      </w:pPr>
      <w:bookmarkStart w:id="348" w:name="b345"/>
      <w:r>
        <w:t>§ 216 Überführung in das Eigentum des Bundes</w:t>
      </w:r>
      <w:r>
        <w:t xml:space="preserve"> </w:t>
      </w:r>
      <w:r>
        <w:rPr>
          <w:rStyle w:val="Suchmarke"/>
        </w:rPr>
        <w:t>#216#</w:t>
      </w:r>
      <w:bookmarkEnd w:id="348"/>
    </w:p>
    <w:p>
      <w:r>
        <w:t xml:space="preserve">(1) </w:t>
      </w:r>
      <w:r>
        <w:rPr>
          <w:rStyle w:val="Satznummer"/>
        </w:rPr>
        <w:t>1</w:t>
      </w:r>
      <w:r>
        <w:t xml:space="preserve">Nach </w:t>
      </w:r>
      <w:hyperlink w:anchor="b344" w:history="1">
        <w:r>
          <w:rPr>
            <w:color w:val="0A3A8C"/>
            <w:u w:val="single"/>
          </w:rPr>
          <w:t xml:space="preserve">§ 215</w:t>
        </w:r>
      </w:hyperlink>
      <w:r>
        <w:t xml:space="preserve"> sichergestellte Sachen sind in das Eigentum des Bundes überzuführen, sofern sie nicht nach </w:t>
      </w:r>
      <w:hyperlink w:anchor="b538" w:history="1">
        <w:r>
          <w:rPr>
            <w:color w:val="0A3A8C"/>
            <w:u w:val="single"/>
          </w:rPr>
          <w:t xml:space="preserve">§ 375</w:t>
        </w:r>
      </w:hyperlink>
      <w:r>
        <w:t xml:space="preserve"> Absatz 2 eingezogen werden. </w:t>
      </w:r>
      <w:r>
        <w:rPr>
          <w:rStyle w:val="Satznummer"/>
        </w:rPr>
        <w:t>2</w:t>
      </w:r>
      <w:r>
        <w:t>Für Fundgut gilt dies nur, wenn kein Eigentumsanspruch geltend gemacht wird.</w:t>
      </w:r>
    </w:p>
    <w:p>
      <w:r>
        <w:t xml:space="preserve">(2) </w:t>
      </w:r>
      <w:r>
        <w:rPr>
          <w:rStyle w:val="Satznummer"/>
        </w:rPr>
        <w:t>1</w:t>
      </w:r>
      <w:r>
        <w:t xml:space="preserve">Die Überführung sichergestellter Sachen in das Eigentum des Bundes ist den betroffenen Personen mitzuteilen. </w:t>
      </w:r>
      <w:r>
        <w:rPr>
          <w:rStyle w:val="Satznummer"/>
        </w:rPr>
        <w:t>2</w:t>
      </w:r>
      <w:r>
        <w:t>Ist eine betroffene Person nicht bekannt, so gilt § 10 Absatz 2 des Verwaltungszustellungsgesetzes sinngemäß.</w:t>
      </w:r>
    </w:p>
    <w:p>
      <w:r>
        <w:t xml:space="preserve">(3) </w:t>
      </w:r>
      <w:r>
        <w:rPr>
          <w:rStyle w:val="Satznummer"/>
        </w:rPr>
        <w:t>1</w:t>
      </w:r>
      <w:r>
        <w:t xml:space="preserve">Der Eigentumsübergang wird wirksam, sobald der von der Finanzbehörde erlassene Verwaltungsakt unanfechtbar ist. </w:t>
      </w:r>
      <w:r>
        <w:rPr>
          <w:rStyle w:val="Satznummer"/>
        </w:rPr>
        <w:t>2</w:t>
      </w:r>
      <w:r>
        <w:t xml:space="preserve">Bei Sachen, die mit dem Grund und Boden verbunden sind, geht das Eigentum unter der Voraussetzung des Satzes 1 mit der Trennung über. </w:t>
      </w:r>
      <w:r>
        <w:rPr>
          <w:rStyle w:val="Satznummer"/>
        </w:rPr>
        <w:t>3</w:t>
      </w:r>
      <w:r>
        <w:t xml:space="preserve">Rechte Dritter an einer sichergestellten Sache bleiben bestehen. </w:t>
      </w:r>
      <w:r>
        <w:rPr>
          <w:rStyle w:val="Satznummer"/>
        </w:rPr>
        <w:t>4</w:t>
      </w:r>
      <w:r>
        <w:t>Das Erlöschen dieser Rechte kann jedoch angeordnet werden, wenn der Dritte leichtfertig dazu beigetragen hat, dass die in das Eigentum des Bundes überführte Sache der Sicherstellung unterlag oder er sein Recht an der Sache in Kenntnis der Umstände erwarb, welche die Sicherstellung veranlasst haben.</w:t>
      </w:r>
    </w:p>
    <w:p>
      <w:r>
        <w:t xml:space="preserve">(4) </w:t>
      </w:r>
      <w:r>
        <w:rPr>
          <w:rStyle w:val="Satznummer"/>
        </w:rPr>
        <w:t>1</w:t>
      </w:r>
      <w:r>
        <w:t xml:space="preserve">Sichergestellte Sachen können schon vor der Überführung in das Eigentum des Bundes veräußert werden, wenn ihr Verderb oder eine wesentliche Minderung ihres Werts droht oder ihre Aufbewahrung, Pflege oder Erhaltung mit unverhältnismäßig großen Kosten oder Schwierigkeiten verbunden ist; zu diesem Zweck dürfen auch Sachen, die mit dem Grund und Boden verbunden sind, von diesem getrennt werden. </w:t>
      </w:r>
      <w:r>
        <w:rPr>
          <w:rStyle w:val="Satznummer"/>
        </w:rPr>
        <w:t>2</w:t>
      </w:r>
      <w:r>
        <w:t xml:space="preserve">Der Erlös tritt an die Stelle der Sachen. </w:t>
      </w:r>
      <w:r>
        <w:rPr>
          <w:rStyle w:val="Satznummer"/>
        </w:rPr>
        <w:t>3</w:t>
      </w:r>
      <w:r>
        <w:t xml:space="preserve">Die Notveräußerung wird nach den Vorschriften dieses Gesetzes über die Verwertung gepfändeter Sachen durchgeführt. </w:t>
      </w:r>
      <w:r>
        <w:rPr>
          <w:rStyle w:val="Satznummer"/>
        </w:rPr>
        <w:t>4</w:t>
      </w:r>
      <w:r>
        <w:t xml:space="preserve">Die betroffenen Personen sollen vor der Anordnung der Veräußerung gehört werden. </w:t>
      </w:r>
      <w:r>
        <w:rPr>
          <w:rStyle w:val="Satznummer"/>
        </w:rPr>
        <w:t>5</w:t>
      </w:r>
      <w:r>
        <w:t>Die Anordnung sowie Zeit und Ort der Veräußerung sind ihnen, soweit tunlich, mitzuteilen.</w:t>
      </w:r>
    </w:p>
    <w:p>
      <w:r>
        <w:t xml:space="preserve">(5) </w:t>
      </w:r>
      <w:r>
        <w:rPr>
          <w:rStyle w:val="Satznummer"/>
        </w:rPr>
        <w:t>1</w:t>
      </w:r>
      <w:r>
        <w:t xml:space="preserve">Sichergestellte oder bereits in das Eigentum des Bundes überführte Sachen werden zurückgegeben, wenn die Umstände, die die Sicherstellung veranlasst haben, dem Eigentümer nicht zuzurechnen sind oder wenn die Überführung in das Eigentum des Bundes als eine unbillige Härte für die betroffenen Personen erscheint. </w:t>
      </w:r>
      <w:r>
        <w:rPr>
          <w:rStyle w:val="Satznummer"/>
        </w:rPr>
        <w:t>2</w:t>
      </w:r>
      <w:r>
        <w:t xml:space="preserve">Gutgläubige Dritte, deren Rechte durch die Überführung in das Eigentum des Bundes erloschen oder beeinträchtigt sind, werden aus dem Erlös der Sachen angemessen entschädigt. </w:t>
      </w:r>
      <w:r>
        <w:rPr>
          <w:rStyle w:val="Satznummer"/>
        </w:rPr>
        <w:t>3</w:t>
      </w:r>
      <w:r>
        <w:t>Im Übrigen kann eine Entschädigung gewährt werden, soweit es eine unbillige Härte wäre, sie zu versagen.</w:t>
      </w:r>
    </w:p>
    <w:p>
      <w:pPr>
        <w:pStyle w:val="Heading3"/>
      </w:pPr>
      <w:bookmarkStart w:id="349" w:name="b346"/>
      <w:r>
        <w:t>§ 217 Steuerhilfspersonen</w:t>
      </w:r>
      <w:r>
        <w:t xml:space="preserve"> </w:t>
      </w:r>
      <w:r>
        <w:rPr>
          <w:rStyle w:val="Suchmarke"/>
        </w:rPr>
        <w:t>#217#</w:t>
      </w:r>
      <w:bookmarkEnd w:id="349"/>
    </w:p>
    <w:p>
      <w:r>
        <w:t>Zur Feststellung von Tatsachen, die zoll- oder verbrauchsteuerrechtlich erheblich sind, kann die Finanzbehörde Personen, die vom Ergebnis der Feststellung nicht selbst betroffen werden, als Steuerhilfspersonen bestellen.</w:t>
      </w:r>
    </w:p>
    <w:p>
      <w:pPr>
        <w:pStyle w:val="Heading1"/>
      </w:pPr>
      <w:bookmarkStart w:id="350" w:name="b347"/>
      <w:r>
        <w:t>Fünfter Teil Erhebungsverfahren</w:t>
      </w:r>
      <w:bookmarkEnd w:id="350"/>
    </w:p>
    <w:p>
      <w:pPr>
        <w:pStyle w:val="Heading2"/>
      </w:pPr>
      <w:bookmarkStart w:id="351" w:name="b348"/>
      <w:r>
        <w:t>Erster Abschnitt Verwirklichung, Fälligkeit und Erlöschen von Ansprüchen aus dem Steuerschuldverhältnis</w:t>
      </w:r>
      <w:bookmarkEnd w:id="351"/>
    </w:p>
    <w:p>
      <w:pPr>
        <w:pStyle w:val="Heading3"/>
      </w:pPr>
      <w:bookmarkStart w:id="352" w:name="b349"/>
      <w:r>
        <w:t>1. Unterabschnitt Verwirklichung und Fälligkeit von Ansprüchen aus dem Steuerschuldverhältnis</w:t>
      </w:r>
      <w:bookmarkEnd w:id="352"/>
    </w:p>
    <w:p>
      <w:pPr>
        <w:pStyle w:val="Heading4"/>
      </w:pPr>
      <w:bookmarkStart w:id="353" w:name="b350"/>
      <w:r>
        <w:t>§ 218 Verwirklichung von Ansprüchen aus dem Steuerschuldverhältnis</w:t>
      </w:r>
      <w:r>
        <w:t xml:space="preserve"> </w:t>
      </w:r>
      <w:r>
        <w:rPr>
          <w:rStyle w:val="Suchmarke"/>
        </w:rPr>
        <w:t>#218#</w:t>
      </w:r>
      <w:bookmarkEnd w:id="353"/>
    </w:p>
    <w:p>
      <w:r>
        <w:t xml:space="preserve">(1) </w:t>
      </w:r>
      <w:r>
        <w:rPr>
          <w:rStyle w:val="Satznummer"/>
        </w:rPr>
        <w:t>1</w:t>
      </w:r>
      <w:r>
        <w:t>Grundlage für die Verwirklichung von Ansprüchen aus dem Steuerschuldverhältnis (</w:t>
      </w:r>
      <w:hyperlink w:anchor="b68" w:history="1">
        <w:r>
          <w:rPr>
            <w:color w:val="0A3A8C"/>
            <w:u w:val="single"/>
          </w:rPr>
          <w:t xml:space="preserve">§ 37</w:t>
        </w:r>
      </w:hyperlink>
      <w:r>
        <w:t>) sind die Steuerbescheide, die Steuervergütungsbescheide, die Haftungsbescheide und die Verwaltungsakte, durch die steuerliche Nebenleistungen festgesetzt werden; bei den Säumniszuschlägen genügt die Verwirklichung des gesetzlichen Tatbestands (</w:t>
      </w:r>
      <w:hyperlink w:anchor="b379" w:history="1">
        <w:r>
          <w:rPr>
            <w:color w:val="0A3A8C"/>
            <w:u w:val="single"/>
          </w:rPr>
          <w:t xml:space="preserve">§ 240</w:t>
        </w:r>
      </w:hyperlink>
      <w:r>
        <w:t xml:space="preserve">). </w:t>
      </w:r>
      <w:r>
        <w:rPr>
          <w:rStyle w:val="Satznummer"/>
        </w:rPr>
        <w:t>2</w:t>
      </w:r>
      <w:r>
        <w:t>Die Steueranmeldungen (</w:t>
      </w:r>
      <w:hyperlink w:anchor="b277" w:history="1">
        <w:r>
          <w:rPr>
            <w:color w:val="0A3A8C"/>
            <w:u w:val="single"/>
          </w:rPr>
          <w:t xml:space="preserve">§ 168</w:t>
        </w:r>
      </w:hyperlink>
      <w:r>
        <w:t>) stehen den Steuerbescheiden gleich.</w:t>
      </w:r>
    </w:p>
    <w:p>
      <w:r>
        <w:t xml:space="preserve">(2) </w:t>
      </w:r>
      <w:r>
        <w:rPr>
          <w:rStyle w:val="Satznummer"/>
        </w:rPr>
        <w:t>1</w:t>
      </w:r>
      <w:r>
        <w:t xml:space="preserve">Über Streitigkeiten, die die Verwirklichung der Ansprüche im Sinne des Absatzes 1 betreffen, entscheidet die Finanzbehörde durch Abrechnungsbescheid. </w:t>
      </w:r>
      <w:r>
        <w:rPr>
          <w:rStyle w:val="Satznummer"/>
        </w:rPr>
        <w:t>2</w:t>
      </w:r>
      <w:r>
        <w:t>Dies gilt auch, wenn die Streitigkeit einen Erstattungsanspruch (</w:t>
      </w:r>
      <w:hyperlink w:anchor="b68" w:history="1">
        <w:r>
          <w:rPr>
            <w:color w:val="0A3A8C"/>
            <w:u w:val="single"/>
          </w:rPr>
          <w:t xml:space="preserve">§ 37</w:t>
        </w:r>
      </w:hyperlink>
      <w:r>
        <w:t xml:space="preserve"> Absatz 2) betrifft.</w:t>
      </w:r>
    </w:p>
    <w:p>
      <w:r>
        <w:t xml:space="preserve">(3) </w:t>
      </w:r>
      <w:r>
        <w:rPr>
          <w:rStyle w:val="Satznummer"/>
        </w:rPr>
        <w:t>1</w:t>
      </w:r>
      <w:r>
        <w:t xml:space="preserve">Wird eine Anrechnungsverfügung oder ein Abrechnungsbescheid auf Grund eines Rechtsbehelfs oder auf Antrag des Steuerpflichtigen oder eines Dritten zurückgenommen und in dessen Folge ein für ihn günstigerer Verwaltungsakt erlassen, können nachträglich gegenüber dem Steuerpflichtigen oder einer anderen Person die entsprechenden steuerlichen Folgerungen gezogen werden. </w:t>
      </w:r>
      <w:r>
        <w:rPr>
          <w:rStyle w:val="Satznummer"/>
        </w:rPr>
        <w:t>2</w:t>
      </w:r>
      <w:hyperlink w:anchor="b286" w:history="1">
        <w:r>
          <w:rPr>
            <w:color w:val="0A3A8C"/>
            <w:u w:val="single"/>
          </w:rPr>
          <w:t xml:space="preserve">§ 174</w:t>
        </w:r>
      </w:hyperlink>
      <w:r>
        <w:t xml:space="preserve"> Absatz 4 und 5 gilt entsprechend.</w:t>
      </w:r>
    </w:p>
    <w:p>
      <w:pPr>
        <w:pStyle w:val="Heading4"/>
      </w:pPr>
      <w:bookmarkStart w:id="354" w:name="b351"/>
      <w:r>
        <w:t>§ 219 Zahlungsaufforderung bei Haftungsbescheiden</w:t>
      </w:r>
      <w:r>
        <w:t xml:space="preserve"> </w:t>
      </w:r>
      <w:r>
        <w:rPr>
          <w:rStyle w:val="Suchmarke"/>
        </w:rPr>
        <w:t>#219#</w:t>
      </w:r>
      <w:bookmarkEnd w:id="354"/>
    </w:p>
    <w:p>
      <w:r>
        <w:rPr>
          <w:rStyle w:val="Satznummer"/>
        </w:rPr>
        <w:t>1</w:t>
      </w:r>
      <w:r>
        <w:t xml:space="preserve">Wenn nichts anderes bestimmt ist, darf ein Haftungsschuldner auf Zahlung nur in Anspruch genommen werden, soweit die Vollstreckung in das bewegliche Vermögen des Steuerschuldners ohne Erfolg geblieben oder anzunehmen ist, dass die Vollstreckung aussichtslos sein würde. </w:t>
      </w:r>
      <w:r>
        <w:rPr>
          <w:rStyle w:val="Satznummer"/>
        </w:rPr>
        <w:t>2</w:t>
      </w:r>
      <w:r>
        <w:t>Diese Einschränkung gilt nicht, wenn die Haftung darauf beruht, dass der Haftungsschuldner Steuerhinterziehung oder Steuerhehlerei begangen hat oder gesetzlich verpflichtet war, Steuern einzubehalten und abzuführen oder zu Lasten eines anderen zu entrichten.</w:t>
      </w:r>
    </w:p>
    <w:p>
      <w:pPr>
        <w:pStyle w:val="Heading4"/>
      </w:pPr>
      <w:bookmarkStart w:id="355" w:name="b352"/>
      <w:r>
        <w:t>§ 220 Fälligkeit</w:t>
      </w:r>
      <w:r>
        <w:t xml:space="preserve"> </w:t>
      </w:r>
      <w:r>
        <w:rPr>
          <w:rStyle w:val="Suchmarke"/>
        </w:rPr>
        <w:t>#220#</w:t>
      </w:r>
      <w:bookmarkEnd w:id="355"/>
    </w:p>
    <w:p>
      <w:r>
        <w:t>(1) Die Fälligkeit von Ansprüchen aus dem Steuerschuldverhältnis richtet sich nach den Vorschriften der Steuergesetze.</w:t>
      </w:r>
    </w:p>
    <w:p>
      <w:r>
        <w:t xml:space="preserve">(2) </w:t>
      </w:r>
      <w:r>
        <w:rPr>
          <w:rStyle w:val="Satznummer"/>
        </w:rPr>
        <w:t>1</w:t>
      </w:r>
      <w:r>
        <w:t xml:space="preserve">Fehlt es an einer besonderen gesetzlichen Regelung über die Fälligkeit, so wird der Anspruch mit seiner Entstehung fällig, es sei denn, dass in einem nach </w:t>
      </w:r>
      <w:hyperlink w:anchor="b396" w:history="1">
        <w:r>
          <w:rPr>
            <w:color w:val="0A3A8C"/>
            <w:u w:val="single"/>
          </w:rPr>
          <w:t xml:space="preserve">§ 254</w:t>
        </w:r>
      </w:hyperlink>
      <w:r>
        <w:t xml:space="preserve"> erforderlichen Leistungsgebot eine Zahlungsfrist eingeräumt worden ist. </w:t>
      </w:r>
      <w:r>
        <w:rPr>
          <w:rStyle w:val="Satznummer"/>
        </w:rPr>
        <w:t>2</w:t>
      </w:r>
      <w:r>
        <w:t>Ergibt sich der Anspruch in den Fällen des Satzes 1 aus der Festsetzung von Ansprüchen aus dem Steuerschuldverhältnis, so tritt die Fälligkeit nicht vor Bekanntgabe der Festsetzung ein.</w:t>
      </w:r>
    </w:p>
    <w:p>
      <w:pPr>
        <w:pStyle w:val="Heading4"/>
      </w:pPr>
      <w:bookmarkStart w:id="356" w:name="b353"/>
      <w:r>
        <w:t>§ 221 Abweichende Fälligkeitsbestimmung</w:t>
      </w:r>
      <w:r>
        <w:t xml:space="preserve"> </w:t>
      </w:r>
      <w:r>
        <w:rPr>
          <w:rStyle w:val="Suchmarke"/>
        </w:rPr>
        <w:t>#221#</w:t>
      </w:r>
      <w:bookmarkEnd w:id="356"/>
    </w:p>
    <w:p>
      <w:r>
        <w:rPr>
          <w:rStyle w:val="Satznummer"/>
        </w:rPr>
        <w:t>1</w:t>
      </w:r>
      <w:r>
        <w:t xml:space="preserve">Hat ein Steuerpflichtiger eine Verbrauchsteuer oder die Umsatzsteuer mehrfach nicht rechtzeitig entrichtet, so kann die Finanzbehörde verlangen, dass die Steuer jeweils zu einem von der Finanzbehörde zu bestimmenden, vor der gesetzlichen Fälligkeit aber nach Entstehung der Steuer liegenden Zeitpunkt entrichtet wird. </w:t>
      </w:r>
      <w:r>
        <w:rPr>
          <w:rStyle w:val="Satznummer"/>
        </w:rPr>
        <w:t>2</w:t>
      </w:r>
      <w:r>
        <w:t xml:space="preserve">Das Gleiche gilt, wenn die Annahme begründet ist, dass der Eingang einer Verbrauchsteuer oder der Umsatzsteuer gefährdet ist; an Stelle der Vorverlegung der Fälligkeit kann auch Sicherheitsleistung verlangt werden. </w:t>
      </w:r>
      <w:r>
        <w:rPr>
          <w:rStyle w:val="Satznummer"/>
        </w:rPr>
        <w:t>3</w:t>
      </w:r>
      <w:r>
        <w:t>In den Fällen des Satzes 1 ist die Vorverlegung der Fälligkeit nur zulässig, wenn sie dem Steuerpflichtigen für den Fall erneuter nicht rechtzeitiger Entrichtung angekündigt worden ist.</w:t>
      </w:r>
    </w:p>
    <w:p>
      <w:pPr>
        <w:pStyle w:val="Heading4"/>
      </w:pPr>
      <w:bookmarkStart w:id="357" w:name="b354"/>
      <w:r>
        <w:t>§ 222 Stundung</w:t>
      </w:r>
      <w:r>
        <w:t xml:space="preserve"> </w:t>
      </w:r>
      <w:r>
        <w:rPr>
          <w:rStyle w:val="Suchmarke"/>
        </w:rPr>
        <w:t>#222#</w:t>
      </w:r>
      <w:bookmarkEnd w:id="357"/>
    </w:p>
    <w:p>
      <w:r>
        <w:rPr>
          <w:rStyle w:val="Satznummer"/>
        </w:rPr>
        <w:t>1</w:t>
      </w:r>
      <w:r>
        <w:t xml:space="preserve">Die Finanzbehörden können Ansprüche aus dem Steuerschuldverhältnis ganz oder teilweise stunden, wenn die Einziehung bei Fälligkeit eine erhebliche Härte für den Schuldner bedeuten würde und der Anspruch durch die Stundung nicht gefährdet erscheint. </w:t>
      </w:r>
      <w:r>
        <w:rPr>
          <w:rStyle w:val="Satznummer"/>
        </w:rPr>
        <w:t>2</w:t>
      </w:r>
      <w:r>
        <w:t xml:space="preserve">Die Stundung soll in der Regel nur auf Antrag und gegen Sicherheitsleistung gewährt werden. </w:t>
      </w:r>
      <w:r>
        <w:rPr>
          <w:rStyle w:val="Satznummer"/>
        </w:rPr>
        <w:t>3</w:t>
      </w:r>
      <w:r>
        <w:t xml:space="preserve">Steueransprüche gegen den Steuerschuldner können nicht gestundet werden, soweit ein Dritter (Entrichtungspflichtiger) die Steuer für Rechnung des Steuerschuldners zu entrichten, insbesondere einzubehalten und abzuführen hat. </w:t>
      </w:r>
      <w:r>
        <w:rPr>
          <w:rStyle w:val="Satznummer"/>
        </w:rPr>
        <w:t>4</w:t>
      </w:r>
      <w:r>
        <w:t>Die Stundung des Haftungsanspruchs gegen den Entrichtungspflichtigen ist ausgeschlossen, soweit er Steuerabzugsbeträge einbehalten oder Beträge, die eine Steuer enthalten, eingenommen hat.</w:t>
      </w:r>
    </w:p>
    <w:p>
      <w:pPr>
        <w:pStyle w:val="Heading4"/>
      </w:pPr>
      <w:bookmarkStart w:id="358" w:name="b355"/>
      <w:r>
        <w:t>§ 223 (weggefallen)</w:t>
      </w:r>
      <w:r>
        <w:t xml:space="preserve"> </w:t>
      </w:r>
      <w:r>
        <w:rPr>
          <w:rStyle w:val="Suchmarke"/>
        </w:rPr>
        <w:t>#223#</w:t>
      </w:r>
      <w:bookmarkEnd w:id="358"/>
    </w:p>
    <w:p>
      <w:pPr>
        <w:pStyle w:val="Heading3"/>
      </w:pPr>
      <w:bookmarkStart w:id="359" w:name="b356"/>
      <w:r>
        <w:t>2. Unterabschnitt Zahlung, Aufrechnung, Erlass</w:t>
      </w:r>
      <w:bookmarkEnd w:id="359"/>
    </w:p>
    <w:p>
      <w:pPr>
        <w:pStyle w:val="Heading4"/>
      </w:pPr>
      <w:bookmarkStart w:id="360" w:name="b357"/>
      <w:r>
        <w:t>§ 224 Leistungsort, Tag der Zahlung</w:t>
      </w:r>
      <w:r>
        <w:t xml:space="preserve"> </w:t>
      </w:r>
      <w:r>
        <w:rPr>
          <w:rStyle w:val="Suchmarke"/>
        </w:rPr>
        <w:t>#224#</w:t>
      </w:r>
      <w:bookmarkEnd w:id="360"/>
    </w:p>
    <w:p>
      <w:r>
        <w:t xml:space="preserve">(1) </w:t>
      </w:r>
      <w:r>
        <w:rPr>
          <w:rStyle w:val="Satznummer"/>
        </w:rPr>
        <w:t>1</w:t>
      </w:r>
      <w:r>
        <w:t xml:space="preserve">Zahlungen an Finanzbehörden sind an die zuständige Kasse zu entrichten. </w:t>
      </w:r>
      <w:r>
        <w:rPr>
          <w:rStyle w:val="Satznummer"/>
        </w:rPr>
        <w:t>2</w:t>
      </w:r>
      <w:r>
        <w:t>Außerhalb des Kassenraums können Zahlungsmittel nur einem Amtsträger übergeben werden, der zur Annahme von Zahlungsmitteln außerhalb des Kassenraums besonders ermächtigt worden ist und sich hierüber ausweisen kann.</w:t>
      </w:r>
    </w:p>
    <w:p>
      <w:r>
        <w:t>(2) Eine wirksam geleistete Zahlung gilt als entrichtet:</w:t>
      </w:r>
    </w:p>
    <w:p>
      <w:pPr>
        <w:tabs>
          <w:tab w:pos="567" w:val="left"/>
        </w:tabs>
        <w:ind w:left="567" w:hanging="567"/>
      </w:pPr>
      <w:r>
        <w:t>1.</w:t>
      </w:r>
      <w:r>
        <w:tab/>
      </w:r>
      <w:r>
        <w:t>bei Übergabe oder Übersendung von Zahlungsmitteln am Tag des Eingangs, bei Hingabe oder Übersendung von Schecks jedoch drei Tage nach dem Tag des Eingangs,</w:t>
      </w:r>
    </w:p>
    <w:p>
      <w:pPr>
        <w:tabs>
          <w:tab w:pos="567" w:val="left"/>
        </w:tabs>
        <w:ind w:left="567" w:hanging="567"/>
      </w:pPr>
      <w:r>
        <w:t>2.</w:t>
      </w:r>
      <w:r>
        <w:tab/>
      </w:r>
      <w:r>
        <w:t>bei Überweisung oder Einzahlung auf ein Konto der Finanzbehörde und bei Einzahlung mit Zahlschein an dem Tag, an dem der Betrag der Finanzbehörde gutgeschrieben wird,</w:t>
      </w:r>
    </w:p>
    <w:p>
      <w:pPr>
        <w:tabs>
          <w:tab w:pos="567" w:val="left"/>
        </w:tabs>
        <w:ind w:left="567" w:hanging="567"/>
      </w:pPr>
      <w:r>
        <w:t>3.</w:t>
      </w:r>
      <w:r>
        <w:tab/>
      </w:r>
      <w:r>
        <w:t>bei Vorliegen eines SEPA-Lastschriftmandats am Fälligkeitstag.</w:t>
      </w:r>
    </w:p>
    <w:p>
      <w:r>
        <w:t xml:space="preserve">(3) </w:t>
      </w:r>
      <w:r>
        <w:rPr>
          <w:rStyle w:val="Satznummer"/>
        </w:rPr>
        <w:t>1</w:t>
      </w:r>
      <w:r>
        <w:t xml:space="preserve">Zahlungen der Finanzbehörden sind unbar zu leisten. </w:t>
      </w:r>
      <w:r>
        <w:rPr>
          <w:rStyle w:val="Satznummer"/>
        </w:rPr>
        <w:t>2</w:t>
      </w:r>
      <w:r>
        <w:t xml:space="preserve">Das Bundesministerium der Finanzen und die für die Finanzverwaltung zuständigen obersten Landesbehörden können für ihre Geschäftsbereiche Ausnahmen zulassen. </w:t>
      </w:r>
      <w:r>
        <w:rPr>
          <w:rStyle w:val="Satznummer"/>
        </w:rPr>
        <w:t>3</w:t>
      </w:r>
      <w:r>
        <w:t>Als Tag der Zahlung gilt bei Überweisung oder Zahlungsanweisung der dritte Tag nach der Hingabe oder Absendung des Auftrags an das Kreditinstitut oder, wenn der Betrag nicht sofort abgebucht werden soll, der dritte Tag nach der Abbuchung.</w:t>
      </w:r>
    </w:p>
    <w:p>
      <w:r>
        <w:t xml:space="preserve">(4) </w:t>
      </w:r>
      <w:r>
        <w:rPr>
          <w:rStyle w:val="Satznummer"/>
        </w:rPr>
        <w:t>1</w:t>
      </w:r>
      <w:r>
        <w:t xml:space="preserve">Die zuständige Kasse kann für die Übergabe von Zahlungsmitteln gegen Quittung geschlossen werden. </w:t>
      </w:r>
      <w:r>
        <w:rPr>
          <w:rStyle w:val="Satznummer"/>
        </w:rPr>
        <w:t>2</w:t>
      </w:r>
      <w:r>
        <w:t>Absatz 2 Nummer 1 gilt entsprechend, wenn bei der Schließung von Kassen nach Satz 1 am Ort der Kasse eine oder mehrere Zweiganstalten der Deutschen Bundesbank oder, falls solche am Ort der Kasse nicht bestehen, ein oder mehrere Kreditinstitute ermächtigt werden, für die Kasse Zahlungsmittel gegen Quittung anzunehmen.</w:t>
      </w:r>
    </w:p>
    <w:p>
      <w:pPr>
        <w:pStyle w:val="Heading4"/>
      </w:pPr>
      <w:bookmarkStart w:id="361" w:name="b358"/>
      <w:r>
        <w:t>§ 224a Hingabe von Kunstgegenständen an Zahlungs statt</w:t>
      </w:r>
      <w:r>
        <w:t xml:space="preserve"> </w:t>
      </w:r>
      <w:r>
        <w:rPr>
          <w:rStyle w:val="Suchmarke"/>
        </w:rPr>
        <w:t>#224a#</w:t>
      </w:r>
      <w:bookmarkEnd w:id="361"/>
    </w:p>
    <w:p>
      <w:r>
        <w:t xml:space="preserve">(1) </w:t>
      </w:r>
      <w:r>
        <w:rPr>
          <w:rStyle w:val="Satznummer"/>
        </w:rPr>
        <w:t>1</w:t>
      </w:r>
      <w:r>
        <w:t xml:space="preserve">Schuldet ein Steuerpflichtiger Erbschaft- oder Vermögensteuer, kann durch öffentlich-rechtlichen Vertrag zugelassen werden, dass an Zahlungs statt das Eigentum an Kunstgegenständen, Kunstsammlungen, wissenschaftlichen Sammlungen, Bibliotheken, Handschriften und Archiven dem Land, dem das Steueraufkommen zusteht, übertragen wird, wenn an deren Erwerb wegen ihrer Bedeutung für Kunst, Geschichte oder Wissenschaft ein öffentliches Interesse besteht. </w:t>
      </w:r>
      <w:r>
        <w:rPr>
          <w:rStyle w:val="Satznummer"/>
        </w:rPr>
        <w:t>2</w:t>
      </w:r>
      <w:r>
        <w:t>Die Übertragung des Eigentums nach Satz 1 gilt nicht als Veräußerung im Sinne des § 13 Absatz 1 Nummer 2 Satz 2 des Erbschaftsteuergesetzes.</w:t>
      </w:r>
    </w:p>
    <w:p>
      <w:r>
        <w:t xml:space="preserve">(2) </w:t>
      </w:r>
      <w:r>
        <w:rPr>
          <w:rStyle w:val="Satznummer"/>
        </w:rPr>
        <w:t>1</w:t>
      </w:r>
      <w:r>
        <w:t xml:space="preserve">Der Vertrag nach Absatz 1 bedarf der Schriftform; die elektronische Form ist ausgeschlossen. </w:t>
      </w:r>
      <w:r>
        <w:rPr>
          <w:rStyle w:val="Satznummer"/>
        </w:rPr>
        <w:t>2</w:t>
      </w:r>
      <w:r>
        <w:t xml:space="preserve">Der Steuerpflichtige hat das Vertragsangebot an die örtlich zuständige Finanzbehörde zu richten. </w:t>
      </w:r>
      <w:r>
        <w:rPr>
          <w:rStyle w:val="Satznummer"/>
        </w:rPr>
        <w:t>3</w:t>
      </w:r>
      <w:r>
        <w:t xml:space="preserve">Zuständig für den Vertragsabschluss ist die oberste Finanzbehörde des Landes, dem das Steueraufkommen zusteht. </w:t>
      </w:r>
      <w:r>
        <w:rPr>
          <w:rStyle w:val="Satznummer"/>
        </w:rPr>
        <w:t>4</w:t>
      </w:r>
      <w:r>
        <w:t>Der Vertrag wird erst mit der Zustimmung der für kulturelle Angelegenheiten zuständigen obersten Landesbehörde wirksam; diese Zustimmung wird von der obersten Finanzbehörde eingeholt.</w:t>
      </w:r>
    </w:p>
    <w:p>
      <w:r>
        <w:t>(3) Kommt ein Vertrag zustande, erlischt die Steuerschuld in der im Vertrag vereinbarten Höhe am Tag der Übertragung des Eigentums an das Land, dem das Steueraufkommen zusteht.</w:t>
      </w:r>
    </w:p>
    <w:p>
      <w:r>
        <w:t xml:space="preserve">(4) </w:t>
      </w:r>
      <w:r>
        <w:rPr>
          <w:rStyle w:val="Satznummer"/>
        </w:rPr>
        <w:t>1</w:t>
      </w:r>
      <w:r>
        <w:t xml:space="preserve">Solange nicht feststeht, ob ein Vertrag zustande kommt, kann der Steueranspruch nach </w:t>
      </w:r>
      <w:hyperlink w:anchor="b354" w:history="1">
        <w:r>
          <w:rPr>
            <w:color w:val="0A3A8C"/>
            <w:u w:val="single"/>
          </w:rPr>
          <w:t xml:space="preserve">§ 222</w:t>
        </w:r>
      </w:hyperlink>
      <w:r>
        <w:t xml:space="preserve"> gestundet werden. </w:t>
      </w:r>
      <w:r>
        <w:rPr>
          <w:rStyle w:val="Satznummer"/>
        </w:rPr>
        <w:t>2</w:t>
      </w:r>
      <w:r>
        <w:t>Kommt ein Vertrag zustande, ist für die Dauer der Stundung auf die Erhebung von Stundungszinsen zu verzichten.</w:t>
      </w:r>
    </w:p>
    <w:p>
      <w:pPr>
        <w:pStyle w:val="Heading4"/>
      </w:pPr>
      <w:bookmarkStart w:id="362" w:name="b359"/>
      <w:r>
        <w:t>§ 225 Reihenfolge der Tilgung</w:t>
      </w:r>
      <w:r>
        <w:t xml:space="preserve"> </w:t>
      </w:r>
      <w:r>
        <w:rPr>
          <w:rStyle w:val="Suchmarke"/>
        </w:rPr>
        <w:t>#225#</w:t>
      </w:r>
      <w:bookmarkEnd w:id="362"/>
    </w:p>
    <w:p>
      <w:r>
        <w:t>(1) Schuldet ein Steuerpflichtiger mehrere Beträge und reicht bei freiwilliger Zahlung der gezahlte Betrag nicht zur Tilgung sämtlicher Schulden aus, so wird die Schuld getilgt, die der Steuerpflichtige bei der Zahlung bestimmt.</w:t>
      </w:r>
    </w:p>
    <w:p>
      <w:r>
        <w:t xml:space="preserve">(2) </w:t>
      </w:r>
      <w:r>
        <w:rPr>
          <w:rStyle w:val="Satznummer"/>
        </w:rPr>
        <w:t>1</w:t>
      </w:r>
      <w:r>
        <w:t xml:space="preserve">Trifft der Steuerpflichtige keine Bestimmung, so werden mit einer freiwilligen Zahlung, die nicht sämtliche Schulden deckt, zunächst die Geldbußen, sodann nacheinander die Zwangsgelder, die Steuerabzugsbeträge, die übrigen Steuern, die Kosten, die Verspätungszuschläge, die Zinsen und die Säumniszuschläge getilgt. </w:t>
      </w:r>
      <w:r>
        <w:rPr>
          <w:rStyle w:val="Satznummer"/>
        </w:rPr>
        <w:t>2</w:t>
      </w:r>
      <w:r>
        <w:t>Innerhalb dieser Reihenfolge sind die einzelnen Schulden nach ihrer Fälligkeit zu ordnen; bei gleichzeitig fällig gewordenen Beträgen und bei den Säumniszuschlägen bestimmt die Finanzbehörde die Reihenfolge der Tilgung.</w:t>
      </w:r>
    </w:p>
    <w:p>
      <w:r>
        <w:t>(3) Wird die Zahlung im Verwaltungsweg erzwungen (</w:t>
      </w:r>
      <w:hyperlink w:anchor="b391" w:history="1">
        <w:r>
          <w:rPr>
            <w:color w:val="0A3A8C"/>
            <w:u w:val="single"/>
          </w:rPr>
          <w:t xml:space="preserve">§ 249</w:t>
        </w:r>
      </w:hyperlink>
      <w:r>
        <w:t>) und reicht der verfügbare Betrag nicht zur Tilgung aller Schulden aus, derentwegen die Vollstreckung oder die Verwertung der Sicherheiten erfolgt ist, so bestimmt die Finanzbehörde die Reihenfolge der Tilgung.</w:t>
      </w:r>
    </w:p>
    <w:p>
      <w:pPr>
        <w:pStyle w:val="Heading4"/>
      </w:pPr>
      <w:bookmarkStart w:id="363" w:name="b360"/>
      <w:r>
        <w:t>§ 226 Aufrechnung</w:t>
      </w:r>
      <w:r>
        <w:t xml:space="preserve"> </w:t>
      </w:r>
      <w:r>
        <w:rPr>
          <w:rStyle w:val="Suchmarke"/>
        </w:rPr>
        <w:t>#226#</w:t>
      </w:r>
      <w:bookmarkEnd w:id="363"/>
    </w:p>
    <w:p>
      <w:r>
        <w:t>(1) Für die Aufrechnung mit Ansprüchen aus dem Steuerschuldverhältnis sowie für die Aufrechnung gegen diese Ansprüche gelten sinngemäß die Vorschriften des bürgerlichen Rechts, soweit nichts anderes bestimmt ist.</w:t>
      </w:r>
    </w:p>
    <w:p>
      <w:r>
        <w:t>(2) Mit Ansprüchen aus dem Steuerschuldverhältnis kann nicht aufgerechnet werden, wenn sie durch Verjährung oder Ablauf einer Ausschlussfrist erloschen sind.</w:t>
      </w:r>
    </w:p>
    <w:p>
      <w:r>
        <w:t>(3) Die Steuerpflichtigen können gegen Ansprüche aus dem Steuerschuldverhältnis nur mit unbestrittenen oder rechtskräftig festgestellten Gegenansprüchen aufrechnen.</w:t>
      </w:r>
    </w:p>
    <w:p>
      <w:r>
        <w:t>(4) Für die Aufrechnung gilt als Gläubiger oder Schuldner eines Anspruchs aus dem Steuerschuldverhältnis auch die Körperschaft, die die Steuer verwaltet.</w:t>
      </w:r>
    </w:p>
    <w:p>
      <w:pPr>
        <w:pStyle w:val="Heading4"/>
      </w:pPr>
      <w:bookmarkStart w:id="364" w:name="b361"/>
      <w:r>
        <w:t>§ 227 Erlass</w:t>
      </w:r>
      <w:r>
        <w:t xml:space="preserve"> </w:t>
      </w:r>
      <w:r>
        <w:rPr>
          <w:rStyle w:val="Suchmarke"/>
        </w:rPr>
        <w:t>#227#</w:t>
      </w:r>
      <w:bookmarkEnd w:id="364"/>
    </w:p>
    <w:p>
      <w:r>
        <w:t>Die Finanzbehörden können Ansprüche aus dem Steuerschuldverhältnis ganz oder zum Teil erlassen, wenn deren Einziehung nach Lage des einzelnen Falls unbillig wäre; unter den gleichen Voraussetzungen können bereits entrichtete Beträge erstattet oder angerechnet werden.</w:t>
      </w:r>
    </w:p>
    <w:p>
      <w:pPr>
        <w:pStyle w:val="Heading3"/>
      </w:pPr>
      <w:bookmarkStart w:id="365" w:name="b362"/>
      <w:r>
        <w:t>3. Unterabschnitt Zahlungsverjährung</w:t>
      </w:r>
      <w:bookmarkEnd w:id="365"/>
    </w:p>
    <w:p>
      <w:pPr>
        <w:pStyle w:val="Heading4"/>
      </w:pPr>
      <w:bookmarkStart w:id="366" w:name="b363"/>
      <w:r>
        <w:t>§ 228 Gegenstand der Verjährung, Verjährungsfrist</w:t>
      </w:r>
      <w:r>
        <w:t xml:space="preserve"> </w:t>
      </w:r>
      <w:r>
        <w:rPr>
          <w:rStyle w:val="Suchmarke"/>
        </w:rPr>
        <w:t>#228#</w:t>
      </w:r>
      <w:bookmarkEnd w:id="366"/>
    </w:p>
    <w:p>
      <w:r>
        <w:rPr>
          <w:rStyle w:val="Satznummer"/>
        </w:rPr>
        <w:t>1</w:t>
      </w:r>
      <w:r>
        <w:t xml:space="preserve">Ansprüche aus dem Steuerschuldverhältnis unterliegen einer besonderen Zahlungsverjährung. </w:t>
      </w:r>
      <w:r>
        <w:rPr>
          <w:rStyle w:val="Satznummer"/>
        </w:rPr>
        <w:t>2</w:t>
      </w:r>
      <w:r>
        <w:t xml:space="preserve">Die Verjährungsfrist beträgt fünf Jahre, in Fällen der </w:t>
      </w:r>
      <w:hyperlink w:anchor="b533" w:history="1">
        <w:r>
          <w:rPr>
            <w:color w:val="0A3A8C"/>
            <w:u w:val="single"/>
          </w:rPr>
          <w:t xml:space="preserve">§§ 370</w:t>
        </w:r>
      </w:hyperlink>
      <w:r>
        <w:t xml:space="preserve">, </w:t>
      </w:r>
      <w:hyperlink w:anchor="b536" w:history="1">
        <w:r>
          <w:rPr>
            <w:color w:val="0A3A8C"/>
            <w:u w:val="single"/>
          </w:rPr>
          <w:t xml:space="preserve">373</w:t>
        </w:r>
      </w:hyperlink>
      <w:r>
        <w:t xml:space="preserve"> oder </w:t>
      </w:r>
      <w:hyperlink w:anchor="b537" w:history="1">
        <w:r>
          <w:rPr>
            <w:color w:val="0A3A8C"/>
            <w:u w:val="single"/>
          </w:rPr>
          <w:t xml:space="preserve">374</w:t>
        </w:r>
      </w:hyperlink>
      <w:r>
        <w:t xml:space="preserve"> zehn Jahre.</w:t>
      </w:r>
    </w:p>
    <w:p>
      <w:pPr>
        <w:pStyle w:val="Heading4"/>
      </w:pPr>
      <w:bookmarkStart w:id="367" w:name="b364"/>
      <w:r>
        <w:t>§ 229 Beginn der Verjährung</w:t>
      </w:r>
      <w:r>
        <w:t xml:space="preserve"> </w:t>
      </w:r>
      <w:r>
        <w:rPr>
          <w:rStyle w:val="Suchmarke"/>
        </w:rPr>
        <w:t>#229#</w:t>
      </w:r>
      <w:bookmarkEnd w:id="367"/>
    </w:p>
    <w:p>
      <w:r>
        <w:t xml:space="preserve">(1) </w:t>
      </w:r>
      <w:r>
        <w:rPr>
          <w:rStyle w:val="Satznummer"/>
        </w:rPr>
        <w:t>1</w:t>
      </w:r>
      <w:r>
        <w:t xml:space="preserve">Die Verjährung beginnt mit Ablauf des Kalenderjahrs, in dem der Anspruch erstmals fällig geworden ist. </w:t>
      </w:r>
      <w:r>
        <w:rPr>
          <w:rStyle w:val="Satznummer"/>
        </w:rPr>
        <w:t>2</w:t>
      </w:r>
      <w:r>
        <w:t xml:space="preserve">Sie beginnt jedoch nicht vor Ablauf des Kalenderjahrs, in dem die Festsetzung eines Anspruchs aus dem Steuerschuldverhältnis, ihre Aufhebung, Änderung oder Berichtigung nach </w:t>
      </w:r>
      <w:hyperlink w:anchor="b208" w:history="1">
        <w:r>
          <w:rPr>
            <w:color w:val="0A3A8C"/>
            <w:u w:val="single"/>
          </w:rPr>
          <w:t xml:space="preserve">§ 129</w:t>
        </w:r>
      </w:hyperlink>
      <w:r>
        <w:t xml:space="preserve"> wirksam geworden ist, aus der sich der Anspruch ergibt; eine Steueranmeldung steht einer Steuerfestsetzung gleich. </w:t>
      </w:r>
      <w:r>
        <w:rPr>
          <w:rStyle w:val="Satznummer"/>
        </w:rPr>
        <w:t>3</w:t>
      </w:r>
      <w:r>
        <w:t xml:space="preserve">Wird die Festsetzung oder Anmeldung eines Anspruchs aus dem Steuerschuldverhältnis aufgehoben, geändert oder nach </w:t>
      </w:r>
      <w:hyperlink w:anchor="b208" w:history="1">
        <w:r>
          <w:rPr>
            <w:color w:val="0A3A8C"/>
            <w:u w:val="single"/>
          </w:rPr>
          <w:t xml:space="preserve">§ 129</w:t>
        </w:r>
      </w:hyperlink>
      <w:r>
        <w:t xml:space="preserve"> berichtigt, so beginnt die Verjährung des gesamten Anspruchs erst mit Ablauf des Kalenderjahrs, in dem die Aufhebung, Änderung oder Berichtigung wirksam geworden ist.</w:t>
      </w:r>
    </w:p>
    <w:p>
      <w:r>
        <w:t>(2) Ist ein Haftungsbescheid ohne Zahlungsaufforderung ergangen, so beginnt die Verjährung mit Ablauf des Kalenderjahrs, in dem die Zahlungsaufforderung nachgeholt worden ist, spätestens aber fünf Jahre nach Ablauf des Kalenderjahrs, in dem der Haftungsbescheid wirksam geworden ist.</w:t>
      </w:r>
    </w:p>
    <w:p>
      <w:pPr>
        <w:pStyle w:val="Heading4"/>
      </w:pPr>
      <w:bookmarkStart w:id="368" w:name="b365"/>
      <w:r>
        <w:t>§ 230 Hemmung der Verjährung</w:t>
      </w:r>
      <w:r>
        <w:t xml:space="preserve"> </w:t>
      </w:r>
      <w:r>
        <w:rPr>
          <w:rStyle w:val="Suchmarke"/>
        </w:rPr>
        <w:t>#230#</w:t>
      </w:r>
      <w:bookmarkEnd w:id="368"/>
    </w:p>
    <w:p>
      <w:r>
        <w:t>(1) Die Verjährung ist gehemmt, solange der Anspruch wegen höherer Gewalt innerhalb der letzten sechs Monate der Verjährungsfrist nicht verfolgt werden kann.</w:t>
      </w:r>
    </w:p>
    <w:p>
      <w:r>
        <w:t xml:space="preserve">(2) </w:t>
      </w:r>
      <w:r>
        <w:rPr>
          <w:rStyle w:val="Satznummer"/>
        </w:rPr>
        <w:t>1</w:t>
      </w:r>
      <w:r>
        <w:t xml:space="preserve">Die Verjährungsfrist läuft nicht ab, solange die Festsetzungsfrist des Anspruchs noch nicht abgelaufen ist. </w:t>
      </w:r>
      <w:r>
        <w:rPr>
          <w:rStyle w:val="Satznummer"/>
        </w:rPr>
        <w:t>2</w:t>
      </w:r>
      <w:hyperlink w:anchor="b281" w:history="1">
        <w:r>
          <w:rPr>
            <w:color w:val="0A3A8C"/>
            <w:u w:val="single"/>
          </w:rPr>
          <w:t xml:space="preserve">§ 171</w:t>
        </w:r>
      </w:hyperlink>
      <w:r>
        <w:t xml:space="preserve"> Absatz 14 ist dabei nicht anzuwenden.</w:t>
      </w:r>
    </w:p>
    <w:p>
      <w:pPr>
        <w:pStyle w:val="Heading4"/>
      </w:pPr>
      <w:bookmarkStart w:id="369" w:name="b366"/>
      <w:r>
        <w:t>§ 231 Unterbrechung der Verjährung</w:t>
      </w:r>
      <w:r>
        <w:t xml:space="preserve"> </w:t>
      </w:r>
      <w:r>
        <w:rPr>
          <w:rStyle w:val="Suchmarke"/>
        </w:rPr>
        <w:t>#231#</w:t>
      </w:r>
      <w:bookmarkEnd w:id="369"/>
    </w:p>
    <w:p>
      <w:r>
        <w:t xml:space="preserve">(1) </w:t>
      </w:r>
      <w:r>
        <w:rPr>
          <w:rStyle w:val="Satznummer"/>
        </w:rPr>
        <w:t>1</w:t>
      </w:r>
      <w:r>
        <w:t>Die Verjährung eines Anspruchs wird unterbrochen durch</w:t>
      </w:r>
    </w:p>
    <w:p>
      <w:pPr>
        <w:tabs>
          <w:tab w:pos="567" w:val="left"/>
        </w:tabs>
        <w:ind w:left="567" w:hanging="567"/>
      </w:pPr>
      <w:r>
        <w:t>1.</w:t>
      </w:r>
      <w:r>
        <w:tab/>
      </w:r>
      <w:r>
        <w:t>Zahlungsaufschub, Stundung, Aussetzung der Vollziehung, Aussetzung der Verpflichtung des Zollschuldners zur Abgabenentrichtung oder Vollstreckungsaufschub,</w:t>
      </w:r>
    </w:p>
    <w:p>
      <w:pPr>
        <w:tabs>
          <w:tab w:pos="567" w:val="left"/>
        </w:tabs>
        <w:ind w:left="567" w:hanging="567"/>
      </w:pPr>
      <w:r>
        <w:t>2.</w:t>
      </w:r>
      <w:r>
        <w:tab/>
      </w:r>
      <w:r>
        <w:t>Sicherheitsleistung,</w:t>
      </w:r>
    </w:p>
    <w:p>
      <w:pPr>
        <w:tabs>
          <w:tab w:pos="567" w:val="left"/>
        </w:tabs>
        <w:ind w:left="567" w:hanging="567"/>
      </w:pPr>
      <w:r>
        <w:t>3.</w:t>
      </w:r>
      <w:r>
        <w:tab/>
      </w:r>
      <w:r>
        <w:t>eine Vollstreckungsmaßnahme,</w:t>
      </w:r>
    </w:p>
    <w:p>
      <w:pPr>
        <w:tabs>
          <w:tab w:pos="567" w:val="left"/>
        </w:tabs>
        <w:ind w:left="567" w:hanging="567"/>
      </w:pPr>
      <w:r>
        <w:t>4.</w:t>
      </w:r>
      <w:r>
        <w:tab/>
      </w:r>
      <w:r>
        <w:t>Anmeldung im Insolvenzverfahren,</w:t>
      </w:r>
    </w:p>
    <w:p>
      <w:pPr>
        <w:tabs>
          <w:tab w:pos="567" w:val="left"/>
        </w:tabs>
        <w:ind w:left="567" w:hanging="567"/>
      </w:pPr>
      <w:r>
        <w:t>5.</w:t>
      </w:r>
      <w:r>
        <w:tab/>
      </w:r>
      <w:r>
        <w:t>Eintritt des Vollstreckungsverbots nach § 210 oder § 294 Absatz 1 der Insolvenzordnung,</w:t>
      </w:r>
    </w:p>
    <w:p>
      <w:pPr>
        <w:tabs>
          <w:tab w:pos="567" w:val="left"/>
        </w:tabs>
        <w:ind w:left="567" w:hanging="567"/>
      </w:pPr>
      <w:r>
        <w:t>6.</w:t>
      </w:r>
      <w:r>
        <w:tab/>
      </w:r>
      <w:r>
        <w:t>Aufnahme in einen Insolvenzplan oder einen gerichtlichen Schuldenbereinigungsplan,</w:t>
      </w:r>
    </w:p>
    <w:p>
      <w:pPr>
        <w:tabs>
          <w:tab w:pos="567" w:val="left"/>
        </w:tabs>
        <w:ind w:left="567" w:hanging="567"/>
      </w:pPr>
      <w:r>
        <w:t>7.</w:t>
      </w:r>
      <w:r>
        <w:tab/>
      </w:r>
      <w:r>
        <w:t>Ermittlungen der Finanzbehörde nach dem Wohnsitz oder dem Aufenthaltsort des Zahlungspflichtigen und</w:t>
      </w:r>
    </w:p>
    <w:p>
      <w:pPr>
        <w:tabs>
          <w:tab w:pos="567" w:val="left"/>
        </w:tabs>
        <w:ind w:left="567" w:hanging="567"/>
      </w:pPr>
      <w:r>
        <w:t>8.</w:t>
      </w:r>
      <w:r>
        <w:tab/>
      </w:r>
      <w:r>
        <w:t>schriftliche Geltendmachung des Anspruchs.</w:t>
      </w:r>
    </w:p>
    <w:p>
      <w:r>
        <w:rPr>
          <w:rStyle w:val="Satznummer"/>
        </w:rPr>
        <w:t>2</w:t>
      </w:r>
      <w:hyperlink w:anchor="b279" w:history="1">
        <w:r>
          <w:rPr>
            <w:color w:val="0A3A8C"/>
            <w:u w:val="single"/>
          </w:rPr>
          <w:t xml:space="preserve">§ 169</w:t>
        </w:r>
      </w:hyperlink>
      <w:r>
        <w:t xml:space="preserve"> Absatz 1 Satz 3 gilt sinngemäß.</w:t>
      </w:r>
    </w:p>
    <w:p>
      <w:r>
        <w:t xml:space="preserve">(2) </w:t>
      </w:r>
      <w:r>
        <w:rPr>
          <w:rStyle w:val="Satznummer"/>
        </w:rPr>
        <w:t>1</w:t>
      </w:r>
      <w:r>
        <w:t>Die Unterbrechung der Verjährung dauert fort</w:t>
      </w:r>
    </w:p>
    <w:p>
      <w:pPr>
        <w:tabs>
          <w:tab w:pos="567" w:val="left"/>
        </w:tabs>
        <w:ind w:left="567" w:hanging="567"/>
      </w:pPr>
      <w:r>
        <w:t>1.</w:t>
      </w:r>
      <w:r>
        <w:tab/>
      </w:r>
      <w:r>
        <w:t>in den Fällen des Absatzes 1 Satz 1 Nummer 1 bis zum Ablauf der Maßnahme,</w:t>
      </w:r>
    </w:p>
    <w:p>
      <w:pPr>
        <w:tabs>
          <w:tab w:pos="567" w:val="left"/>
        </w:tabs>
        <w:ind w:left="567" w:hanging="567"/>
      </w:pPr>
      <w:r>
        <w:t>2.</w:t>
      </w:r>
      <w:r>
        <w:tab/>
      </w:r>
      <w:r>
        <w:t>im Fall des Absatzes 1 Satz 1 Nummer 2 bis zum Erlöschen der Sicherheit,</w:t>
      </w:r>
    </w:p>
    <w:p>
      <w:pPr>
        <w:tabs>
          <w:tab w:pos="567" w:val="left"/>
        </w:tabs>
        <w:ind w:left="567" w:hanging="567"/>
      </w:pPr>
      <w:r>
        <w:t>3.</w:t>
      </w:r>
      <w:r>
        <w:tab/>
      </w:r>
      <w:r>
        <w:t>im Fall des Absatzes 1 Satz 1 Nummer 3 bis zum Erlöschen des Pfändungspfandrechts, der Zwangshypothek oder des sonstigen Vorzugsrechts auf Befriedigung,</w:t>
      </w:r>
    </w:p>
    <w:p>
      <w:pPr>
        <w:tabs>
          <w:tab w:pos="567" w:val="left"/>
        </w:tabs>
        <w:ind w:left="567" w:hanging="567"/>
      </w:pPr>
      <w:r>
        <w:t>4.</w:t>
      </w:r>
      <w:r>
        <w:tab/>
      </w:r>
      <w:r>
        <w:t>im Fall des Absatzes 1 Satz 1 Nummer 4 bis zur Beendigung des Insolvenzverfahrens,</w:t>
      </w:r>
    </w:p>
    <w:p>
      <w:pPr>
        <w:tabs>
          <w:tab w:pos="567" w:val="left"/>
        </w:tabs>
        <w:ind w:left="567" w:hanging="567"/>
      </w:pPr>
      <w:r>
        <w:t>5.</w:t>
      </w:r>
      <w:r>
        <w:tab/>
      </w:r>
      <w:r>
        <w:t>im Fall des Absatzes 1 Satz 1 Nummer 5 bis zum Wegfall des Vollstreckungsverbots nach § 210 oder § 294 Absatz 1 der Insolvenzordnung,</w:t>
      </w:r>
    </w:p>
    <w:p>
      <w:pPr>
        <w:tabs>
          <w:tab w:pos="567" w:val="left"/>
        </w:tabs>
        <w:ind w:left="567" w:hanging="567"/>
      </w:pPr>
      <w:r>
        <w:t>6.</w:t>
      </w:r>
      <w:r>
        <w:tab/>
      </w:r>
      <w:r>
        <w:t>in den Fällen des Absatzes 1 Satz 1 Nummer 6, bis der Insolvenzplan oder der gerichtliche Schuldenbereinigungsplan erfüllt oder hinfällig wird.</w:t>
      </w:r>
    </w:p>
    <w:p>
      <w:r>
        <w:rPr>
          <w:rStyle w:val="Satznummer"/>
        </w:rPr>
        <w:t>2</w:t>
      </w:r>
      <w:r>
        <w:t>Wird gegen die Finanzbehörde ein Anspruch geltend gemacht, so endet die hierdurch eingetretene Unterbrechung der Verjährung nicht, bevor über den Anspruch rechtskräftig entschieden worden ist.</w:t>
      </w:r>
    </w:p>
    <w:p>
      <w:r>
        <w:t>(3) Mit Ablauf des Kalenderjahrs, in dem die Unterbrechung geendet hat, beginnt eine neue Verjährungsfrist.</w:t>
      </w:r>
    </w:p>
    <w:p>
      <w:r>
        <w:t>(4) Die Verjährung wird nur in Höhe des Betrags unterbrochen, auf den sich die Unterbrechungshandlung bezieht.</w:t>
      </w:r>
    </w:p>
    <w:p>
      <w:pPr>
        <w:pStyle w:val="Heading4"/>
      </w:pPr>
      <w:bookmarkStart w:id="370" w:name="b367"/>
      <w:r>
        <w:t>§ 232 Wirkung der Verjährung</w:t>
      </w:r>
      <w:r>
        <w:t xml:space="preserve"> </w:t>
      </w:r>
      <w:r>
        <w:rPr>
          <w:rStyle w:val="Suchmarke"/>
        </w:rPr>
        <w:t>#232#</w:t>
      </w:r>
      <w:bookmarkEnd w:id="370"/>
    </w:p>
    <w:p>
      <w:r>
        <w:t>Durch die Verjährung erlöschen der Anspruch aus dem Steuerschuldverhältnis und die von ihm abhängenden Zinsen.</w:t>
      </w:r>
    </w:p>
    <w:p>
      <w:pPr>
        <w:pStyle w:val="Heading2"/>
      </w:pPr>
      <w:bookmarkStart w:id="371" w:name="b368"/>
      <w:r>
        <w:t>Zweiter Abschnitt Verzinsung, Säumniszuschläge</w:t>
      </w:r>
      <w:bookmarkEnd w:id="371"/>
    </w:p>
    <w:p>
      <w:pPr>
        <w:pStyle w:val="Heading3"/>
      </w:pPr>
      <w:bookmarkStart w:id="372" w:name="b369"/>
      <w:r>
        <w:t>1. Unterabschnitt Verzinsung</w:t>
      </w:r>
      <w:bookmarkEnd w:id="372"/>
    </w:p>
    <w:p>
      <w:pPr>
        <w:pStyle w:val="Heading4"/>
      </w:pPr>
      <w:bookmarkStart w:id="373" w:name="b370"/>
      <w:r>
        <w:t>§ 233 Grundsatz</w:t>
      </w:r>
      <w:r>
        <w:t xml:space="preserve"> </w:t>
      </w:r>
      <w:r>
        <w:rPr>
          <w:rStyle w:val="Suchmarke"/>
        </w:rPr>
        <w:t>#233#</w:t>
      </w:r>
      <w:bookmarkEnd w:id="373"/>
    </w:p>
    <w:p>
      <w:r>
        <w:rPr>
          <w:rStyle w:val="Satznummer"/>
        </w:rPr>
        <w:t>1</w:t>
      </w:r>
      <w:r>
        <w:t>Ansprüche aus dem Steuerschuldverhältnis (</w:t>
      </w:r>
      <w:hyperlink w:anchor="b68" w:history="1">
        <w:r>
          <w:rPr>
            <w:color w:val="0A3A8C"/>
            <w:u w:val="single"/>
          </w:rPr>
          <w:t xml:space="preserve">§ 37</w:t>
        </w:r>
      </w:hyperlink>
      <w:r>
        <w:t xml:space="preserve">) werden nur verzinst, soweit dies durch Bundesrecht oder Recht der Europäischen Union vorgeschrieben ist. </w:t>
      </w:r>
      <w:r>
        <w:rPr>
          <w:rStyle w:val="Satznummer"/>
        </w:rPr>
        <w:t>2</w:t>
      </w:r>
      <w:r>
        <w:t>Ansprüche auf steuerliche Nebenleistungen (</w:t>
      </w:r>
      <w:hyperlink w:anchor="b6" w:history="1">
        <w:r>
          <w:rPr>
            <w:color w:val="0A3A8C"/>
            <w:u w:val="single"/>
          </w:rPr>
          <w:t xml:space="preserve">§ 3</w:t>
        </w:r>
      </w:hyperlink>
      <w:r>
        <w:t xml:space="preserve"> Absatz 4) und die entsprechenden Erstattungsansprüche werden nicht verzinst.</w:t>
      </w:r>
    </w:p>
    <w:p>
      <w:pPr>
        <w:pStyle w:val="Heading4"/>
      </w:pPr>
      <w:bookmarkStart w:id="374" w:name="b371"/>
      <w:r>
        <w:t>§ 233a Verzinsung von Steuernachforderungen und Steuererstattungen</w:t>
      </w:r>
      <w:r>
        <w:t xml:space="preserve"> </w:t>
      </w:r>
      <w:r>
        <w:rPr>
          <w:rStyle w:val="Suchmarke"/>
        </w:rPr>
        <w:t>#233a#</w:t>
      </w:r>
      <w:bookmarkEnd w:id="374"/>
    </w:p>
    <w:p>
      <w:r>
        <w:t xml:space="preserve">(1) </w:t>
      </w:r>
      <w:r>
        <w:rPr>
          <w:rStyle w:val="Satznummer"/>
        </w:rPr>
        <w:t>1</w:t>
      </w:r>
      <w:r>
        <w:t xml:space="preserve">Führt die Festsetzung der Einkommen-, Körperschaft-, Vermögen-, Umsatz- oder Gewerbesteuer zu einem Unterschiedsbetrag im Sinne des Absatzes 3, ist dieser zu verzinsen. </w:t>
      </w:r>
      <w:r>
        <w:rPr>
          <w:rStyle w:val="Satznummer"/>
        </w:rPr>
        <w:t>2</w:t>
      </w:r>
      <w:r>
        <w:t>Dies gilt nicht für die Festsetzung von Vorauszahlungen und Steuerabzugsbeträgen.</w:t>
      </w:r>
    </w:p>
    <w:p>
      <w:r>
        <w:t xml:space="preserve">(2) </w:t>
      </w:r>
      <w:r>
        <w:rPr>
          <w:rStyle w:val="Satznummer"/>
        </w:rPr>
        <w:t>1</w:t>
      </w:r>
      <w:r>
        <w:t xml:space="preserve">Der Zinslauf beginnt 15 Monate nach Ablauf des Kalenderjahrs, in dem die Steuer entstanden ist. </w:t>
      </w:r>
      <w:r>
        <w:rPr>
          <w:rStyle w:val="Satznummer"/>
        </w:rPr>
        <w:t>2</w:t>
      </w:r>
      <w:r>
        <w:t xml:space="preserve">Er beginnt für die Einkommen- und Körperschaftsteuer 23 Monate nach diesem Zeitpunkt, wenn die Einkünfte aus Land- und Forstwirtschaft bei der erstmaligen Steuerfestsetzung die anderen Einkünfte überwiegen; hierbei sind Kapitalerträge nach § 32d Absatz 1 und § 43 Absatz 5 des Einkommensteuergesetzes nicht zu berücksichtigen. </w:t>
      </w:r>
      <w:r>
        <w:rPr>
          <w:rStyle w:val="Satznummer"/>
        </w:rPr>
        <w:t>3</w:t>
      </w:r>
      <w:r>
        <w:t>Er endet mit Ablauf des Tages, an dem die Steuerfestsetzung wirksam wird.</w:t>
      </w:r>
    </w:p>
    <w:p>
      <w:r>
        <w:t>(2a) Soweit die Steuerfestsetzung auf der Berücksichtigung eines rückwirkenden Ereignisses (</w:t>
      </w:r>
      <w:hyperlink w:anchor="b287" w:history="1">
        <w:r>
          <w:rPr>
            <w:color w:val="0A3A8C"/>
            <w:u w:val="single"/>
          </w:rPr>
          <w:t xml:space="preserve">§ 175</w:t>
        </w:r>
      </w:hyperlink>
      <w:r>
        <w:t xml:space="preserve"> Absatz 1 Satz 1 Nummer 2 und Absatz 2) oder auf einem Verlustabzug nach § 10d Absatz 1 des Einkommensteuergesetzes beruht, beginnt der Zinslauf abweichend von Absatz 2 Satz 1 und 2 15 Monate nach Ablauf des Kalenderjahres, in dem das rückwirkende Ereignis eingetreten oder der Verlust entstanden ist.</w:t>
      </w:r>
    </w:p>
    <w:p>
      <w:r>
        <w:t xml:space="preserve">(3) </w:t>
      </w:r>
      <w:r>
        <w:rPr>
          <w:rStyle w:val="Satznummer"/>
        </w:rPr>
        <w:t>1</w:t>
      </w:r>
      <w:r>
        <w:t xml:space="preserve">Maßgebend für die Zinsberechnung ist die festgesetzte Steuer, vermindert um die anzurechnenden Steuerabzugsbeträge, um die anzurechnende Körperschaftsteuer und um die bis zum Beginn des Zinslaufs festgesetzten Vorauszahlungen (Unterschiedsbetrag). </w:t>
      </w:r>
      <w:r>
        <w:rPr>
          <w:rStyle w:val="Satznummer"/>
        </w:rPr>
        <w:t>2</w:t>
      </w:r>
      <w:r>
        <w:t xml:space="preserve">Bei der Vermögensteuer ist als Unterschiedsbetrag für die Zinsberechnung die festgesetzte Steuer, vermindert um die festgesetzten Vorauszahlungen oder die bisher festgesetzte Jahressteuer, maßgebend. </w:t>
      </w:r>
      <w:r>
        <w:rPr>
          <w:rStyle w:val="Satznummer"/>
        </w:rPr>
        <w:t>3</w:t>
      </w:r>
      <w:r>
        <w:t xml:space="preserve">Ein Unterschiedsbetrag zugunsten des Steuerpflichtigen ist nur bis zur Höhe des zu erstattenden Betrags zu verzinsen; die Verzinsung beginnt frühestens mit dem Tag der Zahlung. </w:t>
      </w:r>
      <w:r>
        <w:rPr>
          <w:rStyle w:val="Satznummer"/>
        </w:rPr>
        <w:t>4</w:t>
      </w:r>
      <w:r>
        <w:t>Besteht der Erstattungsbetrag aus mehreren Teil-Leistungen, richtet sich der Zinsberechnungszeitraum jeweils nach dem Zeitpunkt der einzelnen Leistung; die Leistungen sind in chronologischer Reihenfolge zu berücksichtigen, beginnend mit der jüngsten Leistung.</w:t>
      </w:r>
    </w:p>
    <w:p>
      <w:r>
        <w:t>(4) Die Festsetzung der Zinsen soll mit der Steuerfestsetzung verbunden werden.</w:t>
      </w:r>
    </w:p>
    <w:p>
      <w:r>
        <w:t xml:space="preserve">(5) </w:t>
      </w:r>
      <w:r>
        <w:rPr>
          <w:rStyle w:val="Satznummer"/>
        </w:rPr>
        <w:t>1</w:t>
      </w:r>
      <w:r>
        <w:t xml:space="preserve">Wird die Steuerfestsetzung aufgehoben, geändert oder nach </w:t>
      </w:r>
      <w:hyperlink w:anchor="b208" w:history="1">
        <w:r>
          <w:rPr>
            <w:color w:val="0A3A8C"/>
            <w:u w:val="single"/>
          </w:rPr>
          <w:t xml:space="preserve">§ 129</w:t>
        </w:r>
      </w:hyperlink>
      <w:r>
        <w:t xml:space="preserve"> berichtigt, ist eine bisherige Zinsfestsetzung zu ändern; Gleiches gilt, wenn die Anrechnung von Steuerbeträgen zurückgenommen, widerrufen oder nach </w:t>
      </w:r>
      <w:hyperlink w:anchor="b208" w:history="1">
        <w:r>
          <w:rPr>
            <w:color w:val="0A3A8C"/>
            <w:u w:val="single"/>
          </w:rPr>
          <w:t xml:space="preserve">§ 129</w:t>
        </w:r>
      </w:hyperlink>
      <w:r>
        <w:t xml:space="preserve"> berichtigt wird. </w:t>
      </w:r>
      <w:r>
        <w:rPr>
          <w:rStyle w:val="Satznummer"/>
        </w:rPr>
        <w:t>2</w:t>
      </w:r>
      <w:r>
        <w:t xml:space="preserve">Maßgebend für die Zinsberechnung ist der Unterschiedsbetrag zwischen der festgesetzten Steuer und der vorher festgesetzten Steuer, jeweils vermindert um die anzurechnenden Steuerabzugsbeträge und um die anzurechnende Körperschaftsteuer. </w:t>
      </w:r>
      <w:r>
        <w:rPr>
          <w:rStyle w:val="Satznummer"/>
        </w:rPr>
        <w:t>3</w:t>
      </w:r>
      <w:r>
        <w:t xml:space="preserve">Dem sich hiernach ergebenden Zinsbetrag sind bisher festzusetzende Zinsen hinzuzurechnen; bei einem Unterschiedsbetrag zugunsten des Steuerpflichtigen entfallen darauf festgesetzte Zinsen. </w:t>
      </w:r>
      <w:r>
        <w:rPr>
          <w:rStyle w:val="Satznummer"/>
        </w:rPr>
        <w:t>4</w:t>
      </w:r>
      <w:r>
        <w:t>Im Übrigen gilt Absatz 3 Satz 3 und 4 entsprechend.</w:t>
      </w:r>
    </w:p>
    <w:p>
      <w:r>
        <w:t>(6) Die Absätze 1 bis 5 gelten bei der Durchführung des Lohnsteuer-Jahresausgleichs entsprechend.</w:t>
      </w:r>
    </w:p>
    <w:p>
      <w:r>
        <w:t xml:space="preserve">(7) </w:t>
      </w:r>
      <w:r>
        <w:rPr>
          <w:rStyle w:val="Satznummer"/>
        </w:rPr>
        <w:t>1</w:t>
      </w:r>
      <w:r>
        <w:t xml:space="preserve">Bei Anwendung des Absatzes 2a gelten die Absätze 3 und 5 mit der Maßgabe, dass der Unterschiedsbetrag in Teil-Unterschiedsbeträge mit jeweils gleichem Zinslaufbeginn aufzuteilen ist; für jeden Teil-Unterschiedsbetrag sind Zinsen gesondert und in der zeitlichen Reihenfolge der Teil-Unterschiedsbeträge zu berechnen, beginnend mit den Zinsen auf den Teil-Unterschiedsbetrag mit dem ältesten Zinslaufbeginn. </w:t>
      </w:r>
      <w:r>
        <w:rPr>
          <w:rStyle w:val="Satznummer"/>
        </w:rPr>
        <w:t>2</w:t>
      </w:r>
      <w:r>
        <w:t xml:space="preserve">Ergibt sich ein Teil-Unterschiedsbetrag zugunsten des Steuerpflichtigen, entfallen auf diesen Betrag festgesetzte Zinsen frühestens ab Beginn des für diesen Teil-Unterschiedsbetrag maßgebenden Zinslaufs; Zinsen für den Zeitraum bis zum Beginn des Zinslaufs dieses Teil-Unterschiedsbetrags bleiben endgültig bestehen. </w:t>
      </w:r>
      <w:r>
        <w:rPr>
          <w:rStyle w:val="Satznummer"/>
        </w:rPr>
        <w:t>3</w:t>
      </w:r>
      <w:r>
        <w:t>Dies gilt auch, wenn zuvor innerhalb derselben Zinsberechnung Zinsen auf einen Teil-Unterschiedsbetrag zuungunsten des Steuerpflichtigen berechnet worden sind.</w:t>
      </w:r>
    </w:p>
    <w:p>
      <w:r>
        <w:t xml:space="preserve">(8) </w:t>
      </w:r>
      <w:r>
        <w:rPr>
          <w:rStyle w:val="Satznummer"/>
        </w:rPr>
        <w:t>1</w:t>
      </w:r>
      <w:r>
        <w:t xml:space="preserve">Zinsen auf einen Unterschiedsbetrag zuungunsten des Steuerpflichtigen (Nachzahlungszinsen) sind entweder nicht festzusetzen oder zu erlassen, soweit Zahlungen oder andere Leistungen auf eine später wirksam gewordene Steuerfestsetzung erbracht wurden, die Finanzbehörde diese Leistungen angenommen und auf die festgesetzte und zu entrichtende Steuer angerechnet hat. </w:t>
      </w:r>
      <w:r>
        <w:rPr>
          <w:rStyle w:val="Satznummer"/>
        </w:rPr>
        <w:t>2</w:t>
      </w:r>
      <w:r>
        <w:t xml:space="preserve">Absatz 3 Satz 4 ist hierbei entsprechend anzuwenden. </w:t>
      </w:r>
      <w:r>
        <w:rPr>
          <w:rStyle w:val="Satznummer"/>
        </w:rPr>
        <w:t>3</w:t>
      </w:r>
      <w:r>
        <w:t xml:space="preserve">Soweit Nachzahlungszinsen aufgrund einer Aufhebung, Änderung oder Berichtigung der Steuerfestsetzung nach Absatz 5 Satz 3 zweiter Halbsatz entfallen, mindert sich der Zinsverzicht nach Satz 1 entsprechend. </w:t>
      </w:r>
      <w:r>
        <w:rPr>
          <w:rStyle w:val="Satznummer"/>
        </w:rPr>
        <w:t>4</w:t>
      </w:r>
      <w:r>
        <w:t xml:space="preserve">Die </w:t>
      </w:r>
      <w:hyperlink w:anchor="b272" w:history="1">
        <w:r>
          <w:rPr>
            <w:color w:val="0A3A8C"/>
            <w:u w:val="single"/>
          </w:rPr>
          <w:t xml:space="preserve">§§ 163</w:t>
        </w:r>
      </w:hyperlink>
      <w:r>
        <w:t xml:space="preserve"> und </w:t>
      </w:r>
      <w:hyperlink w:anchor="b361" w:history="1">
        <w:r>
          <w:rPr>
            <w:color w:val="0A3A8C"/>
            <w:u w:val="single"/>
          </w:rPr>
          <w:t xml:space="preserve">227</w:t>
        </w:r>
      </w:hyperlink>
      <w:r>
        <w:t xml:space="preserve"> bleiben unberührt.</w:t>
      </w:r>
    </w:p>
    <w:p>
      <w:pPr>
        <w:pStyle w:val="Heading4"/>
      </w:pPr>
      <w:bookmarkStart w:id="375" w:name="b372"/>
      <w:r>
        <w:t>§ 234 Stundungszinsen</w:t>
      </w:r>
      <w:r>
        <w:t xml:space="preserve"> </w:t>
      </w:r>
      <w:r>
        <w:rPr>
          <w:rStyle w:val="Suchmarke"/>
        </w:rPr>
        <w:t>#234#</w:t>
      </w:r>
      <w:bookmarkEnd w:id="375"/>
    </w:p>
    <w:p>
      <w:r>
        <w:t xml:space="preserve">(1) </w:t>
      </w:r>
      <w:r>
        <w:rPr>
          <w:rStyle w:val="Satznummer"/>
        </w:rPr>
        <w:t>1</w:t>
      </w:r>
      <w:r>
        <w:t xml:space="preserve">Für die Dauer einer gewährten Stundung von Ansprüchen aus dem Steuerschuldverhältnis werden Zinsen erhoben; für Haftungsansprüche gilt dies nur, soweit sich die Haftung auf Steuern und zurückzuzahlende Steuervergütungen erstreckt. </w:t>
      </w:r>
      <w:r>
        <w:rPr>
          <w:rStyle w:val="Satznummer"/>
        </w:rPr>
        <w:t>2</w:t>
      </w:r>
      <w:r>
        <w:t xml:space="preserve">Wird der Steuer- oder Haftungsbescheid nach Ablauf der Stundung aufgehoben, geändert oder nach </w:t>
      </w:r>
      <w:hyperlink w:anchor="b208" w:history="1">
        <w:r>
          <w:rPr>
            <w:color w:val="0A3A8C"/>
            <w:u w:val="single"/>
          </w:rPr>
          <w:t xml:space="preserve">§ 129</w:t>
        </w:r>
      </w:hyperlink>
      <w:r>
        <w:t xml:space="preserve"> berichtigt, so bleiben die bis dahin entstandenen Zinsen unberührt.</w:t>
      </w:r>
    </w:p>
    <w:p>
      <w:r>
        <w:t>(2) Auf die Zinsen kann ganz oder teilweise verzichtet werden, wenn ihre Erhebung nach Lage des einzelnen Falls unbillig wäre.</w:t>
      </w:r>
    </w:p>
    <w:p>
      <w:r>
        <w:t xml:space="preserve">(3) Zinsen nach </w:t>
      </w:r>
      <w:hyperlink w:anchor="b371" w:history="1">
        <w:r>
          <w:rPr>
            <w:color w:val="0A3A8C"/>
            <w:u w:val="single"/>
          </w:rPr>
          <w:t xml:space="preserve">§ 233a</w:t>
        </w:r>
      </w:hyperlink>
      <w:r>
        <w:t>, die für denselben Zeitraum festgesetzt wurden, sind anzurechnen.</w:t>
      </w:r>
    </w:p>
    <w:p>
      <w:pPr>
        <w:pStyle w:val="Heading4"/>
      </w:pPr>
      <w:bookmarkStart w:id="376" w:name="b373"/>
      <w:r>
        <w:t>§ 235 Verzinsung von hinterzogenen Steuern</w:t>
      </w:r>
      <w:r>
        <w:t xml:space="preserve"> </w:t>
      </w:r>
      <w:r>
        <w:rPr>
          <w:rStyle w:val="Suchmarke"/>
        </w:rPr>
        <w:t>#235#</w:t>
      </w:r>
      <w:bookmarkEnd w:id="376"/>
    </w:p>
    <w:p>
      <w:r>
        <w:t xml:space="preserve">(1) </w:t>
      </w:r>
      <w:r>
        <w:rPr>
          <w:rStyle w:val="Satznummer"/>
        </w:rPr>
        <w:t>1</w:t>
      </w:r>
      <w:r>
        <w:t xml:space="preserve">Hinterzogene Steuern sind zu verzinsen. </w:t>
      </w:r>
      <w:r>
        <w:rPr>
          <w:rStyle w:val="Satznummer"/>
        </w:rPr>
        <w:t>2</w:t>
      </w:r>
      <w:r>
        <w:t xml:space="preserve">Zinsschuldner ist derjenige, zu dessen Vorteil die Steuern hinterzogen worden sind. </w:t>
      </w:r>
      <w:r>
        <w:rPr>
          <w:rStyle w:val="Satznummer"/>
        </w:rPr>
        <w:t>3</w:t>
      </w:r>
      <w:r>
        <w:t>Wird die Steuerhinterziehung dadurch begangen, dass ein anderer als der Steuerschuldner seine Verpflichtung, einbehaltene Steuern an die Finanzbehörde abzuführen oder Steuern zu Lasten eines anderen zu entrichten, nicht erfüllt, so ist dieser Zinsschuldner.</w:t>
      </w:r>
    </w:p>
    <w:p>
      <w:r>
        <w:t xml:space="preserve">(2) </w:t>
      </w:r>
      <w:r>
        <w:rPr>
          <w:rStyle w:val="Satznummer"/>
        </w:rPr>
        <w:t>1</w:t>
      </w:r>
      <w:r>
        <w:t xml:space="preserve">Der Zinslauf beginnt mit dem Eintritt der Verkürzung oder der Erlangung des Steuervorteils, es sei denn, dass die hinterzogenen Beträge ohne die Steuerhinterziehung erst später fällig geworden wären. </w:t>
      </w:r>
      <w:r>
        <w:rPr>
          <w:rStyle w:val="Satznummer"/>
        </w:rPr>
        <w:t>2</w:t>
      </w:r>
      <w:r>
        <w:t>In diesem Fall ist der spätere Zeitpunkt maßgebend.</w:t>
      </w:r>
    </w:p>
    <w:p>
      <w:r>
        <w:t xml:space="preserve">(3) </w:t>
      </w:r>
      <w:r>
        <w:rPr>
          <w:rStyle w:val="Satznummer"/>
        </w:rPr>
        <w:t>1</w:t>
      </w:r>
      <w:r>
        <w:t xml:space="preserve">Der Zinslauf endet mit der Zahlung der hinterzogenen Steuern. </w:t>
      </w:r>
      <w:r>
        <w:rPr>
          <w:rStyle w:val="Satznummer"/>
        </w:rPr>
        <w:t>2</w:t>
      </w:r>
      <w:r>
        <w:t xml:space="preserve">Für eine Zeit, für die ein Säumniszuschlag verwirkt, die Zahlung gestundet oder die Vollziehung ausgesetzt ist, werden Zinsen nach dieser Vorschrift nicht erhoben. </w:t>
      </w:r>
      <w:r>
        <w:rPr>
          <w:rStyle w:val="Satznummer"/>
        </w:rPr>
        <w:t>3</w:t>
      </w:r>
      <w:r>
        <w:t xml:space="preserve">Wird der Steuerbescheid nach Ende des Zinslaufs aufgehoben, geändert oder nach </w:t>
      </w:r>
      <w:hyperlink w:anchor="b208" w:history="1">
        <w:r>
          <w:rPr>
            <w:color w:val="0A3A8C"/>
            <w:u w:val="single"/>
          </w:rPr>
          <w:t xml:space="preserve">§ 129</w:t>
        </w:r>
      </w:hyperlink>
      <w:r>
        <w:t xml:space="preserve"> berichtigt, so bleiben die bis dahin entstandenen Zinsen unberührt.</w:t>
      </w:r>
    </w:p>
    <w:p>
      <w:r>
        <w:t xml:space="preserve">(4) Zinsen nach </w:t>
      </w:r>
      <w:hyperlink w:anchor="b371" w:history="1">
        <w:r>
          <w:rPr>
            <w:color w:val="0A3A8C"/>
            <w:u w:val="single"/>
          </w:rPr>
          <w:t xml:space="preserve">§ 233a</w:t>
        </w:r>
      </w:hyperlink>
      <w:r>
        <w:t>, die für denselben Zeitraum festgesetzt wurden, sind anzurechnen.</w:t>
      </w:r>
    </w:p>
    <w:p>
      <w:r>
        <w:t>(5) Bei hinterzogenen Vorauszahlungen sind die Absätze 3 und 4 mit folgenden Maßgaben anzuwenden:</w:t>
      </w:r>
    </w:p>
    <w:p>
      <w:pPr>
        <w:tabs>
          <w:tab w:pos="567" w:val="left"/>
        </w:tabs>
        <w:ind w:left="567" w:hanging="567"/>
      </w:pPr>
      <w:r>
        <w:t>1.</w:t>
      </w:r>
      <w:r>
        <w:tab/>
      </w:r>
      <w:r>
        <w:t>wurde die hinterzogene Vorauszahlung vor Festsetzung der Steuer entrichtet, auf die diese Vorauszahlung anzurechnen ist oder wäre, endet der Zinslauf mit der Zahlung der hinterzogenen Vorauszahlung;</w:t>
      </w:r>
    </w:p>
    <w:p>
      <w:pPr>
        <w:tabs>
          <w:tab w:pos="567" w:val="left"/>
        </w:tabs>
        <w:ind w:left="567" w:hanging="567"/>
      </w:pPr>
      <w:r>
        <w:t>2.</w:t>
      </w:r>
      <w:r>
        <w:tab/>
      </w:r>
      <w:r>
        <w:t>wurde die hinterzogene Vorauszahlung nicht vor Festsetzung der Steuer entrichtet, auf die diese Vorauszahlung anzurechnen ist oder wäre, gilt Folgendes:</w:t>
      </w:r>
    </w:p>
    <w:p>
      <w:pPr>
        <w:tabs>
          <w:tab w:pos="1134" w:val="left"/>
        </w:tabs>
        <w:ind w:left="1134" w:hanging="567"/>
      </w:pPr>
      <w:r>
        <w:t>a)</w:t>
      </w:r>
      <w:r>
        <w:tab/>
      </w:r>
      <w:r>
        <w:t>wurde diese Steuer nicht hinterzogen, endet der Zinslauf für die Vorauszahlung mit Zahlung dieser Steuer, spätestens aber mit der Fälligkeit dieser Steuer;</w:t>
      </w:r>
    </w:p>
    <w:p>
      <w:pPr>
        <w:tabs>
          <w:tab w:pos="1134" w:val="left"/>
        </w:tabs>
        <w:ind w:left="1134" w:hanging="567"/>
      </w:pPr>
      <w:r>
        <w:t>b)</w:t>
      </w:r>
      <w:r>
        <w:tab/>
      </w:r>
      <w:r>
        <w:t>wurde diese Steuer ebenfalls hinterzogen, endet der Zinslauf für die Vorauszahlung mit Beginn des Zinslaufs für die hinterzogene Steuer;</w:t>
      </w:r>
    </w:p>
    <w:p>
      <w:pPr>
        <w:tabs>
          <w:tab w:pos="567" w:val="left"/>
        </w:tabs>
        <w:ind w:left="567" w:hanging="567"/>
      </w:pPr>
      <w:r>
        <w:t>3.</w:t>
      </w:r>
      <w:r>
        <w:tab/>
      </w:r>
      <w:r>
        <w:t xml:space="preserve">Zinsen nach </w:t>
      </w:r>
      <w:hyperlink w:anchor="b371" w:history="1">
        <w:r>
          <w:rPr>
            <w:color w:val="0A3A8C"/>
            <w:u w:val="single"/>
          </w:rPr>
          <w:t xml:space="preserve">§ 233a</w:t>
        </w:r>
      </w:hyperlink>
      <w:r>
        <w:t>, die zu der Steuer festgesetzt wurden, auf die die hinterzogene Vorauszahlung anzurechnen ist oder wäre, sind auf Zinsen zur hinterzogenen Vorauszahlung anzurechnen, soweit sie denselben Zinsberechnungszeitraum betreffen.</w:t>
      </w:r>
    </w:p>
    <w:p>
      <w:pPr>
        <w:pStyle w:val="Heading4"/>
      </w:pPr>
      <w:bookmarkStart w:id="377" w:name="b374"/>
      <w:r>
        <w:t>§ 236 Prozesszinsen auf Erstattungsbeträge</w:t>
      </w:r>
      <w:r>
        <w:t xml:space="preserve"> </w:t>
      </w:r>
      <w:r>
        <w:rPr>
          <w:rStyle w:val="Suchmarke"/>
        </w:rPr>
        <w:t>#236#</w:t>
      </w:r>
      <w:bookmarkEnd w:id="377"/>
    </w:p>
    <w:p>
      <w:r>
        <w:t xml:space="preserve">(1) </w:t>
      </w:r>
      <w:r>
        <w:rPr>
          <w:rStyle w:val="Satznummer"/>
        </w:rPr>
        <w:t>1</w:t>
      </w:r>
      <w:r>
        <w:t xml:space="preserve">Wird durch eine rechtskräftige gerichtliche Entscheidung oder auf Grund einer solchen Entscheidung eine festgesetzte Steuer herabgesetzt oder eine Steuervergütung gewährt, so ist der zu erstattende oder zu vergütende Betrag vorbehaltlich des Absatzes 3 vom Tag der Rechtshängigkeit an bis zum Auszahlungstag zu verzinsen. </w:t>
      </w:r>
      <w:r>
        <w:rPr>
          <w:rStyle w:val="Satznummer"/>
        </w:rPr>
        <w:t>2</w:t>
      </w:r>
      <w:r>
        <w:t>Ist der zu erstattende Betrag erst nach Eintritt der Rechtshängigkeit entrichtet worden, so beginnt die Verzinsung mit dem Tag der Zahlung.</w:t>
      </w:r>
    </w:p>
    <w:p>
      <w:r>
        <w:t>(2) Absatz 1 ist entsprechend anzuwenden, wenn</w:t>
      </w:r>
    </w:p>
    <w:p>
      <w:pPr>
        <w:tabs>
          <w:tab w:pos="567" w:val="left"/>
        </w:tabs>
        <w:ind w:left="567" w:hanging="567"/>
      </w:pPr>
      <w:r>
        <w:t>1.</w:t>
      </w:r>
      <w:r>
        <w:tab/>
      </w:r>
      <w:r>
        <w:t>sich der Rechtsstreit durch Aufhebung oder Änderung des angefochtenen Verwaltungsakts oder durch Erlass des beantragten Verwaltungsakts erledigt oder</w:t>
      </w:r>
    </w:p>
    <w:p>
      <w:pPr>
        <w:tabs>
          <w:tab w:pos="567" w:val="left"/>
        </w:tabs>
        <w:ind w:left="567" w:hanging="567"/>
      </w:pPr>
      <w:r>
        <w:t>2.</w:t>
      </w:r>
      <w:r>
        <w:tab/>
      </w:r>
      <w:r>
        <w:t>eine rechtskräftige gerichtliche Entscheidung oder ein unanfechtbarer Verwaltungsakt, durch den sich der Rechtsstreit erledigt hat,</w:t>
      </w:r>
    </w:p>
    <w:p>
      <w:pPr>
        <w:tabs>
          <w:tab w:pos="1134" w:val="left"/>
        </w:tabs>
        <w:ind w:left="1134" w:hanging="567"/>
      </w:pPr>
      <w:r>
        <w:t>a)</w:t>
      </w:r>
      <w:r>
        <w:tab/>
      </w:r>
      <w:r>
        <w:t>zur Herabsetzung der in einem Folgebescheid festgesetzten Steuer,</w:t>
      </w:r>
    </w:p>
    <w:p>
      <w:pPr>
        <w:tabs>
          <w:tab w:pos="1134" w:val="left"/>
        </w:tabs>
        <w:ind w:left="1134" w:hanging="567"/>
      </w:pPr>
      <w:r>
        <w:t>b)</w:t>
      </w:r>
      <w:r>
        <w:tab/>
      </w:r>
      <w:r>
        <w:t>zur Herabsetzung der Gewerbesteuer nach Änderung des Gewerbesteuermessbetrags</w:t>
      </w:r>
    </w:p>
    <w:p>
      <w:pPr>
        <w:ind w:left="567"/>
      </w:pPr>
      <w:r>
        <w:t>führt.</w:t>
      </w:r>
    </w:p>
    <w:p>
      <w:r>
        <w:t>(3) Ein zu erstattender oder zu vergütender Betrag wird nicht verzinst, soweit dem Beteiligten die Kosten des Rechtsbehelfs nach § 137 Satz 1 der Finanzgerichtsordnung auferlegt worden sind.</w:t>
      </w:r>
    </w:p>
    <w:p>
      <w:r>
        <w:t xml:space="preserve">(4) Zinsen nach </w:t>
      </w:r>
      <w:hyperlink w:anchor="b371" w:history="1">
        <w:r>
          <w:rPr>
            <w:color w:val="0A3A8C"/>
            <w:u w:val="single"/>
          </w:rPr>
          <w:t xml:space="preserve">§ 233a</w:t>
        </w:r>
      </w:hyperlink>
      <w:r>
        <w:t>, die für denselben Zeitraum festgesetzt wurden, sind anzurechnen.</w:t>
      </w:r>
    </w:p>
    <w:p>
      <w:r>
        <w:t xml:space="preserve">(5) Ein Zinsbescheid ist nicht aufzuheben oder zu ändern, wenn der Steuerbescheid nach Abschluss des Rechtsbehelfsverfahrens aufgehoben, geändert oder nach </w:t>
      </w:r>
      <w:hyperlink w:anchor="b208" w:history="1">
        <w:r>
          <w:rPr>
            <w:color w:val="0A3A8C"/>
            <w:u w:val="single"/>
          </w:rPr>
          <w:t xml:space="preserve">§ 129</w:t>
        </w:r>
      </w:hyperlink>
      <w:r>
        <w:t xml:space="preserve"> berichtigt wird.</w:t>
      </w:r>
    </w:p>
    <w:p>
      <w:r>
        <w:t>(6) Die Absätze 1 bis 5 gelten für festgesetzte Haftungsansprüche entsprechend, soweit sich die Haftung auf Steuern und zurückzuzahlende Steuervergütungen erstreckt.</w:t>
      </w:r>
    </w:p>
    <w:p>
      <w:pPr>
        <w:pStyle w:val="Heading4"/>
      </w:pPr>
      <w:bookmarkStart w:id="378" w:name="b375"/>
      <w:r>
        <w:t>§ 237 Zinsen bei Aussetzung der Vollziehung</w:t>
      </w:r>
      <w:r>
        <w:t xml:space="preserve"> </w:t>
      </w:r>
      <w:r>
        <w:rPr>
          <w:rStyle w:val="Suchmarke"/>
        </w:rPr>
        <w:t>#237#</w:t>
      </w:r>
      <w:bookmarkEnd w:id="378"/>
    </w:p>
    <w:p>
      <w:r>
        <w:t xml:space="preserve">(1) </w:t>
      </w:r>
      <w:r>
        <w:rPr>
          <w:rStyle w:val="Satznummer"/>
        </w:rPr>
        <w:t>1</w:t>
      </w:r>
      <w:r>
        <w:t xml:space="preserve">Soweit ein Einspruch oder eine Anfechtungsklage gegen einen Steuerbescheid, eine Steueranmeldung oder einen Verwaltungsakt, der einen Steuervergütungsbescheid aufhebt oder ändert, oder gegen eine Einspruchsentscheidung über einen dieser Verwaltungsakte endgültig keinen Erfolg gehabt hat, ist der geschuldete Betrag, hinsichtlich dessen die Vollziehung des angefochtenen Verwaltungsakts ausgesetzt wurde, zu verzinsen. </w:t>
      </w:r>
      <w:r>
        <w:rPr>
          <w:rStyle w:val="Satznummer"/>
        </w:rPr>
        <w:t>2</w:t>
      </w:r>
      <w:r>
        <w:t>Satz 1 gilt entsprechend, wenn nach Einlegung eines förmlichen außergerichtlichen oder gerichtlichen Rechtsbehelfs gegen einen Grundlagenbescheid (</w:t>
      </w:r>
      <w:hyperlink w:anchor="b281" w:history="1">
        <w:r>
          <w:rPr>
            <w:color w:val="0A3A8C"/>
            <w:u w:val="single"/>
          </w:rPr>
          <w:t xml:space="preserve">§ 171</w:t>
        </w:r>
      </w:hyperlink>
      <w:r>
        <w:t xml:space="preserve"> Absatz 10) oder eine Rechtsbehelfsentscheidung über einen Grundlagenbescheid die Vollziehung eines Folgebescheids ausgesetzt wurde.</w:t>
      </w:r>
    </w:p>
    <w:p>
      <w:r>
        <w:t xml:space="preserve">(2) </w:t>
      </w:r>
      <w:r>
        <w:rPr>
          <w:rStyle w:val="Satznummer"/>
        </w:rPr>
        <w:t>1</w:t>
      </w:r>
      <w:r>
        <w:t xml:space="preserve">Zinsen werden erhoben vom Tag des Eingangs des außergerichtlichen Rechtsbehelfs bei der Behörde, deren Verwaltungsakt angefochten wird, oder vom Tag der Rechtshängigkeit beim Gericht an bis zum Tag, an dem die Aussetzung der Vollziehung endet. </w:t>
      </w:r>
      <w:r>
        <w:rPr>
          <w:rStyle w:val="Satznummer"/>
        </w:rPr>
        <w:t>2</w:t>
      </w:r>
      <w:r>
        <w:t>Ist die Vollziehung erst nach dem Eingang des außergerichtlichen Rechtsbehelfs oder erst nach der Rechtshängigkeit ausgesetzt worden, so beginnt die Verzinsung mit dem Tag, an dem die Wirkung der Aussetzung der Vollziehung beginnt.</w:t>
      </w:r>
    </w:p>
    <w:p>
      <w:r>
        <w:t>(3) Absätze 1 und 2 sind entsprechend anzuwenden, wenn nach Aussetzung der Vollziehung des Einkommensteuerbescheids, des Körperschaftsteuerbescheids oder eines Feststellungsbescheids die Vollziehung eines Gewerbesteuermessbescheids oder Gewerbesteuerbescheids ausgesetzt wird.</w:t>
      </w:r>
    </w:p>
    <w:p>
      <w:r>
        <w:t xml:space="preserve">(4) </w:t>
      </w:r>
      <w:hyperlink w:anchor="b372" w:history="1">
        <w:r>
          <w:rPr>
            <w:color w:val="0A3A8C"/>
            <w:u w:val="single"/>
          </w:rPr>
          <w:t xml:space="preserve">§ 234</w:t>
        </w:r>
      </w:hyperlink>
      <w:r>
        <w:t xml:space="preserve"> Absatz 2 und 3 gelten entsprechend.</w:t>
      </w:r>
    </w:p>
    <w:p>
      <w:r>
        <w:t xml:space="preserve">(5) Ein Zinsbescheid ist nicht aufzuheben oder zu ändern, wenn der Steuerbescheid nach Abschluss des Rechtsbehelfsverfahrens aufgehoben, geändert oder nach </w:t>
      </w:r>
      <w:hyperlink w:anchor="b208" w:history="1">
        <w:r>
          <w:rPr>
            <w:color w:val="0A3A8C"/>
            <w:u w:val="single"/>
          </w:rPr>
          <w:t xml:space="preserve">§ 129</w:t>
        </w:r>
      </w:hyperlink>
      <w:r>
        <w:t xml:space="preserve"> berichtigt wird.</w:t>
      </w:r>
    </w:p>
    <w:p>
      <w:r>
        <w:t>(6) Die Absätze 1 bis 5 gelten für festgesetzte Haftungsansprüche entsprechend, soweit sich die Haftung auf Steuern und zurückzuzahlende Steuervergütungen erstreckt.</w:t>
      </w:r>
    </w:p>
    <w:p>
      <w:pPr>
        <w:pStyle w:val="Heading4"/>
      </w:pPr>
      <w:bookmarkStart w:id="379" w:name="b376"/>
      <w:r>
        <w:t>§ 238 Höhe und Berechnung der Zinsen</w:t>
      </w:r>
      <w:r>
        <w:t xml:space="preserve"> </w:t>
      </w:r>
      <w:r>
        <w:rPr>
          <w:rStyle w:val="Suchmarke"/>
        </w:rPr>
        <w:t>#238#</w:t>
      </w:r>
      <w:bookmarkEnd w:id="379"/>
    </w:p>
    <w:p>
      <w:r>
        <w:t xml:space="preserve">(1) </w:t>
      </w:r>
      <w:r>
        <w:rPr>
          <w:rStyle w:val="Satznummer"/>
        </w:rPr>
        <w:t>1</w:t>
      </w:r>
      <w:r>
        <w:t xml:space="preserve">Die Zinsen betragen für jeden Monat einhalb Prozent. </w:t>
      </w:r>
      <w:r>
        <w:rPr>
          <w:rStyle w:val="Satznummer"/>
        </w:rPr>
        <w:t>2</w:t>
      </w:r>
      <w:r>
        <w:t xml:space="preserve">Sie sind von dem Tag an, an dem der Zinslauf beginnt, nur für volle Monate zu zahlen; angefangene Monate bleiben außer Ansatz. </w:t>
      </w:r>
      <w:r>
        <w:rPr>
          <w:rStyle w:val="Satznummer"/>
        </w:rPr>
        <w:t>3</w:t>
      </w:r>
      <w:r>
        <w:t>Erlischt der zu verzinsende Anspruch durch Aufrechnung, gilt der Tag, an dem die Schuld des Aufrechnenden fällig wird, als Tag der Zahlung.</w:t>
      </w:r>
    </w:p>
    <w:p>
      <w:r>
        <w:t xml:space="preserve">(1a) In den Fällen des </w:t>
      </w:r>
      <w:hyperlink w:anchor="b371" w:history="1">
        <w:r>
          <w:rPr>
            <w:color w:val="0A3A8C"/>
            <w:u w:val="single"/>
          </w:rPr>
          <w:t xml:space="preserve">§ 233a</w:t>
        </w:r>
      </w:hyperlink>
      <w:r>
        <w:t xml:space="preserve"> betragen die Zinsen abweichend von Absatz 1 Satz 1 ab dem 1. Januar 2019 0,15 Prozent für jeden Monat, das heißt 1,8 Prozent für jedes Jahr.</w:t>
      </w:r>
    </w:p>
    <w:p>
      <w:r>
        <w:t xml:space="preserve">(1b) </w:t>
      </w:r>
      <w:r>
        <w:rPr>
          <w:rStyle w:val="Satznummer"/>
        </w:rPr>
        <w:t>1</w:t>
      </w:r>
      <w:r>
        <w:t xml:space="preserve">Sind für einen Zinslauf unterschiedliche Zinssätze maßgeblich, ist der Zinslauf in Teilverzinsungszeiträume aufzuteilen. </w:t>
      </w:r>
      <w:r>
        <w:rPr>
          <w:rStyle w:val="Satznummer"/>
        </w:rPr>
        <w:t>2</w:t>
      </w:r>
      <w:r>
        <w:t xml:space="preserve">Die Zinsen für die Teilverzinsungszeiträume sind jeweils tageweise zu berechnen. </w:t>
      </w:r>
      <w:r>
        <w:rPr>
          <w:rStyle w:val="Satznummer"/>
        </w:rPr>
        <w:t>3</w:t>
      </w:r>
      <w:r>
        <w:t>Hierbei wird jeder Kalendermonat unabhängig von der tatsächlichen Anzahl der Kalendertage mit 30 Zinstagen und jedes Kalenderjahr mit 360 Tagen gerechnet.</w:t>
      </w:r>
    </w:p>
    <w:p>
      <w:r>
        <w:t xml:space="preserve">(1c) </w:t>
      </w:r>
      <w:r>
        <w:rPr>
          <w:rStyle w:val="Satznummer"/>
        </w:rPr>
        <w:t>1</w:t>
      </w:r>
      <w:r>
        <w:t xml:space="preserve">Die Angemessenheit des Zinssatzes nach Absatz 1a ist unter Berücksichtigung der Entwicklung des Basiszinssatzes nach § 247 des Bürgerlichen Gesetzbuchs wenigstens alle zwei Jahre zu evaluieren. </w:t>
      </w:r>
      <w:r>
        <w:rPr>
          <w:rStyle w:val="Satznummer"/>
        </w:rPr>
        <w:t>2</w:t>
      </w:r>
      <w:r>
        <w:t>Die erste Evaluierung erfolgt spätestens zum 1. Januar 2024.</w:t>
      </w:r>
    </w:p>
    <w:p>
      <w:r>
        <w:t>(2) Für die Berechnung der Zinsen wird der zu verzinsende Betrag jeder Steuerart auf den nächsten durch 50 Euro teilbaren Betrag abgerundet.</w:t>
      </w:r>
    </w:p>
    <w:p>
      <w:pPr>
        <w:pStyle w:val="Heading4"/>
      </w:pPr>
      <w:bookmarkStart w:id="380" w:name="b377"/>
      <w:r>
        <w:t>§ 239 Festsetzung der Zinsen</w:t>
      </w:r>
      <w:r>
        <w:t xml:space="preserve"> </w:t>
      </w:r>
      <w:r>
        <w:rPr>
          <w:rStyle w:val="Suchmarke"/>
        </w:rPr>
        <w:t>#239#</w:t>
      </w:r>
      <w:bookmarkEnd w:id="380"/>
    </w:p>
    <w:p>
      <w:r>
        <w:t xml:space="preserve">(1) </w:t>
      </w:r>
      <w:r>
        <w:rPr>
          <w:rStyle w:val="Satznummer"/>
        </w:rPr>
        <w:t>1</w:t>
      </w:r>
      <w:r>
        <w:t xml:space="preserve">Auf die Zinsen sind die für die Steuern geltenden Vorschriften entsprechend anzuwenden, jedoch beträgt die Festsetzungsfrist zwei Jahre. </w:t>
      </w:r>
      <w:r>
        <w:rPr>
          <w:rStyle w:val="Satznummer"/>
        </w:rPr>
        <w:t>2</w:t>
      </w:r>
      <w:r>
        <w:t>Die Festsetzungsfrist beginnt:</w:t>
      </w:r>
    </w:p>
    <w:p>
      <w:pPr>
        <w:tabs>
          <w:tab w:pos="567" w:val="left"/>
        </w:tabs>
        <w:ind w:left="567" w:hanging="567"/>
      </w:pPr>
      <w:r>
        <w:t>1.</w:t>
      </w:r>
      <w:r>
        <w:tab/>
      </w:r>
      <w:r>
        <w:t xml:space="preserve">in den Fällen des </w:t>
      </w:r>
      <w:hyperlink w:anchor="b371" w:history="1">
        <w:r>
          <w:rPr>
            <w:color w:val="0A3A8C"/>
            <w:u w:val="single"/>
          </w:rPr>
          <w:t xml:space="preserve">§ 233a</w:t>
        </w:r>
      </w:hyperlink>
      <w:r>
        <w:t xml:space="preserve"> mit Ablauf des Kalenderjahrs, in dem die Steuer festgesetzt, aufgehoben, geändert oder nach </w:t>
      </w:r>
      <w:hyperlink w:anchor="b208" w:history="1">
        <w:r>
          <w:rPr>
            <w:color w:val="0A3A8C"/>
            <w:u w:val="single"/>
          </w:rPr>
          <w:t xml:space="preserve">§ 129</w:t>
        </w:r>
      </w:hyperlink>
      <w:r>
        <w:t xml:space="preserve"> berichtigt worden ist,</w:t>
      </w:r>
    </w:p>
    <w:p>
      <w:pPr>
        <w:tabs>
          <w:tab w:pos="567" w:val="left"/>
        </w:tabs>
        <w:ind w:left="567" w:hanging="567"/>
      </w:pPr>
      <w:r>
        <w:t>2.</w:t>
      </w:r>
      <w:r>
        <w:tab/>
      </w:r>
      <w:r>
        <w:t xml:space="preserve">in den Fällen des </w:t>
      </w:r>
      <w:hyperlink w:anchor="b372" w:history="1">
        <w:r>
          <w:rPr>
            <w:color w:val="0A3A8C"/>
            <w:u w:val="single"/>
          </w:rPr>
          <w:t xml:space="preserve">§ 234</w:t>
        </w:r>
      </w:hyperlink>
      <w:r>
        <w:t xml:space="preserve"> mit Ablauf des Kalenderjahrs, in dem die Stundung geendet hat,</w:t>
      </w:r>
    </w:p>
    <w:p>
      <w:pPr>
        <w:tabs>
          <w:tab w:pos="567" w:val="left"/>
        </w:tabs>
        <w:ind w:left="567" w:hanging="567"/>
      </w:pPr>
      <w:r>
        <w:t>3.</w:t>
      </w:r>
      <w:r>
        <w:tab/>
      </w:r>
      <w:r>
        <w:t xml:space="preserve">in den Fällen des </w:t>
      </w:r>
      <w:hyperlink w:anchor="b373" w:history="1">
        <w:r>
          <w:rPr>
            <w:color w:val="0A3A8C"/>
            <w:u w:val="single"/>
          </w:rPr>
          <w:t xml:space="preserve">§ 235</w:t>
        </w:r>
      </w:hyperlink>
      <w:r>
        <w:t xml:space="preserve"> mit Ablauf des Kalenderjahrs, in dem die Festsetzung der hinterzogenen Steuern unanfechtbar geworden ist, jedoch nicht vor Ablauf des Kalenderjahrs, in dem ein eingeleitetes Strafverfahren rechtskräftig abgeschlossen worden ist,</w:t>
      </w:r>
    </w:p>
    <w:p>
      <w:pPr>
        <w:tabs>
          <w:tab w:pos="567" w:val="left"/>
        </w:tabs>
        <w:ind w:left="567" w:hanging="567"/>
      </w:pPr>
      <w:r>
        <w:t>4.</w:t>
      </w:r>
      <w:r>
        <w:tab/>
      </w:r>
      <w:r>
        <w:t xml:space="preserve">in den Fällen des </w:t>
      </w:r>
      <w:hyperlink w:anchor="b374" w:history="1">
        <w:r>
          <w:rPr>
            <w:color w:val="0A3A8C"/>
            <w:u w:val="single"/>
          </w:rPr>
          <w:t xml:space="preserve">§ 236</w:t>
        </w:r>
      </w:hyperlink>
      <w:r>
        <w:t xml:space="preserve"> mit Ablauf des Kalenderjahrs, in dem die Steuer oder der Haftungsbetrag erstattet oder die Steuervergütung ausgezahlt worden ist,</w:t>
      </w:r>
    </w:p>
    <w:p>
      <w:pPr>
        <w:tabs>
          <w:tab w:pos="567" w:val="left"/>
        </w:tabs>
        <w:ind w:left="567" w:hanging="567"/>
      </w:pPr>
      <w:r>
        <w:t>5.</w:t>
      </w:r>
      <w:r>
        <w:tab/>
      </w:r>
      <w:r>
        <w:t xml:space="preserve">in den Fällen des </w:t>
      </w:r>
      <w:hyperlink w:anchor="b375" w:history="1">
        <w:r>
          <w:rPr>
            <w:color w:val="0A3A8C"/>
            <w:u w:val="single"/>
          </w:rPr>
          <w:t xml:space="preserve">§ 237</w:t>
        </w:r>
      </w:hyperlink>
      <w:r>
        <w:t xml:space="preserve"> mit Ablauf des Kalenderjahrs, in dem ein Einspruch oder eine Anfechtungsklage endgültig erfolglos geblieben ist, und</w:t>
      </w:r>
    </w:p>
    <w:p>
      <w:pPr>
        <w:tabs>
          <w:tab w:pos="567" w:val="left"/>
        </w:tabs>
        <w:ind w:left="567" w:hanging="567"/>
      </w:pPr>
      <w:r>
        <w:t>6.</w:t>
      </w:r>
      <w:r>
        <w:tab/>
      </w:r>
      <w:r>
        <w:t>in allen anderen Fällen mit Ablauf des Kalenderjahrs, in dem der Zinslauf endet.</w:t>
      </w:r>
    </w:p>
    <w:p>
      <w:r>
        <w:rPr>
          <w:rStyle w:val="Satznummer"/>
        </w:rPr>
        <w:t>3</w:t>
      </w:r>
      <w:r>
        <w:t xml:space="preserve">Die Festsetzungsfrist läuft in den Fällen des </w:t>
      </w:r>
      <w:hyperlink w:anchor="b371" w:history="1">
        <w:r>
          <w:rPr>
            <w:color w:val="0A3A8C"/>
            <w:u w:val="single"/>
          </w:rPr>
          <w:t xml:space="preserve">§ 233a</w:t>
        </w:r>
      </w:hyperlink>
      <w:r>
        <w:t xml:space="preserve"> nicht ab, solange die Steuerfestsetzung, ihre Aufhebung, ihre Änderung oder ihre Berichtigung nach </w:t>
      </w:r>
      <w:hyperlink w:anchor="b208" w:history="1">
        <w:r>
          <w:rPr>
            <w:color w:val="0A3A8C"/>
            <w:u w:val="single"/>
          </w:rPr>
          <w:t xml:space="preserve">§ 129</w:t>
        </w:r>
      </w:hyperlink>
      <w:r>
        <w:t xml:space="preserve"> noch zulässig ist.</w:t>
      </w:r>
    </w:p>
    <w:p>
      <w:r>
        <w:t xml:space="preserve">(2) </w:t>
      </w:r>
      <w:r>
        <w:rPr>
          <w:rStyle w:val="Satznummer"/>
        </w:rPr>
        <w:t>1</w:t>
      </w:r>
      <w:r>
        <w:t xml:space="preserve">Zinsen sind auf volle Euro zum Vorteil des Steuerpflichtigen gerundet festzusetzen. </w:t>
      </w:r>
      <w:r>
        <w:rPr>
          <w:rStyle w:val="Satznummer"/>
        </w:rPr>
        <w:t>2</w:t>
      </w:r>
      <w:r>
        <w:t>Sie werden nur dann festgesetzt, wenn sie mindestens 10 Euro betragen.</w:t>
      </w:r>
    </w:p>
    <w:p>
      <w:r>
        <w:t>(3) Werden Besteuerungsgrundlagen gesondert festgestellt oder wird ein Steuermessbetrag festgesetzt, sind die Grundlagen für eine Festsetzung von Zinsen</w:t>
      </w:r>
    </w:p>
    <w:p>
      <w:pPr>
        <w:tabs>
          <w:tab w:pos="567" w:val="left"/>
        </w:tabs>
        <w:ind w:left="567" w:hanging="567"/>
      </w:pPr>
      <w:r>
        <w:t>1.</w:t>
      </w:r>
      <w:r>
        <w:tab/>
      </w:r>
      <w:r>
        <w:t xml:space="preserve">nach § 233a in den Fällen des </w:t>
      </w:r>
      <w:hyperlink w:anchor="b371" w:history="1">
        <w:r>
          <w:rPr>
            <w:color w:val="0A3A8C"/>
            <w:u w:val="single"/>
          </w:rPr>
          <w:t xml:space="preserve">§ 233a</w:t>
        </w:r>
      </w:hyperlink>
      <w:r>
        <w:t xml:space="preserve"> Absatz 2a oder</w:t>
      </w:r>
    </w:p>
    <w:p>
      <w:pPr>
        <w:tabs>
          <w:tab w:pos="567" w:val="left"/>
        </w:tabs>
        <w:ind w:left="567" w:hanging="567"/>
      </w:pPr>
      <w:r>
        <w:t>2.</w:t>
      </w:r>
      <w:r>
        <w:tab/>
      </w:r>
      <w:r>
        <w:t>nach § 235</w:t>
      </w:r>
    </w:p>
    <w:p>
      <w:r>
        <w:t>gesondert festzustellen, soweit diese an Sachverhalte anknüpfen, die Gegenstand des Grundlagenbescheids sind.</w:t>
      </w:r>
    </w:p>
    <w:p>
      <w:r>
        <w:t xml:space="preserve">(4) Werden wegen einer Steueranmeldung, die nach § 168 Satz 1 einer Steuerfestsetzung unter Vorbehalt der Nachprüfung gleichsteht, Zinsen nach </w:t>
      </w:r>
      <w:hyperlink w:anchor="b371" w:history="1">
        <w:r>
          <w:rPr>
            <w:color w:val="0A3A8C"/>
            <w:u w:val="single"/>
          </w:rPr>
          <w:t xml:space="preserve">§ 233a</w:t>
        </w:r>
      </w:hyperlink>
      <w:r>
        <w:t xml:space="preserve"> festgesetzt, so steht diese Zinsfestsetzung ebenfalls unter dem Vorbehalt der Nachprüfung.</w:t>
      </w:r>
    </w:p>
    <w:p>
      <w:r>
        <w:t xml:space="preserve">(5) Die Festsetzung von Zinsen nach </w:t>
      </w:r>
      <w:hyperlink w:anchor="b371" w:history="1">
        <w:r>
          <w:rPr>
            <w:color w:val="0A3A8C"/>
            <w:u w:val="single"/>
          </w:rPr>
          <w:t xml:space="preserve">§ 233a</w:t>
        </w:r>
      </w:hyperlink>
      <w:r>
        <w:t xml:space="preserve"> hat Bindungswirkung für Zinsfestsetzungen nach den </w:t>
      </w:r>
      <w:hyperlink w:anchor="b372" w:history="1">
        <w:r>
          <w:rPr>
            <w:color w:val="0A3A8C"/>
            <w:u w:val="single"/>
          </w:rPr>
          <w:t xml:space="preserve">§§ 234</w:t>
        </w:r>
      </w:hyperlink>
      <w:r>
        <w:t xml:space="preserve">, </w:t>
      </w:r>
      <w:hyperlink w:anchor="b373" w:history="1">
        <w:r>
          <w:rPr>
            <w:color w:val="0A3A8C"/>
            <w:u w:val="single"/>
          </w:rPr>
          <w:t xml:space="preserve">235</w:t>
        </w:r>
      </w:hyperlink>
      <w:r>
        <w:t xml:space="preserve">, </w:t>
      </w:r>
      <w:hyperlink w:anchor="b374" w:history="1">
        <w:r>
          <w:rPr>
            <w:color w:val="0A3A8C"/>
            <w:u w:val="single"/>
          </w:rPr>
          <w:t xml:space="preserve">236</w:t>
        </w:r>
      </w:hyperlink>
      <w:r>
        <w:t xml:space="preserve"> oder </w:t>
      </w:r>
      <w:hyperlink w:anchor="b375" w:history="1">
        <w:r>
          <w:rPr>
            <w:color w:val="0A3A8C"/>
            <w:u w:val="single"/>
          </w:rPr>
          <w:t xml:space="preserve">237</w:t>
        </w:r>
      </w:hyperlink>
      <w:r>
        <w:t xml:space="preserve">, soweit auf diese Zinsen nach </w:t>
      </w:r>
      <w:hyperlink w:anchor="b371" w:history="1">
        <w:r>
          <w:rPr>
            <w:color w:val="0A3A8C"/>
            <w:u w:val="single"/>
          </w:rPr>
          <w:t xml:space="preserve">§ 233a</w:t>
        </w:r>
      </w:hyperlink>
      <w:r>
        <w:t xml:space="preserve"> festgesetzte Zinsen anzurechnen sind.</w:t>
      </w:r>
    </w:p>
    <w:p>
      <w:pPr>
        <w:pStyle w:val="Heading3"/>
      </w:pPr>
      <w:bookmarkStart w:id="381" w:name="b378"/>
      <w:r>
        <w:t>2. Unterabschnitt Säumniszuschläge</w:t>
      </w:r>
      <w:bookmarkEnd w:id="381"/>
    </w:p>
    <w:p>
      <w:pPr>
        <w:pStyle w:val="Heading4"/>
      </w:pPr>
      <w:bookmarkStart w:id="382" w:name="b379"/>
      <w:r>
        <w:t>§ 240 Säumniszuschläge</w:t>
      </w:r>
      <w:r>
        <w:t xml:space="preserve"> </w:t>
      </w:r>
      <w:r>
        <w:rPr>
          <w:rStyle w:val="Suchmarke"/>
        </w:rPr>
        <w:t>#240#</w:t>
      </w:r>
      <w:bookmarkEnd w:id="382"/>
    </w:p>
    <w:p>
      <w:r>
        <w:t xml:space="preserve">(1) </w:t>
      </w:r>
      <w:r>
        <w:rPr>
          <w:rStyle w:val="Satznummer"/>
        </w:rPr>
        <w:t>1</w:t>
      </w:r>
      <w:r>
        <w:t xml:space="preserve">Wird eine Steuer nicht bis zum Ablauf des Fälligkeitstages entrichtet, so ist für jeden angefangenen Monat der Säumnis ein Säumniszuschlag von 1 Prozent des abgerundeten rückständigen Steuerbetrags zu entrichten; abzurunden ist auf den nächsten durch 50 Euro teilbaren Betrag. </w:t>
      </w:r>
      <w:r>
        <w:rPr>
          <w:rStyle w:val="Satznummer"/>
        </w:rPr>
        <w:t>2</w:t>
      </w:r>
      <w:r>
        <w:t xml:space="preserve">Das Gleiche gilt für zurückzuzahlende Steuervergütungen und Haftungsschulden, soweit sich die Haftung auf Steuern und zurückzuzahlende Steuervergütungen erstreckt. </w:t>
      </w:r>
      <w:r>
        <w:rPr>
          <w:rStyle w:val="Satznummer"/>
        </w:rPr>
        <w:t>3</w:t>
      </w:r>
      <w:r>
        <w:t xml:space="preserve">Die Säumnis nach Satz 1 tritt nicht ein, bevor die Steuer festgesetzt oder angemeldet worden ist. </w:t>
      </w:r>
      <w:r>
        <w:rPr>
          <w:rStyle w:val="Satznummer"/>
        </w:rPr>
        <w:t>4</w:t>
      </w:r>
      <w:r>
        <w:t xml:space="preserve">Wird die Festsetzung einer Steuer oder Steuervergütung aufgehoben, geändert oder nach </w:t>
      </w:r>
      <w:hyperlink w:anchor="b208" w:history="1">
        <w:r>
          <w:rPr>
            <w:color w:val="0A3A8C"/>
            <w:u w:val="single"/>
          </w:rPr>
          <w:t xml:space="preserve">§ 129</w:t>
        </w:r>
      </w:hyperlink>
      <w:r>
        <w:t xml:space="preserve"> berichtigt, so bleiben die bis dahin verwirkten Säumniszuschläge unberührt; das Gleiche gilt, wenn ein Haftungsbescheid zurückgenommen, widerrufen oder nach </w:t>
      </w:r>
      <w:hyperlink w:anchor="b208" w:history="1">
        <w:r>
          <w:rPr>
            <w:color w:val="0A3A8C"/>
            <w:u w:val="single"/>
          </w:rPr>
          <w:t xml:space="preserve">§ 129</w:t>
        </w:r>
      </w:hyperlink>
      <w:r>
        <w:t xml:space="preserve"> berichtigt wird. </w:t>
      </w:r>
      <w:r>
        <w:rPr>
          <w:rStyle w:val="Satznummer"/>
        </w:rPr>
        <w:t>5</w:t>
      </w:r>
      <w:r>
        <w:t>Erlischt der Anspruch durch Aufrechnung, bleiben Säumniszuschläge unberührt, die bis zur Fälligkeit der Schuld des Aufrechnenden entstanden sind.</w:t>
      </w:r>
    </w:p>
    <w:p>
      <w:r>
        <w:t>(2) Säumniszuschläge entstehen nicht bei steuerlichen Nebenleistungen.</w:t>
      </w:r>
    </w:p>
    <w:p>
      <w:r>
        <w:t xml:space="preserve">(3) </w:t>
      </w:r>
      <w:r>
        <w:rPr>
          <w:rStyle w:val="Satznummer"/>
        </w:rPr>
        <w:t>1</w:t>
      </w:r>
      <w:r>
        <w:t xml:space="preserve">Ein Säumniszuschlag wird bei einer Säumnis bis zu drei Tagen nicht erhoben. </w:t>
      </w:r>
      <w:r>
        <w:rPr>
          <w:rStyle w:val="Satznummer"/>
        </w:rPr>
        <w:t>2</w:t>
      </w:r>
      <w:r>
        <w:t xml:space="preserve">Dies gilt nicht bei Zahlung nach </w:t>
      </w:r>
      <w:hyperlink w:anchor="b357" w:history="1">
        <w:r>
          <w:rPr>
            <w:color w:val="0A3A8C"/>
            <w:u w:val="single"/>
          </w:rPr>
          <w:t xml:space="preserve">§ 224</w:t>
        </w:r>
      </w:hyperlink>
      <w:r>
        <w:t xml:space="preserve"> Absatz 2 Nummer 1.</w:t>
      </w:r>
    </w:p>
    <w:p>
      <w:r>
        <w:t xml:space="preserve">(4) </w:t>
      </w:r>
      <w:r>
        <w:rPr>
          <w:rStyle w:val="Satznummer"/>
        </w:rPr>
        <w:t>1</w:t>
      </w:r>
      <w:r>
        <w:t xml:space="preserve">In den Fällen der Gesamtschuld entstehen Säumniszuschläge gegenüber jedem säumigen Gesamtschuldner. </w:t>
      </w:r>
      <w:r>
        <w:rPr>
          <w:rStyle w:val="Satznummer"/>
        </w:rPr>
        <w:t>2</w:t>
      </w:r>
      <w:r>
        <w:t>Insgesamt ist jedoch kein höherer Säumniszuschlag zu entrichten als verwirkt worden wäre, wenn die Säumnis nur bei einem Gesamtschuldner eingetreten wäre.</w:t>
      </w:r>
    </w:p>
    <w:p>
      <w:pPr>
        <w:pStyle w:val="Heading2"/>
      </w:pPr>
      <w:bookmarkStart w:id="383" w:name="b380"/>
      <w:r>
        <w:t>Dritter Abschnitt Sicherheitsleistung</w:t>
      </w:r>
      <w:bookmarkEnd w:id="383"/>
    </w:p>
    <w:p>
      <w:pPr>
        <w:pStyle w:val="Heading3"/>
      </w:pPr>
      <w:bookmarkStart w:id="384" w:name="b381"/>
      <w:r>
        <w:t>§ 241 Art der Sicherheitsleistung</w:t>
      </w:r>
      <w:r>
        <w:t xml:space="preserve"> </w:t>
      </w:r>
      <w:r>
        <w:rPr>
          <w:rStyle w:val="Suchmarke"/>
        </w:rPr>
        <w:t>#241#</w:t>
      </w:r>
      <w:bookmarkEnd w:id="384"/>
    </w:p>
    <w:p>
      <w:r>
        <w:t>(1) Wer nach den Steuergesetzen Sicherheit zu leisten hat, kann diese erbringen</w:t>
      </w:r>
    </w:p>
    <w:p>
      <w:pPr>
        <w:tabs>
          <w:tab w:pos="567" w:val="left"/>
        </w:tabs>
        <w:ind w:left="567" w:hanging="567"/>
      </w:pPr>
      <w:r>
        <w:t>1.</w:t>
      </w:r>
      <w:r>
        <w:tab/>
      </w:r>
      <w:r>
        <w:t>durch Hinterlegung von im Geltungsbereich dieses Gesetzes umlaufenden Zahlungsmitteln bei der zuständigen Finanzbehörde,</w:t>
      </w:r>
    </w:p>
    <w:p>
      <w:pPr>
        <w:tabs>
          <w:tab w:pos="567" w:val="left"/>
        </w:tabs>
        <w:ind w:left="567" w:hanging="567"/>
      </w:pPr>
      <w:r>
        <w:t>2.</w:t>
      </w:r>
      <w:r>
        <w:tab/>
      </w:r>
      <w:r>
        <w:t xml:space="preserve">durch Verpfändung der in Absatz 2 genannten Wertpapiere, die von dem zur Sicherheitsleistung Verpflichteten der Deutschen Bundesbank oder einem Kreditinstitut zur Verwahrung anvertraut worden sind, das zum Depotgeschäft zugelassen ist, wenn dem Pfandrecht keine anderen Rechte vorgehen. </w:t>
      </w:r>
      <w:r>
        <w:rPr>
          <w:rStyle w:val="Satznummer"/>
        </w:rPr>
        <w:t>2</w:t>
      </w:r>
      <w:r>
        <w:t xml:space="preserve">Die Haftung der Wertpapiere für Forderungen des Verwahrers für ihre Verwahrung und Verwaltung bleibt unberührt. </w:t>
      </w:r>
      <w:r>
        <w:rPr>
          <w:rStyle w:val="Satznummer"/>
        </w:rPr>
        <w:t>3</w:t>
      </w:r>
      <w:r>
        <w:t>Der Verpfändung von Wertpapieren steht die Verpfändung von Anteilen an einem Sammelbestand nach § 6 des Depotgesetzes in der im Bundesgesetzblatt Teil III, Gliederungsnummer 4130-1, veröffentlichten bereinigten Fassung, zuletzt geändert durch Artikel 1 des Gesetzes vom 17. Juli 1985 (BGBl. I S. 1507), gleich,</w:t>
      </w:r>
    </w:p>
    <w:p>
      <w:pPr>
        <w:tabs>
          <w:tab w:pos="567" w:val="left"/>
        </w:tabs>
        <w:ind w:left="567" w:hanging="567"/>
      </w:pPr>
      <w:r>
        <w:t>3.</w:t>
      </w:r>
      <w:r>
        <w:tab/>
      </w:r>
      <w:r>
        <w:t>durch eine mit der Übergabe des Sparbuchs verbundene Verpfändung von Spareinlagen bei einem Kreditinstitut, das im Geltungsbereich dieses Gesetzes zum Einlagengeschäft zugelassen ist, wenn dem Pfandrecht keine anderen Rechte vorgehen,</w:t>
      </w:r>
    </w:p>
    <w:p>
      <w:pPr>
        <w:tabs>
          <w:tab w:pos="567" w:val="left"/>
        </w:tabs>
        <w:ind w:left="567" w:hanging="567"/>
      </w:pPr>
      <w:r>
        <w:t>4.</w:t>
      </w:r>
      <w:r>
        <w:tab/>
      </w:r>
      <w:r>
        <w:t>durch Verpfändung von Forderungen, die in einem Schuldbuch des Bundes, eines Sondervermögens des Bundes oder eines Landes eingetragen sind, wenn dem Pfandrecht keine anderen Rechte vorgehen,</w:t>
      </w:r>
    </w:p>
    <w:p>
      <w:pPr>
        <w:tabs>
          <w:tab w:pos="567" w:val="left"/>
        </w:tabs>
        <w:ind w:left="567" w:hanging="567"/>
      </w:pPr>
      <w:r>
        <w:t>5.</w:t>
      </w:r>
      <w:r>
        <w:tab/>
      </w:r>
      <w:r>
        <w:t>durch Bestellung von</w:t>
      </w:r>
    </w:p>
    <w:p>
      <w:pPr>
        <w:tabs>
          <w:tab w:pos="1134" w:val="left"/>
        </w:tabs>
        <w:ind w:left="1134" w:hanging="567"/>
      </w:pPr>
      <w:r>
        <w:t>a)</w:t>
      </w:r>
      <w:r>
        <w:tab/>
      </w:r>
      <w:r>
        <w:t>erstrangigen Hypotheken, Grund- oder Rentenschulden an Grundstücken oder Erbbaurechten, die im Geltungsbereich dieses Gesetzes belegen sind,</w:t>
      </w:r>
    </w:p>
    <w:p>
      <w:pPr>
        <w:tabs>
          <w:tab w:pos="1134" w:val="left"/>
        </w:tabs>
        <w:ind w:left="1134" w:hanging="567"/>
      </w:pPr>
      <w:r>
        <w:t>b)</w:t>
      </w:r>
      <w:r>
        <w:tab/>
      </w:r>
      <w:r>
        <w:t>erstrangigen Schiffshypotheken an Schiffen, Schiffsbauwerken oder Schwimmdocks, die in einem im Geltungsbereich dieses Gesetzes geführten Schiffsregister oder Schiffsbauregister eingetragen sind,</w:t>
      </w:r>
    </w:p>
    <w:p>
      <w:pPr>
        <w:tabs>
          <w:tab w:pos="567" w:val="left"/>
        </w:tabs>
        <w:ind w:left="567" w:hanging="567"/>
      </w:pPr>
      <w:r>
        <w:t>6.</w:t>
      </w:r>
      <w:r>
        <w:tab/>
      </w:r>
      <w:r>
        <w:t>durch Verpfändung von Forderungen, für die eine erstrangige Verkehrshypothek an einem im Geltungsbereich dieses Gesetzes belegenen Grundstück oder Erbbaurecht besteht, oder durch Verpfändung von erstrangigen Grundschulden oder Rentenschulden an im Geltungsbereich dieses Gesetzes belegenen Grundstücken oder Erbbaurechten, wenn an den Forderungen, Grundschulden oder Rentenschulden keine vorgehenden Rechte bestehen,</w:t>
      </w:r>
    </w:p>
    <w:p>
      <w:pPr>
        <w:tabs>
          <w:tab w:pos="567" w:val="left"/>
        </w:tabs>
        <w:ind w:left="567" w:hanging="567"/>
      </w:pPr>
      <w:r>
        <w:t>7.</w:t>
      </w:r>
      <w:r>
        <w:tab/>
      </w:r>
      <w:r>
        <w:t>durch Schuldversprechen, Bürgschaft oder Wechselverpflichtungen eines tauglichen Steuerbürgen (</w:t>
      </w:r>
      <w:hyperlink w:anchor="b384" w:history="1">
        <w:r>
          <w:rPr>
            <w:color w:val="0A3A8C"/>
            <w:u w:val="single"/>
          </w:rPr>
          <w:t xml:space="preserve">§ 244</w:t>
        </w:r>
      </w:hyperlink>
      <w:r>
        <w:t>).</w:t>
      </w:r>
    </w:p>
    <w:p>
      <w:r>
        <w:t>(2) Wertpapiere im Sinne von Absatz 1 Nummer 2 sind</w:t>
      </w:r>
    </w:p>
    <w:p>
      <w:pPr>
        <w:tabs>
          <w:tab w:pos="567" w:val="left"/>
        </w:tabs>
        <w:ind w:left="567" w:hanging="567"/>
      </w:pPr>
      <w:r>
        <w:t>1.</w:t>
      </w:r>
      <w:r>
        <w:tab/>
      </w:r>
      <w:r>
        <w:t>Schuldverschreibungen des Bundes, eines Sondervermögens des Bundes, eines Landes, einer Gemeinde oder eines Gemeindeverbands,</w:t>
      </w:r>
    </w:p>
    <w:p>
      <w:pPr>
        <w:tabs>
          <w:tab w:pos="567" w:val="left"/>
        </w:tabs>
        <w:ind w:left="567" w:hanging="567"/>
      </w:pPr>
      <w:r>
        <w:t>2.</w:t>
      </w:r>
      <w:r>
        <w:tab/>
      </w:r>
      <w:r>
        <w:t>Schuldverschreibungen zwischenstaatlicher Einrichtungen, denen der Bund Hoheitsrechte übertragen hat, wenn sie im Geltungsbereich dieses Gesetzes zum amtlichen Börsenhandel zugelassen sind,</w:t>
      </w:r>
    </w:p>
    <w:p>
      <w:pPr>
        <w:tabs>
          <w:tab w:pos="567" w:val="left"/>
        </w:tabs>
        <w:ind w:left="567" w:hanging="567"/>
      </w:pPr>
      <w:r>
        <w:t>3.</w:t>
      </w:r>
      <w:r>
        <w:tab/>
      </w:r>
      <w:r>
        <w:t>Schuldverschreibungen der Deutschen Genossenschaftsbank, der Deutschen Siedlungs- und Landesrentenbank, der Deutschen Ausgleichsbank, der Kreditanstalt für Wiederaufbau und der Landwirtschaftlichen Rentenbank,</w:t>
      </w:r>
    </w:p>
    <w:p>
      <w:pPr>
        <w:tabs>
          <w:tab w:pos="567" w:val="left"/>
        </w:tabs>
        <w:ind w:left="567" w:hanging="567"/>
      </w:pPr>
      <w:r>
        <w:t>4.</w:t>
      </w:r>
      <w:r>
        <w:tab/>
      </w:r>
      <w:r>
        <w:t>Pfandbriefe, Kommunalobligationen und verwandte Schuldverschreibungen,</w:t>
      </w:r>
    </w:p>
    <w:p>
      <w:pPr>
        <w:tabs>
          <w:tab w:pos="567" w:val="left"/>
        </w:tabs>
        <w:ind w:left="567" w:hanging="567"/>
      </w:pPr>
      <w:r>
        <w:t>5.</w:t>
      </w:r>
      <w:r>
        <w:tab/>
      </w:r>
      <w:r>
        <w:t>Schuldverschreibungen, deren Verzinsung und Rückzahlung vom Bund oder von einem Land gewährleistet werden.</w:t>
      </w:r>
    </w:p>
    <w:p>
      <w:r>
        <w:t>(3) Ein unter Steuerverschluss befindliches Lager steuerpflichtiger Waren gilt als ausreichende Sicherheit für die darauf lastende Steuer.</w:t>
      </w:r>
    </w:p>
    <w:p>
      <w:pPr>
        <w:pStyle w:val="Heading3"/>
      </w:pPr>
      <w:bookmarkStart w:id="385" w:name="b382"/>
      <w:r>
        <w:t>§ 242 Wirkung der Hinterlegung von Zahlungsmitteln</w:t>
      </w:r>
      <w:r>
        <w:t xml:space="preserve"> </w:t>
      </w:r>
      <w:r>
        <w:rPr>
          <w:rStyle w:val="Suchmarke"/>
        </w:rPr>
        <w:t>#242#</w:t>
      </w:r>
      <w:bookmarkEnd w:id="385"/>
    </w:p>
    <w:p>
      <w:r>
        <w:rPr>
          <w:rStyle w:val="Satznummer"/>
        </w:rPr>
        <w:t>1</w:t>
      </w:r>
      <w:r>
        <w:t xml:space="preserve">Zahlungsmittel, die nach </w:t>
      </w:r>
      <w:hyperlink w:anchor="b381" w:history="1">
        <w:r>
          <w:rPr>
            <w:color w:val="0A3A8C"/>
            <w:u w:val="single"/>
          </w:rPr>
          <w:t xml:space="preserve">§ 241</w:t>
        </w:r>
      </w:hyperlink>
      <w:r>
        <w:t xml:space="preserve"> Absatz 1 Nummer 1 hinterlegt werden, gehen in das Eigentum der Körperschaft über, der die Finanzbehörde angehört, bei der sie hinterlegt worden sind. </w:t>
      </w:r>
      <w:r>
        <w:rPr>
          <w:rStyle w:val="Satznummer"/>
        </w:rPr>
        <w:t>2</w:t>
      </w:r>
      <w:r>
        <w:t xml:space="preserve">Die Forderung auf Rückzahlung ist nicht zu verzinsen. </w:t>
      </w:r>
      <w:r>
        <w:rPr>
          <w:rStyle w:val="Satznummer"/>
        </w:rPr>
        <w:t>3</w:t>
      </w:r>
      <w:r>
        <w:t>Mit der Hinterlegung erwirbt die Körperschaft, deren Forderung durch die Hinterlegung gesichert werden soll, ein Pfandrecht an der Forderung auf Rückerstattung der hinterlegten Zahlungsmittel.</w:t>
      </w:r>
    </w:p>
    <w:p>
      <w:pPr>
        <w:pStyle w:val="Heading3"/>
      </w:pPr>
      <w:bookmarkStart w:id="386" w:name="b383"/>
      <w:r>
        <w:t>§ 243 Verpfändung von Wertpapieren</w:t>
      </w:r>
      <w:r>
        <w:t xml:space="preserve"> </w:t>
      </w:r>
      <w:r>
        <w:rPr>
          <w:rStyle w:val="Suchmarke"/>
        </w:rPr>
        <w:t>#243#</w:t>
      </w:r>
      <w:bookmarkEnd w:id="386"/>
    </w:p>
    <w:p>
      <w:r>
        <w:rPr>
          <w:rStyle w:val="Satznummer"/>
        </w:rPr>
        <w:t>1</w:t>
      </w:r>
      <w:r>
        <w:t xml:space="preserve">Die Sicherheitsleistung durch Verpfändung von Wertpapieren nach </w:t>
      </w:r>
      <w:hyperlink w:anchor="b381" w:history="1">
        <w:r>
          <w:rPr>
            <w:color w:val="0A3A8C"/>
            <w:u w:val="single"/>
          </w:rPr>
          <w:t xml:space="preserve">§ 241</w:t>
        </w:r>
      </w:hyperlink>
      <w:r>
        <w:t xml:space="preserve"> Absatz 1 Nummer 2 ist nur zulässig, wenn der Verwahrer die Gewähr für die Umlauffähigkeit übernimmt. </w:t>
      </w:r>
      <w:r>
        <w:rPr>
          <w:rStyle w:val="Satznummer"/>
        </w:rPr>
        <w:t>2</w:t>
      </w:r>
      <w:r>
        <w:t>Die Übernahme dieser Gewähr umfasst die Haftung dafür,</w:t>
      </w:r>
    </w:p>
    <w:p>
      <w:pPr>
        <w:tabs>
          <w:tab w:pos="567" w:val="left"/>
        </w:tabs>
        <w:ind w:left="567" w:hanging="567"/>
      </w:pPr>
      <w:r>
        <w:t>1.</w:t>
      </w:r>
      <w:r>
        <w:tab/>
      </w:r>
      <w:r>
        <w:t>dass das Rückforderungsrecht des Hinterlegers durch gerichtliche Sperre und Beschlagnahme nicht beschränkt ist,</w:t>
      </w:r>
    </w:p>
    <w:p>
      <w:pPr>
        <w:tabs>
          <w:tab w:pos="567" w:val="left"/>
        </w:tabs>
        <w:ind w:left="567" w:hanging="567"/>
      </w:pPr>
      <w:r>
        <w:t>2.</w:t>
      </w:r>
      <w:r>
        <w:tab/>
      </w:r>
      <w:r>
        <w:t>dass die anvertrauten Wertpapiere in den Sammellisten aufgerufener Wertpapiere nicht als gestohlen oder als verloren gemeldet und weder mit Zahlungssperre belegt noch zur Kraftloserklärung aufgeboten oder für kraftlos erklärt worden sind,</w:t>
      </w:r>
    </w:p>
    <w:p>
      <w:pPr>
        <w:tabs>
          <w:tab w:pos="567" w:val="left"/>
        </w:tabs>
        <w:ind w:left="567" w:hanging="567"/>
      </w:pPr>
      <w:r>
        <w:t>3.</w:t>
      </w:r>
      <w:r>
        <w:tab/>
      </w:r>
      <w:r>
        <w:t>dass die Wertpapiere auf den Inhaber lauten, oder, falls sie auf den Namen ausgestellt sind, mit Blankoindossament versehen und auch sonst nicht gesperrt sind, und dass die Zinsscheine und die Erneuerungsscheine bei den Stücken sind.</w:t>
      </w:r>
    </w:p>
    <w:p>
      <w:pPr>
        <w:pStyle w:val="Heading3"/>
      </w:pPr>
      <w:bookmarkStart w:id="387" w:name="b384"/>
      <w:r>
        <w:t>§ 244 Taugliche Steuerbürgen</w:t>
      </w:r>
      <w:r>
        <w:t xml:space="preserve"> </w:t>
      </w:r>
      <w:r>
        <w:rPr>
          <w:rStyle w:val="Suchmarke"/>
        </w:rPr>
        <w:t>#244#</w:t>
      </w:r>
      <w:bookmarkEnd w:id="387"/>
    </w:p>
    <w:p>
      <w:r>
        <w:t xml:space="preserve">(1) </w:t>
      </w:r>
      <w:r>
        <w:rPr>
          <w:rStyle w:val="Satznummer"/>
        </w:rPr>
        <w:t>1</w:t>
      </w:r>
      <w:r>
        <w:t>Schuldversprechen und Bürgschaften nach dem Bürgerlichen Gesetzbuch sowie Wechselverpflichtungen aus Artikel 28 oder 78 des Wechselgesetzes sind als Sicherheit nur geeignet, wenn sie von Personen abgegeben oder eingegangen worden sind, die</w:t>
      </w:r>
    </w:p>
    <w:p>
      <w:pPr>
        <w:tabs>
          <w:tab w:pos="567" w:val="left"/>
        </w:tabs>
        <w:ind w:left="567" w:hanging="567"/>
      </w:pPr>
      <w:r>
        <w:t>1.</w:t>
      </w:r>
      <w:r>
        <w:tab/>
      </w:r>
      <w:r>
        <w:t>ein der Höhe der zu leistenden Sicherheit angemessenes Vermögen besitzen und</w:t>
      </w:r>
    </w:p>
    <w:p>
      <w:pPr>
        <w:tabs>
          <w:tab w:pos="567" w:val="left"/>
        </w:tabs>
        <w:ind w:left="567" w:hanging="567"/>
      </w:pPr>
      <w:r>
        <w:t>2.</w:t>
      </w:r>
      <w:r>
        <w:tab/>
      </w:r>
      <w:r>
        <w:t>ihren allgemeinen oder einen vereinbarten Gerichtsstand im Geltungsbereich dieses Gesetzes haben.</w:t>
      </w:r>
    </w:p>
    <w:p>
      <w:r>
        <w:rPr>
          <w:rStyle w:val="Satznummer"/>
        </w:rPr>
        <w:t>2</w:t>
      </w:r>
      <w:r>
        <w:t xml:space="preserve">Bürgschaften müssen den Verzicht auf die Einrede der Vorausklage nach § 771 des Bürgerlichen Gesetzbuchs enthalten. </w:t>
      </w:r>
      <w:r>
        <w:rPr>
          <w:rStyle w:val="Satznummer"/>
        </w:rPr>
        <w:t>3</w:t>
      </w:r>
      <w:r>
        <w:t xml:space="preserve">Schuldversprechen und Bürgschaftserklärungen sind schriftlich zu erteilen; die elektronische Form ist ausgeschlossen. </w:t>
      </w:r>
      <w:r>
        <w:rPr>
          <w:rStyle w:val="Satznummer"/>
        </w:rPr>
        <w:t>4</w:t>
      </w:r>
      <w:r>
        <w:t xml:space="preserve">Sicherungsgeber und Sicherungsnehmer dürfen nicht wechselseitig füreinander Sicherheit leisten und auch nicht wirtschaftlich miteinander verflochten sein. </w:t>
      </w:r>
      <w:r>
        <w:rPr>
          <w:rStyle w:val="Satznummer"/>
        </w:rPr>
        <w:t>5</w:t>
      </w:r>
      <w:r>
        <w:t xml:space="preserve">Über die Annahme von Bürgschaftserklärungen in den Verfahren nach dem A.T.A.-Übereinkommen vom 6. Dezember 1961 (BGBl. 1965 II S. 948) und dem TIR-Übereinkommen vom 14. November 1975 (BGBl. 1979 II S. 445) in ihren jeweils gültigen Fassungen entscheidet die Generalzolldirektion. </w:t>
      </w:r>
      <w:r>
        <w:rPr>
          <w:rStyle w:val="Satznummer"/>
        </w:rPr>
        <w:t>6</w:t>
      </w:r>
      <w:r>
        <w:t>Über die Annahme von Bürgschaftserklärungen über Einzelsicherheiten in Form von Sicherheitstiteln nach dem Zollkodex der Union mit der Delegierten Verordnung (EU) 2015/2446 der Kommission vom 28. Juli 2015 zur Ergänzung der Verordnung (EU) Nr. 952/2013 des Europäischen Parlaments und des Rates mit Einzelheiten zur Präzisierung von Bestimmungen des Zollkodex der Union (ABl. L 343 vom 29.12.2015, S. 1) sowie nach der Durchführungsverordnung (EU) 2015/2447 der Kommission vom 24. November 2015 mit Einzelheiten zur Umsetzung von Bestimmungen der Verordnung (EU) Nr. 952/2013 des Europäischen Parlaments und des Rates zur Festlegung des Zollkodex der Union (ABl. L 343 vom 29.12.2015, S. 558) und nach dem Übereinkommen vom 20. Mai 1987 über ein gemeinsames Versandverfahren (ABl. EG Nr. L 226 S. 2) in ihren jeweils gültigen Fassungen entscheidet die Generalzolldirektion.</w:t>
      </w:r>
    </w:p>
    <w:p>
      <w:r>
        <w:t xml:space="preserve">(2) </w:t>
      </w:r>
      <w:r>
        <w:rPr>
          <w:rStyle w:val="Satznummer"/>
        </w:rPr>
        <w:t>1</w:t>
      </w:r>
      <w:r>
        <w:t xml:space="preserve">Die Generalzolldirektion kann Kreditinstitute und geschäftsmäßig für andere Sicherheit leistende Versicherungsunternehmen allgemein als Steuerbürge zulassen, wenn sie im Geltungsbereich dieses Gesetzes zum Geschäftsbetrieb befugt sind. </w:t>
      </w:r>
      <w:r>
        <w:rPr>
          <w:rStyle w:val="Satznummer"/>
        </w:rPr>
        <w:t>2</w:t>
      </w:r>
      <w:r>
        <w:t xml:space="preserve">Bei der Zulassung ist ein Höchstbetrag festzusetzen (Bürgschaftssumme). </w:t>
      </w:r>
      <w:r>
        <w:rPr>
          <w:rStyle w:val="Satznummer"/>
        </w:rPr>
        <w:t>3</w:t>
      </w:r>
      <w:r>
        <w:t>Die gesamten Verbindlichkeiten aus Schuldversprechen, Bürgschaften und Wechselverpflichtungen, die der Steuerbürge gegenüber der Finanzverwaltung übernommen hat, dürfen nicht über die Bürgschaftssumme hinausgehen.</w:t>
      </w:r>
    </w:p>
    <w:p>
      <w:r>
        <w:t>(3) Das Bundesministerium der Finanzen wird ermächtigt, durch Rechtsverordnung mit Zustimmung des Bundesrates die Befugnisse nach Absatz 1 Satz 6 und Absatz 2 auf ein Hauptzollamt oder mehrere Hauptzollämter zu übertragen.</w:t>
      </w:r>
    </w:p>
    <w:p>
      <w:pPr>
        <w:pStyle w:val="Heading3"/>
      </w:pPr>
      <w:bookmarkStart w:id="388" w:name="b385"/>
      <w:r>
        <w:t>§ 245 Sicherheitsleistung durch andere Werte</w:t>
      </w:r>
      <w:r>
        <w:t xml:space="preserve"> </w:t>
      </w:r>
      <w:r>
        <w:rPr>
          <w:rStyle w:val="Suchmarke"/>
        </w:rPr>
        <w:t>#245#</w:t>
      </w:r>
      <w:bookmarkEnd w:id="388"/>
    </w:p>
    <w:p>
      <w:r>
        <w:rPr>
          <w:rStyle w:val="Satznummer"/>
        </w:rPr>
        <w:t>1</w:t>
      </w:r>
      <w:r>
        <w:t xml:space="preserve">Andere als die in </w:t>
      </w:r>
      <w:hyperlink w:anchor="b381" w:history="1">
        <w:r>
          <w:rPr>
            <w:color w:val="0A3A8C"/>
            <w:u w:val="single"/>
          </w:rPr>
          <w:t xml:space="preserve">§ 241</w:t>
        </w:r>
      </w:hyperlink>
      <w:r>
        <w:t xml:space="preserve"> bezeichneten Sicherheiten kann die Finanzbehörde nach ihrem Ermessen annehmen. </w:t>
      </w:r>
      <w:r>
        <w:rPr>
          <w:rStyle w:val="Satznummer"/>
        </w:rPr>
        <w:t>2</w:t>
      </w:r>
      <w:r>
        <w:t>Vorzuziehen sind Vermögensgegenstände, die größere Sicherheit bieten oder bei Eintritt auch außerordentlicher Verhältnisse ohne erhebliche Schwierigkeit und innerhalb angemessener Frist verwertet werden können.</w:t>
      </w:r>
    </w:p>
    <w:p>
      <w:pPr>
        <w:pStyle w:val="Heading3"/>
      </w:pPr>
      <w:bookmarkStart w:id="389" w:name="b386"/>
      <w:r>
        <w:t>§ 246 Annahmewerte</w:t>
      </w:r>
      <w:r>
        <w:t xml:space="preserve"> </w:t>
      </w:r>
      <w:r>
        <w:rPr>
          <w:rStyle w:val="Suchmarke"/>
        </w:rPr>
        <w:t>#246#</w:t>
      </w:r>
      <w:bookmarkEnd w:id="389"/>
    </w:p>
    <w:p>
      <w:r>
        <w:rPr>
          <w:rStyle w:val="Satznummer"/>
        </w:rPr>
        <w:t>1</w:t>
      </w:r>
      <w:r>
        <w:t xml:space="preserve">Die Finanzbehörde bestimmt nach ihrem Ermessen, zu welchen Werten Gegenstände als Sicherheit anzunehmen sind. </w:t>
      </w:r>
      <w:r>
        <w:rPr>
          <w:rStyle w:val="Satznummer"/>
        </w:rPr>
        <w:t>2</w:t>
      </w:r>
      <w:r>
        <w:t xml:space="preserve">Der Annahmewert darf jedoch den bei einer Verwertung zu erwartenden Erlös abzüglich der Kosten der Verwertung nicht übersteigen. </w:t>
      </w:r>
      <w:r>
        <w:rPr>
          <w:rStyle w:val="Satznummer"/>
        </w:rPr>
        <w:t>3</w:t>
      </w:r>
      <w:r>
        <w:t xml:space="preserve">Er darf bei den in </w:t>
      </w:r>
      <w:hyperlink w:anchor="b381" w:history="1">
        <w:r>
          <w:rPr>
            <w:color w:val="0A3A8C"/>
            <w:u w:val="single"/>
          </w:rPr>
          <w:t xml:space="preserve">§ 241</w:t>
        </w:r>
      </w:hyperlink>
      <w:r>
        <w:t xml:space="preserve"> Absatz 1 Nummer 2 und 4 aufgeführten Gegenständen und bei beweglichen Sachen, die nach </w:t>
      </w:r>
      <w:hyperlink w:anchor="b385" w:history="1">
        <w:r>
          <w:rPr>
            <w:color w:val="0A3A8C"/>
            <w:u w:val="single"/>
          </w:rPr>
          <w:t xml:space="preserve">§ 245</w:t>
        </w:r>
      </w:hyperlink>
      <w:r>
        <w:t xml:space="preserve"> als Sicherheit angenommen werden, nicht unter den in § 234 Absatz 3, § 236 und § 237 Satz 1 des Bürgerlichen Gesetzbuchs genannten Werten liegen.</w:t>
      </w:r>
    </w:p>
    <w:p>
      <w:pPr>
        <w:pStyle w:val="Heading3"/>
      </w:pPr>
      <w:bookmarkStart w:id="390" w:name="b387"/>
      <w:r>
        <w:t>§ 247 Austausch von Sicherheiten</w:t>
      </w:r>
      <w:r>
        <w:t xml:space="preserve"> </w:t>
      </w:r>
      <w:r>
        <w:rPr>
          <w:rStyle w:val="Suchmarke"/>
        </w:rPr>
        <w:t>#247#</w:t>
      </w:r>
      <w:bookmarkEnd w:id="390"/>
    </w:p>
    <w:p>
      <w:r>
        <w:t xml:space="preserve">Wer nach den §§ 241 bis 245 Sicherheit geleistet hat, ist berechtigt, die Sicherheit oder einen Teil davon durch eine andere nach den </w:t>
      </w:r>
      <w:hyperlink w:anchor="b381" w:history="1">
        <w:r>
          <w:rPr>
            <w:color w:val="0A3A8C"/>
            <w:u w:val="single"/>
          </w:rPr>
          <w:t xml:space="preserve">§§ 241</w:t>
        </w:r>
      </w:hyperlink>
      <w:r>
        <w:t xml:space="preserve"> bis </w:t>
      </w:r>
      <w:hyperlink w:anchor="b384" w:history="1">
        <w:r>
          <w:rPr>
            <w:color w:val="0A3A8C"/>
            <w:u w:val="single"/>
          </w:rPr>
          <w:t xml:space="preserve">244</w:t>
        </w:r>
      </w:hyperlink>
      <w:r>
        <w:t xml:space="preserve"> geeignete Sicherheit zu ersetzen.</w:t>
      </w:r>
    </w:p>
    <w:p>
      <w:pPr>
        <w:pStyle w:val="Heading3"/>
      </w:pPr>
      <w:bookmarkStart w:id="391" w:name="b388"/>
      <w:r>
        <w:t>§ 248 Nachschusspflicht</w:t>
      </w:r>
      <w:r>
        <w:t xml:space="preserve"> </w:t>
      </w:r>
      <w:r>
        <w:rPr>
          <w:rStyle w:val="Suchmarke"/>
        </w:rPr>
        <w:t>#248#</w:t>
      </w:r>
      <w:bookmarkEnd w:id="391"/>
    </w:p>
    <w:p>
      <w:r>
        <w:t>Wird eine Sicherheit unzureichend, so ist sie zu ergänzen oder es ist anderweitige Sicherheit zu leisten.</w:t>
      </w:r>
    </w:p>
    <w:p>
      <w:pPr>
        <w:pStyle w:val="Heading1"/>
      </w:pPr>
      <w:bookmarkStart w:id="392" w:name="b389"/>
      <w:r>
        <w:t>Sechster Teil Vollstreckung</w:t>
      </w:r>
      <w:bookmarkEnd w:id="392"/>
    </w:p>
    <w:p>
      <w:pPr>
        <w:pStyle w:val="Heading2"/>
      </w:pPr>
      <w:bookmarkStart w:id="393" w:name="b390"/>
      <w:r>
        <w:t>Erster Abschnitt Allgemeine Vorschriften</w:t>
      </w:r>
      <w:bookmarkEnd w:id="393"/>
    </w:p>
    <w:p>
      <w:pPr>
        <w:pStyle w:val="Heading3"/>
      </w:pPr>
      <w:bookmarkStart w:id="394" w:name="b391"/>
      <w:r>
        <w:t>§ 249 Vollstreckungsbehörden</w:t>
      </w:r>
      <w:r>
        <w:t xml:space="preserve"> </w:t>
      </w:r>
      <w:r>
        <w:rPr>
          <w:rStyle w:val="Suchmarke"/>
        </w:rPr>
        <w:t>#249#</w:t>
      </w:r>
      <w:bookmarkEnd w:id="394"/>
    </w:p>
    <w:p>
      <w:r>
        <w:t xml:space="preserve">(1) </w:t>
      </w:r>
      <w:r>
        <w:rPr>
          <w:rStyle w:val="Satznummer"/>
        </w:rPr>
        <w:t>1</w:t>
      </w:r>
      <w:r>
        <w:t xml:space="preserve">Die Finanzbehörden können Verwaltungsakte, mit denen eine Geldleistung, eine sonstige Handlung, eine Duldung oder Unterlassung gefordert wird, im Verwaltungsweg vollstrecken. </w:t>
      </w:r>
      <w:r>
        <w:rPr>
          <w:rStyle w:val="Satznummer"/>
        </w:rPr>
        <w:t>2</w:t>
      </w:r>
      <w:r>
        <w:t>Dies gilt auch für Steueranmeldungen (</w:t>
      </w:r>
      <w:hyperlink w:anchor="b277" w:history="1">
        <w:r>
          <w:rPr>
            <w:color w:val="0A3A8C"/>
            <w:u w:val="single"/>
          </w:rPr>
          <w:t xml:space="preserve">§ 168</w:t>
        </w:r>
      </w:hyperlink>
      <w:r>
        <w:t xml:space="preserve">). </w:t>
      </w:r>
      <w:r>
        <w:rPr>
          <w:rStyle w:val="Satznummer"/>
        </w:rPr>
        <w:t>3</w:t>
      </w:r>
      <w:r>
        <w:t xml:space="preserve">Vollstreckungsbehörden sind die Finanzämter und die Hauptzollämter sowie die Landesfinanzbehörden, denen durch eine Rechtsverordnung nach § 17 Absatz 2 Satz 3 Nummer 3 des Finanzverwaltungsgesetzes die landesweite Zuständigkeit für Kassengeschäfte und das Erhebungsverfahren einschließlich der Vollstreckung übertragen worden ist; </w:t>
      </w:r>
      <w:hyperlink w:anchor="b482" w:history="1">
        <w:r>
          <w:rPr>
            <w:color w:val="0A3A8C"/>
            <w:u w:val="single"/>
          </w:rPr>
          <w:t xml:space="preserve">§ 328</w:t>
        </w:r>
      </w:hyperlink>
      <w:r>
        <w:t xml:space="preserve"> Absatz 1 Satz 3 bleibt unberührt.</w:t>
      </w:r>
    </w:p>
    <w:p>
      <w:r>
        <w:t xml:space="preserve">(2) </w:t>
      </w:r>
      <w:r>
        <w:rPr>
          <w:rStyle w:val="Satznummer"/>
        </w:rPr>
        <w:t>1</w:t>
      </w:r>
      <w:r>
        <w:t xml:space="preserve">Zur Vorbereitung der Vollstreckung können die Finanzbehörden die Vermögens- und Einkommensverhältnisse des Vollstreckungsschuldners ermitteln. </w:t>
      </w:r>
      <w:r>
        <w:rPr>
          <w:rStyle w:val="Satznummer"/>
        </w:rPr>
        <w:t>2</w:t>
      </w:r>
      <w:r>
        <w:t xml:space="preserve">Die Finanzbehörde darf ihr bekannte, nach </w:t>
      </w:r>
      <w:hyperlink w:anchor="b42" w:history="1">
        <w:r>
          <w:rPr>
            <w:color w:val="0A3A8C"/>
            <w:u w:val="single"/>
          </w:rPr>
          <w:t xml:space="preserve">§ 30</w:t>
        </w:r>
      </w:hyperlink>
      <w:r>
        <w:t xml:space="preserve"> geschützte Daten, die sie bei der Vollstreckung wegen Steuern und steuerlicher Nebenleistungen verwenden darf, auch bei der Vollstreckung wegen anderer Geldleistungen als Steuern und steuerlicher Nebenleistungen verwenden.</w:t>
      </w:r>
    </w:p>
    <w:p>
      <w:r>
        <w:t xml:space="preserve">(3) </w:t>
      </w:r>
      <w:r>
        <w:rPr>
          <w:rStyle w:val="Satznummer"/>
        </w:rPr>
        <w:t>1</w:t>
      </w:r>
      <w:r>
        <w:t xml:space="preserve">Zur Durchführung von Vollstreckungsmaßnahmen können die Vollstreckungsbehörden Auskunfts- und Unterstützungsersuchen nach § 757a der Zivilprozessordnung stellen. </w:t>
      </w:r>
      <w:r>
        <w:rPr>
          <w:rStyle w:val="Satznummer"/>
        </w:rPr>
        <w:t>2</w:t>
      </w:r>
      <w:r>
        <w:t>§ 757a Absatz 5 der Zivilprozessordnung ist dabei nicht anzuwenden.</w:t>
      </w:r>
    </w:p>
    <w:p>
      <w:pPr>
        <w:pStyle w:val="Heading3"/>
      </w:pPr>
      <w:bookmarkStart w:id="395" w:name="b392"/>
      <w:r>
        <w:t>§ 250 Vollstreckungsersuchen</w:t>
      </w:r>
      <w:r>
        <w:t xml:space="preserve"> </w:t>
      </w:r>
      <w:r>
        <w:rPr>
          <w:rStyle w:val="Suchmarke"/>
        </w:rPr>
        <w:t>#250#</w:t>
      </w:r>
      <w:bookmarkEnd w:id="395"/>
    </w:p>
    <w:p>
      <w:r>
        <w:t xml:space="preserve">(1) </w:t>
      </w:r>
      <w:r>
        <w:rPr>
          <w:rStyle w:val="Satznummer"/>
        </w:rPr>
        <w:t>1</w:t>
      </w:r>
      <w:r>
        <w:t xml:space="preserve">Soweit eine Vollstreckungsbehörde auf Ersuchen einer anderen Vollstreckungsbehörde Vollstreckungsmaßnahmen ausführt, tritt sie an die Stelle der anderen Vollstreckungsbehörde. </w:t>
      </w:r>
      <w:r>
        <w:rPr>
          <w:rStyle w:val="Satznummer"/>
        </w:rPr>
        <w:t>2</w:t>
      </w:r>
      <w:r>
        <w:t>Für die Vollstreckbarkeit des Anspruchs bleibt die ersuchende Vollstreckungsbehörde verantwortlich.</w:t>
      </w:r>
    </w:p>
    <w:p>
      <w:r>
        <w:t xml:space="preserve">(2) </w:t>
      </w:r>
      <w:r>
        <w:rPr>
          <w:rStyle w:val="Satznummer"/>
        </w:rPr>
        <w:t>1</w:t>
      </w:r>
      <w:r>
        <w:t xml:space="preserve">Hält sich die ersuchte Vollstreckungsbehörde für unzuständig oder hält sie die Handlung, um die sie ersucht worden ist, für unzulässig, so teilt sie ihre Bedenken der ersuchenden Vollstreckungsbehörde mit. </w:t>
      </w:r>
      <w:r>
        <w:rPr>
          <w:rStyle w:val="Satznummer"/>
        </w:rPr>
        <w:t>2</w:t>
      </w:r>
      <w:r>
        <w:t>Besteht diese auf der Ausführung des Ersuchens und lehnt die ersuchte Vollstreckungsbehörde die Ausführung ab, so entscheidet die Aufsichtsbehörde der ersuchten Vollstreckungsbehörde.</w:t>
      </w:r>
    </w:p>
    <w:p>
      <w:pPr>
        <w:pStyle w:val="Heading3"/>
      </w:pPr>
      <w:bookmarkStart w:id="396" w:name="b393"/>
      <w:r>
        <w:t>§ 251 Vollstreckbare Verwaltungsakte</w:t>
      </w:r>
      <w:r>
        <w:t xml:space="preserve"> </w:t>
      </w:r>
      <w:r>
        <w:rPr>
          <w:rStyle w:val="Suchmarke"/>
        </w:rPr>
        <w:t>#251#</w:t>
      </w:r>
      <w:bookmarkEnd w:id="396"/>
    </w:p>
    <w:p>
      <w:r>
        <w:t xml:space="preserve">(1) </w:t>
      </w:r>
      <w:r>
        <w:rPr>
          <w:rStyle w:val="Satznummer"/>
        </w:rPr>
        <w:t>1</w:t>
      </w:r>
      <w:r>
        <w:t>Verwaltungsakte können vollstreckt werden, soweit nicht ihre Vollziehung ausgesetzt oder die Vollziehung durch Einlegung eines Rechtsbehelfs gehemmt ist (</w:t>
      </w:r>
      <w:hyperlink w:anchor="b520" w:history="1">
        <w:r>
          <w:rPr>
            <w:color w:val="0A3A8C"/>
            <w:u w:val="single"/>
          </w:rPr>
          <w:t xml:space="preserve">§ 361</w:t>
        </w:r>
      </w:hyperlink>
      <w:r>
        <w:t xml:space="preserve">; § 69 der Finanzgerichtsordnung). </w:t>
      </w:r>
      <w:r>
        <w:rPr>
          <w:rStyle w:val="Satznummer"/>
        </w:rPr>
        <w:t>2</w:t>
      </w:r>
      <w:r>
        <w:t>Einfuhr- und Ausfuhrabgabenbescheide können außerdem nur vollstreckt werden, soweit die Verpflichtung des Zollschuldners zur Abgabenentrichtung nicht ausgesetzt ist (Artikel 108 Absatz 3 des Zollkodex der Union).</w:t>
      </w:r>
    </w:p>
    <w:p>
      <w:r>
        <w:t xml:space="preserve">(2) </w:t>
      </w:r>
      <w:r>
        <w:rPr>
          <w:rStyle w:val="Satznummer"/>
        </w:rPr>
        <w:t>1</w:t>
      </w:r>
      <w:r>
        <w:t xml:space="preserve">Unberührt bleiben die Vorschriften der Insolvenzordnung sowie § 79 Absatz 2 des Bundesverfassungsgerichtsgesetzes. </w:t>
      </w:r>
      <w:r>
        <w:rPr>
          <w:rStyle w:val="Satznummer"/>
        </w:rPr>
        <w:t>2</w:t>
      </w:r>
      <w:r>
        <w:t>Die Finanzbehörde ist berechtigt, in den Fällen des § 201 Absatz 2, §§ 257 und 308 Absatz 1 der Insolvenzordnung sowie des § 71 des Unternehmensstabilisierungs- und -restrukturierungsgesetzes gegen den Schuldner im Verwaltungswege zu vollstrecken.</w:t>
      </w:r>
    </w:p>
    <w:p>
      <w:r>
        <w:t>(3) Macht die Finanzbehörde im Insolvenzverfahren einen Anspruch aus dem Steuerschuldverhältnis als Insolvenzforderung geltend, so stellt sie erforderlichenfalls die Insolvenzforderung durch schriftlichen oder elektronischen Verwaltungsakt fest.</w:t>
      </w:r>
    </w:p>
    <w:p>
      <w:pPr>
        <w:pStyle w:val="Heading3"/>
      </w:pPr>
      <w:bookmarkStart w:id="397" w:name="b394"/>
      <w:r>
        <w:t>§ 252 Vollstreckungsgläubiger</w:t>
      </w:r>
      <w:r>
        <w:t xml:space="preserve"> </w:t>
      </w:r>
      <w:r>
        <w:rPr>
          <w:rStyle w:val="Suchmarke"/>
        </w:rPr>
        <w:t>#252#</w:t>
      </w:r>
      <w:bookmarkEnd w:id="397"/>
    </w:p>
    <w:p>
      <w:r>
        <w:t>Im Vollstreckungsverfahren gilt die Körperschaft als Gläubigerin der zu vollstreckenden Ansprüche, der die Vollstreckungsbehörde angehört.</w:t>
      </w:r>
    </w:p>
    <w:p>
      <w:pPr>
        <w:pStyle w:val="Heading3"/>
      </w:pPr>
      <w:bookmarkStart w:id="398" w:name="b395"/>
      <w:r>
        <w:t>§ 253 Vollstreckungsschuldner</w:t>
      </w:r>
      <w:r>
        <w:t xml:space="preserve"> </w:t>
      </w:r>
      <w:r>
        <w:rPr>
          <w:rStyle w:val="Suchmarke"/>
        </w:rPr>
        <w:t>#253#</w:t>
      </w:r>
      <w:bookmarkEnd w:id="398"/>
    </w:p>
    <w:p>
      <w:r>
        <w:t xml:space="preserve">Vollstreckungsschuldner ist derjenige, gegen den sich ein Vollstreckungsverfahren nach </w:t>
      </w:r>
      <w:hyperlink w:anchor="b391" w:history="1">
        <w:r>
          <w:rPr>
            <w:color w:val="0A3A8C"/>
            <w:u w:val="single"/>
          </w:rPr>
          <w:t xml:space="preserve">§ 249</w:t>
        </w:r>
      </w:hyperlink>
      <w:r>
        <w:t xml:space="preserve"> richtet.</w:t>
      </w:r>
    </w:p>
    <w:p>
      <w:pPr>
        <w:pStyle w:val="Heading3"/>
      </w:pPr>
      <w:bookmarkStart w:id="399" w:name="b396"/>
      <w:r>
        <w:t>§ 254 Voraussetzungen für den Beginn der Vollstreckung</w:t>
      </w:r>
      <w:r>
        <w:t xml:space="preserve"> </w:t>
      </w:r>
      <w:r>
        <w:rPr>
          <w:rStyle w:val="Suchmarke"/>
        </w:rPr>
        <w:t>#254#</w:t>
      </w:r>
      <w:bookmarkEnd w:id="399"/>
    </w:p>
    <w:p>
      <w:r>
        <w:t xml:space="preserve">(1) </w:t>
      </w:r>
      <w:r>
        <w:rPr>
          <w:rStyle w:val="Satznummer"/>
        </w:rPr>
        <w:t>1</w:t>
      </w:r>
      <w:r>
        <w:t xml:space="preserve">Soweit nichts anderes bestimmt ist, darf die Vollstreckung erst beginnen, wenn die Leistung fällig ist und der Vollstreckungsschuldner zur Leistung oder Duldung oder Unterlassung aufgefordert worden ist (Leistungsgebot) und seit der Aufforderung mindestens eine Woche verstrichen ist. </w:t>
      </w:r>
      <w:r>
        <w:rPr>
          <w:rStyle w:val="Satznummer"/>
        </w:rPr>
        <w:t>2</w:t>
      </w:r>
      <w:r>
        <w:t xml:space="preserve">Das Leistungsgebot kann mit dem zu vollstreckenden Verwaltungsakt verbunden werden. </w:t>
      </w:r>
      <w:r>
        <w:rPr>
          <w:rStyle w:val="Satznummer"/>
        </w:rPr>
        <w:t>3</w:t>
      </w:r>
      <w:r>
        <w:t xml:space="preserve">Ein Leistungsgebot ist auch dann erforderlich, wenn der Verwaltungsakt gegen den Vollstreckungsschuldner wirkt, ohne ihm bekannt gegeben zu sein. </w:t>
      </w:r>
      <w:r>
        <w:rPr>
          <w:rStyle w:val="Satznummer"/>
        </w:rPr>
        <w:t>4</w:t>
      </w:r>
      <w:r>
        <w:t>Soweit der Vollstreckungsschuldner eine von ihm auf Grund einer Steueranmeldung geschuldete Leistung nicht erbracht hat, bedarf es eines Leistungsgebots nicht.</w:t>
      </w:r>
    </w:p>
    <w:p>
      <w:r>
        <w:t xml:space="preserve">(2) </w:t>
      </w:r>
      <w:r>
        <w:rPr>
          <w:rStyle w:val="Satznummer"/>
        </w:rPr>
        <w:t>1</w:t>
      </w:r>
      <w:r>
        <w:t xml:space="preserve">Eines Leistungsgebots wegen der Säumniszuschläge und Zinsen bedarf es nicht, wenn sie zusammen mit der Steuer beigetrieben werden. </w:t>
      </w:r>
      <w:r>
        <w:rPr>
          <w:rStyle w:val="Satznummer"/>
        </w:rPr>
        <w:t>2</w:t>
      </w:r>
      <w:r>
        <w:t xml:space="preserve">Dies gilt sinngemäß für die Vollstreckungskosten, wenn sie zusammen mit dem Hauptanspruch beigetrieben werden. </w:t>
      </w:r>
      <w:r>
        <w:rPr>
          <w:rStyle w:val="Satznummer"/>
        </w:rPr>
        <w:t>3</w:t>
      </w:r>
      <w:r>
        <w:t>Die gesonderte Anforderung von Säumniszuschlägen kann ausschließlich automationsgestützt erfolgen.</w:t>
      </w:r>
    </w:p>
    <w:p>
      <w:pPr>
        <w:pStyle w:val="Heading3"/>
      </w:pPr>
      <w:bookmarkStart w:id="400" w:name="b397"/>
      <w:r>
        <w:t>§ 255 Vollstreckung gegen juristische Personen des öffentlichen Rechts</w:t>
      </w:r>
      <w:r>
        <w:t xml:space="preserve"> </w:t>
      </w:r>
      <w:r>
        <w:rPr>
          <w:rStyle w:val="Suchmarke"/>
        </w:rPr>
        <w:t>#255#</w:t>
      </w:r>
      <w:bookmarkEnd w:id="400"/>
    </w:p>
    <w:p>
      <w:r>
        <w:t xml:space="preserve">(1) </w:t>
      </w:r>
      <w:r>
        <w:rPr>
          <w:rStyle w:val="Satznummer"/>
        </w:rPr>
        <w:t>1</w:t>
      </w:r>
      <w:r>
        <w:t xml:space="preserve">Gegen den Bund oder ein Land ist die Vollstreckung nicht zulässig. </w:t>
      </w:r>
      <w:r>
        <w:rPr>
          <w:rStyle w:val="Satznummer"/>
        </w:rPr>
        <w:t>2</w:t>
      </w:r>
      <w:r>
        <w:t xml:space="preserve">Im Übrigen ist die Vollstreckung gegen juristische Personen des öffentlichen Rechts, die der Staatsaufsicht unterliegen, nur mit Zustimmung der betreffenden Aufsichtsbehörde zulässig. </w:t>
      </w:r>
      <w:r>
        <w:rPr>
          <w:rStyle w:val="Satznummer"/>
        </w:rPr>
        <w:t>3</w:t>
      </w:r>
      <w:r>
        <w:t>Die Aufsichtsbehörde bestimmt den Zeitpunkt der Vollstreckung und die Vermögensgegenstände, in die vollstreckt werden kann.</w:t>
      </w:r>
    </w:p>
    <w:p>
      <w:r>
        <w:t>(2) Gegenüber öffentlich-rechtlichen Kreditinstituten gelten die Beschränkungen des Absatzes 1 nicht.</w:t>
      </w:r>
    </w:p>
    <w:p>
      <w:pPr>
        <w:pStyle w:val="Heading3"/>
      </w:pPr>
      <w:bookmarkStart w:id="401" w:name="b398"/>
      <w:r>
        <w:t>§ 256 Einwendungen gegen die Vollstreckung</w:t>
      </w:r>
      <w:r>
        <w:t xml:space="preserve"> </w:t>
      </w:r>
      <w:r>
        <w:rPr>
          <w:rStyle w:val="Suchmarke"/>
        </w:rPr>
        <w:t>#256#</w:t>
      </w:r>
      <w:bookmarkEnd w:id="401"/>
    </w:p>
    <w:p>
      <w:r>
        <w:t>Einwendungen gegen den zu vollstreckenden Verwaltungsakt sind außerhalb des Vollstreckungsverfahrens mit den hierfür zugelassenen Rechtsbehelfen zu verfolgen.</w:t>
      </w:r>
    </w:p>
    <w:p>
      <w:pPr>
        <w:pStyle w:val="Heading3"/>
      </w:pPr>
      <w:bookmarkStart w:id="402" w:name="b399"/>
      <w:r>
        <w:t>§ 257 Einstellung und Beschränkung der Vollstreckung</w:t>
      </w:r>
      <w:r>
        <w:t xml:space="preserve"> </w:t>
      </w:r>
      <w:r>
        <w:rPr>
          <w:rStyle w:val="Suchmarke"/>
        </w:rPr>
        <w:t>#257#</w:t>
      </w:r>
      <w:bookmarkEnd w:id="402"/>
    </w:p>
    <w:p>
      <w:r>
        <w:t>(1) Die Vollstreckung ist einzustellen oder zu beschränken, sobald</w:t>
      </w:r>
    </w:p>
    <w:p>
      <w:pPr>
        <w:tabs>
          <w:tab w:pos="567" w:val="left"/>
        </w:tabs>
        <w:ind w:left="567" w:hanging="567"/>
      </w:pPr>
      <w:r>
        <w:t>1.</w:t>
      </w:r>
      <w:r>
        <w:tab/>
      </w:r>
      <w:r>
        <w:t xml:space="preserve">die Vollstreckbarkeitsvoraussetzungen des </w:t>
      </w:r>
      <w:hyperlink w:anchor="b393" w:history="1">
        <w:r>
          <w:rPr>
            <w:color w:val="0A3A8C"/>
            <w:u w:val="single"/>
          </w:rPr>
          <w:t xml:space="preserve">§ 251</w:t>
        </w:r>
      </w:hyperlink>
      <w:r>
        <w:t xml:space="preserve"> Absatz 1 weggefallen sind,</w:t>
      </w:r>
    </w:p>
    <w:p>
      <w:pPr>
        <w:tabs>
          <w:tab w:pos="567" w:val="left"/>
        </w:tabs>
        <w:ind w:left="567" w:hanging="567"/>
      </w:pPr>
      <w:r>
        <w:t>2.</w:t>
      </w:r>
      <w:r>
        <w:tab/>
      </w:r>
      <w:r>
        <w:t>der Verwaltungsakt, aus dem vollstreckt wird, aufgehoben wird,</w:t>
      </w:r>
    </w:p>
    <w:p>
      <w:pPr>
        <w:tabs>
          <w:tab w:pos="567" w:val="left"/>
        </w:tabs>
        <w:ind w:left="567" w:hanging="567"/>
      </w:pPr>
      <w:r>
        <w:t>3.</w:t>
      </w:r>
      <w:r>
        <w:tab/>
      </w:r>
      <w:r>
        <w:t>der Anspruch auf die Leistung erloschen ist,</w:t>
      </w:r>
    </w:p>
    <w:p>
      <w:pPr>
        <w:tabs>
          <w:tab w:pos="567" w:val="left"/>
        </w:tabs>
        <w:ind w:left="567" w:hanging="567"/>
      </w:pPr>
      <w:r>
        <w:t>4.</w:t>
      </w:r>
      <w:r>
        <w:tab/>
      </w:r>
      <w:r>
        <w:t>die Leistung gestundet worden ist.</w:t>
      </w:r>
    </w:p>
    <w:p>
      <w:r>
        <w:t xml:space="preserve">(2) </w:t>
      </w:r>
      <w:r>
        <w:rPr>
          <w:rStyle w:val="Satznummer"/>
        </w:rPr>
        <w:t>1</w:t>
      </w:r>
      <w:r>
        <w:t xml:space="preserve">In den Fällen des Absatzes 1 Nummer 2 und 3 sind bereits getroffene Vollstreckungsmaßnahmen aufzuheben. </w:t>
      </w:r>
      <w:r>
        <w:rPr>
          <w:rStyle w:val="Satznummer"/>
        </w:rPr>
        <w:t>2</w:t>
      </w:r>
      <w:r>
        <w:t xml:space="preserve">Ist der Verwaltungsakt durch eine gerichtliche Entscheidung aufgehoben worden, so gilt dies nur, soweit die Entscheidung unanfechtbar geworden ist und nicht auf Grund der Entscheidung ein neuer Verwaltungsakt zu erlassen ist. </w:t>
      </w:r>
      <w:r>
        <w:rPr>
          <w:rStyle w:val="Satznummer"/>
        </w:rPr>
        <w:t>3</w:t>
      </w:r>
      <w:r>
        <w:t>Im Übrigen bleiben die Vollstreckungsmaßnahmen bestehen, soweit nicht ihre Aufhebung ausdrücklich angeordnet worden ist.</w:t>
      </w:r>
    </w:p>
    <w:p>
      <w:pPr>
        <w:pStyle w:val="Heading3"/>
      </w:pPr>
      <w:bookmarkStart w:id="403" w:name="b400"/>
      <w:r>
        <w:t>§ 258 Einstweilige Einstellung oder Beschränkung der Vollstreckung</w:t>
      </w:r>
      <w:r>
        <w:t xml:space="preserve"> </w:t>
      </w:r>
      <w:r>
        <w:rPr>
          <w:rStyle w:val="Suchmarke"/>
        </w:rPr>
        <w:t>#258#</w:t>
      </w:r>
      <w:bookmarkEnd w:id="403"/>
    </w:p>
    <w:p>
      <w:r>
        <w:t>Soweit im Einzelfall die Vollstreckung unbillig ist, kann die Vollstreckungsbehörde sie einstweilen einstellen oder beschränken oder eine Vollstreckungsmaßnahme aufheben.</w:t>
      </w:r>
    </w:p>
    <w:p>
      <w:pPr>
        <w:pStyle w:val="Heading2"/>
      </w:pPr>
      <w:bookmarkStart w:id="404" w:name="b401"/>
      <w:r>
        <w:t>Zweiter Abschnitt Vollstreckung wegen Geldforderungen</w:t>
      </w:r>
      <w:bookmarkEnd w:id="404"/>
    </w:p>
    <w:p>
      <w:pPr>
        <w:pStyle w:val="Heading3"/>
      </w:pPr>
      <w:bookmarkStart w:id="405" w:name="b402"/>
      <w:r>
        <w:t>1. Unterabschnitt Allgemeine Vorschriften</w:t>
      </w:r>
      <w:bookmarkEnd w:id="405"/>
    </w:p>
    <w:p>
      <w:pPr>
        <w:pStyle w:val="Heading4"/>
      </w:pPr>
      <w:bookmarkStart w:id="406" w:name="b403"/>
      <w:r>
        <w:t>§ 259 Mahnung</w:t>
      </w:r>
      <w:r>
        <w:t xml:space="preserve"> </w:t>
      </w:r>
      <w:r>
        <w:rPr>
          <w:rStyle w:val="Suchmarke"/>
        </w:rPr>
        <w:t>#259#</w:t>
      </w:r>
      <w:bookmarkEnd w:id="406"/>
    </w:p>
    <w:p>
      <w:r>
        <w:rPr>
          <w:rStyle w:val="Satznummer"/>
        </w:rPr>
        <w:t>1</w:t>
      </w:r>
      <w:r>
        <w:t xml:space="preserve">Der Vollstreckungsschuldner soll in der Regel vor Beginn der Vollstreckung mit einer Zahlungsfrist von einer Woche gemahnt werden. </w:t>
      </w:r>
      <w:r>
        <w:rPr>
          <w:rStyle w:val="Satznummer"/>
        </w:rPr>
        <w:t>2</w:t>
      </w:r>
      <w:r>
        <w:t xml:space="preserve">Einer Mahnung bedarf es nicht, wenn der Vollstreckungsschuldner vor Eintritt der Fälligkeit an die Zahlung erinnert wird. </w:t>
      </w:r>
      <w:r>
        <w:rPr>
          <w:rStyle w:val="Satznummer"/>
        </w:rPr>
        <w:t>3</w:t>
      </w:r>
      <w:r>
        <w:t>An die Zahlung kann auch durch öffentliche Bekanntmachung allgemein erinnert werden.</w:t>
      </w:r>
    </w:p>
    <w:p>
      <w:pPr>
        <w:pStyle w:val="Heading4"/>
      </w:pPr>
      <w:bookmarkStart w:id="407" w:name="b404"/>
      <w:r>
        <w:t>§ 260 Angabe des Schuldgrundes</w:t>
      </w:r>
      <w:r>
        <w:t xml:space="preserve"> </w:t>
      </w:r>
      <w:r>
        <w:rPr>
          <w:rStyle w:val="Suchmarke"/>
        </w:rPr>
        <w:t>#260#</w:t>
      </w:r>
      <w:bookmarkEnd w:id="407"/>
    </w:p>
    <w:p>
      <w:r>
        <w:t>Im Vollstreckungsauftrag oder in der Pfändungsverfügung ist für die beizutreibenden Geldbeträge der Schuldgrund anzugeben.</w:t>
      </w:r>
    </w:p>
    <w:p>
      <w:pPr>
        <w:pStyle w:val="Heading4"/>
      </w:pPr>
      <w:bookmarkStart w:id="408" w:name="b405"/>
      <w:r>
        <w:t>§ 261 Niederschlagung</w:t>
      </w:r>
      <w:r>
        <w:t xml:space="preserve"> </w:t>
      </w:r>
      <w:r>
        <w:rPr>
          <w:rStyle w:val="Suchmarke"/>
        </w:rPr>
        <w:t>#261#</w:t>
      </w:r>
      <w:bookmarkEnd w:id="408"/>
    </w:p>
    <w:p>
      <w:r>
        <w:t>Ansprüche aus dem Steuerschuldverhältnis dürfen niedergeschlagen werden, wenn zu erwarten ist, dass</w:t>
      </w:r>
    </w:p>
    <w:p>
      <w:pPr>
        <w:tabs>
          <w:tab w:pos="567" w:val="left"/>
        </w:tabs>
        <w:ind w:left="567" w:hanging="567"/>
      </w:pPr>
      <w:r>
        <w:t>1.</w:t>
      </w:r>
      <w:r>
        <w:tab/>
      </w:r>
      <w:r>
        <w:t>die Erhebung keinen Erfolg haben wird oder</w:t>
      </w:r>
    </w:p>
    <w:p>
      <w:pPr>
        <w:tabs>
          <w:tab w:pos="567" w:val="left"/>
        </w:tabs>
        <w:ind w:left="567" w:hanging="567"/>
      </w:pPr>
      <w:r>
        <w:t>2.</w:t>
      </w:r>
      <w:r>
        <w:tab/>
      </w:r>
      <w:r>
        <w:t>die Kosten der Erhebung außer Verhältnis zu dem zu erhebenden Betrag stehen werden.</w:t>
      </w:r>
    </w:p>
    <w:p>
      <w:pPr>
        <w:pStyle w:val="Heading4"/>
      </w:pPr>
      <w:bookmarkStart w:id="409" w:name="b406"/>
      <w:r>
        <w:t>§ 262 Rechte Dritter</w:t>
      </w:r>
      <w:r>
        <w:t xml:space="preserve"> </w:t>
      </w:r>
      <w:r>
        <w:rPr>
          <w:rStyle w:val="Suchmarke"/>
        </w:rPr>
        <w:t>#262#</w:t>
      </w:r>
      <w:bookmarkEnd w:id="409"/>
    </w:p>
    <w:p>
      <w:r>
        <w:t xml:space="preserve">(1) </w:t>
      </w:r>
      <w:r>
        <w:rPr>
          <w:rStyle w:val="Satznummer"/>
        </w:rPr>
        <w:t>1</w:t>
      </w:r>
      <w:r>
        <w:t xml:space="preserve">Behauptet ein Dritter, dass ihm am Gegenstand der Vollstreckung ein die Veräußerung hinderndes Recht zustehe oder werden Einwendungen nach den §§ 772 bis 774 der Zivilprozessordnung erhoben, so ist der Widerspruch gegen die Vollstreckung erforderlichenfalls durch Klage vor den ordentlichen Gerichten geltend zu machen. </w:t>
      </w:r>
      <w:r>
        <w:rPr>
          <w:rStyle w:val="Satznummer"/>
        </w:rPr>
        <w:t>2</w:t>
      </w:r>
      <w:r>
        <w:t xml:space="preserve">Als Dritter gilt auch, wer zur Duldung der Vollstreckung in ein Vermögen, das von ihm verwaltet wird, verpflichtet ist, wenn er geltend macht, dass ihm gehörende Gegenstände von der Vollstreckung betroffen seien. </w:t>
      </w:r>
      <w:r>
        <w:rPr>
          <w:rStyle w:val="Satznummer"/>
        </w:rPr>
        <w:t>3</w:t>
      </w:r>
      <w:r>
        <w:t>Welche Rechte die Veräußerung hindern, bestimmt sich nach bürgerlichem Recht.</w:t>
      </w:r>
    </w:p>
    <w:p>
      <w:r>
        <w:t>(2) Für die Einstellung der Vollstreckung und die Aufhebung von Vollstreckungsmaßnahmen gelten die §§ 769 und 770 der Zivilprozessordnung.</w:t>
      </w:r>
    </w:p>
    <w:p>
      <w:r>
        <w:t xml:space="preserve">(3) </w:t>
      </w:r>
      <w:r>
        <w:rPr>
          <w:rStyle w:val="Satznummer"/>
        </w:rPr>
        <w:t>1</w:t>
      </w:r>
      <w:r>
        <w:t xml:space="preserve">Die Klage ist ausschließlich bei dem Gericht zu erheben, in dessen Bezirk die Vollstreckung erfolgt. </w:t>
      </w:r>
      <w:r>
        <w:rPr>
          <w:rStyle w:val="Satznummer"/>
        </w:rPr>
        <w:t>2</w:t>
      </w:r>
      <w:r>
        <w:t>Wird die Klage gegen die Körperschaft, der die Vollstreckungsbehörde angehört, und gegen den Vollstreckungsschuldner gerichtet, so sind sie Streitgenossen.</w:t>
      </w:r>
    </w:p>
    <w:p>
      <w:pPr>
        <w:pStyle w:val="Heading4"/>
      </w:pPr>
      <w:bookmarkStart w:id="410" w:name="b407"/>
      <w:r>
        <w:t>§ 263 Vollstreckung gegen Ehegatten oder Lebenspartner</w:t>
      </w:r>
      <w:r>
        <w:t xml:space="preserve"> </w:t>
      </w:r>
      <w:r>
        <w:rPr>
          <w:rStyle w:val="Suchmarke"/>
        </w:rPr>
        <w:t>#263#</w:t>
      </w:r>
      <w:bookmarkEnd w:id="410"/>
    </w:p>
    <w:p>
      <w:r>
        <w:t>Für die Vollstreckung gegen Ehegatten oder Lebenspartner sind die Vorschriften der §§ 739, 740, 741, 743, 744a und 745 der Zivilprozessordnung entsprechend anzuwenden.</w:t>
      </w:r>
    </w:p>
    <w:p>
      <w:pPr>
        <w:pStyle w:val="Heading4"/>
      </w:pPr>
      <w:bookmarkStart w:id="411" w:name="b408"/>
      <w:r>
        <w:t>§ 264 Vollstreckung gegen Nießbraucher</w:t>
      </w:r>
      <w:r>
        <w:t xml:space="preserve"> </w:t>
      </w:r>
      <w:r>
        <w:rPr>
          <w:rStyle w:val="Suchmarke"/>
        </w:rPr>
        <w:t>#264#</w:t>
      </w:r>
      <w:bookmarkEnd w:id="411"/>
    </w:p>
    <w:p>
      <w:r>
        <w:t>Für die Vollstreckung in Gegenstände, die dem Nießbrauch an einem Vermögen unterliegen, ist die Vorschrift des § 737 der Zivilprozessordnung entsprechend anzuwenden.</w:t>
      </w:r>
    </w:p>
    <w:p>
      <w:pPr>
        <w:pStyle w:val="Heading4"/>
      </w:pPr>
      <w:bookmarkStart w:id="412" w:name="b409"/>
      <w:r>
        <w:t>§ 265 Vollstreckung gegen Erben</w:t>
      </w:r>
      <w:r>
        <w:t xml:space="preserve"> </w:t>
      </w:r>
      <w:r>
        <w:rPr>
          <w:rStyle w:val="Suchmarke"/>
        </w:rPr>
        <w:t>#265#</w:t>
      </w:r>
      <w:bookmarkEnd w:id="412"/>
    </w:p>
    <w:p>
      <w:r>
        <w:t>Für die Vollstreckung gegen Erben sind die Vorschriften der §§ 1958, 1960 Absatz 3, § 1961 des Bürgerlichen Gesetzbuchs sowie der §§ 747, 748, 778, 779, 781 bis 784 der Zivilprozessordnung entsprechend anzuwenden.</w:t>
      </w:r>
    </w:p>
    <w:p>
      <w:pPr>
        <w:pStyle w:val="Heading4"/>
      </w:pPr>
      <w:bookmarkStart w:id="413" w:name="b410"/>
      <w:r>
        <w:t>§ 266 Sonstige Fälle beschränkter Haftung</w:t>
      </w:r>
      <w:r>
        <w:t xml:space="preserve"> </w:t>
      </w:r>
      <w:r>
        <w:rPr>
          <w:rStyle w:val="Suchmarke"/>
        </w:rPr>
        <w:t>#266#</w:t>
      </w:r>
      <w:bookmarkEnd w:id="413"/>
    </w:p>
    <w:p>
      <w:r>
        <w:t>Die Vorschriften der §§ 781 bis 784 der Zivilprozessordnung sind auf die nach § 1489 des Bürgerlichen Gesetzbuchs eintretende beschränkte Haftung, die Vorschrift des § 781 der Zivilprozessordnung ist auf die nach den §§ 1480, 1504 und 2187 des Bürgerlichen Gesetzbuchs eintretende beschränkte Haftung entsprechend anzuwenden.</w:t>
      </w:r>
    </w:p>
    <w:p>
      <w:pPr>
        <w:pStyle w:val="Heading4"/>
      </w:pPr>
      <w:bookmarkStart w:id="414" w:name="b411"/>
      <w:r>
        <w:t>§ 267 Vollstreckungsverfahren gegen Personenvereinigungen</w:t>
      </w:r>
      <w:r>
        <w:t xml:space="preserve"> </w:t>
      </w:r>
      <w:r>
        <w:rPr>
          <w:rStyle w:val="Suchmarke"/>
        </w:rPr>
        <w:t>#267#</w:t>
      </w:r>
      <w:bookmarkEnd w:id="414"/>
    </w:p>
    <w:p>
      <w:r>
        <w:t xml:space="preserve">(1) </w:t>
      </w:r>
      <w:r>
        <w:rPr>
          <w:rStyle w:val="Satznummer"/>
        </w:rPr>
        <w:t>1</w:t>
      </w:r>
      <w:r>
        <w:t xml:space="preserve">Bei nicht rechtsfähigen Personenvereinigungen, die als solche steuerpflichtig sind, genügt für die Vollstreckung in deren Vermögen ein vollstreckbarer Verwaltungsakt gegen die Personenvereinigung. </w:t>
      </w:r>
      <w:r>
        <w:rPr>
          <w:rStyle w:val="Satznummer"/>
        </w:rPr>
        <w:t>2</w:t>
      </w:r>
      <w:r>
        <w:t>Dies gilt entsprechend für Zweckvermögen und sonstige einer juristischen Person ähnliche steuerpflichtige Gebilde.</w:t>
      </w:r>
    </w:p>
    <w:p>
      <w:r>
        <w:t>(2) Hat eine nicht rechtsfähige Personenvereinigung nachträglich Rechtsfähigkeit erlangt, so kann auch aus einem Verwaltungsakt vollstreckt werden, der vor diesem Zeitpunkt wirksam geworden ist.</w:t>
      </w:r>
    </w:p>
    <w:p>
      <w:pPr>
        <w:pStyle w:val="Heading3"/>
      </w:pPr>
      <w:bookmarkStart w:id="415" w:name="b412"/>
      <w:r>
        <w:t>2. Unterabschnitt Aufteilung einer Gesamtschuld</w:t>
      </w:r>
      <w:bookmarkEnd w:id="415"/>
    </w:p>
    <w:p>
      <w:pPr>
        <w:pStyle w:val="Heading4"/>
      </w:pPr>
      <w:bookmarkStart w:id="416" w:name="b413"/>
      <w:r>
        <w:t>§ 268 Grundsatz</w:t>
      </w:r>
      <w:r>
        <w:t xml:space="preserve"> </w:t>
      </w:r>
      <w:r>
        <w:rPr>
          <w:rStyle w:val="Suchmarke"/>
        </w:rPr>
        <w:t>#268#</w:t>
      </w:r>
      <w:bookmarkEnd w:id="416"/>
    </w:p>
    <w:p>
      <w:r>
        <w:t xml:space="preserve">Sind Personen Gesamtschuldner, weil sie zusammen zu einer Steuer vom Einkommen oder zur Vermögensteuer veranlagt worden sind, so kann jeder von ihnen beantragen, dass die Vollstreckung wegen dieser Steuern jeweils auf den Betrag beschränkt wird, der sich nach Maßgabe der </w:t>
      </w:r>
      <w:hyperlink w:anchor="b414" w:history="1">
        <w:r>
          <w:rPr>
            <w:color w:val="0A3A8C"/>
            <w:u w:val="single"/>
          </w:rPr>
          <w:t xml:space="preserve">§§ 269</w:t>
        </w:r>
      </w:hyperlink>
      <w:r>
        <w:t xml:space="preserve"> bis </w:t>
      </w:r>
      <w:hyperlink w:anchor="b423" w:history="1">
        <w:r>
          <w:rPr>
            <w:color w:val="0A3A8C"/>
            <w:u w:val="single"/>
          </w:rPr>
          <w:t xml:space="preserve">278</w:t>
        </w:r>
      </w:hyperlink>
      <w:r>
        <w:t xml:space="preserve"> bei einer Aufteilung der Steuern ergibt.</w:t>
      </w:r>
    </w:p>
    <w:p>
      <w:pPr>
        <w:pStyle w:val="Heading4"/>
      </w:pPr>
      <w:bookmarkStart w:id="417" w:name="b414"/>
      <w:r>
        <w:t>§ 269 Antrag</w:t>
      </w:r>
      <w:r>
        <w:t xml:space="preserve"> </w:t>
      </w:r>
      <w:r>
        <w:rPr>
          <w:rStyle w:val="Suchmarke"/>
        </w:rPr>
        <w:t>#269#</w:t>
      </w:r>
      <w:bookmarkEnd w:id="417"/>
    </w:p>
    <w:p>
      <w:r>
        <w:t>(1) Der Antrag ist bei dem im Zeitpunkt der Antragstellung für die Besteuerung nach dem Einkommen oder dem Vermögen zuständigen Finanzamt schriftlich oder elektronisch zu stellen oder zur Niederschrift zu erklären.</w:t>
      </w:r>
    </w:p>
    <w:p>
      <w:r>
        <w:t xml:space="preserve">(2) </w:t>
      </w:r>
      <w:r>
        <w:rPr>
          <w:rStyle w:val="Satznummer"/>
        </w:rPr>
        <w:t>1</w:t>
      </w:r>
      <w:r>
        <w:t xml:space="preserve">Der Antrag kann frühestens nach Bekanntgabe des Leistungsgebots gestellt werden. </w:t>
      </w:r>
      <w:r>
        <w:rPr>
          <w:rStyle w:val="Satznummer"/>
        </w:rPr>
        <w:t>2</w:t>
      </w:r>
      <w:r>
        <w:t xml:space="preserve">Nach vollständiger Tilgung der rückständigen Steuer ist der Antrag nicht mehr zulässig. </w:t>
      </w:r>
      <w:r>
        <w:rPr>
          <w:rStyle w:val="Satznummer"/>
        </w:rPr>
        <w:t>3</w:t>
      </w:r>
      <w:r>
        <w:t>Der Antrag muss alle Angaben enthalten, die zur Aufteilung der Steuer erforderlich sind, soweit sich diese Angaben nicht aus der Steuererklärung ergeben.</w:t>
      </w:r>
    </w:p>
    <w:p>
      <w:pPr>
        <w:pStyle w:val="Heading4"/>
      </w:pPr>
      <w:bookmarkStart w:id="418" w:name="b415"/>
      <w:r>
        <w:t>§ 270 Allgemeiner Aufteilungsmaßstab</w:t>
      </w:r>
      <w:r>
        <w:t xml:space="preserve"> </w:t>
      </w:r>
      <w:r>
        <w:rPr>
          <w:rStyle w:val="Suchmarke"/>
        </w:rPr>
        <w:t>#270#</w:t>
      </w:r>
      <w:bookmarkEnd w:id="418"/>
    </w:p>
    <w:p>
      <w:r>
        <w:rPr>
          <w:rStyle w:val="Satznummer"/>
        </w:rPr>
        <w:t>1</w:t>
      </w:r>
      <w:r>
        <w:t xml:space="preserve">Die rückständige Steuer ist nach dem Verhältnis der Beträge aufzuteilen, die sich bei Einzelveranlagung nach Maßgabe des § 26a des Einkommensteuergesetzes und der </w:t>
      </w:r>
      <w:hyperlink w:anchor="b416" w:history="1">
        <w:r>
          <w:rPr>
            <w:color w:val="0A3A8C"/>
            <w:u w:val="single"/>
          </w:rPr>
          <w:t xml:space="preserve">§§ 271</w:t>
        </w:r>
      </w:hyperlink>
      <w:r>
        <w:t xml:space="preserve"> bis </w:t>
      </w:r>
      <w:hyperlink w:anchor="b421" w:history="1">
        <w:r>
          <w:rPr>
            <w:color w:val="0A3A8C"/>
            <w:u w:val="single"/>
          </w:rPr>
          <w:t xml:space="preserve">276</w:t>
        </w:r>
      </w:hyperlink>
      <w:r>
        <w:t xml:space="preserve"> ergeben würden. </w:t>
      </w:r>
      <w:r>
        <w:rPr>
          <w:rStyle w:val="Satznummer"/>
        </w:rPr>
        <w:t>2</w:t>
      </w:r>
      <w:r>
        <w:t>Dabei sind die tatsächlichen und rechtlichen Feststellungen maßgebend, die der Steuerfestsetzung bei der Zusammenveranlagung zugrunde gelegt worden sind, soweit nicht die Anwendung der Vorschriften über die Einzelveranlagung zu Abweichungen führt.</w:t>
      </w:r>
    </w:p>
    <w:p>
      <w:pPr>
        <w:pStyle w:val="Heading4"/>
      </w:pPr>
      <w:bookmarkStart w:id="419" w:name="b416"/>
      <w:r>
        <w:t>§ 271 Aufteilungsmaßstab für die Vermögensteuer</w:t>
      </w:r>
      <w:r>
        <w:t xml:space="preserve"> </w:t>
      </w:r>
      <w:r>
        <w:rPr>
          <w:rStyle w:val="Suchmarke"/>
        </w:rPr>
        <w:t>#271#</w:t>
      </w:r>
      <w:bookmarkEnd w:id="419"/>
    </w:p>
    <w:p>
      <w:r>
        <w:t>Die Vermögensteuer ist wie folgt aufzuteilen:</w:t>
      </w:r>
    </w:p>
    <w:p>
      <w:pPr>
        <w:tabs>
          <w:tab w:pos="567" w:val="left"/>
        </w:tabs>
        <w:ind w:left="567" w:hanging="567"/>
      </w:pPr>
      <w:r>
        <w:t>1.</w:t>
      </w:r>
      <w:r>
        <w:tab/>
      </w:r>
      <w:r>
        <w:t>Für die Berechnung des Vermögens und der Vermögensteuer der einzelnen Gesamtschuldner ist vorbehaltlich der Abweichungen in den Nummern 2 und 3 von den Vorschriften des Bewertungsgesetzes und des Vermögensteuergesetzes in der Fassung auszugehen, die der Zusammenveranlagung zugrunde gelegen hat.</w:t>
      </w:r>
    </w:p>
    <w:p>
      <w:pPr>
        <w:tabs>
          <w:tab w:pos="567" w:val="left"/>
        </w:tabs>
        <w:ind w:left="567" w:hanging="567"/>
      </w:pPr>
      <w:r>
        <w:t>2.</w:t>
      </w:r>
      <w:r>
        <w:tab/>
      </w:r>
      <w:r>
        <w:t>Wirtschaftsgüter eines Ehegatten oder Lebenspartners, die bei der Zusammenveranlagung als land- und forstwirtschaftliches Vermögen oder als Betriebsvermögen dem anderen Ehegatten oder Lebenspartner zugerechnet worden sind, werden als eigenes land- und forstwirtschaftliches Vermögen oder als eigenes Betriebsvermögen behandelt.</w:t>
      </w:r>
    </w:p>
    <w:p>
      <w:pPr>
        <w:tabs>
          <w:tab w:pos="567" w:val="left"/>
        </w:tabs>
        <w:ind w:left="567" w:hanging="567"/>
      </w:pPr>
      <w:r>
        <w:t>3.</w:t>
      </w:r>
      <w:r>
        <w:tab/>
      </w:r>
      <w:r>
        <w:t>Schulden, die nicht mit bestimmten, einem Gesamtschuldner zugerechneten Wirtschaftsgütern in wirtschaftlichem Zusammenhang stehen, werden bei den einzelnen Gesamtschuldnern nach gleichen Teilen abgesetzt, soweit sich ein bestimmter Schuldner nicht feststellen lässt.</w:t>
      </w:r>
    </w:p>
    <w:p>
      <w:pPr>
        <w:pStyle w:val="Heading4"/>
      </w:pPr>
      <w:bookmarkStart w:id="420" w:name="b417"/>
      <w:r>
        <w:t>§ 272 Aufteilungsmaßstab für Vorauszahlungen</w:t>
      </w:r>
      <w:r>
        <w:t xml:space="preserve"> </w:t>
      </w:r>
      <w:r>
        <w:rPr>
          <w:rStyle w:val="Suchmarke"/>
        </w:rPr>
        <w:t>#272#</w:t>
      </w:r>
      <w:bookmarkEnd w:id="420"/>
    </w:p>
    <w:p>
      <w:r>
        <w:t xml:space="preserve">(1) </w:t>
      </w:r>
      <w:r>
        <w:rPr>
          <w:rStyle w:val="Satznummer"/>
        </w:rPr>
        <w:t>1</w:t>
      </w:r>
      <w:r>
        <w:t xml:space="preserve">Die rückständigen Vorauszahlungen sind im Verhältnis der Beträge aufzuteilen, die sich bei einer getrennten Festsetzung der Vorauszahlungen ergeben würden. </w:t>
      </w:r>
      <w:r>
        <w:rPr>
          <w:rStyle w:val="Satznummer"/>
        </w:rPr>
        <w:t>2</w:t>
      </w:r>
      <w:r>
        <w:t xml:space="preserve">Ein Antrag auf Aufteilung von Vorauszahlungen gilt zugleich als Antrag auf Aufteilung der weiteren im gleichen Veranlagungszeitraum fällig werdenden Vorauszahlungen und einer etwaigen Abschlusszahlung. </w:t>
      </w:r>
      <w:r>
        <w:rPr>
          <w:rStyle w:val="Satznummer"/>
        </w:rPr>
        <w:t>3</w:t>
      </w:r>
      <w:r>
        <w:t xml:space="preserve">Nach Durchführung der Veranlagung ist eine abschließende Aufteilung vorzunehmen. </w:t>
      </w:r>
      <w:r>
        <w:rPr>
          <w:rStyle w:val="Satznummer"/>
        </w:rPr>
        <w:t>4</w:t>
      </w:r>
      <w:r>
        <w:t xml:space="preserve">Aufzuteilen ist die gesamte Steuer abzüglich der Beträge, die nicht in die Aufteilung der Vorauszahlungen einbezogen worden sind. </w:t>
      </w:r>
      <w:r>
        <w:rPr>
          <w:rStyle w:val="Satznummer"/>
        </w:rPr>
        <w:t>5</w:t>
      </w:r>
      <w:r>
        <w:t xml:space="preserve">Dabei sind jedem Gesamtschuldner die von ihm auf die aufgeteilten Vorauszahlungen entrichteten Beträge anzurechnen. </w:t>
      </w:r>
      <w:r>
        <w:rPr>
          <w:rStyle w:val="Satznummer"/>
        </w:rPr>
        <w:t>6</w:t>
      </w:r>
      <w:r>
        <w:t>Ergibt sich eine Überzahlung gegenüber dem Aufteilungsbetrag, so ist der überzahlte Betrag zu erstatten.</w:t>
      </w:r>
    </w:p>
    <w:p>
      <w:r>
        <w:t>(2) Werden die Vorauszahlungen erst nach der Veranlagung aufgeteilt, so wird der für die veranlagte Steuer geltende Aufteilungsmaßstab angewendet.</w:t>
      </w:r>
    </w:p>
    <w:p>
      <w:pPr>
        <w:pStyle w:val="Heading4"/>
      </w:pPr>
      <w:bookmarkStart w:id="421" w:name="b418"/>
      <w:r>
        <w:t>§ 273 Aufteilungsmaßstab für Steuernachforderungen</w:t>
      </w:r>
      <w:r>
        <w:t xml:space="preserve"> </w:t>
      </w:r>
      <w:r>
        <w:rPr>
          <w:rStyle w:val="Suchmarke"/>
        </w:rPr>
        <w:t>#273#</w:t>
      </w:r>
      <w:bookmarkEnd w:id="421"/>
    </w:p>
    <w:p>
      <w:r>
        <w:t xml:space="preserve">(1) Führt die Änderung einer Steuerfestsetzung oder ihre Berichtigung nach </w:t>
      </w:r>
      <w:hyperlink w:anchor="b208" w:history="1">
        <w:r>
          <w:rPr>
            <w:color w:val="0A3A8C"/>
            <w:u w:val="single"/>
          </w:rPr>
          <w:t xml:space="preserve">§ 129</w:t>
        </w:r>
      </w:hyperlink>
      <w:r>
        <w:t xml:space="preserve"> zu einer Steuernachforderung, so ist die aus der Nachforderung herrührende rückständige Steuer im Verhältnis der Mehrbeträge aufzuteilen, die sich bei einem Vergleich der berichtigten Einzelveranlagungen mit den früheren Einzelveranlagungen ergeben.</w:t>
      </w:r>
    </w:p>
    <w:p>
      <w:r>
        <w:t>(2) Der in Absatz 1 genannte Aufteilungsmaßstab ist nicht anzuwenden, wenn die bisher festgesetzte Steuer noch nicht getilgt ist.</w:t>
      </w:r>
    </w:p>
    <w:p>
      <w:pPr>
        <w:pStyle w:val="Heading4"/>
      </w:pPr>
      <w:bookmarkStart w:id="422" w:name="b419"/>
      <w:r>
        <w:t>§ 274 Besonderer Aufteilungsmaßstab</w:t>
      </w:r>
      <w:r>
        <w:t xml:space="preserve"> </w:t>
      </w:r>
      <w:r>
        <w:rPr>
          <w:rStyle w:val="Suchmarke"/>
        </w:rPr>
        <w:t>#274#</w:t>
      </w:r>
      <w:bookmarkEnd w:id="422"/>
    </w:p>
    <w:p>
      <w:r>
        <w:rPr>
          <w:rStyle w:val="Satznummer"/>
        </w:rPr>
        <w:t>1</w:t>
      </w:r>
      <w:r>
        <w:t xml:space="preserve">Abweichend von den </w:t>
      </w:r>
      <w:hyperlink w:anchor="b415" w:history="1">
        <w:r>
          <w:rPr>
            <w:color w:val="0A3A8C"/>
            <w:u w:val="single"/>
          </w:rPr>
          <w:t xml:space="preserve">§§ 270</w:t>
        </w:r>
      </w:hyperlink>
      <w:r>
        <w:t xml:space="preserve"> bis </w:t>
      </w:r>
      <w:hyperlink w:anchor="b418" w:history="1">
        <w:r>
          <w:rPr>
            <w:color w:val="0A3A8C"/>
            <w:u w:val="single"/>
          </w:rPr>
          <w:t xml:space="preserve">273</w:t>
        </w:r>
      </w:hyperlink>
      <w:r>
        <w:t xml:space="preserve"> kann die rückständige Steuer nach einem von den Gesamtschuldnern gemeinschaftlich vorgeschlagenen Maßstab aufgeteilt werden, wenn die Tilgung sichergestellt ist. </w:t>
      </w:r>
      <w:r>
        <w:rPr>
          <w:rStyle w:val="Satznummer"/>
        </w:rPr>
        <w:t>2</w:t>
      </w:r>
      <w:r>
        <w:t>Der gemeinschaftliche Vorschlag ist schriftlich einzureichen oder zur Niederschrift zu erklären; er ist von allen Gesamtschuldnern zu unterschreiben.</w:t>
      </w:r>
    </w:p>
    <w:p>
      <w:pPr>
        <w:pStyle w:val="Heading4"/>
      </w:pPr>
      <w:bookmarkStart w:id="423" w:name="b420"/>
      <w:r>
        <w:t>§ 275 (weggefallen)</w:t>
      </w:r>
      <w:r>
        <w:t xml:space="preserve"> </w:t>
      </w:r>
      <w:r>
        <w:rPr>
          <w:rStyle w:val="Suchmarke"/>
        </w:rPr>
        <w:t>#275#</w:t>
      </w:r>
      <w:bookmarkEnd w:id="423"/>
    </w:p>
    <w:p>
      <w:pPr>
        <w:pStyle w:val="Heading4"/>
      </w:pPr>
      <w:bookmarkStart w:id="424" w:name="b421"/>
      <w:r>
        <w:t>§ 276 Rückständige Steuer, Einleitung der Vollstreckung</w:t>
      </w:r>
      <w:r>
        <w:t xml:space="preserve"> </w:t>
      </w:r>
      <w:r>
        <w:rPr>
          <w:rStyle w:val="Suchmarke"/>
        </w:rPr>
        <w:t>#276#</w:t>
      </w:r>
      <w:bookmarkEnd w:id="424"/>
    </w:p>
    <w:p>
      <w:r>
        <w:t>(1) Wird der Antrag vor Einleitung der Vollstreckung bei der Finanzbehörde gestellt, so ist die im Zeitpunkt des Eingangs des Aufteilungsantrags geschuldete Steuer aufzuteilen.</w:t>
      </w:r>
    </w:p>
    <w:p>
      <w:r>
        <w:t>(2) Wird der Antrag nach Einleitung der Vollstreckung gestellt, so ist die im Zeitpunkt der Einleitung der Vollstreckung geschuldete Steuer, derentwegen vollstreckt wird, aufzuteilen.</w:t>
      </w:r>
    </w:p>
    <w:p>
      <w:r>
        <w:t>(3) Steuerabzugsbeträge und getrennt festgesetzte Vorauszahlungen sind in die Aufteilung auch dann einzubeziehen, wenn sie vor der Stellung des Antrags entrichtet worden sind.</w:t>
      </w:r>
    </w:p>
    <w:p>
      <w:r>
        <w:t>(4) Zur rückständigen Steuer gehören auch Säumniszuschläge, Zinsen und Verspätungszuschläge.</w:t>
      </w:r>
    </w:p>
    <w:p>
      <w:r>
        <w:t>(5) Die Vollstreckung gilt mit der Ausfertigung der Rückstandsanzeige als eingeleitet.</w:t>
      </w:r>
    </w:p>
    <w:p>
      <w:r>
        <w:t xml:space="preserve">(6) </w:t>
      </w:r>
      <w:r>
        <w:rPr>
          <w:rStyle w:val="Satznummer"/>
        </w:rPr>
        <w:t>1</w:t>
      </w:r>
      <w:r>
        <w:t xml:space="preserve">Zahlungen, die in den Fällen des Absatzes 1 nach Antragstellung, in den Fällen des Absatzes 2 nach Einleitung der Vollstreckung von einem Gesamtschuldner geleistet worden sind oder die nach Absatz 3 in die Aufteilung einzubeziehen sind, werden dem Schuldner angerechnet, der sie geleistet hat oder für den sie geleistet worden sind. </w:t>
      </w:r>
      <w:r>
        <w:rPr>
          <w:rStyle w:val="Satznummer"/>
        </w:rPr>
        <w:t>2</w:t>
      </w:r>
      <w:r>
        <w:t>Ergibt sich dabei eine Überzahlung gegenüber dem Aufteilungsbetrag, so ist der überzahlte Betrag zu erstatten.</w:t>
      </w:r>
    </w:p>
    <w:p>
      <w:pPr>
        <w:pStyle w:val="Heading4"/>
      </w:pPr>
      <w:bookmarkStart w:id="425" w:name="b422"/>
      <w:r>
        <w:t>§ 277 Vollstreckung</w:t>
      </w:r>
      <w:r>
        <w:t xml:space="preserve"> </w:t>
      </w:r>
      <w:r>
        <w:rPr>
          <w:rStyle w:val="Suchmarke"/>
        </w:rPr>
        <w:t>#277#</w:t>
      </w:r>
      <w:bookmarkEnd w:id="425"/>
    </w:p>
    <w:p>
      <w:r>
        <w:t>Solange nicht über den Antrag auf Beschränkung der Vollstreckung unanfechtbar entschieden ist, dürfen Vollstreckungsmaßnahmen nur soweit durchgeführt werden, als dies zur Sicherung des Anspruchs erforderlich ist.</w:t>
      </w:r>
    </w:p>
    <w:p>
      <w:pPr>
        <w:pStyle w:val="Heading4"/>
      </w:pPr>
      <w:bookmarkStart w:id="426" w:name="b423"/>
      <w:r>
        <w:t>§ 278 Beschränkung der Vollstreckung</w:t>
      </w:r>
      <w:r>
        <w:t xml:space="preserve"> </w:t>
      </w:r>
      <w:r>
        <w:rPr>
          <w:rStyle w:val="Suchmarke"/>
        </w:rPr>
        <w:t>#278#</w:t>
      </w:r>
      <w:bookmarkEnd w:id="426"/>
    </w:p>
    <w:p>
      <w:r>
        <w:t>(1) Nach der Aufteilung darf die Vollstreckung nur nach Maßgabe der auf die einzelnen Schuldner entfallenden Beträge durchgeführt werden.</w:t>
      </w:r>
    </w:p>
    <w:p>
      <w:r>
        <w:t xml:space="preserve">(2) </w:t>
      </w:r>
      <w:r>
        <w:rPr>
          <w:rStyle w:val="Satznummer"/>
        </w:rPr>
        <w:t>1</w:t>
      </w:r>
      <w:r>
        <w:t xml:space="preserve">Werden einem Steuerschuldner von einer mit ihm zusammen veranlagten Person in oder nach dem Veranlagungszeitraum, für den noch Steuerrückstände bestehen, unentgeltlich Vermögensgegenstände zugewendet, so kann der Empfänger bis zum Ablauf des zehnten Kalenderjahres nach dem Zeitpunkt des Ergehens des Aufteilungsbescheids über den sich nach Absatz 1 ergebenden Betrag hinaus bis zur Höhe des gemeinen Werts dieser Zuwendung für die Steuer in Anspruch genommen werden. </w:t>
      </w:r>
      <w:r>
        <w:rPr>
          <w:rStyle w:val="Satznummer"/>
        </w:rPr>
        <w:t>2</w:t>
      </w:r>
      <w:r>
        <w:t>Dies gilt nicht für gebräuchliche Gelegenheitsgeschenke.</w:t>
      </w:r>
    </w:p>
    <w:p>
      <w:pPr>
        <w:pStyle w:val="Heading4"/>
      </w:pPr>
      <w:bookmarkStart w:id="427" w:name="b424"/>
      <w:r>
        <w:t>§ 279 Form und Inhalt des Aufteilungsbescheids</w:t>
      </w:r>
      <w:r>
        <w:t xml:space="preserve"> </w:t>
      </w:r>
      <w:r>
        <w:rPr>
          <w:rStyle w:val="Suchmarke"/>
        </w:rPr>
        <w:t>#279#</w:t>
      </w:r>
      <w:bookmarkEnd w:id="427"/>
    </w:p>
    <w:p>
      <w:r>
        <w:t xml:space="preserve">(1) </w:t>
      </w:r>
      <w:r>
        <w:rPr>
          <w:rStyle w:val="Satznummer"/>
        </w:rPr>
        <w:t>1</w:t>
      </w:r>
      <w:r>
        <w:t xml:space="preserve">Über den Antrag auf Beschränkung der Vollstreckung ist nach Einleitung der Vollstreckung durch schriftlich oder elektronisch zu erteilenden Aufteilungsbescheid gegenüber den Beteiligten einheitlich zu entscheiden. </w:t>
      </w:r>
      <w:r>
        <w:rPr>
          <w:rStyle w:val="Satznummer"/>
        </w:rPr>
        <w:t>2</w:t>
      </w:r>
      <w:r>
        <w:t>Eine Entscheidung ist jedoch nicht erforderlich, wenn keine Vollstreckungsmaßnahmen ergriffen oder bereits ergriffene Vollstreckungsmaßnahmen wieder aufgehoben werden.</w:t>
      </w:r>
    </w:p>
    <w:p>
      <w:r>
        <w:t xml:space="preserve">(2) </w:t>
      </w:r>
      <w:r>
        <w:rPr>
          <w:rStyle w:val="Satznummer"/>
        </w:rPr>
        <w:t>1</w:t>
      </w:r>
      <w:r>
        <w:t xml:space="preserve">Der Aufteilungsbescheid hat die Höhe der auf jeden Gesamtschuldner entfallenden anteiligen Steuer zu enthalten; ihm ist eine Belehrung beizufügen, welcher Rechtsbehelf zulässig ist und binnen welcher Frist und bei welcher Behörde er einzulegen ist. </w:t>
      </w:r>
      <w:r>
        <w:rPr>
          <w:rStyle w:val="Satznummer"/>
        </w:rPr>
        <w:t>2</w:t>
      </w:r>
      <w:r>
        <w:t>Er soll ferner enthalten:</w:t>
      </w:r>
    </w:p>
    <w:p>
      <w:pPr>
        <w:tabs>
          <w:tab w:pos="567" w:val="left"/>
        </w:tabs>
        <w:ind w:left="567" w:hanging="567"/>
      </w:pPr>
      <w:r>
        <w:t>1.</w:t>
      </w:r>
      <w:r>
        <w:tab/>
      </w:r>
      <w:r>
        <w:t>die Höhe der aufzuteilenden Steuer,</w:t>
      </w:r>
    </w:p>
    <w:p>
      <w:pPr>
        <w:tabs>
          <w:tab w:pos="567" w:val="left"/>
        </w:tabs>
        <w:ind w:left="567" w:hanging="567"/>
      </w:pPr>
      <w:r>
        <w:t>2.</w:t>
      </w:r>
      <w:r>
        <w:tab/>
      </w:r>
      <w:r>
        <w:t>den für die Berechnung der rückständigen Steuer maßgebenden Zeitpunkt,</w:t>
      </w:r>
    </w:p>
    <w:p>
      <w:pPr>
        <w:tabs>
          <w:tab w:pos="567" w:val="left"/>
        </w:tabs>
        <w:ind w:left="567" w:hanging="567"/>
      </w:pPr>
      <w:r>
        <w:t>3.</w:t>
      </w:r>
      <w:r>
        <w:tab/>
      </w:r>
      <w:r>
        <w:t>die Höhe der Besteuerungsgrundlagen, die den einzelnen Gesamtschuldnern zugerechnet worden sind, wenn von den Angaben der Gesamtschuldner abgewichen ist,</w:t>
      </w:r>
    </w:p>
    <w:p>
      <w:pPr>
        <w:tabs>
          <w:tab w:pos="567" w:val="left"/>
        </w:tabs>
        <w:ind w:left="567" w:hanging="567"/>
      </w:pPr>
      <w:r>
        <w:t>4.</w:t>
      </w:r>
      <w:r>
        <w:tab/>
      </w:r>
      <w:r>
        <w:t>die Höhe der bei Einzelveranlagung (</w:t>
      </w:r>
      <w:hyperlink w:anchor="b415" w:history="1">
        <w:r>
          <w:rPr>
            <w:color w:val="0A3A8C"/>
            <w:u w:val="single"/>
          </w:rPr>
          <w:t xml:space="preserve">§ 270</w:t>
        </w:r>
      </w:hyperlink>
      <w:r>
        <w:t>) auf den einzelnen Gesamtschuldner entfallenden Steuer,</w:t>
      </w:r>
    </w:p>
    <w:p>
      <w:pPr>
        <w:tabs>
          <w:tab w:pos="567" w:val="left"/>
        </w:tabs>
        <w:ind w:left="567" w:hanging="567"/>
      </w:pPr>
      <w:r>
        <w:t>5.</w:t>
      </w:r>
      <w:r>
        <w:tab/>
      </w:r>
      <w:r>
        <w:t>die Beträge, die auf die aufgeteilte Steuer des Gesamtschuldners anzurechnen sind.</w:t>
      </w:r>
    </w:p>
    <w:p>
      <w:pPr>
        <w:pStyle w:val="Heading4"/>
      </w:pPr>
      <w:bookmarkStart w:id="428" w:name="b425"/>
      <w:r>
        <w:t>§ 280 Änderung des Aufteilungsbescheids</w:t>
      </w:r>
      <w:r>
        <w:t xml:space="preserve"> </w:t>
      </w:r>
      <w:r>
        <w:rPr>
          <w:rStyle w:val="Suchmarke"/>
        </w:rPr>
        <w:t>#280#</w:t>
      </w:r>
      <w:bookmarkEnd w:id="428"/>
    </w:p>
    <w:p>
      <w:r>
        <w:t xml:space="preserve">(1) Der Aufteilungsbescheid kann außer in den Fällen des </w:t>
      </w:r>
      <w:hyperlink w:anchor="b208" w:history="1">
        <w:r>
          <w:rPr>
            <w:color w:val="0A3A8C"/>
            <w:u w:val="single"/>
          </w:rPr>
          <w:t xml:space="preserve">§ 129</w:t>
        </w:r>
      </w:hyperlink>
      <w:r>
        <w:t xml:space="preserve"> nur geändert werden, wenn</w:t>
      </w:r>
    </w:p>
    <w:p>
      <w:pPr>
        <w:tabs>
          <w:tab w:pos="567" w:val="left"/>
        </w:tabs>
        <w:ind w:left="567" w:hanging="567"/>
      </w:pPr>
      <w:r>
        <w:t>1.</w:t>
      </w:r>
      <w:r>
        <w:tab/>
      </w:r>
      <w:r>
        <w:t>nachträglich bekannt wird, dass die Aufteilung auf unrichtigen Angaben beruht und die rückständige Steuer infolge falscher Aufteilung ganz oder teilweise nicht beigetrieben werden konnte,</w:t>
      </w:r>
    </w:p>
    <w:p>
      <w:pPr>
        <w:tabs>
          <w:tab w:pos="567" w:val="left"/>
        </w:tabs>
        <w:ind w:left="567" w:hanging="567"/>
      </w:pPr>
      <w:r>
        <w:t>2.</w:t>
      </w:r>
      <w:r>
        <w:tab/>
      </w:r>
      <w:r>
        <w:t xml:space="preserve">sich die rückständige Steuer durch Aufhebung oder Änderung der Steuerfestsetzung oder ihre Berichtigung nach </w:t>
      </w:r>
      <w:hyperlink w:anchor="b208" w:history="1">
        <w:r>
          <w:rPr>
            <w:color w:val="0A3A8C"/>
            <w:u w:val="single"/>
          </w:rPr>
          <w:t xml:space="preserve">§ 129</w:t>
        </w:r>
      </w:hyperlink>
      <w:r>
        <w:t xml:space="preserve"> erhöht oder vermindert.</w:t>
      </w:r>
    </w:p>
    <w:p>
      <w:r>
        <w:t xml:space="preserve">(2) Nach Beendigung der Vollstreckung ist eine Änderung des Aufteilungsbescheids oder seine Berichtigung nach </w:t>
      </w:r>
      <w:hyperlink w:anchor="b208" w:history="1">
        <w:r>
          <w:rPr>
            <w:color w:val="0A3A8C"/>
            <w:u w:val="single"/>
          </w:rPr>
          <w:t xml:space="preserve">§ 129</w:t>
        </w:r>
      </w:hyperlink>
      <w:r>
        <w:t xml:space="preserve"> nicht mehr zulässig.</w:t>
      </w:r>
    </w:p>
    <w:p>
      <w:pPr>
        <w:pStyle w:val="Heading3"/>
      </w:pPr>
      <w:bookmarkStart w:id="429" w:name="b426"/>
      <w:r>
        <w:t>3. Unterabschnitt Vollstreckung in das bewegliche Vermögen</w:t>
      </w:r>
      <w:bookmarkEnd w:id="429"/>
    </w:p>
    <w:p>
      <w:pPr>
        <w:pStyle w:val="Heading4"/>
      </w:pPr>
      <w:bookmarkStart w:id="430" w:name="b427"/>
      <w:r>
        <w:t>I. Allgemeines</w:t>
      </w:r>
      <w:bookmarkEnd w:id="430"/>
    </w:p>
    <w:p>
      <w:pPr>
        <w:pStyle w:val="Heading5"/>
      </w:pPr>
      <w:bookmarkStart w:id="431" w:name="b428"/>
      <w:r>
        <w:t>§ 281 Pfändung</w:t>
      </w:r>
      <w:r>
        <w:t xml:space="preserve"> </w:t>
      </w:r>
      <w:r>
        <w:rPr>
          <w:rStyle w:val="Suchmarke"/>
        </w:rPr>
        <w:t>#281#</w:t>
      </w:r>
      <w:bookmarkEnd w:id="431"/>
    </w:p>
    <w:p>
      <w:r>
        <w:t>(1) Die Vollstreckung in das bewegliche Vermögen erfolgt durch Pfändung.</w:t>
      </w:r>
    </w:p>
    <w:p>
      <w:r>
        <w:t>(2) Die Pfändung darf nicht weiter ausgedehnt werden, als es zur Deckung der beizutreibenden Geldbeträge und der Kosten der Vollstreckung erforderlich ist.</w:t>
      </w:r>
    </w:p>
    <w:p>
      <w:r>
        <w:t>(3) Die Pfändung unterbleibt, wenn die Verwertung der pfändbaren Gegenstände einen Überschuss über die Kosten der Vollstreckung nicht erwarten lässt.</w:t>
      </w:r>
    </w:p>
    <w:p>
      <w:pPr>
        <w:pStyle w:val="Heading5"/>
      </w:pPr>
      <w:bookmarkStart w:id="432" w:name="b429"/>
      <w:r>
        <w:t>§ 282 Wirkung der Pfändung</w:t>
      </w:r>
      <w:r>
        <w:t xml:space="preserve"> </w:t>
      </w:r>
      <w:r>
        <w:rPr>
          <w:rStyle w:val="Suchmarke"/>
        </w:rPr>
        <w:t>#282#</w:t>
      </w:r>
      <w:bookmarkEnd w:id="432"/>
    </w:p>
    <w:p>
      <w:r>
        <w:t>(1) Durch die Pfändung erwirbt die Körperschaft, der die Vollstreckungsbehörde angehört, ein Pfandrecht an dem gepfändeten Gegenstand.</w:t>
      </w:r>
    </w:p>
    <w:p>
      <w:r>
        <w:t>(2) Das Pfandrecht gewährt ihr im Verhältnis zu anderen Gläubigern dieselben Rechte wie ein Pfandrecht im Sinne des Bürgerlichen Gesetzbuchs; es geht Pfand- und Vorzugsrechten vor, die im Insolvenzverfahren diesem Pfandrecht nicht gleichgestellt sind.</w:t>
      </w:r>
    </w:p>
    <w:p>
      <w:r>
        <w:t>(3) Das durch eine frühere Pfändung begründete Pfandrecht geht demjenigen vor, das durch eine spätere Pfändung begründet wird.</w:t>
      </w:r>
    </w:p>
    <w:p>
      <w:pPr>
        <w:pStyle w:val="Heading5"/>
      </w:pPr>
      <w:bookmarkStart w:id="433" w:name="b430"/>
      <w:r>
        <w:t>§ 283 Ausschluss von Gewährleistungsansprüchen</w:t>
      </w:r>
      <w:r>
        <w:t xml:space="preserve"> </w:t>
      </w:r>
      <w:r>
        <w:rPr>
          <w:rStyle w:val="Suchmarke"/>
        </w:rPr>
        <w:t>#283#</w:t>
      </w:r>
      <w:bookmarkEnd w:id="433"/>
    </w:p>
    <w:p>
      <w:r>
        <w:t>Wird ein Gegenstand auf Grund der Pfändung veräußert, so steht dem Erwerber wegen eines Mangels im Recht oder wegen eines Mangels der veräußerten Sache ein Anspruch auf Gewährleistung nicht zu.</w:t>
      </w:r>
    </w:p>
    <w:p>
      <w:pPr>
        <w:pStyle w:val="Heading5"/>
      </w:pPr>
      <w:bookmarkStart w:id="434" w:name="b431"/>
      <w:r>
        <w:t>§ 284 Vermögensauskunft des Vollstreckungsschuldners</w:t>
      </w:r>
      <w:r>
        <w:t xml:space="preserve"> </w:t>
      </w:r>
      <w:r>
        <w:rPr>
          <w:rStyle w:val="Suchmarke"/>
        </w:rPr>
        <w:t>#284#</w:t>
      </w:r>
      <w:bookmarkEnd w:id="434"/>
    </w:p>
    <w:p>
      <w:r>
        <w:t xml:space="preserve">(1) </w:t>
      </w:r>
      <w:r>
        <w:rPr>
          <w:rStyle w:val="Satznummer"/>
        </w:rPr>
        <w:t>1</w:t>
      </w:r>
      <w:r>
        <w:t xml:space="preserve">Der Vollstreckungsschuldner muss der Vollstreckungsbehörde auf deren Verlangen für die Vollstreckung einer Forderung Auskunft über sein Vermögen nach Maßgabe der folgenden Vorschriften erteilen, wenn er die Forderung nicht binnen zwei Wochen begleicht, nachdem ihn die Vollstreckungsbehörde unter Hinweis auf die Verpflichtung zur Abgabe der Vermögensauskunft zur Zahlung aufgefordert hat. </w:t>
      </w:r>
      <w:r>
        <w:rPr>
          <w:rStyle w:val="Satznummer"/>
        </w:rPr>
        <w:t>2</w:t>
      </w:r>
      <w:r>
        <w:t xml:space="preserve">Zusätzlich hat er seinen Geburtsnamen, sein Geburtsdatum und seinen Geburtsort anzugeben. </w:t>
      </w:r>
      <w:r>
        <w:rPr>
          <w:rStyle w:val="Satznummer"/>
        </w:rPr>
        <w:t>3</w:t>
      </w:r>
      <w:r>
        <w:t>Handelt es sich bei dem Vollstreckungsschuldner um eine juristische Person oder um eine rechtsfähige Personenvereinigung, so hat er seine Firma oder den Namen, die Nummer des Registerblatts im Handels-, Genossenschafts-, Gesellschafts-, Partnerschafts- oder Vereinsregister und seinen Sitz anzugeben.</w:t>
      </w:r>
    </w:p>
    <w:p>
      <w:r>
        <w:t xml:space="preserve">(2) </w:t>
      </w:r>
      <w:r>
        <w:rPr>
          <w:rStyle w:val="Satznummer"/>
        </w:rPr>
        <w:t>1</w:t>
      </w:r>
      <w:r>
        <w:t xml:space="preserve">Zur Auskunftserteilung hat der Vollstreckungsschuldner alle ihm gehörenden Vermögensgegenstände anzugeben. </w:t>
      </w:r>
      <w:r>
        <w:rPr>
          <w:rStyle w:val="Satznummer"/>
        </w:rPr>
        <w:t>2</w:t>
      </w:r>
      <w:r>
        <w:t xml:space="preserve">Bei Forderungen sind Grund und Beweismittel zu bezeichnen. </w:t>
      </w:r>
      <w:r>
        <w:rPr>
          <w:rStyle w:val="Satznummer"/>
        </w:rPr>
        <w:t>3</w:t>
      </w:r>
      <w:r>
        <w:t>Ferner sind anzugeben:</w:t>
      </w:r>
    </w:p>
    <w:p>
      <w:pPr>
        <w:tabs>
          <w:tab w:pos="567" w:val="left"/>
        </w:tabs>
        <w:ind w:left="567" w:hanging="567"/>
      </w:pPr>
      <w:r>
        <w:t>1.</w:t>
      </w:r>
      <w:r>
        <w:tab/>
      </w:r>
      <w:r>
        <w:t>die entgeltlichen Veräußerungen des Vollstreckungsschuldners an eine nahestehende Person (§ 138 der Insolvenzordnung), die dieser in den letzten zwei Jahren vor dem Termin nach Absatz 7 und bis zur Abgabe der Vermögensauskunft vorgenommen hat;</w:t>
      </w:r>
    </w:p>
    <w:p>
      <w:pPr>
        <w:tabs>
          <w:tab w:pos="567" w:val="left"/>
        </w:tabs>
        <w:ind w:left="567" w:hanging="567"/>
      </w:pPr>
      <w:r>
        <w:t>2.</w:t>
      </w:r>
      <w:r>
        <w:tab/>
      </w:r>
      <w:r>
        <w:t>die unentgeltlichen Leistungen des Vollstreckungsschuldners, die dieser in den letzten vier Jahren vor dem Termin nach Absatz 7 und bis zur Abgabe der Vermögensauskunft vorgenommen hat, sofern sie sich nicht auf gebräuchliche Gelegenheitsgeschenke geringen Werts richteten.</w:t>
      </w:r>
    </w:p>
    <w:p>
      <w:r>
        <w:rPr>
          <w:rStyle w:val="Satznummer"/>
        </w:rPr>
        <w:t>4</w:t>
      </w:r>
      <w:r>
        <w:t>Sachen, die nach § 811 Absatz 1 Nummer 1 Buchstabe a und Nummer 2 der Zivilprozessordnung der Pfändung offensichtlich nicht unterworfen sind, brauchen nicht angegeben zu werden, es sei denn, dass eine Austauschpfändung in Betracht kommt.</w:t>
      </w:r>
    </w:p>
    <w:p>
      <w:r>
        <w:t xml:space="preserve">(3) </w:t>
      </w:r>
      <w:r>
        <w:rPr>
          <w:rStyle w:val="Satznummer"/>
        </w:rPr>
        <w:t>1</w:t>
      </w:r>
      <w:r>
        <w:t xml:space="preserve">Der Vollstreckungsschuldner hat zu Protokoll an Eides statt zu versichern, dass er die Angaben nach den Absätzen 1 und 2 nach bestem Wissen und Gewissen richtig und vollständig gemacht habe. </w:t>
      </w:r>
      <w:r>
        <w:rPr>
          <w:rStyle w:val="Satznummer"/>
        </w:rPr>
        <w:t>2</w:t>
      </w:r>
      <w:r>
        <w:t>Vor Abnahme der eidesstattlichen Versicherung ist der Vollstreckungsschuldner über die Bedeutung der eidesstattlichen Versicherung, insbesondere über die strafrechtlichen Folgen einer unrichtigen oder unvollständigen eidesstattlichen Versicherung, zu belehren.</w:t>
      </w:r>
    </w:p>
    <w:p>
      <w:r>
        <w:t xml:space="preserve">(4) </w:t>
      </w:r>
      <w:r>
        <w:rPr>
          <w:rStyle w:val="Satznummer"/>
        </w:rPr>
        <w:t>1</w:t>
      </w:r>
      <w:r>
        <w:t xml:space="preserve">Der Vollstreckungsschuldner ist innerhalb von zwei Jahren nach Abgabe der Vermögensauskunft nach dieser Vorschrift oder nach § 802c der Zivilprozessordnung nicht verpflichtet, eine weitere Vermögensauskunft abzugeben, es sei denn, es ist anzunehmen, dass sich die Vermögensverhältnisse des Vollstreckungsschuldners wesentlich geändert haben. </w:t>
      </w:r>
      <w:r>
        <w:rPr>
          <w:rStyle w:val="Satznummer"/>
        </w:rPr>
        <w:t>2</w:t>
      </w:r>
      <w:r>
        <w:t>Die Vollstreckungsbehörde hat von Amts wegen festzustellen, ob beim zentralen Vollstreckungsgericht nach § 802k Absatz 1 der Zivilprozessordnung in den letzten zwei Jahren ein auf Grund einer Vermögensauskunft des Schuldners erstelltes Vermögensverzeichnis hinterlegt wurde.</w:t>
      </w:r>
    </w:p>
    <w:p>
      <w:r>
        <w:t xml:space="preserve">(5) </w:t>
      </w:r>
      <w:r>
        <w:rPr>
          <w:rStyle w:val="Satznummer"/>
        </w:rPr>
        <w:t>1</w:t>
      </w:r>
      <w:r>
        <w:t xml:space="preserve">Für die Abnahme der Vermögensauskunft ist die Vollstreckungsbehörde zuständig, in deren Bezirk sich der Wohnsitz oder der Aufenthaltsort des Vollstreckungsschuldners befindet. </w:t>
      </w:r>
      <w:r>
        <w:rPr>
          <w:rStyle w:val="Satznummer"/>
        </w:rPr>
        <w:t>2</w:t>
      </w:r>
      <w:r>
        <w:t>Liegen diese Voraussetzungen bei der Vollstreckungsbehörde, die die Vollstreckung betreibt, nicht vor, so kann sie die Vermögensauskunft abnehmen, wenn der Vollstreckungsschuldner zu ihrer Abgabe bereit ist.</w:t>
      </w:r>
    </w:p>
    <w:p>
      <w:r>
        <w:t xml:space="preserve">(6) </w:t>
      </w:r>
      <w:r>
        <w:rPr>
          <w:rStyle w:val="Satznummer"/>
        </w:rPr>
        <w:t>1</w:t>
      </w:r>
      <w:r>
        <w:t xml:space="preserve">Die Ladung zu dem Termin zur Abgabe der Vermögensauskunft ist dem Vollstreckungsschuldner selbst zuzustellen; sie kann mit der Fristsetzung nach Absatz 1 Satz 1 verbunden werden. </w:t>
      </w:r>
      <w:r>
        <w:rPr>
          <w:rStyle w:val="Satznummer"/>
        </w:rPr>
        <w:t>2</w:t>
      </w:r>
      <w:r>
        <w:t xml:space="preserve">Der Termin zur Abgabe der Vermögensauskunft soll nicht vor Ablauf eines Monats nach Zustellung der Ladung bestimmt werden. </w:t>
      </w:r>
      <w:r>
        <w:rPr>
          <w:rStyle w:val="Satznummer"/>
        </w:rPr>
        <w:t>3</w:t>
      </w:r>
      <w:r>
        <w:t xml:space="preserve">Ein Rechtsbehelf gegen die Anordnung der Abgabe der Vermögensauskunft hat keine aufschiebende Wirkung. </w:t>
      </w:r>
      <w:r>
        <w:rPr>
          <w:rStyle w:val="Satznummer"/>
        </w:rPr>
        <w:t>4</w:t>
      </w:r>
      <w:r>
        <w:t xml:space="preserve">Der Vollstreckungsschuldner hat die zur Vermögensauskunft erforderlichen Unterlagen im Termin vorzulegen. </w:t>
      </w:r>
      <w:r>
        <w:rPr>
          <w:rStyle w:val="Satznummer"/>
        </w:rPr>
        <w:t>5</w:t>
      </w:r>
      <w:r>
        <w:t>Hierüber und über seine Rechte und Pflichten nach den Absätzen 2 und 3, über die Folgen einer unentschuldigten Terminssäumnis oder einer Verletzung seiner Auskunftspflichten sowie über die Möglichkeit der Eintragung in das Schuldnerverzeichnis bei Abgabe der Vermögensauskunft ist der Vollstreckungsschuldner bei der Ladung zu belehren.</w:t>
      </w:r>
    </w:p>
    <w:p>
      <w:r>
        <w:t xml:space="preserve">(7) </w:t>
      </w:r>
      <w:r>
        <w:rPr>
          <w:rStyle w:val="Satznummer"/>
        </w:rPr>
        <w:t>1</w:t>
      </w:r>
      <w:r>
        <w:t xml:space="preserve">Im Termin zur Abgabe der Vermögensauskunft erstellt die Vollstreckungsbehörde ein elektronisches Dokument mit den nach den Absätzen 1 und 2 erforderlichen Angaben (Vermögensverzeichnis). </w:t>
      </w:r>
      <w:r>
        <w:rPr>
          <w:rStyle w:val="Satznummer"/>
        </w:rPr>
        <w:t>2</w:t>
      </w:r>
      <w:r>
        <w:t xml:space="preserve">Diese Angaben sind dem Vollstreckungsschuldner vor Abgabe der Versicherung nach Absatz 3 vorzulesen oder zur Durchsicht auf einem Bildschirm wiederzugeben. </w:t>
      </w:r>
      <w:r>
        <w:rPr>
          <w:rStyle w:val="Satznummer"/>
        </w:rPr>
        <w:t>3</w:t>
      </w:r>
      <w:r>
        <w:t xml:space="preserve">Ihm ist auf Verlangen ein Ausdruck zu erteilen. </w:t>
      </w:r>
      <w:r>
        <w:rPr>
          <w:rStyle w:val="Satznummer"/>
        </w:rPr>
        <w:t>4</w:t>
      </w:r>
      <w:r>
        <w:t xml:space="preserve">Die Vollstreckungsbehörde hinterlegt das Vermögensverzeichnis bei dem zentralen Vollstreckungsgericht nach § 802k Absatz 1 der Zivilprozessordnung. </w:t>
      </w:r>
      <w:r>
        <w:rPr>
          <w:rStyle w:val="Satznummer"/>
        </w:rPr>
        <w:t>5</w:t>
      </w:r>
      <w:r>
        <w:t>Form, Aufnahme und Übermittlung des Vermögensverzeichnisses haben den Vorgaben der Verordnung nach § 802k Absatz 4 der Zivilprozessordnung zu entsprechen.</w:t>
      </w:r>
    </w:p>
    <w:p>
      <w:r>
        <w:t xml:space="preserve">(8) </w:t>
      </w:r>
      <w:r>
        <w:rPr>
          <w:rStyle w:val="Satznummer"/>
        </w:rPr>
        <w:t>1</w:t>
      </w:r>
      <w:r>
        <w:t xml:space="preserve">Ist der Vollstreckungsschuldner ohne ausreichende Entschuldigung in dem zur Abgabe der Vermögensauskunft anberaumten Termin vor der in Absatz 5 Satz 1 bezeichneten Vollstreckungsbehörde nicht erschienen oder verweigert er ohne Grund die Abgabe der Vermögensauskunft, so kann die Vollstreckungsbehörde, die die Vollstreckung betreibt, die Anordnung der Haft zur Erzwingung der Abgabe beantragen. </w:t>
      </w:r>
      <w:r>
        <w:rPr>
          <w:rStyle w:val="Satznummer"/>
        </w:rPr>
        <w:t>2</w:t>
      </w:r>
      <w:r>
        <w:t xml:space="preserve">Zuständig für die Anordnung der Haft ist das Amtsgericht, in dessen Bezirk der Vollstreckungsschuldner im Zeitpunkt der Fristsetzung nach Absatz 1 Satz 1 seinen Wohnsitz oder in Ermangelung eines solchen seinen Aufenthaltsort hat. </w:t>
      </w:r>
      <w:r>
        <w:rPr>
          <w:rStyle w:val="Satznummer"/>
        </w:rPr>
        <w:t>3</w:t>
      </w:r>
      <w:r>
        <w:t xml:space="preserve">Die §§ 802g bis 802j der Zivilprozessordnung sind entsprechend anzuwenden. </w:t>
      </w:r>
      <w:r>
        <w:rPr>
          <w:rStyle w:val="Satznummer"/>
        </w:rPr>
        <w:t>4</w:t>
      </w:r>
      <w:r>
        <w:t xml:space="preserve">Die Verhaftung des Vollstreckungsschuldners erfolgt durch einen Gerichtsvollzieher. </w:t>
      </w:r>
      <w:r>
        <w:rPr>
          <w:rStyle w:val="Satznummer"/>
        </w:rPr>
        <w:t>5</w:t>
      </w:r>
      <w:hyperlink w:anchor="b440" w:history="1">
        <w:r>
          <w:rPr>
            <w:color w:val="0A3A8C"/>
            <w:u w:val="single"/>
          </w:rPr>
          <w:t xml:space="preserve">§ 292</w:t>
        </w:r>
      </w:hyperlink>
      <w:r>
        <w:t xml:space="preserve"> dieses Gesetzes gilt entsprechend. </w:t>
      </w:r>
      <w:r>
        <w:rPr>
          <w:rStyle w:val="Satznummer"/>
        </w:rPr>
        <w:t>6</w:t>
      </w:r>
      <w:r>
        <w:t xml:space="preserve">Nach der Verhaftung des Vollstreckungsschuldners kann die Vermögensauskunft von dem nach § 802i der Zivilprozessordnung zuständigen Gerichtsvollzieher abgenommen werden, wenn sich der Sitz der in Absatz 5 bezeichneten Vollstreckungsbehörde nicht im Bezirk des für den Gerichtsvollzieher zuständigen Amtsgerichts befindet oder wenn die Abnahme der Vermögensauskunft durch die Vollstreckungsbehörde nicht möglich ist. </w:t>
      </w:r>
      <w:r>
        <w:rPr>
          <w:rStyle w:val="Satznummer"/>
        </w:rPr>
        <w:t>7</w:t>
      </w:r>
      <w:r>
        <w:t>Der Beschluss des Amtsgerichts, mit dem der Antrag der Vollstreckungsbehörde auf Anordnung der Haft abgelehnt wird, unterliegt der Beschwerde nach den §§ 567 bis 577 der Zivilprozessordnung.</w:t>
      </w:r>
    </w:p>
    <w:p>
      <w:r>
        <w:t xml:space="preserve">(9) </w:t>
      </w:r>
      <w:r>
        <w:rPr>
          <w:rStyle w:val="Satznummer"/>
        </w:rPr>
        <w:t>1</w:t>
      </w:r>
      <w:r>
        <w:t>Die Vollstreckungsbehörde kann die Eintragung des Vollstreckungsschuldners in das Schuldnerverzeichnis nach § 882h Absatz 1 der Zivilprozessordnung anordnen, wenn</w:t>
      </w:r>
    </w:p>
    <w:p>
      <w:pPr>
        <w:tabs>
          <w:tab w:pos="567" w:val="left"/>
        </w:tabs>
        <w:ind w:left="567" w:hanging="567"/>
      </w:pPr>
      <w:r>
        <w:t>1.</w:t>
      </w:r>
      <w:r>
        <w:tab/>
      </w:r>
      <w:r>
        <w:t>der Vollstreckungsschuldner seiner Pflicht zur Abgabe der Vermögensauskunft nicht nachgekommen ist,</w:t>
      </w:r>
    </w:p>
    <w:p>
      <w:pPr>
        <w:tabs>
          <w:tab w:pos="567" w:val="left"/>
        </w:tabs>
        <w:ind w:left="567" w:hanging="567"/>
      </w:pPr>
      <w:r>
        <w:t>2.</w:t>
      </w:r>
      <w:r>
        <w:tab/>
      </w:r>
      <w:r>
        <w:t>eine Vollstreckung nach dem Inhalt des Vermögensverzeichnisses offensichtlich nicht geeignet wäre, zu einer vollständigen Befriedigung der Forderung zu führen, wegen der die Vermögensauskunft verlangt wurde oder wegen der die Vollstreckungsbehörde vorbehaltlich der Fristsetzung nach Absatz 1 Satz 1 und der Sperrwirkung nach Absatz 4 eine Vermögensauskunft verlangen könnte, oder</w:t>
      </w:r>
    </w:p>
    <w:p>
      <w:pPr>
        <w:tabs>
          <w:tab w:pos="567" w:val="left"/>
        </w:tabs>
        <w:ind w:left="567" w:hanging="567"/>
      </w:pPr>
      <w:r>
        <w:t>3.</w:t>
      </w:r>
      <w:r>
        <w:tab/>
      </w:r>
      <w:r>
        <w:t xml:space="preserve">der Vollstreckungsschuldner nicht innerhalb eines Monats nach Abgabe der Vermögensauskunft die Forderung, wegen der die Vermögensauskunft verlangt wurde, vollständig befriedigt. </w:t>
      </w:r>
      <w:r>
        <w:rPr>
          <w:rStyle w:val="Satznummer"/>
        </w:rPr>
        <w:t>2</w:t>
      </w:r>
      <w:r>
        <w:t>Gleiches gilt, wenn die Vollstreckungsbehörde vorbehaltlich der Fristsetzung nach Absatz 1 Satz 1 und der Sperrwirkung nach Absatz 4 eine Vermögensauskunft verlangen kann, sofern der Vollstreckungsschuldner die Forderung nicht innerhalb eines Monats befriedigt, nachdem er auf die Möglichkeit der Eintragung in das Schuldnerverzeichnis hingewiesen wurde.</w:t>
      </w:r>
    </w:p>
    <w:p>
      <w:r>
        <w:rPr>
          <w:rStyle w:val="Satznummer"/>
        </w:rPr>
        <w:t>2</w:t>
      </w:r>
      <w:r>
        <w:t xml:space="preserve">Die Eintragungsanordnung soll kurz begründet werden. </w:t>
      </w:r>
      <w:r>
        <w:rPr>
          <w:rStyle w:val="Satznummer"/>
        </w:rPr>
        <w:t>3</w:t>
      </w:r>
      <w:r>
        <w:t xml:space="preserve">Sie ist dem Vollstreckungsschuldner zuzustellen. </w:t>
      </w:r>
      <w:r>
        <w:rPr>
          <w:rStyle w:val="Satznummer"/>
        </w:rPr>
        <w:t>4</w:t>
      </w:r>
      <w:r>
        <w:t>§ 882c Absatz 3 der Zivilprozessordnung gilt entsprechend.</w:t>
      </w:r>
    </w:p>
    <w:p>
      <w:r>
        <w:t xml:space="preserve">(10) </w:t>
      </w:r>
      <w:r>
        <w:rPr>
          <w:rStyle w:val="Satznummer"/>
        </w:rPr>
        <w:t>1</w:t>
      </w:r>
      <w:r>
        <w:t xml:space="preserve">Ein Rechtsbehelf gegen die Eintragungsanordnung nach Absatz 9 hat keine aufschiebende Wirkung. </w:t>
      </w:r>
      <w:r>
        <w:rPr>
          <w:rStyle w:val="Satznummer"/>
        </w:rPr>
        <w:t>2</w:t>
      </w:r>
      <w:r>
        <w:t xml:space="preserve">Nach Ablauf eines Monats seit der Zustellung hat die Vollstreckungsbehörde die Eintragungsanordnung dem zentralen Vollstreckungsgericht nach § 882h Absatz 1 der Zivilprozessordnung mit den in § 882b Absatz 2 und 3 der Zivilprozessordnung genannten Daten elektronisch zu übermitteln. </w:t>
      </w:r>
      <w:r>
        <w:rPr>
          <w:rStyle w:val="Satznummer"/>
        </w:rPr>
        <w:t>3</w:t>
      </w:r>
      <w:r>
        <w:t xml:space="preserve">Dies gilt nicht, wenn Anträge auf Gewährung einer Aussetzung der Vollziehung der Eintragungsanordnung nach </w:t>
      </w:r>
      <w:hyperlink w:anchor="b520" w:history="1">
        <w:r>
          <w:rPr>
            <w:color w:val="0A3A8C"/>
            <w:u w:val="single"/>
          </w:rPr>
          <w:t xml:space="preserve">§ 361</w:t>
        </w:r>
      </w:hyperlink>
      <w:r>
        <w:t xml:space="preserve"> dieses Gesetzes oder § 69 der Finanzgerichtsordnung anhängig sind, die Aussicht auf Erfolg haben.</w:t>
      </w:r>
    </w:p>
    <w:p>
      <w:r>
        <w:t xml:space="preserve">(11) </w:t>
      </w:r>
      <w:r>
        <w:rPr>
          <w:rStyle w:val="Satznummer"/>
        </w:rPr>
        <w:t>1</w:t>
      </w:r>
      <w:r>
        <w:t xml:space="preserve">Ist die Eintragung in das Schuldnerverzeichnis nach § 882h Absatz 1 der Zivilprozessordnung erfolgt, sind Entscheidungen über Rechtsbehelfe des Vollstreckungsschuldners gegen die Eintragungsanordnung durch die Vollstreckungsbehörde oder durch das Gericht dem zentralen Vollstreckungsgericht nach § 882h Absatz 1 der Zivilprozessordnung elektronisch zu übermitteln. </w:t>
      </w:r>
      <w:r>
        <w:rPr>
          <w:rStyle w:val="Satznummer"/>
        </w:rPr>
        <w:t>2</w:t>
      </w:r>
      <w:r>
        <w:t>Form und Übermittlung der Eintragungsanordnung nach Absatz 10 Satz 1 und 2 sowie der Entscheidung nach Satz 1 haben den Vorgaben der Verordnung nach § 882h Absatz 3 der Zivilprozessordnung zu entsprechen.</w:t>
      </w:r>
    </w:p>
    <w:p>
      <w:pPr>
        <w:pStyle w:val="Heading4"/>
      </w:pPr>
      <w:bookmarkStart w:id="435" w:name="b432"/>
      <w:r>
        <w:t>II. Vollstreckung in Sachen</w:t>
      </w:r>
      <w:bookmarkEnd w:id="435"/>
    </w:p>
    <w:p>
      <w:pPr>
        <w:pStyle w:val="Heading5"/>
      </w:pPr>
      <w:bookmarkStart w:id="436" w:name="b433"/>
      <w:r>
        <w:t>§ 285 Vollziehungsbeamte</w:t>
      </w:r>
      <w:r>
        <w:t xml:space="preserve"> </w:t>
      </w:r>
      <w:r>
        <w:rPr>
          <w:rStyle w:val="Suchmarke"/>
        </w:rPr>
        <w:t>#285#</w:t>
      </w:r>
      <w:bookmarkEnd w:id="436"/>
    </w:p>
    <w:p>
      <w:r>
        <w:t>(1) Die Vollstreckungsbehörde führt die Vollstreckung in bewegliche Sachen durch Vollziehungsbeamte aus.</w:t>
      </w:r>
    </w:p>
    <w:p>
      <w:r>
        <w:t>(2) Dem Vollstreckungsschuldner und Dritten gegenüber wird der Vollziehungsbeamte zur Vollstreckung durch schriftlichen oder elektronischen Auftrag der Vollstreckungsbehörde ermächtigt; der Auftrag ist auf Verlangen vorzuzeigen.</w:t>
      </w:r>
    </w:p>
    <w:p>
      <w:pPr>
        <w:pStyle w:val="Heading5"/>
      </w:pPr>
      <w:bookmarkStart w:id="437" w:name="b434"/>
      <w:r>
        <w:t>§ 286 Vollstreckung in Sachen</w:t>
      </w:r>
      <w:r>
        <w:t xml:space="preserve"> </w:t>
      </w:r>
      <w:r>
        <w:rPr>
          <w:rStyle w:val="Suchmarke"/>
        </w:rPr>
        <w:t>#286#</w:t>
      </w:r>
      <w:bookmarkEnd w:id="437"/>
    </w:p>
    <w:p>
      <w:r>
        <w:t>(1) Sachen, die im Gewahrsam des Vollstreckungsschuldners sind, pfändet der Vollziehungsbeamte dadurch, dass er sie in Besitz nimmt.</w:t>
      </w:r>
    </w:p>
    <w:p>
      <w:r>
        <w:t xml:space="preserve">(2) </w:t>
      </w:r>
      <w:r>
        <w:rPr>
          <w:rStyle w:val="Satznummer"/>
        </w:rPr>
        <w:t>1</w:t>
      </w:r>
      <w:r>
        <w:t xml:space="preserve">Andere Sachen als Geld, Kostbarkeiten und Wertpapiere sind im Gewahrsam des Vollstreckungsschuldners zu lassen, wenn die Befriedigung hierdurch nicht gefährdet wird. </w:t>
      </w:r>
      <w:r>
        <w:rPr>
          <w:rStyle w:val="Satznummer"/>
        </w:rPr>
        <w:t>2</w:t>
      </w:r>
      <w:r>
        <w:t>Bleiben die Sachen im Gewahrsam des Vollstreckungsschuldners, so ist die Pfändung nur wirksam, wenn sie durch Anlegung von Siegeln oder in sonstiger Weise ersichtlich gemacht ist.</w:t>
      </w:r>
    </w:p>
    <w:p>
      <w:r>
        <w:t>(3) Der Vollziehungsbeamte hat dem Vollstreckungsschuldner die Pfändung mitzuteilen.</w:t>
      </w:r>
    </w:p>
    <w:p>
      <w:r>
        <w:t>(4) Diese Vorschriften gelten auch für die Pfändung von Sachen im Gewahrsam eines Dritten, der zu ihrer Herausgabe bereit ist.</w:t>
      </w:r>
    </w:p>
    <w:p>
      <w:pPr>
        <w:pStyle w:val="Heading5"/>
      </w:pPr>
      <w:bookmarkStart w:id="438" w:name="b435"/>
      <w:r>
        <w:t>§ 287 Befugnisse des Vollziehungsbeamten</w:t>
      </w:r>
      <w:r>
        <w:t xml:space="preserve"> </w:t>
      </w:r>
      <w:r>
        <w:rPr>
          <w:rStyle w:val="Suchmarke"/>
        </w:rPr>
        <w:t>#287#</w:t>
      </w:r>
      <w:bookmarkEnd w:id="438"/>
    </w:p>
    <w:p>
      <w:r>
        <w:t>(1) Der Vollziehungsbeamte ist befugt, die Wohn- und Geschäftsräume sowie die Behältnisse des Vollstreckungsschuldners zu durchsuchen, soweit dies der Zweck der Vollstreckung erfordert.</w:t>
      </w:r>
    </w:p>
    <w:p>
      <w:r>
        <w:t>(2) Er ist befugt, verschlossene Türen und Behältnisse öffnen zu lassen.</w:t>
      </w:r>
    </w:p>
    <w:p>
      <w:r>
        <w:t>(3) Wenn er Widerstand findet, kann er Gewalt anwenden und hierzu um Unterstützung durch Polizeibeamte nachsuchen.</w:t>
      </w:r>
    </w:p>
    <w:p>
      <w:r>
        <w:t xml:space="preserve">(4) </w:t>
      </w:r>
      <w:r>
        <w:rPr>
          <w:rStyle w:val="Satznummer"/>
        </w:rPr>
        <w:t>1</w:t>
      </w:r>
      <w:r>
        <w:t xml:space="preserve">Die Wohn- und Geschäftsräume des Vollstreckungsschuldners dürfen ohne dessen Einwilligung nur auf Grund einer richterlichen Anordnung durchsucht werden. </w:t>
      </w:r>
      <w:r>
        <w:rPr>
          <w:rStyle w:val="Satznummer"/>
        </w:rPr>
        <w:t>2</w:t>
      </w:r>
      <w:r>
        <w:t xml:space="preserve">Dies gilt nicht, wenn die Einholung der Anordnung den Erfolg der Durchsuchung gefährden würde. </w:t>
      </w:r>
      <w:r>
        <w:rPr>
          <w:rStyle w:val="Satznummer"/>
        </w:rPr>
        <w:t>3</w:t>
      </w:r>
      <w:r>
        <w:t>Für die richterliche Anordnung einer Durchsuchung ist das Amtsgericht zuständig, in dessen Bezirk die Durchsuchung vorgenommen werden soll.</w:t>
      </w:r>
    </w:p>
    <w:p>
      <w:r>
        <w:t xml:space="preserve">(5) </w:t>
      </w:r>
      <w:r>
        <w:rPr>
          <w:rStyle w:val="Satznummer"/>
        </w:rPr>
        <w:t>1</w:t>
      </w:r>
      <w:r>
        <w:t xml:space="preserve">Willigt der Vollstreckungsschuldner in die Durchsuchung ein, oder ist eine Anordnung gegen ihn nach Absatz 4 Satz 1 ergangen oder nach Absatz 4 Satz 2 entbehrlich, so haben Personen, die Mitgewahrsam an den Wohn- oder Geschäftsräumen des Vollstreckungsschuldners haben, die Durchsuchung zu dulden. </w:t>
      </w:r>
      <w:r>
        <w:rPr>
          <w:rStyle w:val="Satznummer"/>
        </w:rPr>
        <w:t>2</w:t>
      </w:r>
      <w:r>
        <w:t>Unbillige Härten gegenüber Mitgewahrsaminhabern sind zu vermeiden.</w:t>
      </w:r>
    </w:p>
    <w:p>
      <w:r>
        <w:t>(6) Die Anordnung nach Absatz 4 ist bei der Vollstreckung vorzuzeigen.</w:t>
      </w:r>
    </w:p>
    <w:p>
      <w:pPr>
        <w:pStyle w:val="Heading5"/>
      </w:pPr>
      <w:bookmarkStart w:id="439" w:name="b436"/>
      <w:r>
        <w:t>§ 288 Zuziehung von Zeugen</w:t>
      </w:r>
      <w:r>
        <w:t xml:space="preserve"> </w:t>
      </w:r>
      <w:r>
        <w:rPr>
          <w:rStyle w:val="Suchmarke"/>
        </w:rPr>
        <w:t>#288#</w:t>
      </w:r>
      <w:bookmarkEnd w:id="439"/>
    </w:p>
    <w:p>
      <w:r>
        <w:t>Wird bei einer Vollstreckungshandlung Widerstand geleistet oder ist bei einer Vollstreckungshandlung in den Wohn- oder Geschäftsräumen des Vollstreckungsschuldners weder der Vollstreckungsschuldner noch ein erwachsener Familienangehöriger, ein erwachsener ständiger Mitbewohner oder eine beim Vollstreckungsschuldner beschäftigte Person gegenwärtig, so hat der Vollziehungsbeamte zwei Erwachsene oder einen Gemeinde- oder Polizeibeamten als Zeugen zuzuziehen.</w:t>
      </w:r>
    </w:p>
    <w:p>
      <w:pPr>
        <w:pStyle w:val="Heading5"/>
      </w:pPr>
      <w:bookmarkStart w:id="440" w:name="b437"/>
      <w:r>
        <w:t>§ 289 Zeit der Vollstreckung</w:t>
      </w:r>
      <w:r>
        <w:t xml:space="preserve"> </w:t>
      </w:r>
      <w:r>
        <w:rPr>
          <w:rStyle w:val="Suchmarke"/>
        </w:rPr>
        <w:t>#289#</w:t>
      </w:r>
      <w:bookmarkEnd w:id="440"/>
    </w:p>
    <w:p>
      <w:r>
        <w:t>(1) Zur Nachtzeit (§ 758a Absatz 4 Satz 2 der Zivilprozessordnung) sowie an Sonntagen und staatlich anerkannten allgemeinen Feiertagen darf eine Vollstreckungshandlung nur mit schriftlicher oder elektronischer Erlaubnis der Vollstreckungsbehörde vorgenommen werden.</w:t>
      </w:r>
    </w:p>
    <w:p>
      <w:r>
        <w:t>(2) Die Erlaubnis ist auf Verlangen bei der Vollstreckungshandlung vorzuzeigen.</w:t>
      </w:r>
    </w:p>
    <w:p>
      <w:pPr>
        <w:pStyle w:val="Heading5"/>
      </w:pPr>
      <w:bookmarkStart w:id="441" w:name="b438"/>
      <w:r>
        <w:t>§ 290 Aufforderungen und Mitteilungen des Vollziehungsbeamten</w:t>
      </w:r>
      <w:r>
        <w:t xml:space="preserve"> </w:t>
      </w:r>
      <w:r>
        <w:rPr>
          <w:rStyle w:val="Suchmarke"/>
        </w:rPr>
        <w:t>#290#</w:t>
      </w:r>
      <w:bookmarkEnd w:id="441"/>
    </w:p>
    <w:p>
      <w:r>
        <w:t>Die Aufforderungen und die sonstigen Mitteilungen, die zu den Vollstreckungshandlungen gehören, sind vom Vollziehungsbeamten mündlich zu erlassen und vollständig in die Niederschrift aufzunehmen; können sie mündlich nicht erlassen werden, so hat die Vollstreckungsbehörde demjenigen, an den die Aufforderung oder Mitteilung zu richten ist, eine Abschrift der Niederschrift zu senden.</w:t>
      </w:r>
    </w:p>
    <w:p>
      <w:pPr>
        <w:pStyle w:val="Heading5"/>
      </w:pPr>
      <w:bookmarkStart w:id="442" w:name="b439"/>
      <w:r>
        <w:t>§ 291 Niederschrift</w:t>
      </w:r>
      <w:r>
        <w:t xml:space="preserve"> </w:t>
      </w:r>
      <w:r>
        <w:rPr>
          <w:rStyle w:val="Suchmarke"/>
        </w:rPr>
        <w:t>#291#</w:t>
      </w:r>
      <w:bookmarkEnd w:id="442"/>
    </w:p>
    <w:p>
      <w:r>
        <w:t>(1) Der Vollziehungsbeamte hat über jede Vollstreckungshandlung eine Niederschrift aufzunehmen.</w:t>
      </w:r>
    </w:p>
    <w:p>
      <w:r>
        <w:t>(2) Die Niederschrift muss enthalten:</w:t>
      </w:r>
    </w:p>
    <w:p>
      <w:pPr>
        <w:tabs>
          <w:tab w:pos="567" w:val="left"/>
        </w:tabs>
        <w:ind w:left="567" w:hanging="567"/>
      </w:pPr>
      <w:r>
        <w:t>1.</w:t>
      </w:r>
      <w:r>
        <w:tab/>
      </w:r>
      <w:r>
        <w:t>Ort und Zeit der Aufnahme,</w:t>
      </w:r>
    </w:p>
    <w:p>
      <w:pPr>
        <w:tabs>
          <w:tab w:pos="567" w:val="left"/>
        </w:tabs>
        <w:ind w:left="567" w:hanging="567"/>
      </w:pPr>
      <w:r>
        <w:t>2.</w:t>
      </w:r>
      <w:r>
        <w:tab/>
      </w:r>
      <w:r>
        <w:t>den Gegenstand der Vollstreckungshandlung unter kurzer Erwähnung der Vorgänge,</w:t>
      </w:r>
    </w:p>
    <w:p>
      <w:pPr>
        <w:tabs>
          <w:tab w:pos="567" w:val="left"/>
        </w:tabs>
        <w:ind w:left="567" w:hanging="567"/>
      </w:pPr>
      <w:r>
        <w:t>3.</w:t>
      </w:r>
      <w:r>
        <w:tab/>
      </w:r>
      <w:r>
        <w:t>die Namen der Personen, mit denen verhandelt worden ist,</w:t>
      </w:r>
    </w:p>
    <w:p>
      <w:pPr>
        <w:tabs>
          <w:tab w:pos="567" w:val="left"/>
        </w:tabs>
        <w:ind w:left="567" w:hanging="567"/>
      </w:pPr>
      <w:r>
        <w:t>4.</w:t>
      </w:r>
      <w:r>
        <w:tab/>
      </w:r>
      <w:r>
        <w:t>die Unterschriften der Personen und die Bemerkung, dass nach Vorlesung oder Vorlegung zur Durchsicht und nach Genehmigung unterzeichnet sei,</w:t>
      </w:r>
    </w:p>
    <w:p>
      <w:pPr>
        <w:tabs>
          <w:tab w:pos="567" w:val="left"/>
        </w:tabs>
        <w:ind w:left="567" w:hanging="567"/>
      </w:pPr>
      <w:r>
        <w:t>5.</w:t>
      </w:r>
      <w:r>
        <w:tab/>
      </w:r>
      <w:r>
        <w:t>die Unterschrift des Vollziehungsbeamten.</w:t>
      </w:r>
    </w:p>
    <w:p>
      <w:r>
        <w:t>(3) Hat einem der Erfordernisse unter Absatz 2 Nummer 4 nicht genügt werden können, so ist der Grund anzugeben.</w:t>
      </w:r>
    </w:p>
    <w:p>
      <w:r>
        <w:t xml:space="preserve">(4) </w:t>
      </w:r>
      <w:r>
        <w:rPr>
          <w:rStyle w:val="Satznummer"/>
        </w:rPr>
        <w:t>1</w:t>
      </w:r>
      <w:r>
        <w:t xml:space="preserve">Die Niederschrift kann auch elektronisch erstellt werden. </w:t>
      </w:r>
      <w:r>
        <w:rPr>
          <w:rStyle w:val="Satznummer"/>
        </w:rPr>
        <w:t>2</w:t>
      </w:r>
      <w:r>
        <w:t xml:space="preserve">Absatz 2 Nummer 4 und 5 sowie </w:t>
      </w:r>
      <w:hyperlink w:anchor="b133" w:history="1">
        <w:r>
          <w:rPr>
            <w:color w:val="0A3A8C"/>
            <w:u w:val="single"/>
          </w:rPr>
          <w:t xml:space="preserve">§ 87a</w:t>
        </w:r>
      </w:hyperlink>
      <w:r>
        <w:t xml:space="preserve"> Absatz 4 Satz 2 gelten nicht.</w:t>
      </w:r>
    </w:p>
    <w:p>
      <w:pPr>
        <w:pStyle w:val="Heading5"/>
      </w:pPr>
      <w:bookmarkStart w:id="443" w:name="b440"/>
      <w:r>
        <w:t>§ 292 Abwendung der Pfändung</w:t>
      </w:r>
      <w:r>
        <w:t xml:space="preserve"> </w:t>
      </w:r>
      <w:r>
        <w:rPr>
          <w:rStyle w:val="Suchmarke"/>
        </w:rPr>
        <w:t>#292#</w:t>
      </w:r>
      <w:bookmarkEnd w:id="443"/>
    </w:p>
    <w:p>
      <w:r>
        <w:t>(1) Der Vollstreckungsschuldner kann die Pfändung nur abwenden, wenn er den geschuldeten Betrag an den Vollziehungsbeamten zahlt oder nachweist, dass ihm eine Zahlungsfrist bewilligt worden ist oder dass die Schuld erloschen ist.</w:t>
      </w:r>
    </w:p>
    <w:p>
      <w:r>
        <w:t>(2) Absatz 1 gilt entsprechend, wenn der Vollstreckungsschuldner eine Entscheidung vorlegt, aus der sich die Unzulässigkeit der vorzunehmenden Pfändung ergibt oder wenn er eine Post- oder Bankquittung vorlegt, aus der sich ergibt, dass er den geschuldeten Betrag eingezahlt hat.</w:t>
      </w:r>
    </w:p>
    <w:p>
      <w:pPr>
        <w:pStyle w:val="Heading5"/>
      </w:pPr>
      <w:bookmarkStart w:id="444" w:name="b441"/>
      <w:r>
        <w:t>§ 293 Pfand- und Vorzugsrechte Dritter</w:t>
      </w:r>
      <w:r>
        <w:t xml:space="preserve"> </w:t>
      </w:r>
      <w:r>
        <w:rPr>
          <w:rStyle w:val="Suchmarke"/>
        </w:rPr>
        <w:t>#293#</w:t>
      </w:r>
      <w:bookmarkEnd w:id="444"/>
    </w:p>
    <w:p>
      <w:r>
        <w:t xml:space="preserve">(1) </w:t>
      </w:r>
      <w:r>
        <w:rPr>
          <w:rStyle w:val="Satznummer"/>
        </w:rPr>
        <w:t>1</w:t>
      </w:r>
      <w:r>
        <w:t xml:space="preserve">Der Pfändung einer Sache kann ein Dritter, der sich nicht im Besitz der Sache befindet, auf Grund eines Pfand- oder Vorzugsrechts nicht widersprechen. </w:t>
      </w:r>
      <w:r>
        <w:rPr>
          <w:rStyle w:val="Satznummer"/>
        </w:rPr>
        <w:t>2</w:t>
      </w:r>
      <w:r>
        <w:t>Er kann jedoch vorzugsweise Befriedigung aus dem Erlös verlangen ohne Rücksicht darauf, ob seine Forderung fällig ist oder nicht.</w:t>
      </w:r>
    </w:p>
    <w:p>
      <w:r>
        <w:t xml:space="preserve">(2) </w:t>
      </w:r>
      <w:r>
        <w:rPr>
          <w:rStyle w:val="Satznummer"/>
        </w:rPr>
        <w:t>1</w:t>
      </w:r>
      <w:r>
        <w:t xml:space="preserve">Für eine Klage auf vorzugsweise Befriedigung ist ausschließlich zuständig das ordentliche Gericht, in dessen Bezirk gepfändet worden ist. </w:t>
      </w:r>
      <w:r>
        <w:rPr>
          <w:rStyle w:val="Satznummer"/>
        </w:rPr>
        <w:t>2</w:t>
      </w:r>
      <w:r>
        <w:t>Wird die Klage gegen die Körperschaft, der die Vollstreckungsbehörde angehört, und gegen den Vollstreckungsschuldner gerichtet, so sind sie Streitgenossen.</w:t>
      </w:r>
    </w:p>
    <w:p>
      <w:pPr>
        <w:pStyle w:val="Heading5"/>
      </w:pPr>
      <w:bookmarkStart w:id="445" w:name="b442"/>
      <w:r>
        <w:t>§ 294 Ungetrennte Früchte</w:t>
      </w:r>
      <w:r>
        <w:t xml:space="preserve"> </w:t>
      </w:r>
      <w:r>
        <w:rPr>
          <w:rStyle w:val="Suchmarke"/>
        </w:rPr>
        <w:t>#294#</w:t>
      </w:r>
      <w:bookmarkEnd w:id="445"/>
    </w:p>
    <w:p>
      <w:r>
        <w:t xml:space="preserve">(1) </w:t>
      </w:r>
      <w:r>
        <w:rPr>
          <w:rStyle w:val="Satznummer"/>
        </w:rPr>
        <w:t>1</w:t>
      </w:r>
      <w:r>
        <w:t xml:space="preserve">Früchte, die vom Boden noch nicht getrennt sind, können gepfändet werden, solange sie nicht durch Vollstreckung in das unbewegliche Vermögen in Beschlag genommen worden sind. </w:t>
      </w:r>
      <w:r>
        <w:rPr>
          <w:rStyle w:val="Satznummer"/>
        </w:rPr>
        <w:t>2</w:t>
      </w:r>
      <w:r>
        <w:t>Sie dürfen nicht früher als einen Monat vor der gewöhnlichen Zeit der Reife gepfändet werden.</w:t>
      </w:r>
    </w:p>
    <w:p>
      <w:r>
        <w:t xml:space="preserve">(2) Ein Gläubiger, der ein Recht auf Befriedigung aus dem Grundstück hat, kann der Pfändung nach </w:t>
      </w:r>
      <w:hyperlink w:anchor="b406" w:history="1">
        <w:r>
          <w:rPr>
            <w:color w:val="0A3A8C"/>
            <w:u w:val="single"/>
          </w:rPr>
          <w:t xml:space="preserve">§ 262</w:t>
        </w:r>
      </w:hyperlink>
      <w:r>
        <w:t xml:space="preserve"> widersprechen, wenn nicht für einen Anspruch gepfändet ist, der bei der Vollstreckung in das Grundstück vorgeht.</w:t>
      </w:r>
    </w:p>
    <w:p>
      <w:pPr>
        <w:pStyle w:val="Heading5"/>
      </w:pPr>
      <w:bookmarkStart w:id="446" w:name="b443"/>
      <w:r>
        <w:t>§ 295 Unpfändbarkeit von Sachen</w:t>
      </w:r>
      <w:r>
        <w:t xml:space="preserve"> </w:t>
      </w:r>
      <w:r>
        <w:rPr>
          <w:rStyle w:val="Suchmarke"/>
        </w:rPr>
        <w:t>#295#</w:t>
      </w:r>
      <w:bookmarkEnd w:id="446"/>
    </w:p>
    <w:p>
      <w:r>
        <w:rPr>
          <w:rStyle w:val="Satznummer"/>
        </w:rPr>
        <w:t>1</w:t>
      </w:r>
      <w:r>
        <w:t xml:space="preserve">Die §§ 811 bis 811c, 813 Absatz 1 bis 3 und § 882a Absatz 4 der Zivilprozessordnung sowie die Beschränkungen und Verbote, die nach anderen gesetzlichen Vorschriften für die Pfändung von Sachen bestehen, gelten entsprechend. </w:t>
      </w:r>
      <w:r>
        <w:rPr>
          <w:rStyle w:val="Satznummer"/>
        </w:rPr>
        <w:t>2</w:t>
      </w:r>
      <w:r>
        <w:t>An die Stelle des Vollstreckungsgerichts tritt die Vollstreckungsbehörde.</w:t>
      </w:r>
    </w:p>
    <w:p>
      <w:pPr>
        <w:pStyle w:val="Heading5"/>
      </w:pPr>
      <w:bookmarkStart w:id="447" w:name="b444"/>
      <w:r>
        <w:t>§ 296 Verwertung</w:t>
      </w:r>
      <w:r>
        <w:t xml:space="preserve"> </w:t>
      </w:r>
      <w:r>
        <w:rPr>
          <w:rStyle w:val="Suchmarke"/>
        </w:rPr>
        <w:t>#296#</w:t>
      </w:r>
      <w:bookmarkEnd w:id="447"/>
    </w:p>
    <w:p>
      <w:r>
        <w:t xml:space="preserve">(1) </w:t>
      </w:r>
      <w:r>
        <w:rPr>
          <w:rStyle w:val="Satznummer"/>
        </w:rPr>
        <w:t>1</w:t>
      </w:r>
      <w:r>
        <w:t xml:space="preserve">Die gepfändeten Sachen sind auf schriftliche Anordnung der Vollstreckungsbehörde öffentlich zu versteigern. </w:t>
      </w:r>
      <w:r>
        <w:rPr>
          <w:rStyle w:val="Satznummer"/>
        </w:rPr>
        <w:t>2</w:t>
      </w:r>
      <w:r>
        <w:t>Eine öffentliche Versteigerung ist</w:t>
      </w:r>
    </w:p>
    <w:p>
      <w:pPr>
        <w:tabs>
          <w:tab w:pos="567" w:val="left"/>
        </w:tabs>
        <w:ind w:left="567" w:hanging="567"/>
      </w:pPr>
      <w:r>
        <w:t>1.</w:t>
      </w:r>
      <w:r>
        <w:tab/>
      </w:r>
      <w:r>
        <w:t>die Versteigerung vor Ort oder</w:t>
      </w:r>
    </w:p>
    <w:p>
      <w:pPr>
        <w:tabs>
          <w:tab w:pos="567" w:val="left"/>
        </w:tabs>
        <w:ind w:left="567" w:hanging="567"/>
      </w:pPr>
      <w:r>
        <w:t>2.</w:t>
      </w:r>
      <w:r>
        <w:tab/>
      </w:r>
      <w:r>
        <w:t>die allgemein zugängliche Versteigerung im Internet über die Plattform www.zoll-auktion.de.</w:t>
      </w:r>
    </w:p>
    <w:p>
      <w:r>
        <w:rPr>
          <w:rStyle w:val="Satznummer"/>
        </w:rPr>
        <w:t>3</w:t>
      </w:r>
      <w:r>
        <w:t xml:space="preserve">Die Versteigerung erfolgt in der Regel durch den Vollziehungsbeamten. </w:t>
      </w:r>
      <w:r>
        <w:rPr>
          <w:rStyle w:val="Satznummer"/>
        </w:rPr>
        <w:t>4</w:t>
      </w:r>
      <w:hyperlink w:anchor="b440" w:history="1">
        <w:r>
          <w:rPr>
            <w:color w:val="0A3A8C"/>
            <w:u w:val="single"/>
          </w:rPr>
          <w:t xml:space="preserve">§ 292</w:t>
        </w:r>
      </w:hyperlink>
      <w:r>
        <w:t xml:space="preserve"> gilt entsprechend.</w:t>
      </w:r>
    </w:p>
    <w:p>
      <w:r>
        <w:t>(2) Bei Pfändung von Geld gilt die Wegnahme als Zahlung des Vollstreckungsschuldners.</w:t>
      </w:r>
    </w:p>
    <w:p>
      <w:pPr>
        <w:pStyle w:val="Heading5"/>
      </w:pPr>
      <w:bookmarkStart w:id="448" w:name="b445"/>
      <w:r>
        <w:t>§ 297 Aussetzung der Verwertung</w:t>
      </w:r>
      <w:r>
        <w:t xml:space="preserve"> </w:t>
      </w:r>
      <w:r>
        <w:rPr>
          <w:rStyle w:val="Suchmarke"/>
        </w:rPr>
        <w:t>#297#</w:t>
      </w:r>
      <w:bookmarkEnd w:id="448"/>
    </w:p>
    <w:p>
      <w:r>
        <w:t>Die Vollstreckungsbehörde kann die Verwertung gepfändeter Sachen unter Anordnung von Zahlungsfristen zeitweilig aussetzen, wenn die alsbaldige Verwertung unbillig wäre.</w:t>
      </w:r>
    </w:p>
    <w:p>
      <w:pPr>
        <w:pStyle w:val="Heading5"/>
      </w:pPr>
      <w:bookmarkStart w:id="449" w:name="b446"/>
      <w:r>
        <w:t>§ 298 Versteigerung</w:t>
      </w:r>
      <w:r>
        <w:t xml:space="preserve"> </w:t>
      </w:r>
      <w:r>
        <w:rPr>
          <w:rStyle w:val="Suchmarke"/>
        </w:rPr>
        <w:t>#298#</w:t>
      </w:r>
      <w:bookmarkEnd w:id="449"/>
    </w:p>
    <w:p>
      <w:r>
        <w:t>(1) Die gepfändeten Sachen dürfen nicht vor Ablauf einer Woche seit dem Tag der Pfändung versteigert werden, sofern sich nicht der Vollstreckungsschuldner mit einer früheren Versteigerung einverstanden erklärt oder diese erforderlich ist, um die Gefahr einer beträchtlichen Wertverringerung abzuwenden oder unverhältnismäßige Kosten längerer Aufbewahrung zu vermeiden.</w:t>
      </w:r>
    </w:p>
    <w:p>
      <w:r>
        <w:t xml:space="preserve">(2) </w:t>
      </w:r>
      <w:r>
        <w:rPr>
          <w:rStyle w:val="Satznummer"/>
        </w:rPr>
        <w:t>1</w:t>
      </w:r>
      <w:r>
        <w:t xml:space="preserve">Zeit und Ort der Versteigerung sind öffentlich bekannt zu machen; dabei sind die Sachen, die versteigert werden sollen, im Allgemeinen zu bezeichnen. </w:t>
      </w:r>
      <w:r>
        <w:rPr>
          <w:rStyle w:val="Satznummer"/>
        </w:rPr>
        <w:t>2</w:t>
      </w:r>
      <w:r>
        <w:t xml:space="preserve">Auf Ersuchen der Vollstreckungsbehörde hat ein Gemeindebediensteter oder ein Polizeibeamter der Versteigerung beizuwohnen. </w:t>
      </w:r>
      <w:r>
        <w:rPr>
          <w:rStyle w:val="Satznummer"/>
        </w:rPr>
        <w:t>3</w:t>
      </w:r>
      <w:r>
        <w:t xml:space="preserve">Die Sätze 1 und 2 gelten nicht für eine Versteigerung nach </w:t>
      </w:r>
      <w:hyperlink w:anchor="b444" w:history="1">
        <w:r>
          <w:rPr>
            <w:color w:val="0A3A8C"/>
            <w:u w:val="single"/>
          </w:rPr>
          <w:t xml:space="preserve">§ 296</w:t>
        </w:r>
      </w:hyperlink>
      <w:r>
        <w:t xml:space="preserve"> Absatz 1 Satz 2 Nummer 2.</w:t>
      </w:r>
    </w:p>
    <w:p>
      <w:r>
        <w:t>(3) § 1239 Absatz 1 Satz 1 des Bürgerlichen Gesetzbuchs gilt entsprechend; bei der Versteigerung vor Ort (</w:t>
      </w:r>
      <w:hyperlink w:anchor="b444" w:history="1">
        <w:r>
          <w:rPr>
            <w:color w:val="0A3A8C"/>
            <w:u w:val="single"/>
          </w:rPr>
          <w:t xml:space="preserve">§ 296</w:t>
        </w:r>
      </w:hyperlink>
      <w:r>
        <w:t xml:space="preserve"> Absatz 1 Satz 2 Nummer 1) ist auch § 1239 Absatz 2 des Bürgerlichen Gesetzbuchs entsprechend anzuwenden.</w:t>
      </w:r>
    </w:p>
    <w:p>
      <w:pPr>
        <w:pStyle w:val="Heading5"/>
      </w:pPr>
      <w:bookmarkStart w:id="450" w:name="b447"/>
      <w:r>
        <w:t>§ 299 Zuschlag</w:t>
      </w:r>
      <w:r>
        <w:t xml:space="preserve"> </w:t>
      </w:r>
      <w:r>
        <w:rPr>
          <w:rStyle w:val="Suchmarke"/>
        </w:rPr>
        <w:t>#299#</w:t>
      </w:r>
      <w:bookmarkEnd w:id="450"/>
    </w:p>
    <w:p>
      <w:r>
        <w:t xml:space="preserve">(1) </w:t>
      </w:r>
      <w:r>
        <w:rPr>
          <w:rStyle w:val="Satznummer"/>
        </w:rPr>
        <w:t>1</w:t>
      </w:r>
      <w:r>
        <w:t>Bei der Versteigerung vor Ort (</w:t>
      </w:r>
      <w:hyperlink w:anchor="b444" w:history="1">
        <w:r>
          <w:rPr>
            <w:color w:val="0A3A8C"/>
            <w:u w:val="single"/>
          </w:rPr>
          <w:t xml:space="preserve">§ 296</w:t>
        </w:r>
      </w:hyperlink>
      <w:r>
        <w:t xml:space="preserve"> Absatz 1 Satz 2 Nummer 1) soll dem Zuschlag an den Meistbietenden ein dreimaliger Aufruf vorausgehen. </w:t>
      </w:r>
      <w:r>
        <w:rPr>
          <w:rStyle w:val="Satznummer"/>
        </w:rPr>
        <w:t>2</w:t>
      </w:r>
      <w:r>
        <w:t>Bei einer Versteigerung im Internet (</w:t>
      </w:r>
      <w:hyperlink w:anchor="b444" w:history="1">
        <w:r>
          <w:rPr>
            <w:color w:val="0A3A8C"/>
            <w:u w:val="single"/>
          </w:rPr>
          <w:t xml:space="preserve">§ 296</w:t>
        </w:r>
      </w:hyperlink>
      <w:r>
        <w:t xml:space="preserve"> Absatz 1 Satz 2 Nummer 2) ist der Zuschlag der Person erteilt, die am Ende der Versteigerung das höchste Gebot abgegeben hat, es sei denn, die Versteigerung wird vorzeitig abgebrochen; sie ist von dem Zuschlag zu benachrichtigen. </w:t>
      </w:r>
      <w:r>
        <w:rPr>
          <w:rStyle w:val="Satznummer"/>
        </w:rPr>
        <w:t>3</w:t>
      </w:r>
      <w:r>
        <w:t>§ 156 des Bürgerlichen Gesetzbuchs gilt entsprechend.</w:t>
      </w:r>
    </w:p>
    <w:p>
      <w:r>
        <w:t xml:space="preserve">(2) </w:t>
      </w:r>
      <w:r>
        <w:rPr>
          <w:rStyle w:val="Satznummer"/>
        </w:rPr>
        <w:t>1</w:t>
      </w:r>
      <w:r>
        <w:t xml:space="preserve">Die Aushändigung einer zugeschlagenen Sache darf nur gegen bare Zahlung geschehen. </w:t>
      </w:r>
      <w:r>
        <w:rPr>
          <w:rStyle w:val="Satznummer"/>
        </w:rPr>
        <w:t>2</w:t>
      </w:r>
      <w:r>
        <w:t xml:space="preserve">Bei einer Versteigerung im Internet darf die zugeschlagene Sache auch ausgehändigt werden, wenn die Zahlung auf dem Konto der Finanzbehörde gutgeschrieben ist. </w:t>
      </w:r>
      <w:r>
        <w:rPr>
          <w:rStyle w:val="Satznummer"/>
        </w:rPr>
        <w:t>3</w:t>
      </w:r>
      <w:r>
        <w:t>Wird die zugeschlagene Sache übersandt, so gilt die Aushändigung mit der Übergabe an die zur Ausführung der Versendung bestimmte Person als bewirkt.</w:t>
      </w:r>
    </w:p>
    <w:p>
      <w:r>
        <w:t xml:space="preserve">(3) </w:t>
      </w:r>
      <w:r>
        <w:rPr>
          <w:rStyle w:val="Satznummer"/>
        </w:rPr>
        <w:t>1</w:t>
      </w:r>
      <w:r>
        <w:t xml:space="preserve">Hat der Meistbietende nicht zu der in den Versteigerungsbedingungen bestimmten Zeit oder in Ermangelung einer solchen Bestimmung nicht vor dem Schluss des Versteigerungstermins die Aushändigung gegen Zahlung des Kaufgeldes verlangt, so wird die Sache anderweitig versteigert. </w:t>
      </w:r>
      <w:r>
        <w:rPr>
          <w:rStyle w:val="Satznummer"/>
        </w:rPr>
        <w:t>2</w:t>
      </w:r>
      <w:r>
        <w:t>Der Meistbietende wird zu einem weiteren Gebot nicht zugelassen; er haftet für den Ausfall, auf den Mehrerlös hat er keinen Anspruch.</w:t>
      </w:r>
    </w:p>
    <w:p>
      <w:r>
        <w:t xml:space="preserve">(4) </w:t>
      </w:r>
      <w:r>
        <w:rPr>
          <w:rStyle w:val="Satznummer"/>
        </w:rPr>
        <w:t>1</w:t>
      </w:r>
      <w:r>
        <w:t xml:space="preserve">Wird der Zuschlag dem Gläubiger erteilt, so ist dieser von der Verpflichtung zur baren Zahlung so weit befreit, als der Erlös nach Abzug der Kosten der Vollstreckung zu seiner Befriedigung zu verwenden ist. </w:t>
      </w:r>
      <w:r>
        <w:rPr>
          <w:rStyle w:val="Satznummer"/>
        </w:rPr>
        <w:t>2</w:t>
      </w:r>
      <w:r>
        <w:t>Soweit der Gläubiger von der Verpflichtung zur baren Zahlung befreit ist, gilt der Betrag als von dem Schuldner an den Gläubiger gezahlt.</w:t>
      </w:r>
    </w:p>
    <w:p>
      <w:pPr>
        <w:pStyle w:val="Heading5"/>
      </w:pPr>
      <w:bookmarkStart w:id="451" w:name="b448"/>
      <w:r>
        <w:t>§ 300 Mindestgebot</w:t>
      </w:r>
      <w:r>
        <w:t xml:space="preserve"> </w:t>
      </w:r>
      <w:r>
        <w:rPr>
          <w:rStyle w:val="Suchmarke"/>
        </w:rPr>
        <w:t>#300#</w:t>
      </w:r>
      <w:bookmarkEnd w:id="451"/>
    </w:p>
    <w:p>
      <w:r>
        <w:t xml:space="preserve">(1) </w:t>
      </w:r>
      <w:r>
        <w:rPr>
          <w:rStyle w:val="Satznummer"/>
        </w:rPr>
        <w:t>1</w:t>
      </w:r>
      <w:r>
        <w:t xml:space="preserve">Der Zuschlag darf nur auf ein Gebot erteilt werden, das mindestens die Hälfte des gewöhnlichen Verkaufswerts der Sache erreicht (Mindestgebot). </w:t>
      </w:r>
      <w:r>
        <w:rPr>
          <w:rStyle w:val="Satznummer"/>
        </w:rPr>
        <w:t>2</w:t>
      </w:r>
      <w:r>
        <w:t>Der gewöhnliche Verkaufswert und das Mindestgebot sollen bei dem Ausbieten bekannt gegeben werden.</w:t>
      </w:r>
    </w:p>
    <w:p>
      <w:r>
        <w:t xml:space="preserve">(2) </w:t>
      </w:r>
      <w:r>
        <w:rPr>
          <w:rStyle w:val="Satznummer"/>
        </w:rPr>
        <w:t>1</w:t>
      </w:r>
      <w:r>
        <w:t xml:space="preserve">Wird der Zuschlag nicht erteilt, weil ein das Mindestgebot erreichendes Gebot nicht abgegeben worden ist, so bleibt das Pfandrecht bestehen. </w:t>
      </w:r>
      <w:r>
        <w:rPr>
          <w:rStyle w:val="Satznummer"/>
        </w:rPr>
        <w:t>2</w:t>
      </w:r>
      <w:r>
        <w:t xml:space="preserve">Die Vollstreckungsbehörde kann jederzeit einen neuen Versteigerungstermin bestimmen oder eine anderweitige Verwertung der gepfändeten Sachen nach </w:t>
      </w:r>
      <w:hyperlink w:anchor="b453" w:history="1">
        <w:r>
          <w:rPr>
            <w:color w:val="0A3A8C"/>
            <w:u w:val="single"/>
          </w:rPr>
          <w:t xml:space="preserve">§ 305</w:t>
        </w:r>
      </w:hyperlink>
      <w:r>
        <w:t xml:space="preserve"> anordnen. </w:t>
      </w:r>
      <w:r>
        <w:rPr>
          <w:rStyle w:val="Satznummer"/>
        </w:rPr>
        <w:t>3</w:t>
      </w:r>
      <w:r>
        <w:t>Wird die anderweitige Verwertung angeordnet, so gilt Absatz 1 entsprechend.</w:t>
      </w:r>
    </w:p>
    <w:p>
      <w:r>
        <w:t xml:space="preserve">(3) </w:t>
      </w:r>
      <w:r>
        <w:rPr>
          <w:rStyle w:val="Satznummer"/>
        </w:rPr>
        <w:t>1</w:t>
      </w:r>
      <w:r>
        <w:t xml:space="preserve">Gold- und Silbersachen dürfen auch nicht unter ihrem Gold- oder Silberwert zugeschlagen werden. </w:t>
      </w:r>
      <w:r>
        <w:rPr>
          <w:rStyle w:val="Satznummer"/>
        </w:rPr>
        <w:t>2</w:t>
      </w:r>
      <w:r>
        <w:t xml:space="preserve">Wird ein den Zuschlag gestattendes Gebot nicht abgegeben, so können die Sachen auf Anordnung der Vollstreckungsbehörde aus freier Hand verkauft werden. </w:t>
      </w:r>
      <w:r>
        <w:rPr>
          <w:rStyle w:val="Satznummer"/>
        </w:rPr>
        <w:t>3</w:t>
      </w:r>
      <w:r>
        <w:t>Der Verkaufspreis darf den Gold- oder Silberwert und die Hälfte des gewöhnlichen Verkaufswerts nicht unterschreiten.</w:t>
      </w:r>
    </w:p>
    <w:p>
      <w:pPr>
        <w:pStyle w:val="Heading5"/>
      </w:pPr>
      <w:bookmarkStart w:id="452" w:name="b449"/>
      <w:r>
        <w:t>§ 301 Einstellung der Versteigerung</w:t>
      </w:r>
      <w:r>
        <w:t xml:space="preserve"> </w:t>
      </w:r>
      <w:r>
        <w:rPr>
          <w:rStyle w:val="Suchmarke"/>
        </w:rPr>
        <w:t>#301#</w:t>
      </w:r>
      <w:bookmarkEnd w:id="452"/>
    </w:p>
    <w:p>
      <w:r>
        <w:t>(1) Die Versteigerung wird eingestellt, sobald der Erlös zur Deckung der beizutreibenden Beträge einschließlich der Kosten der Vollstreckung ausreicht.</w:t>
      </w:r>
    </w:p>
    <w:p>
      <w:r>
        <w:t xml:space="preserve">(2) </w:t>
      </w:r>
      <w:r>
        <w:rPr>
          <w:rStyle w:val="Satznummer"/>
        </w:rPr>
        <w:t>1</w:t>
      </w:r>
      <w:r>
        <w:t>Die Empfangnahme des Erlöses durch den versteigernden Beamten gilt als Zahlung des Vollstreckungsschuldners, es sei denn, dass der Erlös hinterlegt wird (</w:t>
      </w:r>
      <w:hyperlink w:anchor="b456" w:history="1">
        <w:r>
          <w:rPr>
            <w:color w:val="0A3A8C"/>
            <w:u w:val="single"/>
          </w:rPr>
          <w:t xml:space="preserve">§ 308</w:t>
        </w:r>
      </w:hyperlink>
      <w:r>
        <w:t xml:space="preserve"> Absatz 4). </w:t>
      </w:r>
      <w:r>
        <w:rPr>
          <w:rStyle w:val="Satznummer"/>
        </w:rPr>
        <w:t>2</w:t>
      </w:r>
      <w:r>
        <w:t>Als Zahlung im Sinne von Satz 1 gilt bei einer Versteigerung im Internet auch der Eingang des Erlöses auf dem Konto der Finanzbehörde.</w:t>
      </w:r>
    </w:p>
    <w:p>
      <w:pPr>
        <w:pStyle w:val="Heading5"/>
      </w:pPr>
      <w:bookmarkStart w:id="453" w:name="b450"/>
      <w:r>
        <w:t>§ 302 Wertpapiere</w:t>
      </w:r>
      <w:r>
        <w:t xml:space="preserve"> </w:t>
      </w:r>
      <w:r>
        <w:rPr>
          <w:rStyle w:val="Suchmarke"/>
        </w:rPr>
        <w:t>#302#</w:t>
      </w:r>
      <w:bookmarkEnd w:id="453"/>
    </w:p>
    <w:p>
      <w:r>
        <w:t>Gepfändete Wertpapiere, die einen Börsen- oder Marktpreis haben, sind aus freier Hand zum Tageskurs zu verkaufen; andere Wertpapiere sind nach den allgemeinen Vorschriften zu versteigern.</w:t>
      </w:r>
    </w:p>
    <w:p>
      <w:pPr>
        <w:pStyle w:val="Heading5"/>
      </w:pPr>
      <w:bookmarkStart w:id="454" w:name="b451"/>
      <w:r>
        <w:t>§ 303 Namenspapiere</w:t>
      </w:r>
      <w:r>
        <w:t xml:space="preserve"> </w:t>
      </w:r>
      <w:r>
        <w:rPr>
          <w:rStyle w:val="Suchmarke"/>
        </w:rPr>
        <w:t>#303#</w:t>
      </w:r>
      <w:bookmarkEnd w:id="454"/>
    </w:p>
    <w:p>
      <w:r>
        <w:t>Lautet ein gepfändetes Wertpapier auf einen Namen, so ist die Vollstreckungsbehörde berechtigt, die Umschreibung auf den Namen des Käufers oder, wenn es sich um ein auf einen Namen umgeschriebenes Inhaberpapier handelt, die Rückverwandlung in ein Inhaberpapier zu erwirken und die hierzu erforderlichen Erklärungen an Stelle des Vollstreckungsschuldners abzugeben.</w:t>
      </w:r>
    </w:p>
    <w:p>
      <w:pPr>
        <w:pStyle w:val="Heading5"/>
      </w:pPr>
      <w:bookmarkStart w:id="455" w:name="b452"/>
      <w:r>
        <w:t>§ 304 Versteigerung ungetrennter Früchte</w:t>
      </w:r>
      <w:r>
        <w:t xml:space="preserve"> </w:t>
      </w:r>
      <w:r>
        <w:rPr>
          <w:rStyle w:val="Suchmarke"/>
        </w:rPr>
        <w:t>#304#</w:t>
      </w:r>
      <w:bookmarkEnd w:id="455"/>
    </w:p>
    <w:p>
      <w:r>
        <w:rPr>
          <w:rStyle w:val="Satznummer"/>
        </w:rPr>
        <w:t>1</w:t>
      </w:r>
      <w:r>
        <w:t xml:space="preserve">Gepfändete Früchte, die vom Boden noch nicht getrennt sind, dürfen erst nach der Reife versteigert werden. </w:t>
      </w:r>
      <w:r>
        <w:rPr>
          <w:rStyle w:val="Satznummer"/>
        </w:rPr>
        <w:t>2</w:t>
      </w:r>
      <w:r>
        <w:t>Der Vollziehungsbeamte hat sie abernten zu lassen, wenn er sie nicht vor der Trennung versteigert.</w:t>
      </w:r>
    </w:p>
    <w:p>
      <w:pPr>
        <w:pStyle w:val="Heading5"/>
      </w:pPr>
      <w:bookmarkStart w:id="456" w:name="b453"/>
      <w:r>
        <w:t>§ 305 Besondere Verwertung</w:t>
      </w:r>
      <w:r>
        <w:t xml:space="preserve"> </w:t>
      </w:r>
      <w:r>
        <w:rPr>
          <w:rStyle w:val="Suchmarke"/>
        </w:rPr>
        <w:t>#305#</w:t>
      </w:r>
      <w:bookmarkEnd w:id="456"/>
    </w:p>
    <w:p>
      <w:r>
        <w:t>Auf Antrag des Vollstreckungsschuldners oder aus besonderen Zweckmäßigkeitsgründen kann die Vollstreckungsbehörde anordnen, dass eine gepfändete Sache in anderer Weise oder an einem anderen Ort, als in den vorstehenden Paragraphen bestimmt ist, zu verwerten oder durch eine andere Person als den Vollziehungsbeamten zu versteigern sei.</w:t>
      </w:r>
    </w:p>
    <w:p>
      <w:pPr>
        <w:pStyle w:val="Heading5"/>
      </w:pPr>
      <w:bookmarkStart w:id="457" w:name="b454"/>
      <w:r>
        <w:t>§ 306 Vollstreckung in Ersatzteile von Luftfahrzeugen</w:t>
      </w:r>
      <w:r>
        <w:t xml:space="preserve"> </w:t>
      </w:r>
      <w:r>
        <w:rPr>
          <w:rStyle w:val="Suchmarke"/>
        </w:rPr>
        <w:t>#306#</w:t>
      </w:r>
      <w:bookmarkEnd w:id="457"/>
    </w:p>
    <w:p>
      <w:r>
        <w:t>(1) Für die Vollstreckung in Ersatzteile, auf die sich ein Registerpfandrecht an einem Luftfahrzeug nach § 71 des Gesetzes über Rechte an Luftfahrzeugen erstreckt, gilt § 100 des Gesetzes über Rechte an Luftfahrzeugen; an die Stelle des Gerichtsvollziehers tritt der Vollziehungsbeamte.</w:t>
      </w:r>
    </w:p>
    <w:p>
      <w:r>
        <w:t>(2) Absatz 1 gilt für die Vollstreckung in Ersatzteile, auf die sich das Recht an einem ausländischen Luftfahrzeug erstreckt, mit der Maßgabe, dass die Vorschriften des § 106 Absatz 1 Nummer 2 und Absatz 4 des Gesetzes über Rechte an Luftfahrzeugen zu berücksichtigen sind.</w:t>
      </w:r>
    </w:p>
    <w:p>
      <w:pPr>
        <w:pStyle w:val="Heading5"/>
      </w:pPr>
      <w:bookmarkStart w:id="458" w:name="b455"/>
      <w:r>
        <w:t>§ 307 Anschlusspfändung</w:t>
      </w:r>
      <w:r>
        <w:t xml:space="preserve"> </w:t>
      </w:r>
      <w:r>
        <w:rPr>
          <w:rStyle w:val="Suchmarke"/>
        </w:rPr>
        <w:t>#307#</w:t>
      </w:r>
      <w:bookmarkEnd w:id="458"/>
    </w:p>
    <w:p>
      <w:r>
        <w:t xml:space="preserve">(1) </w:t>
      </w:r>
      <w:r>
        <w:rPr>
          <w:rStyle w:val="Satznummer"/>
        </w:rPr>
        <w:t>1</w:t>
      </w:r>
      <w:r>
        <w:t xml:space="preserve">Zur Pfändung bereits gepfändeter Sachen genügt die in die Niederschrift aufzunehmende Erklärung des Vollziehungsbeamten, dass er die Sache für die zu bezeichnende Forderung pfändet. </w:t>
      </w:r>
      <w:r>
        <w:rPr>
          <w:rStyle w:val="Satznummer"/>
        </w:rPr>
        <w:t>2</w:t>
      </w:r>
      <w:r>
        <w:t>Dem Vollstreckungsschuldner ist die weitere Pfändung mitzuteilen.</w:t>
      </w:r>
    </w:p>
    <w:p>
      <w:r>
        <w:t xml:space="preserve">(2) </w:t>
      </w:r>
      <w:r>
        <w:rPr>
          <w:rStyle w:val="Satznummer"/>
        </w:rPr>
        <w:t>1</w:t>
      </w:r>
      <w:r>
        <w:t xml:space="preserve">Ist die erste Pfändung für eine andere Vollstreckungsbehörde oder durch einen Gerichtsvollzieher erfolgt, so ist dieser Vollstreckungsbehörde oder dem Gerichtsvollzieher eine Abschrift der Niederschrift zu übersenden. </w:t>
      </w:r>
      <w:r>
        <w:rPr>
          <w:rStyle w:val="Satznummer"/>
        </w:rPr>
        <w:t>2</w:t>
      </w:r>
      <w:r>
        <w:t>Die gleiche Pflicht hat ein Gerichtsvollzieher, der eine Sache pfändet, die bereits im Auftrag einer Vollstreckungsbehörde gepfändet ist.</w:t>
      </w:r>
    </w:p>
    <w:p>
      <w:pPr>
        <w:pStyle w:val="Heading5"/>
      </w:pPr>
      <w:bookmarkStart w:id="459" w:name="b456"/>
      <w:r>
        <w:t>§ 308 Verwertung bei mehrfacher Pfändung</w:t>
      </w:r>
      <w:r>
        <w:t xml:space="preserve"> </w:t>
      </w:r>
      <w:r>
        <w:rPr>
          <w:rStyle w:val="Suchmarke"/>
        </w:rPr>
        <w:t>#308#</w:t>
      </w:r>
      <w:bookmarkEnd w:id="459"/>
    </w:p>
    <w:p>
      <w:r>
        <w:t>(1) Wird dieselbe Sache mehrfach durch Vollziehungsbeamte oder durch Vollziehungsbeamte und Gerichtsvollzieher gepfändet, so begründet ausschließlich die erste Pfändung die Zuständigkeit zur Versteigerung.</w:t>
      </w:r>
    </w:p>
    <w:p>
      <w:r>
        <w:t>(2) Betreibt ein Gläubiger die Versteigerung, so wird für alle beteiligten Gläubiger versteigert.</w:t>
      </w:r>
    </w:p>
    <w:p>
      <w:r>
        <w:t>(3) Der Erlös wird nach der Reihenfolge der Pfändungen oder nach abweichender Vereinbarung der beteiligten Gläubiger verteilt.</w:t>
      </w:r>
    </w:p>
    <w:p>
      <w:r>
        <w:t xml:space="preserve">(4) </w:t>
      </w:r>
      <w:r>
        <w:rPr>
          <w:rStyle w:val="Satznummer"/>
        </w:rPr>
        <w:t>1</w:t>
      </w:r>
      <w:r>
        <w:t xml:space="preserve">Reicht der Erlös zur Deckung der Forderungen nicht aus und verlangt ein Gläubiger, für den die zweite oder eine spätere Pfändung erfolgt ist, ohne Zustimmung der übrigen beteiligten Gläubiger eine andere Verteilung als nach der Reihenfolge der Pfändungen, so ist die Sachlage unter Hinterlegung des Erlöses dem Amtsgericht, in dessen Bezirk gepfändet ist, anzuzeigen. </w:t>
      </w:r>
      <w:r>
        <w:rPr>
          <w:rStyle w:val="Satznummer"/>
        </w:rPr>
        <w:t>2</w:t>
      </w:r>
      <w:r>
        <w:t xml:space="preserve">Der Anzeige sind die Schriftstücke, die sich auf das Verfahren beziehen, beizufügen. </w:t>
      </w:r>
      <w:r>
        <w:rPr>
          <w:rStyle w:val="Satznummer"/>
        </w:rPr>
        <w:t>3</w:t>
      </w:r>
      <w:r>
        <w:t>Für das Verteilungsverfahren gelten die §§ 873 bis 882 der Zivilprozessordnung.</w:t>
      </w:r>
    </w:p>
    <w:p>
      <w:r>
        <w:t>(5) Wird für verschiedene Gläubiger gleichzeitig gepfändet, so finden die Vorschriften der Absätze 2 bis 4 mit der Maßgabe Anwendung, dass der Erlös nach dem Verhältnis der Forderungen verteilt wird.</w:t>
      </w:r>
    </w:p>
    <w:p>
      <w:pPr>
        <w:pStyle w:val="Heading4"/>
      </w:pPr>
      <w:bookmarkStart w:id="460" w:name="b457"/>
      <w:r>
        <w:t>III. Vollstreckung in Forderungen und andere Vermögensrechte</w:t>
      </w:r>
      <w:bookmarkEnd w:id="460"/>
    </w:p>
    <w:p>
      <w:pPr>
        <w:pStyle w:val="Heading5"/>
      </w:pPr>
      <w:bookmarkStart w:id="461" w:name="b458"/>
      <w:r>
        <w:t>§ 309 Pfändung einer Geldforderung</w:t>
      </w:r>
      <w:r>
        <w:t xml:space="preserve"> </w:t>
      </w:r>
      <w:r>
        <w:rPr>
          <w:rStyle w:val="Suchmarke"/>
        </w:rPr>
        <w:t>#309#</w:t>
      </w:r>
      <w:bookmarkEnd w:id="461"/>
    </w:p>
    <w:p>
      <w:r>
        <w:t xml:space="preserve">(1) </w:t>
      </w:r>
      <w:r>
        <w:rPr>
          <w:rStyle w:val="Satznummer"/>
        </w:rPr>
        <w:t>1</w:t>
      </w:r>
      <w:r>
        <w:t xml:space="preserve">Soll eine Geldforderung gepfändet werden, so hat die Vollstreckungsbehörde dem Drittschuldner schriftlich zu verbieten, an den Vollstreckungsschuldner zu zahlen, und dem Vollstreckungsschuldner schriftlich zu gebieten, sich jeder Verfügung über die Forderung, insbesondere ihrer Einziehung, zu enthalten (Pfändungsverfügung). </w:t>
      </w:r>
      <w:r>
        <w:rPr>
          <w:rStyle w:val="Satznummer"/>
        </w:rPr>
        <w:t>2</w:t>
      </w:r>
      <w:r>
        <w:t>Die elektronische Form ist ausgeschlossen.</w:t>
      </w:r>
    </w:p>
    <w:p>
      <w:r>
        <w:t xml:space="preserve">(2) </w:t>
      </w:r>
      <w:r>
        <w:rPr>
          <w:rStyle w:val="Satznummer"/>
        </w:rPr>
        <w:t>1</w:t>
      </w:r>
      <w:r>
        <w:t xml:space="preserve">Die Pfändung ist bewirkt, wenn die Pfändungsverfügung dem Drittschuldner zugestellt ist. </w:t>
      </w:r>
      <w:r>
        <w:rPr>
          <w:rStyle w:val="Satznummer"/>
        </w:rPr>
        <w:t>2</w:t>
      </w:r>
      <w:r>
        <w:t xml:space="preserve">Die an den Drittschuldner zuzustellende Pfändungsverfügung soll den beizutreibenden Geldbetrag nur in einer Summe, ohne Angabe der Steuerarten und der Zeiträume, für die er geschuldet wird, bezeichnen. </w:t>
      </w:r>
      <w:r>
        <w:rPr>
          <w:rStyle w:val="Satznummer"/>
        </w:rPr>
        <w:t>3</w:t>
      </w:r>
      <w:r>
        <w:t>Die Zustellung ist dem Vollstreckungsschuldner mitzuteilen.</w:t>
      </w:r>
    </w:p>
    <w:p>
      <w:r>
        <w:t>(3) Bei Pfändung des Guthabens eines Kontos des Vollstreckungsschuldners bei einem Kreditinstitut gelten die §§ 833a und 907 der Zivilprozessordnung entsprechend.</w:t>
      </w:r>
    </w:p>
    <w:p>
      <w:pPr>
        <w:pStyle w:val="Heading5"/>
      </w:pPr>
      <w:bookmarkStart w:id="462" w:name="b459"/>
      <w:r>
        <w:t>§ 310 Pfändung einer durch Hypothek gesicherten Forderung</w:t>
      </w:r>
      <w:r>
        <w:t xml:space="preserve"> </w:t>
      </w:r>
      <w:r>
        <w:rPr>
          <w:rStyle w:val="Suchmarke"/>
        </w:rPr>
        <w:t>#310#</w:t>
      </w:r>
      <w:bookmarkEnd w:id="462"/>
    </w:p>
    <w:p>
      <w:r>
        <w:t xml:space="preserve">(1) </w:t>
      </w:r>
      <w:r>
        <w:rPr>
          <w:rStyle w:val="Satznummer"/>
        </w:rPr>
        <w:t>1</w:t>
      </w:r>
      <w:r>
        <w:t xml:space="preserve">Zur Pfändung einer Forderung, für die eine Hypothek besteht, ist außer der Pfändungsverfügung die Aushändigung des Hypothekenbriefs an die Vollstreckungsbehörde erforderlich. </w:t>
      </w:r>
      <w:r>
        <w:rPr>
          <w:rStyle w:val="Satznummer"/>
        </w:rPr>
        <w:t>2</w:t>
      </w:r>
      <w:r>
        <w:t xml:space="preserve">Die Übergabe gilt als erfolgt, wenn der Vollziehungsbeamte den Brief wegnimmt. </w:t>
      </w:r>
      <w:r>
        <w:rPr>
          <w:rStyle w:val="Satznummer"/>
        </w:rPr>
        <w:t>3</w:t>
      </w:r>
      <w:r>
        <w:t>Ist die Erteilung des Hypothekenbriefs ausgeschlossen, so muss die Pfändung in das Grundbuch eingetragen werden; die Eintragung erfolgt auf Grund der Pfändungsverfügung auf Ersuchen der Vollstreckungsbehörde.</w:t>
      </w:r>
    </w:p>
    <w:p>
      <w:r>
        <w:t>(2) Wird die Pfändungsverfügung vor der Übergabe des Hypothekenbriefs oder der Eintragung der Pfändung dem Drittschuldner zugestellt, so gilt die Pfändung diesem gegenüber mit der Zustellung als bewirkt.</w:t>
      </w:r>
    </w:p>
    <w:p>
      <w:r>
        <w:t xml:space="preserve">(3) </w:t>
      </w:r>
      <w:r>
        <w:rPr>
          <w:rStyle w:val="Satznummer"/>
        </w:rPr>
        <w:t>1</w:t>
      </w:r>
      <w:r>
        <w:t xml:space="preserve">Diese Vorschriften gelten nicht, soweit Ansprüche auf die in § 1159 des Bürgerlichen Gesetzbuchs bezeichneten Leistungen gepfändet werden. </w:t>
      </w:r>
      <w:r>
        <w:rPr>
          <w:rStyle w:val="Satznummer"/>
        </w:rPr>
        <w:t>2</w:t>
      </w:r>
      <w:r>
        <w:t>Das Gleiche gilt bei einer Sicherungshypothek im Fall des § 1187 des Bürgerlichen Gesetzbuchs von der Pfändung der Hauptforderung.</w:t>
      </w:r>
    </w:p>
    <w:p>
      <w:pPr>
        <w:pStyle w:val="Heading5"/>
      </w:pPr>
      <w:bookmarkStart w:id="463" w:name="b460"/>
      <w:r>
        <w:t>§ 311 Pfändung einer durch Schiffshypothek oder Registerpfandrecht an einem Luftfahrzeug gesicherten Forderung</w:t>
      </w:r>
      <w:r>
        <w:t xml:space="preserve"> </w:t>
      </w:r>
      <w:r>
        <w:rPr>
          <w:rStyle w:val="Suchmarke"/>
        </w:rPr>
        <w:t>#311#</w:t>
      </w:r>
      <w:bookmarkEnd w:id="463"/>
    </w:p>
    <w:p>
      <w:r>
        <w:t>(1) Die Pfändung einer Forderung, für die eine Schiffshypothek besteht, bedarf der Eintragung in das Schiffsregister oder das Schiffsbauregister.</w:t>
      </w:r>
    </w:p>
    <w:p>
      <w:r>
        <w:t>(2) Die Pfändung einer Forderung, für die ein Registerpfandrecht an einem Luftfahrzeug besteht, bedarf der Eintragung in das Register für Pfandrechte an Luftfahrzeugen.</w:t>
      </w:r>
    </w:p>
    <w:p>
      <w:r>
        <w:t xml:space="preserve">(3) </w:t>
      </w:r>
      <w:r>
        <w:rPr>
          <w:rStyle w:val="Satznummer"/>
        </w:rPr>
        <w:t>1</w:t>
      </w:r>
      <w:r>
        <w:t xml:space="preserve">Die Pfändung nach den Absätzen 1 und 2 wird auf Grund der Pfändungsverfügung auf Ersuchen der Vollstreckungsbehörde eingetragen. </w:t>
      </w:r>
      <w:r>
        <w:rPr>
          <w:rStyle w:val="Satznummer"/>
        </w:rPr>
        <w:t>2</w:t>
      </w:r>
      <w:hyperlink w:anchor="b459" w:history="1">
        <w:r>
          <w:rPr>
            <w:color w:val="0A3A8C"/>
            <w:u w:val="single"/>
          </w:rPr>
          <w:t xml:space="preserve">§ 310</w:t>
        </w:r>
      </w:hyperlink>
      <w:r>
        <w:t xml:space="preserve"> Absatz 2 gilt entsprechend.</w:t>
      </w:r>
    </w:p>
    <w:p>
      <w:r>
        <w:t xml:space="preserve">(4) </w:t>
      </w:r>
      <w:r>
        <w:rPr>
          <w:rStyle w:val="Satznummer"/>
        </w:rPr>
        <w:t>1</w:t>
      </w:r>
      <w:r>
        <w:t xml:space="preserve">Die Absätze 1 bis 3 sind nicht anzuwenden, soweit es sich um die Pfändung der Ansprüche auf die in § 53 des Gesetzes über Rechte an eingetragenen Schiffen und Schiffsbauwerken und auf die in § 53 des Gesetzes über Rechte an Luftfahrzeugen bezeichneten Leistungen handelt. </w:t>
      </w:r>
      <w:r>
        <w:rPr>
          <w:rStyle w:val="Satznummer"/>
        </w:rPr>
        <w:t>2</w:t>
      </w:r>
      <w:r>
        <w:t>Das Gleiche gilt, wenn bei einer Schiffshypothek für eine Forderung aus einer Schuldverschreibung auf den Inhaber, aus einem Wechsel oder aus einem anderen durch Indossament übertragbaren Papier die Hauptforderung gepfändet ist.</w:t>
      </w:r>
    </w:p>
    <w:p>
      <w:r>
        <w:t>(5) Für die Pfändung von Forderungen, für die ein Recht an einem ausländischen Luftfahrzeug besteht, gilt § 106 Absatz 1 Nummer 3 und Absatz 5 des Gesetzes über Rechte an Luftfahrzeugen.</w:t>
      </w:r>
    </w:p>
    <w:p>
      <w:pPr>
        <w:pStyle w:val="Heading5"/>
      </w:pPr>
      <w:bookmarkStart w:id="464" w:name="b461"/>
      <w:r>
        <w:t>§ 312 Pfändung einer Forderung aus indossablen Papieren</w:t>
      </w:r>
      <w:r>
        <w:t xml:space="preserve"> </w:t>
      </w:r>
      <w:r>
        <w:rPr>
          <w:rStyle w:val="Suchmarke"/>
        </w:rPr>
        <w:t>#312#</w:t>
      </w:r>
      <w:bookmarkEnd w:id="464"/>
    </w:p>
    <w:p>
      <w:r>
        <w:t>Forderungen aus Wechseln und anderen Papieren, die durch Indossament übertragen werden können, werden dadurch gepfändet, dass der Vollziehungsbeamte die Papiere in Besitz nimmt.</w:t>
      </w:r>
    </w:p>
    <w:p>
      <w:pPr>
        <w:pStyle w:val="Heading5"/>
      </w:pPr>
      <w:bookmarkStart w:id="465" w:name="b462"/>
      <w:r>
        <w:t>§ 313 Pfändung fortlaufender Bezüge</w:t>
      </w:r>
      <w:r>
        <w:t xml:space="preserve"> </w:t>
      </w:r>
      <w:r>
        <w:rPr>
          <w:rStyle w:val="Suchmarke"/>
        </w:rPr>
        <w:t>#313#</w:t>
      </w:r>
      <w:bookmarkEnd w:id="465"/>
    </w:p>
    <w:p>
      <w:r>
        <w:t>(1) Das Pfandrecht, das durch die Pfändung einer Gehaltsforderung oder einer ähnlichen in fortlaufenden Bezügen bestehenden Forderung erworben wird, erstreckt sich auch auf die Beträge, die später fällig werden.</w:t>
      </w:r>
    </w:p>
    <w:p>
      <w:r>
        <w:t xml:space="preserve">(2) </w:t>
      </w:r>
      <w:r>
        <w:rPr>
          <w:rStyle w:val="Satznummer"/>
        </w:rPr>
        <w:t>1</w:t>
      </w:r>
      <w:r>
        <w:t xml:space="preserve">Die Pfändung eines Diensteinkommens trifft auch das Einkommen, das der Vollstreckungsschuldner bei Versetzung in ein anderes Amt, Übertragung eines neuen Amts oder einer Gehaltserhöhung zu beziehen hat. </w:t>
      </w:r>
      <w:r>
        <w:rPr>
          <w:rStyle w:val="Satznummer"/>
        </w:rPr>
        <w:t>2</w:t>
      </w:r>
      <w:r>
        <w:t>Dies gilt nicht bei Wechsel des Dienstherrn.</w:t>
      </w:r>
    </w:p>
    <w:p>
      <w:r>
        <w:t>(3) Endet das Arbeits- oder Dienstverhältnis und begründen Vollstreckungsschuldner und Drittschuldner innerhalb von neun Monaten ein solches neu, so erstreckt sich die Pfändung auf die Forderung aus dem neuen Arbeits- oder Dienstverhältnis.</w:t>
      </w:r>
    </w:p>
    <w:p>
      <w:pPr>
        <w:pStyle w:val="Heading5"/>
      </w:pPr>
      <w:bookmarkStart w:id="466" w:name="b463"/>
      <w:r>
        <w:t>§ 314 Einziehungsverfügung</w:t>
      </w:r>
      <w:r>
        <w:t xml:space="preserve"> </w:t>
      </w:r>
      <w:r>
        <w:rPr>
          <w:rStyle w:val="Suchmarke"/>
        </w:rPr>
        <w:t>#314#</w:t>
      </w:r>
      <w:bookmarkEnd w:id="466"/>
    </w:p>
    <w:p>
      <w:r>
        <w:t xml:space="preserve">(1) </w:t>
      </w:r>
      <w:r>
        <w:rPr>
          <w:rStyle w:val="Satznummer"/>
        </w:rPr>
        <w:t>1</w:t>
      </w:r>
      <w:r>
        <w:t xml:space="preserve">Die Vollstreckungsbehörde ordnet die Einziehung der gepfändeten Forderung an. </w:t>
      </w:r>
      <w:r>
        <w:rPr>
          <w:rStyle w:val="Satznummer"/>
        </w:rPr>
        <w:t>2</w:t>
      </w:r>
      <w:hyperlink w:anchor="b458" w:history="1">
        <w:r>
          <w:rPr>
            <w:color w:val="0A3A8C"/>
            <w:u w:val="single"/>
          </w:rPr>
          <w:t xml:space="preserve">§ 309</w:t>
        </w:r>
      </w:hyperlink>
      <w:r>
        <w:t xml:space="preserve"> Absatz 2 gilt entsprechend.</w:t>
      </w:r>
    </w:p>
    <w:p>
      <w:r>
        <w:t>(2) Die Einziehungsverfügung kann mit der Pfändungsverfügung verbunden werden.</w:t>
      </w:r>
    </w:p>
    <w:p>
      <w:r>
        <w:t>(3) Wird die Einziehung eines bei einem Geldinstitut gepfändeten Guthabens eines Vollstreckungsschuldners, der eine natürliche Person ist, angeordnet, so gelten § 835 Absatz 3 Satz 2 und § 900 Absatz 1 der Zivilprozessordnung entsprechend.</w:t>
      </w:r>
    </w:p>
    <w:p>
      <w:r>
        <w:t>(4) Wird die Einziehung einer gepfändeten nicht wiederkehrend zahlbaren Vergütung eines Vollstreckungsschuldners, der eine natürliche Person ist, für persönlich geleistete Arbeiten oder Dienste oder sonstige Einkünfte, die kein Arbeitslohn sind, angeordnet, so gilt § 835 Absatz 4 der Zivilprozessordnung entsprechend.</w:t>
      </w:r>
    </w:p>
    <w:p>
      <w:pPr>
        <w:pStyle w:val="Heading5"/>
      </w:pPr>
      <w:bookmarkStart w:id="467" w:name="b464"/>
      <w:r>
        <w:t>§ 315 Wirkung der Einziehungsverfügung</w:t>
      </w:r>
      <w:r>
        <w:t xml:space="preserve"> </w:t>
      </w:r>
      <w:r>
        <w:rPr>
          <w:rStyle w:val="Suchmarke"/>
        </w:rPr>
        <w:t>#315#</w:t>
      </w:r>
      <w:bookmarkEnd w:id="467"/>
    </w:p>
    <w:p>
      <w:r>
        <w:t xml:space="preserve">(1) </w:t>
      </w:r>
      <w:r>
        <w:rPr>
          <w:rStyle w:val="Satznummer"/>
        </w:rPr>
        <w:t>1</w:t>
      </w:r>
      <w:r>
        <w:t xml:space="preserve">Die Einziehungsverfügung ersetzt die förmlichen Erklärungen des Vollstreckungsschuldners, von denen nach bürgerlichem Recht die Berechtigung zur Einziehung abhängt. </w:t>
      </w:r>
      <w:r>
        <w:rPr>
          <w:rStyle w:val="Satznummer"/>
        </w:rPr>
        <w:t>2</w:t>
      </w:r>
      <w:r>
        <w:t xml:space="preserve">Sie genügt auch bei einer Forderung, für die eine Hypothek, Schiffshypothek oder ein Registerpfandrecht an einem Luftfahrzeug besteht. </w:t>
      </w:r>
      <w:r>
        <w:rPr>
          <w:rStyle w:val="Satznummer"/>
        </w:rPr>
        <w:t>3</w:t>
      </w:r>
      <w:r>
        <w:t>Zugunsten des Drittschuldners gilt eine zu Unrecht ergangene Einziehungsverfügung dem Vollstreckungsschuldner gegenüber solange als rechtmäßig, bis sie aufgehoben ist und der Drittschuldner hiervon erfährt.</w:t>
      </w:r>
    </w:p>
    <w:p>
      <w:r>
        <w:t xml:space="preserve">(2) </w:t>
      </w:r>
      <w:r>
        <w:rPr>
          <w:rStyle w:val="Satznummer"/>
        </w:rPr>
        <w:t>1</w:t>
      </w:r>
      <w:r>
        <w:t xml:space="preserve">Der Vollstreckungsschuldner ist verpflichtet, die zur Geltendmachung der Forderung nötige Auskunft zu erteilen und die über die Forderung vorhandenen Urkunden herauszugeben. </w:t>
      </w:r>
      <w:r>
        <w:rPr>
          <w:rStyle w:val="Satznummer"/>
        </w:rPr>
        <w:t>2</w:t>
      </w:r>
      <w:r>
        <w:t xml:space="preserve">Erteilt der Vollstreckungsschuldner die Auskunft nicht, ist er auf Verlangen der Vollstreckungsbehörde verpflichtet, sie zu Protokoll zu geben und seine Angaben an Eides statt zu versichern. </w:t>
      </w:r>
      <w:r>
        <w:rPr>
          <w:rStyle w:val="Satznummer"/>
        </w:rPr>
        <w:t>3</w:t>
      </w:r>
      <w:r>
        <w:t xml:space="preserve">Die Vollstreckungsbehörde kann die eidesstattliche Versicherung der Lage der Sache entsprechend ändern. </w:t>
      </w:r>
      <w:r>
        <w:rPr>
          <w:rStyle w:val="Satznummer"/>
        </w:rPr>
        <w:t>4</w:t>
      </w:r>
      <w:hyperlink w:anchor="b431" w:history="1">
        <w:r>
          <w:rPr>
            <w:color w:val="0A3A8C"/>
            <w:u w:val="single"/>
          </w:rPr>
          <w:t xml:space="preserve">§ 284</w:t>
        </w:r>
      </w:hyperlink>
      <w:r>
        <w:t xml:space="preserve"> Absatz 5, 6 und 8 gilt sinngemäß. </w:t>
      </w:r>
      <w:r>
        <w:rPr>
          <w:rStyle w:val="Satznummer"/>
        </w:rPr>
        <w:t>5</w:t>
      </w:r>
      <w:r>
        <w:t xml:space="preserve">Die Vollstreckungsbehörde kann die Urkunden durch den Vollziehungsbeamten wegnehmen lassen oder ihre Herausgabe nach den </w:t>
      </w:r>
      <w:hyperlink w:anchor="b482" w:history="1">
        <w:r>
          <w:rPr>
            <w:color w:val="0A3A8C"/>
            <w:u w:val="single"/>
          </w:rPr>
          <w:t xml:space="preserve">§§ 328</w:t>
        </w:r>
      </w:hyperlink>
      <w:r>
        <w:t xml:space="preserve"> bis </w:t>
      </w:r>
      <w:hyperlink w:anchor="b489" w:history="1">
        <w:r>
          <w:rPr>
            <w:color w:val="0A3A8C"/>
            <w:u w:val="single"/>
          </w:rPr>
          <w:t xml:space="preserve">335</w:t>
        </w:r>
      </w:hyperlink>
      <w:r>
        <w:t xml:space="preserve"> erzwingen.</w:t>
      </w:r>
    </w:p>
    <w:p>
      <w:r>
        <w:t xml:space="preserve">(3) </w:t>
      </w:r>
      <w:r>
        <w:rPr>
          <w:rStyle w:val="Satznummer"/>
        </w:rPr>
        <w:t>1</w:t>
      </w:r>
      <w:r>
        <w:t xml:space="preserve">Werden die Urkunden nicht vorgefunden, so hat der Vollstreckungsschuldner auf Verlangen der Vollstreckungsbehörde zu Protokoll an Eides statt zu versichern, dass er die Urkunden nicht besitze, auch nicht wisse, wo sie sich befinden. </w:t>
      </w:r>
      <w:r>
        <w:rPr>
          <w:rStyle w:val="Satznummer"/>
        </w:rPr>
        <w:t>2</w:t>
      </w:r>
      <w:r>
        <w:t>Absatz 2 Satz 3 und 4 gilt entsprechend.</w:t>
      </w:r>
    </w:p>
    <w:p>
      <w:r>
        <w:t>(4) Hat ein Dritter die Urkunde, so kann die Vollstreckungsbehörde auch den Anspruch des Vollstreckungsschuldners auf Herausgabe geltend machen.</w:t>
      </w:r>
    </w:p>
    <w:p>
      <w:pPr>
        <w:pStyle w:val="Heading5"/>
      </w:pPr>
      <w:bookmarkStart w:id="468" w:name="b465"/>
      <w:r>
        <w:t>§ 316 Erklärungspflicht des Drittschuldners</w:t>
      </w:r>
      <w:r>
        <w:t xml:space="preserve"> </w:t>
      </w:r>
      <w:r>
        <w:rPr>
          <w:rStyle w:val="Suchmarke"/>
        </w:rPr>
        <w:t>#316#</w:t>
      </w:r>
      <w:bookmarkEnd w:id="468"/>
    </w:p>
    <w:p>
      <w:r>
        <w:t xml:space="preserve">(1) </w:t>
      </w:r>
      <w:r>
        <w:rPr>
          <w:rStyle w:val="Satznummer"/>
        </w:rPr>
        <w:t>1</w:t>
      </w:r>
      <w:r>
        <w:t>Auf Verlangen der Vollstreckungsbehörde hat ihr der Drittschuldner binnen zwei Wochen, von der Zustellung der Pfändungsverfügung an gerechnet, zu erklären:</w:t>
      </w:r>
    </w:p>
    <w:p>
      <w:pPr>
        <w:tabs>
          <w:tab w:pos="567" w:val="left"/>
        </w:tabs>
        <w:ind w:left="567" w:hanging="567"/>
      </w:pPr>
      <w:r>
        <w:t>1.</w:t>
      </w:r>
      <w:r>
        <w:tab/>
      </w:r>
      <w:r>
        <w:t>ob und inwieweit er die Forderung als begründet anerkenne und bereit sei zu zahlen,</w:t>
      </w:r>
    </w:p>
    <w:p>
      <w:pPr>
        <w:tabs>
          <w:tab w:pos="567" w:val="left"/>
        </w:tabs>
        <w:ind w:left="567" w:hanging="567"/>
      </w:pPr>
      <w:r>
        <w:t>2.</w:t>
      </w:r>
      <w:r>
        <w:tab/>
      </w:r>
      <w:r>
        <w:t>ob und welche Ansprüche andere Personen an die Forderung erheben,</w:t>
      </w:r>
    </w:p>
    <w:p>
      <w:pPr>
        <w:tabs>
          <w:tab w:pos="567" w:val="left"/>
        </w:tabs>
        <w:ind w:left="567" w:hanging="567"/>
      </w:pPr>
      <w:r>
        <w:t>3.</w:t>
      </w:r>
      <w:r>
        <w:tab/>
      </w:r>
      <w:r>
        <w:t>ob und wegen welcher Ansprüche die Forderung bereits für andere Gläubiger gepfändet sei;</w:t>
      </w:r>
    </w:p>
    <w:p>
      <w:pPr>
        <w:tabs>
          <w:tab w:pos="567" w:val="left"/>
        </w:tabs>
        <w:ind w:left="567" w:hanging="567"/>
      </w:pPr>
      <w:r>
        <w:t>4.</w:t>
      </w:r>
      <w:r>
        <w:tab/>
      </w:r>
      <w:r>
        <w:t>ob innerhalb der letzten zwölf Monate im Hinblick auf das Konto, dessen Guthaben gepfändet worden ist, nach § 907 der Zivilprozessordnung die Unpfändbarkeit des Guthabens festgesetzt worden ist, und</w:t>
      </w:r>
    </w:p>
    <w:p>
      <w:pPr>
        <w:tabs>
          <w:tab w:pos="567" w:val="left"/>
        </w:tabs>
        <w:ind w:left="567" w:hanging="567"/>
      </w:pPr>
      <w:r>
        <w:t>5.</w:t>
      </w:r>
      <w:r>
        <w:tab/>
      </w:r>
      <w:r>
        <w:t>ob es sich bei dem Konto, dessen Guthaben gepfändet worden ist, um ein Pfändungsschutzkonto im Sinne von § 850k der Zivilprozessordnung oder ein Gemeinschaftskonto im Sinne von § 850l der Zivilprozessordnung handelt; bei einem Gemeinschaftskonto ist zugleich anzugeben, ob der Schuldner nur gemeinsam mit einer anderen Person oder mehreren anderen Personen verfügungsbefugt ist.</w:t>
      </w:r>
    </w:p>
    <w:p>
      <w:r>
        <w:rPr>
          <w:rStyle w:val="Satznummer"/>
        </w:rPr>
        <w:t>2</w:t>
      </w:r>
      <w:r>
        <w:t>Die Erklärung des Drittschuldners zu Nummer 1 gilt nicht als Schuldanerkenntnis.</w:t>
      </w:r>
    </w:p>
    <w:p>
      <w:r>
        <w:t xml:space="preserve">(2) </w:t>
      </w:r>
      <w:r>
        <w:rPr>
          <w:rStyle w:val="Satznummer"/>
        </w:rPr>
        <w:t>1</w:t>
      </w:r>
      <w:r>
        <w:t xml:space="preserve">Die Aufforderung zur Abgabe dieser Erklärung kann in die Pfändungsverfügung aufgenommen werden. </w:t>
      </w:r>
      <w:r>
        <w:rPr>
          <w:rStyle w:val="Satznummer"/>
        </w:rPr>
        <w:t>2</w:t>
      </w:r>
      <w:r>
        <w:t xml:space="preserve">Der Drittschuldner haftet der Vollstreckungsbehörde für den Schaden, der aus der Nichterfüllung seiner Verpflichtung entsteht. </w:t>
      </w:r>
      <w:r>
        <w:rPr>
          <w:rStyle w:val="Satznummer"/>
        </w:rPr>
        <w:t>3</w:t>
      </w:r>
      <w:r>
        <w:t xml:space="preserve">Er kann zur Abgabe der Erklärung durch ein Zwangsgeld angehalten werden; </w:t>
      </w:r>
      <w:hyperlink w:anchor="b488" w:history="1">
        <w:r>
          <w:rPr>
            <w:color w:val="0A3A8C"/>
            <w:u w:val="single"/>
          </w:rPr>
          <w:t xml:space="preserve">§ 334</w:t>
        </w:r>
      </w:hyperlink>
      <w:r>
        <w:t xml:space="preserve"> ist nicht anzuwenden.</w:t>
      </w:r>
    </w:p>
    <w:p>
      <w:r>
        <w:t>(3) Die §§ 841 bis 843 der Zivilprozessordnung sind anzuwenden.</w:t>
      </w:r>
    </w:p>
    <w:p>
      <w:pPr>
        <w:pStyle w:val="Heading5"/>
      </w:pPr>
      <w:bookmarkStart w:id="469" w:name="b466"/>
      <w:r>
        <w:t>§ 317 Andere Art der Verwertung</w:t>
      </w:r>
      <w:r>
        <w:t xml:space="preserve"> </w:t>
      </w:r>
      <w:r>
        <w:rPr>
          <w:rStyle w:val="Suchmarke"/>
        </w:rPr>
        <w:t>#317#</w:t>
      </w:r>
      <w:bookmarkEnd w:id="469"/>
    </w:p>
    <w:p>
      <w:r>
        <w:rPr>
          <w:rStyle w:val="Satznummer"/>
        </w:rPr>
        <w:t>1</w:t>
      </w:r>
      <w:r>
        <w:t xml:space="preserve">Ist die gepfändete Forderung bedingt oder betagt oder ihre Einziehung schwierig, so kann die Vollstreckungsbehörde anordnen, dass sie in anderer Weise zu verwerten ist; </w:t>
      </w:r>
      <w:hyperlink w:anchor="b464" w:history="1">
        <w:r>
          <w:rPr>
            <w:color w:val="0A3A8C"/>
            <w:u w:val="single"/>
          </w:rPr>
          <w:t xml:space="preserve">§ 315</w:t>
        </w:r>
      </w:hyperlink>
      <w:r>
        <w:t xml:space="preserve"> Absatz 1 gilt entsprechend. </w:t>
      </w:r>
      <w:r>
        <w:rPr>
          <w:rStyle w:val="Satznummer"/>
        </w:rPr>
        <w:t>2</w:t>
      </w:r>
      <w:r>
        <w:t>Der Vollstreckungsschuldner ist vorher zu hören, sofern nicht eine Bekanntgabe außerhalb des Geltungsbereichs des Gesetzes oder eine öffentliche Bekanntmachung erforderlich ist.</w:t>
      </w:r>
    </w:p>
    <w:p>
      <w:pPr>
        <w:pStyle w:val="Heading5"/>
      </w:pPr>
      <w:bookmarkStart w:id="470" w:name="b467"/>
      <w:r>
        <w:t>§ 318 Ansprüche auf Herausgabe oder Leistung von Sachen</w:t>
      </w:r>
      <w:r>
        <w:t xml:space="preserve"> </w:t>
      </w:r>
      <w:r>
        <w:rPr>
          <w:rStyle w:val="Suchmarke"/>
        </w:rPr>
        <w:t>#318#</w:t>
      </w:r>
      <w:bookmarkEnd w:id="470"/>
    </w:p>
    <w:p>
      <w:r>
        <w:t xml:space="preserve">(1) Für die Vollstreckung in Ansprüche auf Herausgabe oder Leistung von Sachen gelten außer den </w:t>
      </w:r>
      <w:hyperlink w:anchor="b458" w:history="1">
        <w:r>
          <w:rPr>
            <w:color w:val="0A3A8C"/>
            <w:u w:val="single"/>
          </w:rPr>
          <w:t xml:space="preserve">§§ 309</w:t>
        </w:r>
      </w:hyperlink>
      <w:r>
        <w:t xml:space="preserve"> bis </w:t>
      </w:r>
      <w:hyperlink w:anchor="b466" w:history="1">
        <w:r>
          <w:rPr>
            <w:color w:val="0A3A8C"/>
            <w:u w:val="single"/>
          </w:rPr>
          <w:t xml:space="preserve">317</w:t>
        </w:r>
      </w:hyperlink>
      <w:r>
        <w:t xml:space="preserve"> die nachstehenden Vorschriften.</w:t>
      </w:r>
    </w:p>
    <w:p>
      <w:r>
        <w:t xml:space="preserve">(2) </w:t>
      </w:r>
      <w:r>
        <w:rPr>
          <w:rStyle w:val="Satznummer"/>
        </w:rPr>
        <w:t>1</w:t>
      </w:r>
      <w:r>
        <w:t xml:space="preserve">Bei der Pfändung eines Anspruchs, der eine bewegliche Sache betrifft, ordnet die Vollstreckungsbehörde an, dass die Sache an den Vollziehungsbeamten herauszugeben sei. </w:t>
      </w:r>
      <w:r>
        <w:rPr>
          <w:rStyle w:val="Satznummer"/>
        </w:rPr>
        <w:t>2</w:t>
      </w:r>
      <w:r>
        <w:t>Die Sache wird wie eine gepfändete Sache verwertet.</w:t>
      </w:r>
    </w:p>
    <w:p>
      <w:r>
        <w:t xml:space="preserve">(3) </w:t>
      </w:r>
      <w:r>
        <w:rPr>
          <w:rStyle w:val="Satznummer"/>
        </w:rPr>
        <w:t>1</w:t>
      </w:r>
      <w:r>
        <w:t xml:space="preserve">Bei Pfändung eines Anspruchs, der eine unbewegliche Sache betrifft, ordnet die Vollstreckungsbehörde an, dass die Sache an einen Treuhänder herauszugeben sei, den das Amtsgericht der belegenen Sache auf Antrag der Vollstreckungsbehörde bestellt. </w:t>
      </w:r>
      <w:r>
        <w:rPr>
          <w:rStyle w:val="Satznummer"/>
        </w:rPr>
        <w:t>2</w:t>
      </w:r>
      <w:r>
        <w:t xml:space="preserve">Ist der Anspruch auf Übertragung des Eigentums gerichtet, so ist dem Treuhänder als Vertreter des Vollstreckungsschuldners aufzulassen. </w:t>
      </w:r>
      <w:r>
        <w:rPr>
          <w:rStyle w:val="Satznummer"/>
        </w:rPr>
        <w:t>3</w:t>
      </w:r>
      <w:r>
        <w:t xml:space="preserve">Mit dem Übergang des Eigentums auf den Vollstreckungsschuldner erlangt die Körperschaft, der die Vollstreckungsbehörde angehört, eine Sicherungshypothek für die Forderung. </w:t>
      </w:r>
      <w:r>
        <w:rPr>
          <w:rStyle w:val="Satznummer"/>
        </w:rPr>
        <w:t>4</w:t>
      </w:r>
      <w:r>
        <w:t xml:space="preserve">Der Treuhänder hat die Eintragung der Sicherungshypothek zu bewilligen. </w:t>
      </w:r>
      <w:r>
        <w:rPr>
          <w:rStyle w:val="Satznummer"/>
        </w:rPr>
        <w:t>5</w:t>
      </w:r>
      <w:r>
        <w:t>Die Vollstreckung in die herausgegebene Sache wird nach den Vorschriften über die Vollstreckung in unbewegliche Sachen bewirkt.</w:t>
      </w:r>
    </w:p>
    <w:p>
      <w:r>
        <w:t>(4) Absatz 3 gilt entsprechend, wenn der Anspruch ein im Schiffsregister eingetragenes Schiff, ein Schiffsbauwerk oder Schwimmdock, das im Schiffsbauregister eingetragen ist oder in dieses Register eingetragen werden kann oder ein Luftfahrzeug betrifft, das in der Luftfahrzeugrolle eingetragen ist oder nach Löschung in der Luftfahrzeugrolle noch in dem Register für Pfandrechte an Luftfahrzeugen eingetragen ist.</w:t>
      </w:r>
    </w:p>
    <w:p>
      <w:r>
        <w:t xml:space="preserve">(5) </w:t>
      </w:r>
      <w:r>
        <w:rPr>
          <w:rStyle w:val="Satznummer"/>
        </w:rPr>
        <w:t>1</w:t>
      </w:r>
      <w:r>
        <w:t xml:space="preserve">Dem Treuhänder ist auf Antrag eine Entschädigung zu gewähren. </w:t>
      </w:r>
      <w:r>
        <w:rPr>
          <w:rStyle w:val="Satznummer"/>
        </w:rPr>
        <w:t>2</w:t>
      </w:r>
      <w:r>
        <w:t>Die Entschädigung darf die nach der Zwangsverwalterverordnung festzusetzende Vergütung nicht übersteigen.</w:t>
      </w:r>
    </w:p>
    <w:p>
      <w:pPr>
        <w:pStyle w:val="Heading5"/>
      </w:pPr>
      <w:bookmarkStart w:id="471" w:name="b468"/>
      <w:r>
        <w:t>§ 319 Unpfändbarkeit von Forderungen</w:t>
      </w:r>
      <w:r>
        <w:t xml:space="preserve"> </w:t>
      </w:r>
      <w:r>
        <w:rPr>
          <w:rStyle w:val="Suchmarke"/>
        </w:rPr>
        <w:t>#319#</w:t>
      </w:r>
      <w:bookmarkEnd w:id="471"/>
    </w:p>
    <w:p>
      <w:r>
        <w:t>Beschränkungen und Verbote, die nach den §§ 850 bis 852 und 899 bis 907 der Zivilprozessordnung und anderen gesetzlichen Bestimmungen für die Pfändung von Forderungen und Ansprüchen bestehen, gelten sinngemäß.</w:t>
      </w:r>
    </w:p>
    <w:p>
      <w:pPr>
        <w:pStyle w:val="Heading5"/>
      </w:pPr>
      <w:bookmarkStart w:id="472" w:name="b469"/>
      <w:r>
        <w:t>§ 320 Mehrfache Pfändung einer Forderung</w:t>
      </w:r>
      <w:r>
        <w:t xml:space="preserve"> </w:t>
      </w:r>
      <w:r>
        <w:rPr>
          <w:rStyle w:val="Suchmarke"/>
        </w:rPr>
        <w:t>#320#</w:t>
      </w:r>
      <w:bookmarkEnd w:id="472"/>
    </w:p>
    <w:p>
      <w:r>
        <w:t>(1) Ist eine Forderung durch mehrere Vollstreckungsbehörden oder durch eine Vollstreckungsbehörde und ein Gericht gepfändet, so sind die §§ 853 bis 856 der Zivilprozessordnung und § 99 Absatz 1 Satz 1 des Gesetzes über Rechte an Luftfahrzeugen entsprechend anzuwenden.</w:t>
      </w:r>
    </w:p>
    <w:p>
      <w:r>
        <w:t>(2) Fehlt es an einem Amtsgericht, das nach den §§ 853 und 854 der Zivilprozessordnung zuständig wäre, so ist bei dem Amtsgericht zu hinterlegen, in dessen Bezirk die Vollstreckungsbehörde ihren Sitz hat, deren Pfändungsverfügung dem Drittschuldner zuerst zugestellt worden ist.</w:t>
      </w:r>
    </w:p>
    <w:p>
      <w:pPr>
        <w:pStyle w:val="Heading5"/>
      </w:pPr>
      <w:bookmarkStart w:id="473" w:name="b470"/>
      <w:r>
        <w:t>§ 321 Vollstreckung in andere Vermögensrechte</w:t>
      </w:r>
      <w:r>
        <w:t xml:space="preserve"> </w:t>
      </w:r>
      <w:r>
        <w:rPr>
          <w:rStyle w:val="Suchmarke"/>
        </w:rPr>
        <w:t>#321#</w:t>
      </w:r>
      <w:bookmarkEnd w:id="473"/>
    </w:p>
    <w:p>
      <w:r>
        <w:t>(1) Für die Vollstreckung in andere Vermögensrechte, die nicht Gegenstand der Vollstreckung in das unbewegliche Vermögen sind, gelten die vorstehenden Vorschriften entsprechend.</w:t>
      </w:r>
    </w:p>
    <w:p>
      <w:r>
        <w:t>(2) Ist kein Drittschuldner vorhanden, so ist die Pfändung bewirkt, wenn dem Vollstreckungsschuldner das Gebot, sich jeder Verfügung über das Recht zu enthalten, zugestellt ist.</w:t>
      </w:r>
    </w:p>
    <w:p>
      <w:r>
        <w:t>(3) Ein unveräußerliches Recht ist, wenn nichts anderes bestimmt ist, insoweit pfändbar, als die Ausübung einem anderen überlassen werden kann.</w:t>
      </w:r>
    </w:p>
    <w:p>
      <w:r>
        <w:t>(4) Die Vollstreckungsbehörde kann bei der Vollstreckung in unveräußerliche Rechte, deren Ausübung einem anderen überlassen werden kann, besondere Anordnungen erlassen, insbesondere bei der Vollstreckung in Nutzungsrechte eine Verwaltung anordnen; in diesem Fall wird die Pfändung durch Übergabe der zu benutzenden Sache an den Verwalter bewirkt, sofern sie nicht durch Zustellung der Pfändungsverfügung schon vorher bewirkt ist.</w:t>
      </w:r>
    </w:p>
    <w:p>
      <w:r>
        <w:t>(5) Ist die Veräußerung des Rechts zulässig, so kann die Vollstreckungsbehörde die Veräußerung anordnen.</w:t>
      </w:r>
    </w:p>
    <w:p>
      <w:r>
        <w:t>(6) Für die Vollstreckung in eine Reallast, eine Grundschuld oder eine Rentenschuld gelten die Vorschriften über die Vollstreckung in eine Forderung, für die eine Hypothek besteht.</w:t>
      </w:r>
    </w:p>
    <w:p>
      <w:r>
        <w:t>(7) Die §§ 858 bis 863 der Zivilprozessordnung gelten sinngemäß.</w:t>
      </w:r>
    </w:p>
    <w:p>
      <w:pPr>
        <w:pStyle w:val="Heading3"/>
      </w:pPr>
      <w:bookmarkStart w:id="474" w:name="b471"/>
      <w:r>
        <w:t>4. Unterabschnitt Vollstreckung in das unbewegliche Vermögen</w:t>
      </w:r>
      <w:bookmarkEnd w:id="474"/>
    </w:p>
    <w:p>
      <w:pPr>
        <w:pStyle w:val="Heading4"/>
      </w:pPr>
      <w:bookmarkStart w:id="475" w:name="b472"/>
      <w:r>
        <w:t>§ 322 Verfahren</w:t>
      </w:r>
      <w:r>
        <w:t xml:space="preserve"> </w:t>
      </w:r>
      <w:r>
        <w:rPr>
          <w:rStyle w:val="Suchmarke"/>
        </w:rPr>
        <w:t>#322#</w:t>
      </w:r>
      <w:bookmarkEnd w:id="475"/>
    </w:p>
    <w:p>
      <w:r>
        <w:t xml:space="preserve">(1) </w:t>
      </w:r>
      <w:r>
        <w:rPr>
          <w:rStyle w:val="Satznummer"/>
        </w:rPr>
        <w:t>1</w:t>
      </w:r>
      <w:r>
        <w:t xml:space="preserve">Der Vollstreckung in das unbewegliche Vermögen unterliegen außer den Grundstücken die Berechtigungen, für welche die sich auf Grundstücke beziehenden Vorschriften gelten, die im Schiffsregister eingetragenen Schiffe, die Schiffsbauwerke und Schwimmdocks, die im Schiffsbauregister eingetragen sind oder in dieses Register eingetragen werden können, sowie die Luftfahrzeuge, die in der Luftfahrzeugrolle eingetragen sind oder nach Löschung in der Luftfahrzeugrolle noch in dem Register für Pfandrechte an Luftfahrzeugen eingetragen sind. </w:t>
      </w:r>
      <w:r>
        <w:rPr>
          <w:rStyle w:val="Satznummer"/>
        </w:rPr>
        <w:t>2</w:t>
      </w:r>
      <w:r>
        <w:t xml:space="preserve">Auf die Vollstreckung sind die für die gerichtliche Zwangsvollstreckung geltenden Vorschriften, namentlich die §§ 864 bis 871 der Zivilprozessordnung und das Gesetz über die Zwangsversteigerung und die Zwangsverwaltung anzuwenden. </w:t>
      </w:r>
      <w:r>
        <w:rPr>
          <w:rStyle w:val="Satznummer"/>
        </w:rPr>
        <w:t>3</w:t>
      </w:r>
      <w:r>
        <w:t>Bei Stundung und Aussetzung der Vollziehung geht eine im Wege der Vollstreckung eingetragene Sicherungshypothek jedoch nur dann nach § 868 der Zivilprozessordnung auf den Eigentümer über und erlischt eine Schiffshypothek oder ein Registerpfandrecht an einem Luftfahrzeug jedoch nur dann nach § 870a Absatz 3 der Zivilprozessordnung sowie § 99 Absatz 1 des Gesetzes über Rechte an Luftfahrzeugen, wenn zugleich die Aufhebung der Vollstreckungsmaßnahme angeordnet wird.</w:t>
      </w:r>
    </w:p>
    <w:p>
      <w:r>
        <w:t>(2) Für die Vollstreckung in ausländische Schiffe gilt § 171 des Gesetzes über die Zwangsversteigerung und die Zwangsverwaltung, für die Vollstreckung in ausländische Luftfahrzeuge § 106 Absatz 1, 2 des Gesetzes über Rechte an Luftfahrzeugen sowie die §§ 171h bis 171n des Gesetzes über die Zwangsversteigerung und die Zwangsverwaltung.</w:t>
      </w:r>
    </w:p>
    <w:p>
      <w:r>
        <w:t xml:space="preserve">(3) </w:t>
      </w:r>
      <w:r>
        <w:rPr>
          <w:rStyle w:val="Satznummer"/>
        </w:rPr>
        <w:t>1</w:t>
      </w:r>
      <w:r>
        <w:t xml:space="preserve">Die für die Vollstreckung in das unbewegliche Vermögen erforderlichen Anträge des Gläubigers stellt die Vollstreckungsbehörde. </w:t>
      </w:r>
      <w:r>
        <w:rPr>
          <w:rStyle w:val="Satznummer"/>
        </w:rPr>
        <w:t>2</w:t>
      </w:r>
      <w:r>
        <w:t xml:space="preserve">Sie hat hierbei zu bestätigen, dass die gesetzlichen Voraussetzungen für die Vollstreckung vorliegen. </w:t>
      </w:r>
      <w:r>
        <w:rPr>
          <w:rStyle w:val="Satznummer"/>
        </w:rPr>
        <w:t>3</w:t>
      </w:r>
      <w:r>
        <w:t xml:space="preserve">Diese Fragen unterliegen nicht der Beurteilung des Vollstreckungsgerichts oder des Grundbuchamts. </w:t>
      </w:r>
      <w:r>
        <w:rPr>
          <w:rStyle w:val="Satznummer"/>
        </w:rPr>
        <w:t>4</w:t>
      </w:r>
      <w:r>
        <w:t>Anträge auf Eintragung einer Sicherungshypothek, einer Schiffshypothek oder eines Registerpfandrechts an einem Luftfahrzeug sind Ersuchen im Sinne des § 38 der Grundbuchordnung und des § 45 der Schiffsregisterordnung.</w:t>
      </w:r>
    </w:p>
    <w:p>
      <w:r>
        <w:t>(4) Zwangsversteigerung und Zwangsverwaltung soll die Vollstreckungsbehörde nur beantragen, wenn festgestellt ist, dass der Geldbetrag durch Vollstreckung in das bewegliche Vermögen nicht beigetrieben werden kann.</w:t>
      </w:r>
    </w:p>
    <w:p>
      <w:r>
        <w:t>(5) Soweit der zu vollstreckende Anspruch gemäß § 10 Absatz 1 Nummer 3 des Gesetzes über die Zwangsversteigerung und die Zwangsverwaltung den Rechten am Grundstück im Rang vorgeht, kann eine Sicherungshypothek unter der aufschiebenden Bedingung in das Grundbuch eingetragen werden, dass das Vorrecht wegfällt.</w:t>
      </w:r>
    </w:p>
    <w:p>
      <w:pPr>
        <w:pStyle w:val="Heading4"/>
      </w:pPr>
      <w:bookmarkStart w:id="476" w:name="b473"/>
      <w:r>
        <w:t>§ 323 Vollstreckung gegen den Rechtsnachfolger</w:t>
      </w:r>
      <w:r>
        <w:t xml:space="preserve"> </w:t>
      </w:r>
      <w:r>
        <w:rPr>
          <w:rStyle w:val="Suchmarke"/>
        </w:rPr>
        <w:t>#323#</w:t>
      </w:r>
      <w:bookmarkEnd w:id="476"/>
    </w:p>
    <w:p>
      <w:r>
        <w:rPr>
          <w:rStyle w:val="Satznummer"/>
        </w:rPr>
        <w:t>1</w:t>
      </w:r>
      <w:r>
        <w:t xml:space="preserve">Ist nach </w:t>
      </w:r>
      <w:hyperlink w:anchor="b472" w:history="1">
        <w:r>
          <w:rPr>
            <w:color w:val="0A3A8C"/>
            <w:u w:val="single"/>
          </w:rPr>
          <w:t xml:space="preserve">§ 322</w:t>
        </w:r>
      </w:hyperlink>
      <w:r>
        <w:t xml:space="preserve"> eine Sicherungshypothek, eine Schiffshypothek oder ein Registerpfandrecht an einem Luftfahrzeug eingetragen worden, so bedarf es zur Zwangsversteigerung aus diesem Recht nur dann eines Duldungsbescheids, wenn nach der Eintragung dieses Rechts ein Eigentumswechsel eingetreten ist. </w:t>
      </w:r>
      <w:r>
        <w:rPr>
          <w:rStyle w:val="Satznummer"/>
        </w:rPr>
        <w:t>2</w:t>
      </w:r>
      <w:r>
        <w:t xml:space="preserve">Satz 1 gilt sinngemäß für die Zwangsverwaltung aus einer nach </w:t>
      </w:r>
      <w:hyperlink w:anchor="b472" w:history="1">
        <w:r>
          <w:rPr>
            <w:color w:val="0A3A8C"/>
            <w:u w:val="single"/>
          </w:rPr>
          <w:t xml:space="preserve">§ 322</w:t>
        </w:r>
      </w:hyperlink>
      <w:r>
        <w:t xml:space="preserve"> eingetragenen Sicherungshypothek.</w:t>
      </w:r>
    </w:p>
    <w:p>
      <w:pPr>
        <w:pStyle w:val="Heading3"/>
      </w:pPr>
      <w:bookmarkStart w:id="477" w:name="b474"/>
      <w:r>
        <w:t>5. Unterabschnitt Arrest</w:t>
      </w:r>
      <w:bookmarkEnd w:id="477"/>
    </w:p>
    <w:p>
      <w:pPr>
        <w:pStyle w:val="Heading4"/>
      </w:pPr>
      <w:bookmarkStart w:id="478" w:name="b475"/>
      <w:r>
        <w:t>§ 324 Dinglicher Arrest</w:t>
      </w:r>
      <w:r>
        <w:t xml:space="preserve"> </w:t>
      </w:r>
      <w:r>
        <w:rPr>
          <w:rStyle w:val="Suchmarke"/>
        </w:rPr>
        <w:t>#324#</w:t>
      </w:r>
      <w:bookmarkEnd w:id="478"/>
    </w:p>
    <w:p>
      <w:r>
        <w:t xml:space="preserve">(1) </w:t>
      </w:r>
      <w:r>
        <w:rPr>
          <w:rStyle w:val="Satznummer"/>
        </w:rPr>
        <w:t>1</w:t>
      </w:r>
      <w:r>
        <w:t xml:space="preserve">Zur Sicherung der Vollstreckung von Geldforderungen nach den </w:t>
      </w:r>
      <w:hyperlink w:anchor="b391" w:history="1">
        <w:r>
          <w:rPr>
            <w:color w:val="0A3A8C"/>
            <w:u w:val="single"/>
          </w:rPr>
          <w:t xml:space="preserve">§§ 249</w:t>
        </w:r>
      </w:hyperlink>
      <w:r>
        <w:t xml:space="preserve"> bis </w:t>
      </w:r>
      <w:hyperlink w:anchor="b473" w:history="1">
        <w:r>
          <w:rPr>
            <w:color w:val="0A3A8C"/>
            <w:u w:val="single"/>
          </w:rPr>
          <w:t xml:space="preserve">323</w:t>
        </w:r>
      </w:hyperlink>
      <w:r>
        <w:t xml:space="preserve"> kann die für die Steuerfestsetzung zuständige Finanzbehörde den Arrest in das bewegliche oder unbewegliche Vermögen anordnen, wenn zu befürchten ist, dass sonst die Beitreibung vereitelt oder wesentlich erschwert wird. </w:t>
      </w:r>
      <w:r>
        <w:rPr>
          <w:rStyle w:val="Satznummer"/>
        </w:rPr>
        <w:t>2</w:t>
      </w:r>
      <w:r>
        <w:t xml:space="preserve">Sie kann den Arrest auch dann anordnen, wenn die Forderung noch nicht zahlenmäßig feststeht oder wenn sie bedingt oder betagt ist. </w:t>
      </w:r>
      <w:r>
        <w:rPr>
          <w:rStyle w:val="Satznummer"/>
        </w:rPr>
        <w:t>3</w:t>
      </w:r>
      <w:r>
        <w:t>In der Arrestanordnung ist ein Geldbetrag zu bestimmen, bei dessen Hinterlegung die Vollziehung des Arrestes gehemmt und der vollzogene Arrest aufzuheben ist.</w:t>
      </w:r>
    </w:p>
    <w:p>
      <w:r>
        <w:t xml:space="preserve">(2) </w:t>
      </w:r>
      <w:r>
        <w:rPr>
          <w:rStyle w:val="Satznummer"/>
        </w:rPr>
        <w:t>1</w:t>
      </w:r>
      <w:r>
        <w:t xml:space="preserve">Die Arrestanordnung ist zuzustellen. </w:t>
      </w:r>
      <w:r>
        <w:rPr>
          <w:rStyle w:val="Satznummer"/>
        </w:rPr>
        <w:t>2</w:t>
      </w:r>
      <w:r>
        <w:t xml:space="preserve">Sie muss begründet und von dem anordnenden Bediensteten unterschrieben sein. </w:t>
      </w:r>
      <w:r>
        <w:rPr>
          <w:rStyle w:val="Satznummer"/>
        </w:rPr>
        <w:t>3</w:t>
      </w:r>
      <w:r>
        <w:t>Die elektronische Form ist ausgeschlossen.</w:t>
      </w:r>
    </w:p>
    <w:p>
      <w:r>
        <w:t xml:space="preserve">(3) </w:t>
      </w:r>
      <w:r>
        <w:rPr>
          <w:rStyle w:val="Satznummer"/>
        </w:rPr>
        <w:t>1</w:t>
      </w:r>
      <w:r>
        <w:t xml:space="preserve">Die Vollziehung der Arrestanordnung ist unzulässig, wenn seit dem Tag, an dem die Anordnung unterzeichnet worden ist, ein Monat verstrichen ist. </w:t>
      </w:r>
      <w:r>
        <w:rPr>
          <w:rStyle w:val="Satznummer"/>
        </w:rPr>
        <w:t>2</w:t>
      </w:r>
      <w:r>
        <w:t xml:space="preserve">Die Vollziehung ist auch schon vor der Zustellung an den Arrestschuldner zulässig, sie ist jedoch ohne Wirkung, wenn die Zustellung nicht innerhalb einer Woche nach der Vollziehung und innerhalb eines Monats seit der Unterzeichnung erfolgt. </w:t>
      </w:r>
      <w:r>
        <w:rPr>
          <w:rStyle w:val="Satznummer"/>
        </w:rPr>
        <w:t>3</w:t>
      </w:r>
      <w:r>
        <w:t xml:space="preserve">Bei Zustellung im Ausland und öffentlicher Zustellung gilt </w:t>
      </w:r>
      <w:hyperlink w:anchor="b279" w:history="1">
        <w:r>
          <w:rPr>
            <w:color w:val="0A3A8C"/>
            <w:u w:val="single"/>
          </w:rPr>
          <w:t xml:space="preserve">§ 169</w:t>
        </w:r>
      </w:hyperlink>
      <w:r>
        <w:t xml:space="preserve"> Absatz 1 Satz 3 entsprechend. </w:t>
      </w:r>
      <w:r>
        <w:rPr>
          <w:rStyle w:val="Satznummer"/>
        </w:rPr>
        <w:t>4</w:t>
      </w:r>
      <w:r>
        <w:t xml:space="preserve">Auf die Vollziehung des Arrestes finden die §§ 930 bis 932 der Zivilprozessordnung sowie § 99 Absatz 2 und § 106 Absatz 1, 3 und 5 des Gesetzes über Rechte an Luftfahrzeugen entsprechende Anwendung; an die Stelle des Arrestgerichts und des Vollstreckungsgerichts tritt die Vollstreckungsbehörde, an die Stelle des Gerichtsvollziehers der Vollziehungsbeamte. </w:t>
      </w:r>
      <w:r>
        <w:rPr>
          <w:rStyle w:val="Satznummer"/>
        </w:rPr>
        <w:t>5</w:t>
      </w:r>
      <w:r>
        <w:t>Soweit auf die Vorschriften über die Pfändung verwiesen wird, sind die entsprechenden Vorschriften dieses Gesetzes anzuwenden.</w:t>
      </w:r>
    </w:p>
    <w:p>
      <w:pPr>
        <w:pStyle w:val="Heading4"/>
      </w:pPr>
      <w:bookmarkStart w:id="479" w:name="b476"/>
      <w:r>
        <w:t>§ 325 Aufhebung des dinglichen Arrestes</w:t>
      </w:r>
      <w:r>
        <w:t xml:space="preserve"> </w:t>
      </w:r>
      <w:r>
        <w:rPr>
          <w:rStyle w:val="Suchmarke"/>
        </w:rPr>
        <w:t>#325#</w:t>
      </w:r>
      <w:bookmarkEnd w:id="479"/>
    </w:p>
    <w:p>
      <w:r>
        <w:t>Die Arrestanordnung ist aufzuheben, wenn nach ihrem Erlass Umstände bekannt werden, die die Arrestanordnung nicht mehr gerechtfertigt erscheinen lassen.</w:t>
      </w:r>
    </w:p>
    <w:p>
      <w:pPr>
        <w:pStyle w:val="Heading4"/>
      </w:pPr>
      <w:bookmarkStart w:id="480" w:name="b477"/>
      <w:r>
        <w:t>§ 326 Persönlicher Sicherheitsarrest</w:t>
      </w:r>
      <w:r>
        <w:t xml:space="preserve"> </w:t>
      </w:r>
      <w:r>
        <w:rPr>
          <w:rStyle w:val="Suchmarke"/>
        </w:rPr>
        <w:t>#326#</w:t>
      </w:r>
      <w:bookmarkEnd w:id="480"/>
    </w:p>
    <w:p>
      <w:r>
        <w:t xml:space="preserve">(1) </w:t>
      </w:r>
      <w:r>
        <w:rPr>
          <w:rStyle w:val="Satznummer"/>
        </w:rPr>
        <w:t>1</w:t>
      </w:r>
      <w:r>
        <w:t xml:space="preserve">Auf Antrag der für die Steuerfestsetzung zuständigen Finanzbehörde kann das Amtsgericht einen persönlichen Sicherheitsarrest anordnen, wenn er erforderlich ist, um die gefährdete Vollstreckung in das Vermögen des Pflichtigen zu sichern. </w:t>
      </w:r>
      <w:r>
        <w:rPr>
          <w:rStyle w:val="Satznummer"/>
        </w:rPr>
        <w:t>2</w:t>
      </w:r>
      <w:r>
        <w:t>Zuständig ist das Amtsgericht, in dessen Bezirk die Finanzbehörde ihren Sitz hat oder sich der Pflichtige befindet.</w:t>
      </w:r>
    </w:p>
    <w:p>
      <w:r>
        <w:t>(2) In dem Antrag hat die für die Steuerfestsetzung zuständige Finanzbehörde den Anspruch nach Art und Höhe sowie die Tatsachen anzugeben, die den Arrestgrund ergeben.</w:t>
      </w:r>
    </w:p>
    <w:p>
      <w:r>
        <w:t xml:space="preserve">(3) </w:t>
      </w:r>
      <w:r>
        <w:rPr>
          <w:rStyle w:val="Satznummer"/>
        </w:rPr>
        <w:t>1</w:t>
      </w:r>
      <w:r>
        <w:t xml:space="preserve">Für die Anordnung, Vollziehung und Aufhebung des persönlichen Sicherheitsarrestes gelten </w:t>
      </w:r>
      <w:hyperlink w:anchor="b207" w:history="1">
        <w:r>
          <w:rPr>
            <w:color w:val="0A3A8C"/>
            <w:u w:val="single"/>
          </w:rPr>
          <w:t xml:space="preserve">§ 128</w:t>
        </w:r>
      </w:hyperlink>
      <w:r>
        <w:t xml:space="preserve"> Absatz 4 und die §§ 922 bis 925, 927, 929, 933, 934 Absatz 1, 3 und 4 der Zivilprozessordnung sinngemäß. </w:t>
      </w:r>
      <w:r>
        <w:rPr>
          <w:rStyle w:val="Satznummer"/>
        </w:rPr>
        <w:t>2</w:t>
      </w:r>
      <w:r>
        <w:t>§ 802j Absatz 2 der Zivilprozessordnung ist nicht anzuwenden.</w:t>
      </w:r>
    </w:p>
    <w:p>
      <w:r>
        <w:t>(4) Für Zustellungen gelten die Vorschriften der Zivilprozessordnung.</w:t>
      </w:r>
    </w:p>
    <w:p>
      <w:pPr>
        <w:pStyle w:val="Heading3"/>
      </w:pPr>
      <w:bookmarkStart w:id="481" w:name="b478"/>
      <w:r>
        <w:t>6. Unterabschnitt Verwertung von Sicherheiten</w:t>
      </w:r>
      <w:bookmarkEnd w:id="481"/>
    </w:p>
    <w:p>
      <w:pPr>
        <w:pStyle w:val="Heading4"/>
      </w:pPr>
      <w:bookmarkStart w:id="482" w:name="b479"/>
      <w:r>
        <w:t>§ 327 Verwertung von Sicherheiten</w:t>
      </w:r>
      <w:r>
        <w:t xml:space="preserve"> </w:t>
      </w:r>
      <w:r>
        <w:rPr>
          <w:rStyle w:val="Suchmarke"/>
        </w:rPr>
        <w:t>#327#</w:t>
      </w:r>
      <w:bookmarkEnd w:id="482"/>
    </w:p>
    <w:p>
      <w:r>
        <w:rPr>
          <w:rStyle w:val="Satznummer"/>
        </w:rPr>
        <w:t>1</w:t>
      </w:r>
      <w:r>
        <w:t>Werden Geldforderungen, die im Verwaltungsverfahren vollstreckbar sind (</w:t>
      </w:r>
      <w:hyperlink w:anchor="b393" w:history="1">
        <w:r>
          <w:rPr>
            <w:color w:val="0A3A8C"/>
            <w:u w:val="single"/>
          </w:rPr>
          <w:t xml:space="preserve">§ 251</w:t>
        </w:r>
      </w:hyperlink>
      <w:r>
        <w:t xml:space="preserve">), bei Fälligkeit nicht erfüllt, kann sich die Vollstreckungsbehörde aus den Sicherheiten befriedigen, die sie zur Sicherung dieser Ansprüche erlangt hat. </w:t>
      </w:r>
      <w:r>
        <w:rPr>
          <w:rStyle w:val="Satznummer"/>
        </w:rPr>
        <w:t>2</w:t>
      </w:r>
      <w:r>
        <w:t xml:space="preserve">Die Sicherheiten werden nach den Vorschriften dieses Abschnitts verwertet. </w:t>
      </w:r>
      <w:r>
        <w:rPr>
          <w:rStyle w:val="Satznummer"/>
        </w:rPr>
        <w:t>3</w:t>
      </w:r>
      <w:r>
        <w:t>Die Verwertung darf erst erfolgen, wenn dem Vollstreckungsschuldner die Verwertungsabsicht bekannt gegeben und seit der Bekanntgabe mindestens eine Woche verstrichen ist.</w:t>
      </w:r>
    </w:p>
    <w:p>
      <w:pPr>
        <w:pStyle w:val="Heading2"/>
      </w:pPr>
      <w:bookmarkStart w:id="483" w:name="b480"/>
      <w:r>
        <w:t>Dritter Abschnitt Vollstreckung wegen anderer Leistungen als Geldforderungen</w:t>
      </w:r>
      <w:bookmarkEnd w:id="483"/>
    </w:p>
    <w:p>
      <w:pPr>
        <w:pStyle w:val="Heading3"/>
      </w:pPr>
      <w:bookmarkStart w:id="484" w:name="b481"/>
      <w:r>
        <w:t>1. Unterabschnitt Vollstreckung wegen Handlungen, Duldungen oder Unterlassungen</w:t>
      </w:r>
      <w:bookmarkEnd w:id="484"/>
    </w:p>
    <w:p>
      <w:pPr>
        <w:pStyle w:val="Heading4"/>
      </w:pPr>
      <w:bookmarkStart w:id="485" w:name="b482"/>
      <w:r>
        <w:t>§ 328 Zwangsmittel</w:t>
      </w:r>
      <w:r>
        <w:t xml:space="preserve"> </w:t>
      </w:r>
      <w:r>
        <w:rPr>
          <w:rStyle w:val="Suchmarke"/>
        </w:rPr>
        <w:t>#328#</w:t>
      </w:r>
      <w:bookmarkEnd w:id="485"/>
    </w:p>
    <w:p>
      <w:r>
        <w:t xml:space="preserve">(1) </w:t>
      </w:r>
      <w:r>
        <w:rPr>
          <w:rStyle w:val="Satznummer"/>
        </w:rPr>
        <w:t>1</w:t>
      </w:r>
      <w:r>
        <w:t xml:space="preserve">Ein Verwaltungsakt, der auf Vornahme einer Handlung oder auf Duldung oder Unterlassung gerichtet ist, kann mit Zwangsmitteln (Zwangsgeld, Ersatzvornahme, unmittelbarer Zwang) durchgesetzt werden. </w:t>
      </w:r>
      <w:r>
        <w:rPr>
          <w:rStyle w:val="Satznummer"/>
        </w:rPr>
        <w:t>2</w:t>
      </w:r>
      <w:r>
        <w:t xml:space="preserve">Für die Erzwingung von Sicherheiten gilt </w:t>
      </w:r>
      <w:hyperlink w:anchor="b491" w:history="1">
        <w:r>
          <w:rPr>
            <w:color w:val="0A3A8C"/>
            <w:u w:val="single"/>
          </w:rPr>
          <w:t xml:space="preserve">§ 336</w:t>
        </w:r>
      </w:hyperlink>
      <w:r>
        <w:t xml:space="preserve">. </w:t>
      </w:r>
      <w:r>
        <w:rPr>
          <w:rStyle w:val="Satznummer"/>
        </w:rPr>
        <w:t>3</w:t>
      </w:r>
      <w:r>
        <w:t>Vollstreckungsbehörde ist die Behörde, die den Verwaltungsakt erlassen hat.</w:t>
      </w:r>
    </w:p>
    <w:p>
      <w:r>
        <w:t xml:space="preserve">(2) </w:t>
      </w:r>
      <w:r>
        <w:rPr>
          <w:rStyle w:val="Satznummer"/>
        </w:rPr>
        <w:t>1</w:t>
      </w:r>
      <w:r>
        <w:t xml:space="preserve">Es ist dasjenige Zwangsmittel zu bestimmen, durch das der Pflichtige und die Allgemeinheit am wenigsten beeinträchtigt werden. </w:t>
      </w:r>
      <w:r>
        <w:rPr>
          <w:rStyle w:val="Satznummer"/>
        </w:rPr>
        <w:t>2</w:t>
      </w:r>
      <w:r>
        <w:t>Das Zwangsmittel muss in einem angemessenen Verhältnis zu seinem Zweck stehen.</w:t>
      </w:r>
    </w:p>
    <w:p>
      <w:pPr>
        <w:pStyle w:val="Heading4"/>
      </w:pPr>
      <w:bookmarkStart w:id="486" w:name="b483"/>
      <w:r>
        <w:t>§ 329 Zwangsgeld</w:t>
      </w:r>
      <w:r>
        <w:t xml:space="preserve"> </w:t>
      </w:r>
      <w:r>
        <w:rPr>
          <w:rStyle w:val="Suchmarke"/>
        </w:rPr>
        <w:t>#329#</w:t>
      </w:r>
      <w:bookmarkEnd w:id="486"/>
    </w:p>
    <w:p>
      <w:r>
        <w:t>Das einzelne Zwangsgeld darf 25.000 Euro nicht übersteigen.</w:t>
      </w:r>
    </w:p>
    <w:p>
      <w:pPr>
        <w:pStyle w:val="Heading4"/>
      </w:pPr>
      <w:bookmarkStart w:id="487" w:name="b484"/>
      <w:r>
        <w:t>§ 330 Ersatzvornahme</w:t>
      </w:r>
      <w:r>
        <w:t xml:space="preserve"> </w:t>
      </w:r>
      <w:r>
        <w:rPr>
          <w:rStyle w:val="Suchmarke"/>
        </w:rPr>
        <w:t>#330#</w:t>
      </w:r>
      <w:bookmarkEnd w:id="487"/>
    </w:p>
    <w:p>
      <w:r>
        <w:t>Wird die Verpflichtung, eine Handlung vorzunehmen, deren Vornahme durch einen anderen möglich ist (vertretbare Handlung), nicht erfüllt, so kann die Vollstreckungsbehörde einen anderen mit der Vornahme der Handlung auf Kosten des Pflichtigen beauftragen.</w:t>
      </w:r>
    </w:p>
    <w:p>
      <w:pPr>
        <w:pStyle w:val="Heading4"/>
      </w:pPr>
      <w:bookmarkStart w:id="488" w:name="b485"/>
      <w:r>
        <w:t>§ 331 Unmittelbarer Zwang</w:t>
      </w:r>
      <w:r>
        <w:t xml:space="preserve"> </w:t>
      </w:r>
      <w:r>
        <w:rPr>
          <w:rStyle w:val="Suchmarke"/>
        </w:rPr>
        <w:t>#331#</w:t>
      </w:r>
      <w:bookmarkEnd w:id="488"/>
    </w:p>
    <w:p>
      <w:r>
        <w:t>Führen das Zwangsgeld oder die Ersatzvornahme nicht zum Ziel oder sind sie untunlich, so kann die Finanzbehörde den Pflichtigen zur Handlung, Duldung oder Unterlassung zwingen oder die Handlung selbst vornehmen.</w:t>
      </w:r>
    </w:p>
    <w:p>
      <w:pPr>
        <w:pStyle w:val="Heading4"/>
      </w:pPr>
      <w:bookmarkStart w:id="489" w:name="b486"/>
      <w:r>
        <w:t>§ 332 Androhung der Zwangsmittel</w:t>
      </w:r>
      <w:r>
        <w:t xml:space="preserve"> </w:t>
      </w:r>
      <w:r>
        <w:rPr>
          <w:rStyle w:val="Suchmarke"/>
        </w:rPr>
        <w:t>#332#</w:t>
      </w:r>
      <w:bookmarkEnd w:id="489"/>
    </w:p>
    <w:p>
      <w:r>
        <w:t xml:space="preserve">(1) </w:t>
      </w:r>
      <w:r>
        <w:rPr>
          <w:rStyle w:val="Satznummer"/>
        </w:rPr>
        <w:t>1</w:t>
      </w:r>
      <w:r>
        <w:t xml:space="preserve">Die Zwangsmittel müssen schriftlich angedroht werden. </w:t>
      </w:r>
      <w:r>
        <w:rPr>
          <w:rStyle w:val="Satznummer"/>
        </w:rPr>
        <w:t>2</w:t>
      </w:r>
      <w:r>
        <w:t xml:space="preserve">Wenn zu besorgen ist, dass dadurch der Vollzug des durchzusetzenden Verwaltungsakts vereitelt wird, genügt es, die Zwangsmittel mündlich oder auf andere nach der Lage gebotene Weise anzudrohen. </w:t>
      </w:r>
      <w:r>
        <w:rPr>
          <w:rStyle w:val="Satznummer"/>
        </w:rPr>
        <w:t>3</w:t>
      </w:r>
      <w:r>
        <w:t>Zur Erfüllung der Verpflichtung ist eine angemessene Frist zu bestimmen.</w:t>
      </w:r>
    </w:p>
    <w:p>
      <w:r>
        <w:t xml:space="preserve">(2) </w:t>
      </w:r>
      <w:r>
        <w:rPr>
          <w:rStyle w:val="Satznummer"/>
        </w:rPr>
        <w:t>1</w:t>
      </w:r>
      <w:r>
        <w:t xml:space="preserve">Die Androhung kann mit dem Verwaltungsakt verbunden werden, durch den die Handlung, Duldung oder Unterlassung aufgegeben wird. </w:t>
      </w:r>
      <w:r>
        <w:rPr>
          <w:rStyle w:val="Satznummer"/>
        </w:rPr>
        <w:t>2</w:t>
      </w:r>
      <w:r>
        <w:t xml:space="preserve">Sie muss sich auf ein bestimmtes Zwangsmittel beziehen und für jede einzelne Verpflichtung getrennt ergehen. </w:t>
      </w:r>
      <w:r>
        <w:rPr>
          <w:rStyle w:val="Satznummer"/>
        </w:rPr>
        <w:t>3</w:t>
      </w:r>
      <w:r>
        <w:t>Zwangsgeld ist in bestimmter Höhe anzudrohen.</w:t>
      </w:r>
    </w:p>
    <w:p>
      <w:r>
        <w:t xml:space="preserve">(3) </w:t>
      </w:r>
      <w:r>
        <w:rPr>
          <w:rStyle w:val="Satznummer"/>
        </w:rPr>
        <w:t>1</w:t>
      </w:r>
      <w:r>
        <w:t xml:space="preserve">Eine neue Androhung wegen derselben Verpflichtung ist erst dann zulässig, wenn das zunächst angedrohte Zwangsmittel erfolglos ist. </w:t>
      </w:r>
      <w:r>
        <w:rPr>
          <w:rStyle w:val="Satznummer"/>
        </w:rPr>
        <w:t>2</w:t>
      </w:r>
      <w:r>
        <w:t>Wird vom Pflichtigen ein Dulden oder Unterlassen gefordert, so kann das Zwangsmittel für jeden Fall der Zuwiderhandlung angedroht werden.</w:t>
      </w:r>
    </w:p>
    <w:p>
      <w:r>
        <w:t>(4) Soll die Handlung durch Ersatzvornahme ausgeführt werden, so ist in der Androhung der Kostenbetrag vorläufig zu veranschlagen.</w:t>
      </w:r>
    </w:p>
    <w:p>
      <w:pPr>
        <w:pStyle w:val="Heading4"/>
      </w:pPr>
      <w:bookmarkStart w:id="490" w:name="b487"/>
      <w:r>
        <w:t>§ 333 Festsetzung der Zwangsmittel</w:t>
      </w:r>
      <w:r>
        <w:t xml:space="preserve"> </w:t>
      </w:r>
      <w:r>
        <w:rPr>
          <w:rStyle w:val="Suchmarke"/>
        </w:rPr>
        <w:t>#333#</w:t>
      </w:r>
      <w:bookmarkEnd w:id="490"/>
    </w:p>
    <w:p>
      <w:r>
        <w:t>Wird die Verpflichtung innerhalb der Frist, die in der Androhung bestimmt ist, nicht erfüllt oder handelt der Pflichtige der Verpflichtung zuwider, so setzt die Finanzbehörde das Zwangsmittel fest.</w:t>
      </w:r>
    </w:p>
    <w:p>
      <w:pPr>
        <w:pStyle w:val="Heading4"/>
      </w:pPr>
      <w:bookmarkStart w:id="491" w:name="b488"/>
      <w:r>
        <w:t>§ 334 Ersatzzwangshaft</w:t>
      </w:r>
      <w:r>
        <w:t xml:space="preserve"> </w:t>
      </w:r>
      <w:r>
        <w:rPr>
          <w:rStyle w:val="Suchmarke"/>
        </w:rPr>
        <w:t>#334#</w:t>
      </w:r>
      <w:bookmarkEnd w:id="491"/>
    </w:p>
    <w:p>
      <w:r>
        <w:t xml:space="preserve">(1) </w:t>
      </w:r>
      <w:r>
        <w:rPr>
          <w:rStyle w:val="Satznummer"/>
        </w:rPr>
        <w:t>1</w:t>
      </w:r>
      <w:r>
        <w:t xml:space="preserve">Ist ein gegen eine natürliche Person festgesetztes Zwangsgeld uneinbringlich, so kann das Amtsgericht auf Antrag der Finanzbehörde nach Anhörung des Pflichtigen Ersatzzwangshaft anordnen, wenn bei Androhung des Zwangsgelds hierauf hingewiesen worden ist. </w:t>
      </w:r>
      <w:r>
        <w:rPr>
          <w:rStyle w:val="Satznummer"/>
        </w:rPr>
        <w:t>2</w:t>
      </w:r>
      <w:r>
        <w:t>Ordnet das Amtsgericht Ersatzzwangshaft an, so hat es einen Haftbefehl auszufertigen, in dem die antragstellende Behörde, der Pflichtige und der Grund der Verhaftung zu bezeichnen sind.</w:t>
      </w:r>
    </w:p>
    <w:p>
      <w:r>
        <w:t xml:space="preserve">(2) </w:t>
      </w:r>
      <w:r>
        <w:rPr>
          <w:rStyle w:val="Satznummer"/>
        </w:rPr>
        <w:t>1</w:t>
      </w:r>
      <w:r>
        <w:t xml:space="preserve">Das Amtsgericht entscheidet nach pflichtgemäßem Ermessen durch Beschluss. </w:t>
      </w:r>
      <w:r>
        <w:rPr>
          <w:rStyle w:val="Satznummer"/>
        </w:rPr>
        <w:t>2</w:t>
      </w:r>
      <w:r>
        <w:t xml:space="preserve">Örtlich zuständig ist das Amtsgericht, in dessen Bezirk der Pflichtige seinen Wohnsitz oder in Ermangelung eines Wohnsitzes seinen gewöhnlichen Aufenthalt hat. </w:t>
      </w:r>
      <w:r>
        <w:rPr>
          <w:rStyle w:val="Satznummer"/>
        </w:rPr>
        <w:t>3</w:t>
      </w:r>
      <w:r>
        <w:t>Der Beschluss des Amtsgerichts unterliegt der Beschwerde nach den §§ 567 bis 577 der Zivilprozessordnung.</w:t>
      </w:r>
    </w:p>
    <w:p>
      <w:r>
        <w:t xml:space="preserve">(3) </w:t>
      </w:r>
      <w:r>
        <w:rPr>
          <w:rStyle w:val="Satznummer"/>
        </w:rPr>
        <w:t>1</w:t>
      </w:r>
      <w:r>
        <w:t xml:space="preserve">Die Ersatzzwangshaft beträgt mindestens einen Tag, höchstens zwei Wochen. </w:t>
      </w:r>
      <w:r>
        <w:rPr>
          <w:rStyle w:val="Satznummer"/>
        </w:rPr>
        <w:t>2</w:t>
      </w:r>
      <w:r>
        <w:t>Die Vollziehung der Ersatzzwangshaft richtet sich nach den § 802g Absatz 2 und § 802h der Zivilprozessordnung und den §§ 171 bis 175 und 179 bis 186 des Strafvollzugsgesetzes.</w:t>
      </w:r>
    </w:p>
    <w:p>
      <w:r>
        <w:t>(4) Ist der Anspruch auf das Zwangsgeld verjährt, so darf die Haft nicht mehr vollstreckt werden.</w:t>
      </w:r>
    </w:p>
    <w:p>
      <w:pPr>
        <w:pStyle w:val="Heading4"/>
      </w:pPr>
      <w:bookmarkStart w:id="492" w:name="b489"/>
      <w:r>
        <w:t>§ 335 Beendigung des Zwangsverfahrens</w:t>
      </w:r>
      <w:r>
        <w:t xml:space="preserve"> </w:t>
      </w:r>
      <w:r>
        <w:rPr>
          <w:rStyle w:val="Suchmarke"/>
        </w:rPr>
        <w:t>#335#</w:t>
      </w:r>
      <w:bookmarkEnd w:id="492"/>
    </w:p>
    <w:p>
      <w:r>
        <w:t>Wird die Verpflichtung nach Festsetzung des Zwangsmittels erfüllt, so ist der Vollzug einzustellen.</w:t>
      </w:r>
    </w:p>
    <w:p>
      <w:pPr>
        <w:pStyle w:val="Heading3"/>
      </w:pPr>
      <w:bookmarkStart w:id="493" w:name="b490"/>
      <w:r>
        <w:t>2. Unterabschnitt Erzwingung von Sicherheiten</w:t>
      </w:r>
      <w:bookmarkEnd w:id="493"/>
    </w:p>
    <w:p>
      <w:pPr>
        <w:pStyle w:val="Heading4"/>
      </w:pPr>
      <w:bookmarkStart w:id="494" w:name="b491"/>
      <w:r>
        <w:t>§ 336 Erzwingung von Sicherheiten</w:t>
      </w:r>
      <w:r>
        <w:t xml:space="preserve"> </w:t>
      </w:r>
      <w:r>
        <w:rPr>
          <w:rStyle w:val="Suchmarke"/>
        </w:rPr>
        <w:t>#336#</w:t>
      </w:r>
      <w:bookmarkEnd w:id="494"/>
    </w:p>
    <w:p>
      <w:r>
        <w:t>(1) Wird die Verpflichtung zur Leistung von Sicherheiten nicht erfüllt, so kann die Finanzbehörde geeignete Sicherheiten pfänden.</w:t>
      </w:r>
    </w:p>
    <w:p>
      <w:r>
        <w:t xml:space="preserve">(2) </w:t>
      </w:r>
      <w:r>
        <w:rPr>
          <w:rStyle w:val="Satznummer"/>
        </w:rPr>
        <w:t>1</w:t>
      </w:r>
      <w:r>
        <w:t xml:space="preserve">Der Erzwingung der Sicherheit muss eine schriftliche Androhung vorausgehen. </w:t>
      </w:r>
      <w:r>
        <w:rPr>
          <w:rStyle w:val="Satznummer"/>
        </w:rPr>
        <w:t>2</w:t>
      </w:r>
      <w:r>
        <w:t xml:space="preserve">Die </w:t>
      </w:r>
      <w:hyperlink w:anchor="b406" w:history="1">
        <w:r>
          <w:rPr>
            <w:color w:val="0A3A8C"/>
            <w:u w:val="single"/>
          </w:rPr>
          <w:t xml:space="preserve">§§ 262</w:t>
        </w:r>
      </w:hyperlink>
      <w:r>
        <w:t xml:space="preserve"> bis </w:t>
      </w:r>
      <w:hyperlink w:anchor="b473" w:history="1">
        <w:r>
          <w:rPr>
            <w:color w:val="0A3A8C"/>
            <w:u w:val="single"/>
          </w:rPr>
          <w:t xml:space="preserve">323</w:t>
        </w:r>
      </w:hyperlink>
      <w:r>
        <w:t xml:space="preserve"> sind entsprechend anzuwenden.</w:t>
      </w:r>
    </w:p>
    <w:p>
      <w:pPr>
        <w:pStyle w:val="Heading2"/>
      </w:pPr>
      <w:bookmarkStart w:id="495" w:name="b492"/>
      <w:r>
        <w:t>Vierter Abschnitt Kosten</w:t>
      </w:r>
      <w:bookmarkEnd w:id="495"/>
    </w:p>
    <w:p>
      <w:pPr>
        <w:pStyle w:val="Heading3"/>
      </w:pPr>
      <w:bookmarkStart w:id="496" w:name="b493"/>
      <w:r>
        <w:t>§ 337 Kosten der Vollstreckung</w:t>
      </w:r>
      <w:r>
        <w:t xml:space="preserve"> </w:t>
      </w:r>
      <w:r>
        <w:rPr>
          <w:rStyle w:val="Suchmarke"/>
        </w:rPr>
        <w:t>#337#</w:t>
      </w:r>
      <w:bookmarkEnd w:id="496"/>
    </w:p>
    <w:p>
      <w:r>
        <w:t xml:space="preserve">(1) </w:t>
      </w:r>
      <w:r>
        <w:rPr>
          <w:rStyle w:val="Satznummer"/>
        </w:rPr>
        <w:t>1</w:t>
      </w:r>
      <w:r>
        <w:t xml:space="preserve">Im Vollstreckungsverfahren werden Kosten (Gebühren und Auslagen) erhoben. </w:t>
      </w:r>
      <w:r>
        <w:rPr>
          <w:rStyle w:val="Satznummer"/>
        </w:rPr>
        <w:t>2</w:t>
      </w:r>
      <w:r>
        <w:t>Schuldner dieser Kosten ist der Vollstreckungsschuldner.</w:t>
      </w:r>
    </w:p>
    <w:p>
      <w:r>
        <w:t>(2) Für das Mahnverfahren werden keine Kosten erhoben.</w:t>
      </w:r>
    </w:p>
    <w:p>
      <w:pPr>
        <w:pStyle w:val="Heading3"/>
      </w:pPr>
      <w:bookmarkStart w:id="497" w:name="b494"/>
      <w:r>
        <w:t>§ 338 Gebührenarten</w:t>
      </w:r>
      <w:r>
        <w:t xml:space="preserve"> </w:t>
      </w:r>
      <w:r>
        <w:rPr>
          <w:rStyle w:val="Suchmarke"/>
        </w:rPr>
        <w:t>#338#</w:t>
      </w:r>
      <w:bookmarkEnd w:id="497"/>
    </w:p>
    <w:p>
      <w:r>
        <w:t>Im Vollstreckungsverfahren werden Pfändungsgebühren (</w:t>
      </w:r>
      <w:hyperlink w:anchor="b495" w:history="1">
        <w:r>
          <w:rPr>
            <w:color w:val="0A3A8C"/>
            <w:u w:val="single"/>
          </w:rPr>
          <w:t xml:space="preserve">§ 339</w:t>
        </w:r>
      </w:hyperlink>
      <w:r>
        <w:t>), Wegnahmegebühren (</w:t>
      </w:r>
      <w:hyperlink w:anchor="b496" w:history="1">
        <w:r>
          <w:rPr>
            <w:color w:val="0A3A8C"/>
            <w:u w:val="single"/>
          </w:rPr>
          <w:t xml:space="preserve">§ 340</w:t>
        </w:r>
      </w:hyperlink>
      <w:r>
        <w:t>) und Verwertungsgebühren (</w:t>
      </w:r>
      <w:hyperlink w:anchor="b497" w:history="1">
        <w:r>
          <w:rPr>
            <w:color w:val="0A3A8C"/>
            <w:u w:val="single"/>
          </w:rPr>
          <w:t xml:space="preserve">§ 341</w:t>
        </w:r>
      </w:hyperlink>
      <w:r>
        <w:t>) erhoben.</w:t>
      </w:r>
    </w:p>
    <w:p>
      <w:pPr>
        <w:pStyle w:val="Heading3"/>
      </w:pPr>
      <w:bookmarkStart w:id="498" w:name="b495"/>
      <w:r>
        <w:t>§ 339 Pfändungsgebühr</w:t>
      </w:r>
      <w:r>
        <w:t xml:space="preserve"> </w:t>
      </w:r>
      <w:r>
        <w:rPr>
          <w:rStyle w:val="Suchmarke"/>
        </w:rPr>
        <w:t>#339#</w:t>
      </w:r>
      <w:bookmarkEnd w:id="498"/>
    </w:p>
    <w:p>
      <w:r>
        <w:t>(1) Die Pfändungsgebühr wird erhoben für die Pfändung von beweglichen Sachen, von Tieren, von Früchten, die vom Boden noch nicht getrennt sind, von Forderungen und von anderen Vermögensrechten.</w:t>
      </w:r>
    </w:p>
    <w:p>
      <w:r>
        <w:t>(2) Die Gebühr entsteht:</w:t>
      </w:r>
    </w:p>
    <w:p>
      <w:pPr>
        <w:tabs>
          <w:tab w:pos="567" w:val="left"/>
        </w:tabs>
        <w:ind w:left="567" w:hanging="567"/>
      </w:pPr>
      <w:r>
        <w:t>1.</w:t>
      </w:r>
      <w:r>
        <w:tab/>
      </w:r>
      <w:r>
        <w:t>sobald der Vollziehungsbeamte Schritte zur Ausführung des Vollstreckungsauftrags unternommen hat,</w:t>
      </w:r>
    </w:p>
    <w:p>
      <w:pPr>
        <w:tabs>
          <w:tab w:pos="567" w:val="left"/>
        </w:tabs>
        <w:ind w:left="567" w:hanging="567"/>
      </w:pPr>
      <w:r>
        <w:t>2.</w:t>
      </w:r>
      <w:r>
        <w:tab/>
      </w:r>
      <w:r>
        <w:t>mit der Zustellung der Verfügung, durch die eine Forderung oder ein anderes Vermögensrecht gepfändet werden soll.</w:t>
      </w:r>
    </w:p>
    <w:p>
      <w:r>
        <w:t>(3) Die Gebühr beträgt 31,20 Euro.</w:t>
      </w:r>
    </w:p>
    <w:p>
      <w:r>
        <w:t xml:space="preserve">(4) </w:t>
      </w:r>
      <w:r>
        <w:rPr>
          <w:rStyle w:val="Satznummer"/>
        </w:rPr>
        <w:t>1</w:t>
      </w:r>
      <w:r>
        <w:t>Die Gebühr wird auch erhoben, wenn</w:t>
      </w:r>
    </w:p>
    <w:p>
      <w:pPr>
        <w:tabs>
          <w:tab w:pos="567" w:val="left"/>
        </w:tabs>
        <w:ind w:left="567" w:hanging="567"/>
      </w:pPr>
      <w:r>
        <w:t>1.</w:t>
      </w:r>
      <w:r>
        <w:tab/>
      </w:r>
      <w:r>
        <w:t>die Pfändung durch Zahlung an den Vollziehungsbeamten abgewendet wird,</w:t>
      </w:r>
    </w:p>
    <w:p>
      <w:pPr>
        <w:tabs>
          <w:tab w:pos="567" w:val="left"/>
        </w:tabs>
        <w:ind w:left="567" w:hanging="567"/>
      </w:pPr>
      <w:r>
        <w:t>2.</w:t>
      </w:r>
      <w:r>
        <w:tab/>
      </w:r>
      <w:r>
        <w:t>auf andere Weise Zahlung geleistet wird, nachdem sich der Vollziehungsbeamte an Ort und Stelle begeben hat,</w:t>
      </w:r>
    </w:p>
    <w:p>
      <w:pPr>
        <w:tabs>
          <w:tab w:pos="567" w:val="left"/>
        </w:tabs>
        <w:ind w:left="567" w:hanging="567"/>
      </w:pPr>
      <w:r>
        <w:t>3.</w:t>
      </w:r>
      <w:r>
        <w:tab/>
      </w:r>
      <w:r>
        <w:t>ein Pfändungsversuch erfolglos geblieben ist, weil pfändbare Gegenstände nicht vorgefunden wurden, oder</w:t>
      </w:r>
    </w:p>
    <w:p>
      <w:pPr>
        <w:tabs>
          <w:tab w:pos="567" w:val="left"/>
        </w:tabs>
        <w:ind w:left="567" w:hanging="567"/>
      </w:pPr>
      <w:r>
        <w:t>4.</w:t>
      </w:r>
      <w:r>
        <w:tab/>
      </w:r>
      <w:r>
        <w:t xml:space="preserve">die Pfändung in den Fällen des </w:t>
      </w:r>
      <w:hyperlink w:anchor="b428" w:history="1">
        <w:r>
          <w:rPr>
            <w:color w:val="0A3A8C"/>
            <w:u w:val="single"/>
          </w:rPr>
          <w:t xml:space="preserve">§ 281</w:t>
        </w:r>
      </w:hyperlink>
      <w:r>
        <w:t xml:space="preserve"> Absatz 3 dieses Gesetzes sowie der § 811 Absatz 4 und § 851b Absatz 1 der Zivilprozessordnung unterbleibt.</w:t>
      </w:r>
    </w:p>
    <w:p>
      <w:r>
        <w:rPr>
          <w:rStyle w:val="Satznummer"/>
        </w:rPr>
        <w:t>2</w:t>
      </w:r>
      <w:r>
        <w:t>Wird die Pfändung auf andere Weise abgewendet, wird keine Gebühr erhoben.</w:t>
      </w:r>
    </w:p>
    <w:p>
      <w:pPr>
        <w:pStyle w:val="Heading3"/>
      </w:pPr>
      <w:bookmarkStart w:id="499" w:name="b496"/>
      <w:r>
        <w:t>§ 340 Wegnahmegebühr</w:t>
      </w:r>
      <w:r>
        <w:t xml:space="preserve"> </w:t>
      </w:r>
      <w:r>
        <w:rPr>
          <w:rStyle w:val="Suchmarke"/>
        </w:rPr>
        <w:t>#340#</w:t>
      </w:r>
      <w:bookmarkEnd w:id="499"/>
    </w:p>
    <w:p>
      <w:r>
        <w:t xml:space="preserve">(1) </w:t>
      </w:r>
      <w:r>
        <w:rPr>
          <w:rStyle w:val="Satznummer"/>
        </w:rPr>
        <w:t>1</w:t>
      </w:r>
      <w:r>
        <w:t xml:space="preserve">Die Wegnahmegebühr wird für die Wegnahme beweglicher Sachen einschließlich Urkunden in den Fällen der </w:t>
      </w:r>
      <w:hyperlink w:anchor="b459" w:history="1">
        <w:r>
          <w:rPr>
            <w:color w:val="0A3A8C"/>
            <w:u w:val="single"/>
          </w:rPr>
          <w:t xml:space="preserve">§§ 310</w:t>
        </w:r>
      </w:hyperlink>
      <w:r>
        <w:t xml:space="preserve">, </w:t>
      </w:r>
      <w:hyperlink w:anchor="b464" w:history="1">
        <w:r>
          <w:rPr>
            <w:color w:val="0A3A8C"/>
            <w:u w:val="single"/>
          </w:rPr>
          <w:t xml:space="preserve">315</w:t>
        </w:r>
      </w:hyperlink>
      <w:r>
        <w:t xml:space="preserve"> Absatz 2 Satz 5, </w:t>
      </w:r>
      <w:hyperlink w:anchor="b467" w:history="1">
        <w:r>
          <w:rPr>
            <w:color w:val="0A3A8C"/>
            <w:u w:val="single"/>
          </w:rPr>
          <w:t xml:space="preserve">§§ 318</w:t>
        </w:r>
      </w:hyperlink>
      <w:r>
        <w:t xml:space="preserve">, </w:t>
      </w:r>
      <w:hyperlink w:anchor="b470" w:history="1">
        <w:r>
          <w:rPr>
            <w:color w:val="0A3A8C"/>
            <w:u w:val="single"/>
          </w:rPr>
          <w:t xml:space="preserve">321</w:t>
        </w:r>
      </w:hyperlink>
      <w:r>
        <w:t xml:space="preserve">, </w:t>
      </w:r>
      <w:hyperlink w:anchor="b485" w:history="1">
        <w:r>
          <w:rPr>
            <w:color w:val="0A3A8C"/>
            <w:u w:val="single"/>
          </w:rPr>
          <w:t xml:space="preserve">331</w:t>
        </w:r>
      </w:hyperlink>
      <w:r>
        <w:t xml:space="preserve"> und </w:t>
      </w:r>
      <w:hyperlink w:anchor="b491" w:history="1">
        <w:r>
          <w:rPr>
            <w:color w:val="0A3A8C"/>
            <w:u w:val="single"/>
          </w:rPr>
          <w:t xml:space="preserve">336</w:t>
        </w:r>
      </w:hyperlink>
      <w:r>
        <w:t xml:space="preserve"> erhoben. </w:t>
      </w:r>
      <w:r>
        <w:rPr>
          <w:rStyle w:val="Satznummer"/>
        </w:rPr>
        <w:t>2</w:t>
      </w:r>
      <w:r>
        <w:t>Dies gilt auch dann, wenn der Vollstreckungsschuldner an den zur Vollstreckung erschienenen Vollziehungsbeamten freiwillig leistet.</w:t>
      </w:r>
    </w:p>
    <w:p>
      <w:r>
        <w:t xml:space="preserve">(2) </w:t>
      </w:r>
      <w:hyperlink w:anchor="b495" w:history="1">
        <w:r>
          <w:rPr>
            <w:color w:val="0A3A8C"/>
            <w:u w:val="single"/>
          </w:rPr>
          <w:t xml:space="preserve">§ 339</w:t>
        </w:r>
      </w:hyperlink>
      <w:r>
        <w:t xml:space="preserve"> Absatz 2 Nummer 1 ist entsprechend anzuwenden.</w:t>
      </w:r>
    </w:p>
    <w:p>
      <w:r>
        <w:t xml:space="preserve">(3) </w:t>
      </w:r>
      <w:r>
        <w:rPr>
          <w:rStyle w:val="Satznummer"/>
        </w:rPr>
        <w:t>1</w:t>
      </w:r>
      <w:r>
        <w:t xml:space="preserve">Die Höhe der Wegnahmegebühr beträgt 31,20 Euro. </w:t>
      </w:r>
      <w:r>
        <w:rPr>
          <w:rStyle w:val="Satznummer"/>
        </w:rPr>
        <w:t>2</w:t>
      </w:r>
      <w:r>
        <w:t>Die Gebühr wird auch erhoben, wenn die in Absatz 1 bezeichneten Sachen nicht aufzufinden sind.</w:t>
      </w:r>
    </w:p>
    <w:p>
      <w:pPr>
        <w:pStyle w:val="Heading3"/>
      </w:pPr>
      <w:bookmarkStart w:id="500" w:name="b497"/>
      <w:r>
        <w:t>§ 341 Verwertungsgebühr</w:t>
      </w:r>
      <w:r>
        <w:t xml:space="preserve"> </w:t>
      </w:r>
      <w:r>
        <w:rPr>
          <w:rStyle w:val="Suchmarke"/>
        </w:rPr>
        <w:t>#341#</w:t>
      </w:r>
      <w:bookmarkEnd w:id="500"/>
    </w:p>
    <w:p>
      <w:r>
        <w:t>(1) Die Verwertungsgebühr wird für die Versteigerung und andere Verwertung von Gegenständen erhoben.</w:t>
      </w:r>
    </w:p>
    <w:p>
      <w:r>
        <w:t>(2) Die Gebühr entsteht, sobald der Vollziehungsbeamte oder ein anderer Beauftragter Schritte zur Ausführung des Verwertungsauftrags unternommen hat.</w:t>
      </w:r>
    </w:p>
    <w:p>
      <w:r>
        <w:t>(3) Die Gebühr beträgt 62,40 Euro.</w:t>
      </w:r>
    </w:p>
    <w:p>
      <w:r>
        <w:t>(4) Wird die Verwertung abgewendet (</w:t>
      </w:r>
      <w:hyperlink w:anchor="b444" w:history="1">
        <w:r>
          <w:rPr>
            <w:color w:val="0A3A8C"/>
            <w:u w:val="single"/>
          </w:rPr>
          <w:t xml:space="preserve">§ 296</w:t>
        </w:r>
      </w:hyperlink>
      <w:r>
        <w:t xml:space="preserve"> Absatz 1 Satz 4), ist eine Gebühr von 31,20 Euro zu erheben.</w:t>
      </w:r>
    </w:p>
    <w:p>
      <w:pPr>
        <w:pStyle w:val="Heading3"/>
      </w:pPr>
      <w:bookmarkStart w:id="501" w:name="b498"/>
      <w:r>
        <w:t>§ 342 Mehrheit von Schuldnern</w:t>
      </w:r>
      <w:r>
        <w:t xml:space="preserve"> </w:t>
      </w:r>
      <w:r>
        <w:rPr>
          <w:rStyle w:val="Suchmarke"/>
        </w:rPr>
        <w:t>#342#</w:t>
      </w:r>
      <w:bookmarkEnd w:id="501"/>
    </w:p>
    <w:p>
      <w:r>
        <w:t>(1) Wird gegen mehrere Schuldner vollstreckt, so sind die Gebühren, auch wenn der Vollziehungsbeamte bei derselben Gelegenheit mehrere Vollstreckungshandlungen vornimmt, von jedem Vollstreckungsschuldner zu erheben.</w:t>
      </w:r>
    </w:p>
    <w:p>
      <w:r>
        <w:t xml:space="preserve">(2) </w:t>
      </w:r>
      <w:r>
        <w:rPr>
          <w:rStyle w:val="Satznummer"/>
        </w:rPr>
        <w:t>1</w:t>
      </w:r>
      <w:r>
        <w:t xml:space="preserve">Wird gegen Gesamtschuldner wegen der Gesamtschuld bei derselben Gelegenheit vollstreckt, so werden Pfändungs-, Wegnahme- und Verwertungsgebühren nur einmal erhoben. </w:t>
      </w:r>
      <w:r>
        <w:rPr>
          <w:rStyle w:val="Satznummer"/>
        </w:rPr>
        <w:t>2</w:t>
      </w:r>
      <w:r>
        <w:t>Die in Satz 1 bezeichneten Personen schulden die Gebühren als Gesamtschuldner.</w:t>
      </w:r>
    </w:p>
    <w:p>
      <w:pPr>
        <w:pStyle w:val="Heading3"/>
      </w:pPr>
      <w:bookmarkStart w:id="502" w:name="b499"/>
      <w:r>
        <w:t>§ 343 (weggefallen)</w:t>
      </w:r>
      <w:r>
        <w:t xml:space="preserve"> </w:t>
      </w:r>
      <w:r>
        <w:rPr>
          <w:rStyle w:val="Suchmarke"/>
        </w:rPr>
        <w:t>#343#</w:t>
      </w:r>
      <w:bookmarkEnd w:id="502"/>
    </w:p>
    <w:p>
      <w:pPr>
        <w:pStyle w:val="Heading3"/>
      </w:pPr>
      <w:bookmarkStart w:id="503" w:name="b500"/>
      <w:r>
        <w:t>§ 344 Auslagen</w:t>
      </w:r>
      <w:r>
        <w:t xml:space="preserve"> </w:t>
      </w:r>
      <w:r>
        <w:rPr>
          <w:rStyle w:val="Suchmarke"/>
        </w:rPr>
        <w:t>#344#</w:t>
      </w:r>
      <w:bookmarkEnd w:id="503"/>
    </w:p>
    <w:p>
      <w:r>
        <w:t>(1) Als Auslagen werden erhoben:</w:t>
      </w:r>
    </w:p>
    <w:p>
      <w:pPr>
        <w:tabs>
          <w:tab w:pos="567" w:val="left"/>
        </w:tabs>
        <w:ind w:left="567" w:hanging="567"/>
      </w:pPr>
      <w:r>
        <w:t>1.</w:t>
      </w:r>
      <w:r>
        <w:tab/>
      </w:r>
      <w:r>
        <w:t>Schreibauslagen für nicht von Amts wegen zu erteilende oder per Telefax übermittelte Abschriften; die Schreibauslagen betragen unabhängig von der Art der Herstellung</w:t>
      </w:r>
    </w:p>
    <w:p>
      <w:pPr>
        <w:tabs>
          <w:tab w:pos="1134" w:val="left"/>
        </w:tabs>
        <w:ind w:left="1134" w:hanging="567"/>
      </w:pPr>
      <w:r>
        <w:t>a)</w:t>
      </w:r>
      <w:r>
        <w:tab/>
      </w:r>
      <w:r>
        <w:t>für die ersten 50 Seiten je Seite 0,50 Euro,</w:t>
      </w:r>
    </w:p>
    <w:p>
      <w:pPr>
        <w:tabs>
          <w:tab w:pos="1134" w:val="left"/>
        </w:tabs>
        <w:ind w:left="1134" w:hanging="567"/>
      </w:pPr>
      <w:r>
        <w:t>b)</w:t>
      </w:r>
      <w:r>
        <w:tab/>
      </w:r>
      <w:r>
        <w:t>für jede weitere Seite 0,15 Euro,</w:t>
      </w:r>
    </w:p>
    <w:p>
      <w:pPr>
        <w:tabs>
          <w:tab w:pos="1134" w:val="left"/>
        </w:tabs>
        <w:ind w:left="1134" w:hanging="567"/>
      </w:pPr>
      <w:r>
        <w:t>c)</w:t>
      </w:r>
      <w:r>
        <w:tab/>
      </w:r>
      <w:r>
        <w:t>für die ersten 50 Seiten in Farbe je Seite 1,00 Euro,</w:t>
      </w:r>
    </w:p>
    <w:p>
      <w:pPr>
        <w:tabs>
          <w:tab w:pos="1134" w:val="left"/>
        </w:tabs>
        <w:ind w:left="1134" w:hanging="567"/>
      </w:pPr>
      <w:r>
        <w:t>d)</w:t>
      </w:r>
      <w:r>
        <w:tab/>
      </w:r>
      <w:r>
        <w:t>für jede weitere Seite in Farbe 0,30 Euro.</w:t>
      </w:r>
    </w:p>
    <w:p>
      <w:pPr>
        <w:ind w:left="567"/>
      </w:pPr>
      <w:r>
        <w:rPr>
          <w:rStyle w:val="Satznummer"/>
        </w:rPr>
        <w:t>2</w:t>
      </w:r>
      <w:r>
        <w:t xml:space="preserve">Werden anstelle von Abschriften elektronisch gespeicherte Dateien überlassen, betragen die Auslagen 1,50 Euro je Datei. </w:t>
      </w:r>
      <w:r>
        <w:rPr>
          <w:rStyle w:val="Satznummer"/>
        </w:rPr>
        <w:t>3</w:t>
      </w:r>
      <w:r>
        <w:t xml:space="preserve">Für die in einem Arbeitsgang überlassenen oder in einem Arbeitsgang auf einen Datenträger übertragenen Dokumente werden insgesamt höchstens 5 Euro erhoben. </w:t>
      </w:r>
      <w:r>
        <w:rPr>
          <w:rStyle w:val="Satznummer"/>
        </w:rPr>
        <w:t>4</w:t>
      </w:r>
      <w:r>
        <w:t>Werden zum Zweck der Überlassung von elektronisch gespeicherten Dateien Dokumente zuvor auf Antrag von der Papierform in die elektronische Form übertragen, beträgt die Pauschale für Schreibauslagen nach Satz 2 nicht weniger, als die Pauschale im Fall von Satz 1 betragen würde,</w:t>
      </w:r>
    </w:p>
    <w:p>
      <w:pPr>
        <w:tabs>
          <w:tab w:pos="567" w:val="left"/>
        </w:tabs>
        <w:ind w:left="567" w:hanging="567"/>
      </w:pPr>
      <w:r>
        <w:t>2.</w:t>
      </w:r>
      <w:r>
        <w:tab/>
      </w:r>
      <w:r>
        <w:t>Entgelte für Post- und Telekommunikationsdienstleistungen, ausgenommen die Entgelte für Telefondienstleistungen im Orts- und Nahbereich,</w:t>
      </w:r>
    </w:p>
    <w:p>
      <w:pPr>
        <w:tabs>
          <w:tab w:pos="567" w:val="left"/>
        </w:tabs>
        <w:ind w:left="567" w:hanging="567"/>
      </w:pPr>
      <w:r>
        <w:t>3.</w:t>
      </w:r>
      <w:r>
        <w:tab/>
      </w:r>
      <w:r>
        <w:t>Entgelte für Zustellungen durch die Post mit Zustellungsurkunde; wird durch die Behörde zugestellt (§ 5 des Verwaltungszustellungsgesetzes), so werden 7,50 Euro erhoben,</w:t>
      </w:r>
    </w:p>
    <w:p>
      <w:pPr>
        <w:tabs>
          <w:tab w:pos="567" w:val="left"/>
        </w:tabs>
        <w:ind w:left="567" w:hanging="567"/>
      </w:pPr>
      <w:r>
        <w:t>4.</w:t>
      </w:r>
      <w:r>
        <w:tab/>
      </w:r>
      <w:r>
        <w:t>Kosten, die durch öffentliche Bekanntmachung entstehen,</w:t>
      </w:r>
    </w:p>
    <w:p>
      <w:pPr>
        <w:tabs>
          <w:tab w:pos="567" w:val="left"/>
        </w:tabs>
        <w:ind w:left="567" w:hanging="567"/>
      </w:pPr>
      <w:r>
        <w:t>5.</w:t>
      </w:r>
      <w:r>
        <w:tab/>
      </w:r>
      <w:r>
        <w:t>an die zum Öffnen von Türen und Behältnissen sowie an die zur Durchsuchung von Vollstreckungsschuldnern zugezogenen Personen zu zahlende Beträge,</w:t>
      </w:r>
    </w:p>
    <w:p>
      <w:pPr>
        <w:tabs>
          <w:tab w:pos="567" w:val="left"/>
        </w:tabs>
        <w:ind w:left="567" w:hanging="567"/>
      </w:pPr>
      <w:r>
        <w:t>6.</w:t>
      </w:r>
      <w:r>
        <w:tab/>
      </w:r>
      <w:r>
        <w:t>Kosten für die Beförderung, Verwahrung und Beaufsichtigung gepfändeter Sachen, Kosten für die Aberntung gepfändeter Früchte und Kosten für die Verwahrung, Fütterung, Pflege und Beförderung gepfändeter Tiere,</w:t>
      </w:r>
    </w:p>
    <w:p>
      <w:pPr>
        <w:tabs>
          <w:tab w:pos="567" w:val="left"/>
        </w:tabs>
        <w:ind w:left="567" w:hanging="567"/>
      </w:pPr>
      <w:r>
        <w:t>7.</w:t>
      </w:r>
      <w:r>
        <w:tab/>
      </w:r>
      <w:r>
        <w:t>Beträge, die in entsprechender Anwendung des Justizvergütungs- und -entschädigungsgesetzes an Auskunftspersonen und Sachverständige (</w:t>
      </w:r>
      <w:hyperlink w:anchor="b170" w:history="1">
        <w:r>
          <w:rPr>
            <w:color w:val="0A3A8C"/>
            <w:u w:val="single"/>
          </w:rPr>
          <w:t xml:space="preserve">§ 107</w:t>
        </w:r>
      </w:hyperlink>
      <w:r>
        <w:t>) sowie Beträge, die an Treuhänder (</w:t>
      </w:r>
      <w:hyperlink w:anchor="b467" w:history="1">
        <w:r>
          <w:rPr>
            <w:color w:val="0A3A8C"/>
            <w:u w:val="single"/>
          </w:rPr>
          <w:t xml:space="preserve">§ 318</w:t>
        </w:r>
      </w:hyperlink>
      <w:r>
        <w:t xml:space="preserve"> Absatz 5) zu zahlen sind,</w:t>
      </w:r>
    </w:p>
    <w:p>
      <w:pPr>
        <w:tabs>
          <w:tab w:pos="567" w:val="left"/>
        </w:tabs>
        <w:ind w:left="567" w:hanging="567"/>
      </w:pPr>
      <w:r>
        <w:t>7a.</w:t>
      </w:r>
      <w:r>
        <w:tab/>
      </w:r>
      <w:r>
        <w:t>Kosten, die von einem Kreditinstitut erhoben werden, weil ein Scheck des Vollstreckungsschuldners nicht eingelöst wurde,</w:t>
      </w:r>
    </w:p>
    <w:p>
      <w:pPr>
        <w:tabs>
          <w:tab w:pos="567" w:val="left"/>
        </w:tabs>
        <w:ind w:left="567" w:hanging="567"/>
      </w:pPr>
      <w:r>
        <w:t>7b.</w:t>
      </w:r>
      <w:r>
        <w:tab/>
      </w:r>
      <w:r>
        <w:t>Kosten für die Umschreibung eines auf einen Namen lautenden Wertpapiers oder für die Wiederinkurssetzung eines Inhaberpapiers,</w:t>
      </w:r>
    </w:p>
    <w:p>
      <w:pPr>
        <w:tabs>
          <w:tab w:pos="567" w:val="left"/>
        </w:tabs>
        <w:ind w:left="567" w:hanging="567"/>
      </w:pPr>
      <w:r>
        <w:t>8.</w:t>
      </w:r>
      <w:r>
        <w:tab/>
      </w:r>
      <w:r>
        <w:t>andere Beträge, die auf Grund von Vollstreckungsmaßnahmen an Dritte zu zahlen sind, insbesondere Beträge, die bei der Ersatzvornahme oder beim unmittelbaren Zwang an Beauftragte und an Hilfspersonen gezahlt werden, und sonstige durch Ausführung des unmittelbaren Zwanges oder Anwendung der Ersatzzwangshaft entstandene Kosten.</w:t>
      </w:r>
    </w:p>
    <w:p>
      <w:r>
        <w:t>(2) Steuern, die die Finanzbehörde auf Grund von Vollstreckungsmaßnahmen schuldet, sind als Auslagen zu erheben.</w:t>
      </w:r>
    </w:p>
    <w:p>
      <w:r>
        <w:t xml:space="preserve">(3) </w:t>
      </w:r>
      <w:r>
        <w:rPr>
          <w:rStyle w:val="Satznummer"/>
        </w:rPr>
        <w:t>1</w:t>
      </w:r>
      <w:r>
        <w:t xml:space="preserve">Werden Sachen oder Tiere, die bei mehreren Vollstreckungsschuldnern gepfändet worden sind, in einem einheitlichen Verfahren abgeholt und verwertet, so werden die Auslagen, die in diesem Verfahren entstehen, auf die beteiligten Vollstreckungsschuldner verteilt. </w:t>
      </w:r>
      <w:r>
        <w:rPr>
          <w:rStyle w:val="Satznummer"/>
        </w:rPr>
        <w:t>2</w:t>
      </w:r>
      <w:r>
        <w:t>Dabei sind die besonderen Umstände des einzelnen Falls, vor allem Wert, Umfang und Gewicht der Gegenstände, zu berücksichtigen.</w:t>
      </w:r>
    </w:p>
    <w:p>
      <w:pPr>
        <w:pStyle w:val="Heading3"/>
      </w:pPr>
      <w:bookmarkStart w:id="504" w:name="b501"/>
      <w:r>
        <w:t>§ 345 Reisekosten und Aufwandsentschädigungen</w:t>
      </w:r>
      <w:r>
        <w:t xml:space="preserve"> </w:t>
      </w:r>
      <w:r>
        <w:rPr>
          <w:rStyle w:val="Suchmarke"/>
        </w:rPr>
        <w:t>#345#</w:t>
      </w:r>
      <w:bookmarkEnd w:id="504"/>
    </w:p>
    <w:p>
      <w:r>
        <w:t>Im Vollstreckungsverfahren sind die Reisekosten des Vollziehungsbeamten und Auslagen, die durch Aufwandsentschädigungen abgegolten werden, von dem Vollstreckungsschuldner nicht zu erstatten.</w:t>
      </w:r>
    </w:p>
    <w:p>
      <w:pPr>
        <w:pStyle w:val="Heading3"/>
      </w:pPr>
      <w:bookmarkStart w:id="505" w:name="b502"/>
      <w:r>
        <w:t>§ 346 Unrichtige Sachbehandlung, Festsetzungsfrist</w:t>
      </w:r>
      <w:r>
        <w:t xml:space="preserve"> </w:t>
      </w:r>
      <w:r>
        <w:rPr>
          <w:rStyle w:val="Suchmarke"/>
        </w:rPr>
        <w:t>#346#</w:t>
      </w:r>
      <w:bookmarkEnd w:id="505"/>
    </w:p>
    <w:p>
      <w:r>
        <w:t>(1) Kosten, die bei richtiger Behandlung der Sache nicht entstanden wären, sind nicht zu erheben.</w:t>
      </w:r>
    </w:p>
    <w:p>
      <w:r>
        <w:t xml:space="preserve">(2) </w:t>
      </w:r>
      <w:r>
        <w:rPr>
          <w:rStyle w:val="Satznummer"/>
        </w:rPr>
        <w:t>1</w:t>
      </w:r>
      <w:r>
        <w:t xml:space="preserve">Die Frist für den Ansatz der Kosten und für die Aufhebung und Änderung des Kostenansatzes beträgt ein Jahr. </w:t>
      </w:r>
      <w:r>
        <w:rPr>
          <w:rStyle w:val="Satznummer"/>
        </w:rPr>
        <w:t>2</w:t>
      </w:r>
      <w:r>
        <w:t xml:space="preserve">Sie beginnt mit Ablauf des Kalenderjahrs, in dem die Kosten entstanden sind. </w:t>
      </w:r>
      <w:r>
        <w:rPr>
          <w:rStyle w:val="Satznummer"/>
        </w:rPr>
        <w:t>3</w:t>
      </w:r>
      <w:r>
        <w:t>Einem vor Ablauf der Frist gestellten Antrag auf Aufhebung oder Änderung kann auch nach Ablauf der Frist entsprochen werden.</w:t>
      </w:r>
    </w:p>
    <w:p>
      <w:pPr>
        <w:pStyle w:val="Heading1"/>
      </w:pPr>
      <w:bookmarkStart w:id="506" w:name="b503"/>
      <w:r>
        <w:t>Siebenter Teil Außergerichtliches Rechtsbehelfsverfahren</w:t>
      </w:r>
      <w:bookmarkEnd w:id="506"/>
    </w:p>
    <w:p>
      <w:pPr>
        <w:pStyle w:val="Heading2"/>
      </w:pPr>
      <w:bookmarkStart w:id="507" w:name="b504"/>
      <w:r>
        <w:t>Erster Abschnitt Zulässigkeit</w:t>
      </w:r>
      <w:bookmarkEnd w:id="507"/>
    </w:p>
    <w:p>
      <w:pPr>
        <w:pStyle w:val="Heading3"/>
      </w:pPr>
      <w:bookmarkStart w:id="508" w:name="b505"/>
      <w:r>
        <w:t>§ 347 Statthaftigkeit des Einspruchs</w:t>
      </w:r>
      <w:r>
        <w:t xml:space="preserve"> </w:t>
      </w:r>
      <w:r>
        <w:rPr>
          <w:rStyle w:val="Suchmarke"/>
        </w:rPr>
        <w:t>#347#</w:t>
      </w:r>
      <w:bookmarkEnd w:id="508"/>
    </w:p>
    <w:p>
      <w:r>
        <w:t xml:space="preserve">(1) </w:t>
      </w:r>
      <w:r>
        <w:rPr>
          <w:rStyle w:val="Satznummer"/>
        </w:rPr>
        <w:t>1</w:t>
      </w:r>
      <w:r>
        <w:t>Gegen Verwaltungsakte</w:t>
      </w:r>
    </w:p>
    <w:p>
      <w:pPr>
        <w:tabs>
          <w:tab w:pos="567" w:val="left"/>
        </w:tabs>
        <w:ind w:left="567" w:hanging="567"/>
      </w:pPr>
      <w:r>
        <w:t>1.</w:t>
      </w:r>
      <w:r>
        <w:tab/>
      </w:r>
      <w:r>
        <w:t>in Abgabenangelegenheiten, auf die dieses Gesetz Anwendung findet,</w:t>
      </w:r>
    </w:p>
    <w:p>
      <w:pPr>
        <w:tabs>
          <w:tab w:pos="567" w:val="left"/>
        </w:tabs>
        <w:ind w:left="567" w:hanging="567"/>
      </w:pPr>
      <w:r>
        <w:t>2.</w:t>
      </w:r>
      <w:r>
        <w:tab/>
      </w:r>
      <w:r>
        <w:t>in Verfahren zur Vollstreckung von Verwaltungsakten in anderen als den in Nummer 1 bezeichneten Angelegenheiten, soweit die Verwaltungsakte durch Bundesfinanzbehörden oder Landesfinanzbehörden nach den Vorschriften dieses Gesetzes zu vollstrecken sind,</w:t>
      </w:r>
    </w:p>
    <w:p>
      <w:pPr>
        <w:tabs>
          <w:tab w:pos="567" w:val="left"/>
        </w:tabs>
        <w:ind w:left="567" w:hanging="567"/>
      </w:pPr>
      <w:r>
        <w:t>3.</w:t>
      </w:r>
      <w:r>
        <w:tab/>
      </w:r>
      <w:r>
        <w:t>in öffentlich-rechtlichen und berufsrechtlichen Angelegenheiten, auf die dieses Gesetz nach § 164a des Steuerberatungsgesetzes Anwendung findet,</w:t>
      </w:r>
    </w:p>
    <w:p>
      <w:pPr>
        <w:tabs>
          <w:tab w:pos="567" w:val="left"/>
        </w:tabs>
        <w:ind w:left="567" w:hanging="567"/>
      </w:pPr>
      <w:r>
        <w:t>4.</w:t>
      </w:r>
      <w:r>
        <w:tab/>
      </w:r>
      <w:r>
        <w:t>in anderen durch die Finanzbehörden verwalteten Angelegenheiten, soweit die Vorschriften über die außergerichtlichen Rechtsbehelfe durch Gesetz für anwendbar erklärt worden sind oder erklärt werden,</w:t>
      </w:r>
    </w:p>
    <w:p>
      <w:r>
        <w:t xml:space="preserve">ist als Rechtsbehelf der Einspruch statthaft. </w:t>
      </w:r>
      <w:r>
        <w:rPr>
          <w:rStyle w:val="Satznummer"/>
        </w:rPr>
        <w:t>2</w:t>
      </w:r>
      <w:r>
        <w:t>Der Einspruch ist außerdem statthaft, wenn geltend gemacht wird, dass in den in Satz 1 bezeichneten Angelegenheiten über einen vom Einspruchsführer gestellten Antrag auf Erlass eines Verwaltungsakts ohne Mitteilung eines zureichenden Grundes binnen angemessener Frist sachlich nicht entschieden worden ist.</w:t>
      </w:r>
    </w:p>
    <w:p>
      <w:r>
        <w:t>(2) Abgabenangelegenheiten sind alle mit der Verwaltung der Abgaben einschließlich der Abgabenvergütungen oder sonst mit der Anwendung der abgabenrechtlichen Vorschriften durch die Finanzbehörden zusammenhängenden Angelegenheiten einschließlich der Maßnahmen der Bundesfinanzbehörden zur Beachtung der Verbote und Beschränkungen für den Warenverkehr über die Grenze; den Abgabenangelegenheiten stehen die Angelegenheiten der Verwaltung der Finanzmonopole gleich.</w:t>
      </w:r>
    </w:p>
    <w:p>
      <w:r>
        <w:t>(3) Die Vorschriften des Siebenten Teils finden auf das Straf- und Bußgeldverfahren keine Anwendung.</w:t>
      </w:r>
    </w:p>
    <w:p>
      <w:pPr>
        <w:pStyle w:val="Heading3"/>
      </w:pPr>
      <w:bookmarkStart w:id="509" w:name="b506"/>
      <w:r>
        <w:t>§ 348 Ausschluss des Einspruchs</w:t>
      </w:r>
      <w:r>
        <w:t xml:space="preserve"> </w:t>
      </w:r>
      <w:r>
        <w:rPr>
          <w:rStyle w:val="Suchmarke"/>
        </w:rPr>
        <w:t>#348#</w:t>
      </w:r>
      <w:bookmarkEnd w:id="509"/>
    </w:p>
    <w:p>
      <w:r>
        <w:t>Der Einspruch ist nicht statthaft</w:t>
      </w:r>
    </w:p>
    <w:p>
      <w:pPr>
        <w:tabs>
          <w:tab w:pos="567" w:val="left"/>
        </w:tabs>
        <w:ind w:left="567" w:hanging="567"/>
      </w:pPr>
      <w:r>
        <w:t>1.</w:t>
      </w:r>
      <w:r>
        <w:tab/>
      </w:r>
      <w:r>
        <w:t>gegen Einspruchsentscheidungen (</w:t>
      </w:r>
      <w:hyperlink w:anchor="b528" w:history="1">
        <w:r>
          <w:rPr>
            <w:color w:val="0A3A8C"/>
            <w:u w:val="single"/>
          </w:rPr>
          <w:t xml:space="preserve">§ 367</w:t>
        </w:r>
      </w:hyperlink>
      <w:r>
        <w:t>),</w:t>
      </w:r>
    </w:p>
    <w:p>
      <w:pPr>
        <w:tabs>
          <w:tab w:pos="567" w:val="left"/>
        </w:tabs>
        <w:ind w:left="567" w:hanging="567"/>
      </w:pPr>
      <w:r>
        <w:t>2.</w:t>
      </w:r>
      <w:r>
        <w:tab/>
      </w:r>
      <w:r>
        <w:t>bei Nichtentscheidung über einen Einspruch,</w:t>
      </w:r>
    </w:p>
    <w:p>
      <w:pPr>
        <w:tabs>
          <w:tab w:pos="567" w:val="left"/>
        </w:tabs>
        <w:ind w:left="567" w:hanging="567"/>
      </w:pPr>
      <w:r>
        <w:t>3.</w:t>
      </w:r>
      <w:r>
        <w:tab/>
      </w:r>
      <w:r>
        <w:t>gegen Verwaltungsakte der obersten Finanzbehörden des Bundes und der Länder, außer wenn ein Gesetz das Einspruchsverfahren vorschreibt,</w:t>
      </w:r>
    </w:p>
    <w:p>
      <w:pPr>
        <w:tabs>
          <w:tab w:pos="567" w:val="left"/>
        </w:tabs>
        <w:ind w:left="567" w:hanging="567"/>
      </w:pPr>
      <w:r>
        <w:t>4.</w:t>
      </w:r>
      <w:r>
        <w:tab/>
      </w:r>
      <w:r>
        <w:t>gegen Entscheidungen in Angelegenheiten des Zweiten und Sechsten Abschnitts des Zweiten Teils des Steuerberatungsgesetzes,</w:t>
      </w:r>
    </w:p>
    <w:p>
      <w:pPr>
        <w:tabs>
          <w:tab w:pos="567" w:val="left"/>
        </w:tabs>
        <w:ind w:left="567" w:hanging="567"/>
      </w:pPr>
      <w:r>
        <w:t>5.</w:t>
      </w:r>
      <w:r>
        <w:tab/>
      </w:r>
      <w:r>
        <w:t>(weggefallen)</w:t>
      </w:r>
    </w:p>
    <w:p>
      <w:pPr>
        <w:tabs>
          <w:tab w:pos="567" w:val="left"/>
        </w:tabs>
        <w:ind w:left="567" w:hanging="567"/>
      </w:pPr>
      <w:r>
        <w:t>6.</w:t>
      </w:r>
      <w:r>
        <w:tab/>
      </w:r>
      <w:r>
        <w:t xml:space="preserve">in den Fällen des </w:t>
      </w:r>
      <w:hyperlink w:anchor="b283" w:history="1">
        <w:r>
          <w:rPr>
            <w:color w:val="0A3A8C"/>
            <w:u w:val="single"/>
          </w:rPr>
          <w:t xml:space="preserve">§ 172</w:t>
        </w:r>
      </w:hyperlink>
      <w:r>
        <w:t xml:space="preserve"> Absatz 3.</w:t>
      </w:r>
    </w:p>
    <w:p>
      <w:pPr>
        <w:pStyle w:val="Heading3"/>
      </w:pPr>
      <w:bookmarkStart w:id="510" w:name="b507"/>
      <w:r>
        <w:t>§ 349 (weggefallen)</w:t>
      </w:r>
      <w:r>
        <w:t xml:space="preserve"> </w:t>
      </w:r>
      <w:r>
        <w:rPr>
          <w:rStyle w:val="Suchmarke"/>
        </w:rPr>
        <w:t>#349#</w:t>
      </w:r>
      <w:bookmarkEnd w:id="510"/>
    </w:p>
    <w:p>
      <w:pPr>
        <w:pStyle w:val="Heading3"/>
      </w:pPr>
      <w:bookmarkStart w:id="511" w:name="b508"/>
      <w:r>
        <w:t>§ 350 Beschwer</w:t>
      </w:r>
      <w:r>
        <w:t xml:space="preserve"> </w:t>
      </w:r>
      <w:r>
        <w:rPr>
          <w:rStyle w:val="Suchmarke"/>
        </w:rPr>
        <w:t>#350#</w:t>
      </w:r>
      <w:bookmarkEnd w:id="511"/>
    </w:p>
    <w:p>
      <w:r>
        <w:t>Befugt, Einspruch einzulegen, ist nur, wer geltend macht, durch einen Verwaltungsakt oder dessen Unterlassung beschwert zu sein.</w:t>
      </w:r>
    </w:p>
    <w:p>
      <w:pPr>
        <w:pStyle w:val="Heading3"/>
      </w:pPr>
      <w:bookmarkStart w:id="512" w:name="b509"/>
      <w:r>
        <w:t>§ 351 Bindungswirkung anderer Verwaltungsakte</w:t>
      </w:r>
      <w:r>
        <w:t xml:space="preserve"> </w:t>
      </w:r>
      <w:r>
        <w:rPr>
          <w:rStyle w:val="Suchmarke"/>
        </w:rPr>
        <w:t>#351#</w:t>
      </w:r>
      <w:bookmarkEnd w:id="512"/>
    </w:p>
    <w:p>
      <w:r>
        <w:t>(1) Verwaltungsakte, die unanfechtbare Verwaltungsakte ändern, können nur insoweit angegriffen werden, als die Änderung reicht, es sei denn, dass sich aus den Vorschriften über die Aufhebung und Änderung von Verwaltungsakten etwas anderes ergibt.</w:t>
      </w:r>
    </w:p>
    <w:p>
      <w:r>
        <w:t>(2) Entscheidungen in einem Grundlagenbescheid (</w:t>
      </w:r>
      <w:hyperlink w:anchor="b281" w:history="1">
        <w:r>
          <w:rPr>
            <w:color w:val="0A3A8C"/>
            <w:u w:val="single"/>
          </w:rPr>
          <w:t xml:space="preserve">§ 171</w:t>
        </w:r>
      </w:hyperlink>
      <w:r>
        <w:t xml:space="preserve"> Absatz 10) können nur durch Anfechtung dieses Bescheids, nicht auch durch Anfechtung des Folgebescheids, angegriffen werden.</w:t>
      </w:r>
    </w:p>
    <w:p>
      <w:pPr>
        <w:pStyle w:val="Heading3"/>
      </w:pPr>
      <w:bookmarkStart w:id="513" w:name="b510"/>
      <w:r>
        <w:t>§ 352 Einspruchsbefugnis bei der gesonderten und einheitlichen Feststellung</w:t>
      </w:r>
      <w:r>
        <w:t xml:space="preserve"> </w:t>
      </w:r>
      <w:r>
        <w:rPr>
          <w:rStyle w:val="Suchmarke"/>
        </w:rPr>
        <w:t>#352#</w:t>
      </w:r>
      <w:bookmarkEnd w:id="513"/>
    </w:p>
    <w:p>
      <w:r>
        <w:t>(1) Gegen Bescheide über die gesonderte und einheitliche Feststellung von Besteuerungsgrundlagen können Einspruch einlegen:</w:t>
      </w:r>
    </w:p>
    <w:p>
      <w:pPr>
        <w:tabs>
          <w:tab w:pos="567" w:val="left"/>
        </w:tabs>
        <w:ind w:left="567" w:hanging="567"/>
      </w:pPr>
      <w:r>
        <w:t>1.</w:t>
      </w:r>
      <w:r>
        <w:tab/>
      </w:r>
      <w:r>
        <w:t>bei rechtsfähigen Personenvereinigungen:</w:t>
      </w:r>
    </w:p>
    <w:p>
      <w:pPr>
        <w:tabs>
          <w:tab w:pos="1134" w:val="left"/>
        </w:tabs>
        <w:ind w:left="1134" w:hanging="567"/>
      </w:pPr>
      <w:r>
        <w:t>a)</w:t>
      </w:r>
      <w:r>
        <w:tab/>
      </w:r>
      <w:r>
        <w:t>die Personenvereinigung,</w:t>
      </w:r>
    </w:p>
    <w:p>
      <w:pPr>
        <w:tabs>
          <w:tab w:pos="1134" w:val="left"/>
        </w:tabs>
        <w:ind w:left="1134" w:hanging="567"/>
      </w:pPr>
      <w:r>
        <w:t>b)</w:t>
      </w:r>
      <w:r>
        <w:tab/>
      </w:r>
      <w:r>
        <w:t>wenn die rechtsfähige Personenvereinigung nicht mehr besteht, jeder Gesellschafter oder Gemeinschafter, gegen den der Feststellungsbescheid ergangen ist oder zu ergehen hätte;</w:t>
      </w:r>
    </w:p>
    <w:p>
      <w:pPr>
        <w:tabs>
          <w:tab w:pos="567" w:val="left"/>
        </w:tabs>
        <w:ind w:left="567" w:hanging="567"/>
      </w:pPr>
      <w:r>
        <w:t>2.</w:t>
      </w:r>
      <w:r>
        <w:tab/>
      </w:r>
      <w:r>
        <w:t>bei nicht rechtsfähigen Personenvereinigungen und in sonstigen Fällen:</w:t>
      </w:r>
    </w:p>
    <w:p>
      <w:pPr>
        <w:tabs>
          <w:tab w:pos="1134" w:val="left"/>
        </w:tabs>
        <w:ind w:left="1134" w:hanging="567"/>
      </w:pPr>
      <w:r>
        <w:t>a)</w:t>
      </w:r>
      <w:r>
        <w:tab/>
      </w:r>
      <w:r>
        <w:t>der Einspruchsbefugte im Sinne des Absatzes 2,</w:t>
      </w:r>
    </w:p>
    <w:p>
      <w:pPr>
        <w:tabs>
          <w:tab w:pos="1134" w:val="left"/>
        </w:tabs>
        <w:ind w:left="1134" w:hanging="567"/>
      </w:pPr>
      <w:r>
        <w:t>b)</w:t>
      </w:r>
      <w:r>
        <w:tab/>
      </w:r>
      <w:r>
        <w:t>wenn Personen nach Buchstabe a nicht vorhanden sind, jeder Gesellschafter, Gemeinschafter oder Mitberechtigte, gegen den der Feststellungsbescheid ergangen ist oder zu ergehen hätte;</w:t>
      </w:r>
    </w:p>
    <w:p>
      <w:pPr>
        <w:tabs>
          <w:tab w:pos="567" w:val="left"/>
        </w:tabs>
        <w:ind w:left="567" w:hanging="567"/>
      </w:pPr>
      <w:r>
        <w:t>3.</w:t>
      </w:r>
      <w:r>
        <w:tab/>
      </w:r>
      <w:r>
        <w:t xml:space="preserve">in den Fällen des </w:t>
      </w:r>
      <w:hyperlink w:anchor="b300" w:history="1">
        <w:r>
          <w:rPr>
            <w:color w:val="0A3A8C"/>
            <w:u w:val="single"/>
          </w:rPr>
          <w:t xml:space="preserve">§ 183</w:t>
        </w:r>
      </w:hyperlink>
      <w:r>
        <w:t xml:space="preserve"> Absatz 2 Satz 1 Nummer 2 oder des </w:t>
      </w:r>
      <w:hyperlink w:anchor="b301" w:history="1">
        <w:r>
          <w:rPr>
            <w:color w:val="0A3A8C"/>
            <w:u w:val="single"/>
          </w:rPr>
          <w:t xml:space="preserve">§ 183a</w:t>
        </w:r>
      </w:hyperlink>
      <w:r>
        <w:t xml:space="preserve"> Absatz 2 Satz 1 Nummer 2 jeder Gesellschafter, Gemeinschafter oder Mitberechtigte, gegen den der Feststellungsbescheid ergangen ist oder zu ergehen hätte;</w:t>
      </w:r>
    </w:p>
    <w:p>
      <w:pPr>
        <w:tabs>
          <w:tab w:pos="567" w:val="left"/>
        </w:tabs>
        <w:ind w:left="567" w:hanging="567"/>
      </w:pPr>
      <w:r>
        <w:t>4.</w:t>
      </w:r>
      <w:r>
        <w:tab/>
      </w:r>
      <w:r>
        <w:t>soweit es sich darum handelt, wer an dem festgestellten Betrag beteiligt ist und wie dieser sich auf die einzelnen Beteiligten verteilt, jeder, der durch die Feststellungen hierzu berührt wird;</w:t>
      </w:r>
    </w:p>
    <w:p>
      <w:pPr>
        <w:tabs>
          <w:tab w:pos="567" w:val="left"/>
        </w:tabs>
        <w:ind w:left="567" w:hanging="567"/>
      </w:pPr>
      <w:r>
        <w:t>5.</w:t>
      </w:r>
      <w:r>
        <w:tab/>
      </w:r>
      <w:r>
        <w:t>soweit es sich um eine Frage handelt, die einen Beteiligten persönlich angeht, jeder, der durch die Feststellungen über die Frage berührt wird.</w:t>
      </w:r>
    </w:p>
    <w:p>
      <w:r>
        <w:t xml:space="preserve">(2) </w:t>
      </w:r>
      <w:r>
        <w:rPr>
          <w:rStyle w:val="Satznummer"/>
        </w:rPr>
        <w:t>1</w:t>
      </w:r>
      <w:r>
        <w:t xml:space="preserve">Einspruchsbefugt im Sinne des Absatzes 1 Nummer 2 Buchstabe a ist der gemeinsame Empfangsbevollmächtigte im Sinne des </w:t>
      </w:r>
      <w:hyperlink w:anchor="b301" w:history="1">
        <w:r>
          <w:rPr>
            <w:color w:val="0A3A8C"/>
            <w:u w:val="single"/>
          </w:rPr>
          <w:t xml:space="preserve">§ 183a</w:t>
        </w:r>
      </w:hyperlink>
      <w:r>
        <w:t xml:space="preserve"> Absatz 1 Satz 1 oder des § 6 Absatz 1 Satz 1 der Verordnung über die gesonderte Feststellung von Besteuerungsgrundlagen nach § 180 Abs. 2 der Abgabenordnung. </w:t>
      </w:r>
      <w:r>
        <w:rPr>
          <w:rStyle w:val="Satznummer"/>
        </w:rPr>
        <w:t>2</w:t>
      </w:r>
      <w:r>
        <w:t xml:space="preserve">Haben die Feststellungsbeteiligten keinen gemeinsamen Empfangsbevollmächtigten bestellt, ist einspruchsbefugt im Sinne des Absatzes 1 Nummer 2 Buchstabe a der nach </w:t>
      </w:r>
      <w:hyperlink w:anchor="b301" w:history="1">
        <w:r>
          <w:rPr>
            <w:color w:val="0A3A8C"/>
            <w:u w:val="single"/>
          </w:rPr>
          <w:t xml:space="preserve">§ 183a</w:t>
        </w:r>
      </w:hyperlink>
      <w:r>
        <w:t xml:space="preserve"> Absatz 1 Satz 2 und 3 oder nach § 6 Absatz 1 Satz 3 und 4 der Verordnung über die gesonderte Feststellung von Besteuerungsgrundlagen nach § 180 Abs. 2 der Abgabenordnung von der Finanzbehörde bestimmte Empfangsbevollmächtigte; Absatz 1 Nummer 3 bleibt unberührt. </w:t>
      </w:r>
      <w:r>
        <w:rPr>
          <w:rStyle w:val="Satznummer"/>
        </w:rPr>
        <w:t>3</w:t>
      </w:r>
      <w:r>
        <w:t>Die Sätze 1 und 2 sind nur anwendbar, wenn die Beteiligten in der Feststellungserklärung oder in der Aufforderung zur Benennung eines Empfangsbevollmächtigten über die Einspruchsbefugnis des Empfangsbevollmächtigten belehrt worden sind.</w:t>
      </w:r>
    </w:p>
    <w:p>
      <w:pPr>
        <w:pStyle w:val="Heading3"/>
      </w:pPr>
      <w:bookmarkStart w:id="514" w:name="b511"/>
      <w:r>
        <w:t>§ 353 Einspruchsbefugnis des Rechtsnachfolgers</w:t>
      </w:r>
      <w:r>
        <w:t xml:space="preserve"> </w:t>
      </w:r>
      <w:r>
        <w:rPr>
          <w:rStyle w:val="Suchmarke"/>
        </w:rPr>
        <w:t>#353#</w:t>
      </w:r>
      <w:bookmarkEnd w:id="514"/>
    </w:p>
    <w:p>
      <w:r>
        <w:t>Wirkt ein Feststellungsbescheid, ein Grundsteuermessbescheid oder ein Zerlegungs- oder Zuteilungsbescheid über einen Grundsteuermessbetrag gegenüber dem Rechtsnachfolger, ohne dass er diesem bekannt gegeben worden ist (</w:t>
      </w:r>
      <w:hyperlink w:anchor="b299" w:history="1">
        <w:r>
          <w:rPr>
            <w:color w:val="0A3A8C"/>
            <w:u w:val="single"/>
          </w:rPr>
          <w:t xml:space="preserve">§ 182</w:t>
        </w:r>
      </w:hyperlink>
      <w:r>
        <w:t xml:space="preserve"> Absatz 2, </w:t>
      </w:r>
      <w:hyperlink w:anchor="b303" w:history="1">
        <w:r>
          <w:rPr>
            <w:color w:val="0A3A8C"/>
            <w:u w:val="single"/>
          </w:rPr>
          <w:t xml:space="preserve">§ 184</w:t>
        </w:r>
      </w:hyperlink>
      <w:r>
        <w:t xml:space="preserve"> Absatz 1 Satz 4, </w:t>
      </w:r>
      <w:hyperlink w:anchor="b305" w:history="1">
        <w:r>
          <w:rPr>
            <w:color w:val="0A3A8C"/>
            <w:u w:val="single"/>
          </w:rPr>
          <w:t xml:space="preserve">§§ 185</w:t>
        </w:r>
      </w:hyperlink>
      <w:r>
        <w:t xml:space="preserve"> und </w:t>
      </w:r>
      <w:hyperlink w:anchor="b310" w:history="1">
        <w:r>
          <w:rPr>
            <w:color w:val="0A3A8C"/>
            <w:u w:val="single"/>
          </w:rPr>
          <w:t xml:space="preserve">190</w:t>
        </w:r>
      </w:hyperlink>
      <w:r>
        <w:t>), so kann der Rechtsnachfolger nur innerhalb der für den Rechtsvorgänger maßgebenden Einspruchsfrist Einspruch einlegen.</w:t>
      </w:r>
    </w:p>
    <w:p>
      <w:pPr>
        <w:pStyle w:val="Heading3"/>
      </w:pPr>
      <w:bookmarkStart w:id="515" w:name="b512"/>
      <w:r>
        <w:t>§ 354 Einspruchsverzicht</w:t>
      </w:r>
      <w:r>
        <w:t xml:space="preserve"> </w:t>
      </w:r>
      <w:r>
        <w:rPr>
          <w:rStyle w:val="Suchmarke"/>
        </w:rPr>
        <w:t>#354#</w:t>
      </w:r>
      <w:bookmarkEnd w:id="515"/>
    </w:p>
    <w:p>
      <w:r>
        <w:t xml:space="preserve">(1) </w:t>
      </w:r>
      <w:r>
        <w:rPr>
          <w:rStyle w:val="Satznummer"/>
        </w:rPr>
        <w:t>1</w:t>
      </w:r>
      <w:r>
        <w:t xml:space="preserve">Auf Einlegung eines Einspruchs kann nach Erlass des Verwaltungsakts verzichtet werden. </w:t>
      </w:r>
      <w:r>
        <w:rPr>
          <w:rStyle w:val="Satznummer"/>
        </w:rPr>
        <w:t>2</w:t>
      </w:r>
      <w:r>
        <w:t xml:space="preserve">Der Verzicht kann auch bei Abgabe einer Steueranmeldung für den Fall ausgesprochen werden, dass die Steuer nicht abweichend von der Steueranmeldung festgesetzt wird. </w:t>
      </w:r>
      <w:r>
        <w:rPr>
          <w:rStyle w:val="Satznummer"/>
        </w:rPr>
        <w:t>3</w:t>
      </w:r>
      <w:r>
        <w:t>Durch den Verzicht wird der Einspruch unzulässig.</w:t>
      </w:r>
    </w:p>
    <w:p>
      <w:r>
        <w:t xml:space="preserve">(1a) </w:t>
      </w:r>
      <w:r>
        <w:rPr>
          <w:rStyle w:val="Satznummer"/>
        </w:rPr>
        <w:t>1</w:t>
      </w:r>
      <w:r>
        <w:t xml:space="preserve">Soweit Besteuerungsgrundlagen für ein Verständigungs- oder ein Schiedsverfahren nach einem Vertrag im Sinne des § 2 von Bedeutung sein können, kann auf die Einlegung eines Einspruchs insoweit verzichtet werden. </w:t>
      </w:r>
      <w:r>
        <w:rPr>
          <w:rStyle w:val="Satznummer"/>
        </w:rPr>
        <w:t>2</w:t>
      </w:r>
      <w:r>
        <w:t>Die Besteuerungsgrundlage, auf die sich der Verzicht beziehen soll, ist genau zu bezeichnen.</w:t>
      </w:r>
    </w:p>
    <w:p>
      <w:r>
        <w:t xml:space="preserve">(1b) </w:t>
      </w:r>
      <w:r>
        <w:rPr>
          <w:rStyle w:val="Satznummer"/>
        </w:rPr>
        <w:t>1</w:t>
      </w:r>
      <w:r>
        <w:t xml:space="preserve">Auf die Einlegung eines Einspruchs kann bereits vor Erlass des Verwaltungsakts verzichtet werden, soweit durch den Verwaltungsakt eine Verständigungsvereinbarung oder ein Schiedsspruch nach einem Vertrag im Sinne des </w:t>
      </w:r>
      <w:hyperlink w:anchor="b3" w:history="1">
        <w:r>
          <w:rPr>
            <w:color w:val="0A3A8C"/>
            <w:u w:val="single"/>
          </w:rPr>
          <w:t xml:space="preserve">§ 2</w:t>
        </w:r>
      </w:hyperlink>
      <w:r>
        <w:t xml:space="preserve"> zutreffend umgesetzt wird. </w:t>
      </w:r>
      <w:r>
        <w:rPr>
          <w:rStyle w:val="Satznummer"/>
        </w:rPr>
        <w:t>2</w:t>
      </w:r>
      <w:hyperlink w:anchor="b143" w:history="1">
        <w:r>
          <w:rPr>
            <w:color w:val="0A3A8C"/>
            <w:u w:val="single"/>
          </w:rPr>
          <w:t xml:space="preserve">§ 89a</w:t>
        </w:r>
      </w:hyperlink>
      <w:r>
        <w:t xml:space="preserve"> Absatz 3 Satz 1 Nummer 2 bleibt unberührt.</w:t>
      </w:r>
    </w:p>
    <w:p>
      <w:r>
        <w:t xml:space="preserve">(2) </w:t>
      </w:r>
      <w:r>
        <w:rPr>
          <w:rStyle w:val="Satznummer"/>
        </w:rPr>
        <w:t>1</w:t>
      </w:r>
      <w:r>
        <w:t xml:space="preserve">Der Verzicht ist gegenüber der zuständigen Finanzbehörde schriftlich oder zur Niederschrift zu erklären; er darf keine weiteren Erklärungen enthalten. </w:t>
      </w:r>
      <w:r>
        <w:rPr>
          <w:rStyle w:val="Satznummer"/>
        </w:rPr>
        <w:t>2</w:t>
      </w:r>
      <w:r>
        <w:t xml:space="preserve">Wird nachträglich die Unwirksamkeit des Verzichts geltend gemacht, so gilt </w:t>
      </w:r>
      <w:hyperlink w:anchor="b174" w:history="1">
        <w:r>
          <w:rPr>
            <w:color w:val="0A3A8C"/>
            <w:u w:val="single"/>
          </w:rPr>
          <w:t xml:space="preserve">§ 110</w:t>
        </w:r>
      </w:hyperlink>
      <w:r>
        <w:t xml:space="preserve"> Absatz 3 sinngemäß.</w:t>
      </w:r>
    </w:p>
    <w:p>
      <w:pPr>
        <w:pStyle w:val="Heading2"/>
      </w:pPr>
      <w:bookmarkStart w:id="516" w:name="b513"/>
      <w:r>
        <w:t>Zweiter Abschnitt Verfahrensvorschriften</w:t>
      </w:r>
      <w:bookmarkEnd w:id="516"/>
    </w:p>
    <w:p>
      <w:pPr>
        <w:pStyle w:val="Heading3"/>
      </w:pPr>
      <w:bookmarkStart w:id="517" w:name="b514"/>
      <w:r>
        <w:t>§ 355 Einspruchsfrist</w:t>
      </w:r>
      <w:r>
        <w:t xml:space="preserve"> </w:t>
      </w:r>
      <w:r>
        <w:rPr>
          <w:rStyle w:val="Suchmarke"/>
        </w:rPr>
        <w:t>#355#</w:t>
      </w:r>
      <w:bookmarkEnd w:id="517"/>
    </w:p>
    <w:p>
      <w:r>
        <w:t xml:space="preserve">(1) </w:t>
      </w:r>
      <w:r>
        <w:rPr>
          <w:rStyle w:val="Satznummer"/>
        </w:rPr>
        <w:t>1</w:t>
      </w:r>
      <w:r>
        <w:t xml:space="preserve">Der Einspruch nach </w:t>
      </w:r>
      <w:hyperlink w:anchor="b505" w:history="1">
        <w:r>
          <w:rPr>
            <w:color w:val="0A3A8C"/>
            <w:u w:val="single"/>
          </w:rPr>
          <w:t xml:space="preserve">§ 347</w:t>
        </w:r>
      </w:hyperlink>
      <w:r>
        <w:t xml:space="preserve"> Absatz 1 Satz 1 ist innerhalb eines Monats nach Bekanntgabe des Verwaltungsakts einzulegen. </w:t>
      </w:r>
      <w:r>
        <w:rPr>
          <w:rStyle w:val="Satznummer"/>
        </w:rPr>
        <w:t>2</w:t>
      </w:r>
      <w:r>
        <w:t xml:space="preserve">Ein Einspruch gegen eine Steueranmeldung ist innerhalb eines Monats nach Eingang der Steueranmeldung bei der Finanzbehörde, in den Fällen des </w:t>
      </w:r>
      <w:hyperlink w:anchor="b277" w:history="1">
        <w:r>
          <w:rPr>
            <w:color w:val="0A3A8C"/>
            <w:u w:val="single"/>
          </w:rPr>
          <w:t xml:space="preserve">§ 168</w:t>
        </w:r>
      </w:hyperlink>
      <w:r>
        <w:t xml:space="preserve"> Satz 2 innerhalb eines Monats nach Bekanntwerden der Zustimmung, einzulegen.</w:t>
      </w:r>
    </w:p>
    <w:p>
      <w:r>
        <w:t xml:space="preserve">(2) Der Einspruch nach </w:t>
      </w:r>
      <w:hyperlink w:anchor="b505" w:history="1">
        <w:r>
          <w:rPr>
            <w:color w:val="0A3A8C"/>
            <w:u w:val="single"/>
          </w:rPr>
          <w:t xml:space="preserve">§ 347</w:t>
        </w:r>
      </w:hyperlink>
      <w:r>
        <w:t xml:space="preserve"> Absatz 1 Satz 2 ist unbefristet.</w:t>
      </w:r>
    </w:p>
    <w:p>
      <w:pPr>
        <w:pStyle w:val="Heading3"/>
      </w:pPr>
      <w:bookmarkStart w:id="518" w:name="b515"/>
      <w:r>
        <w:t>§ 356 Rechtsbehelfsbelehrung</w:t>
      </w:r>
      <w:r>
        <w:t xml:space="preserve"> </w:t>
      </w:r>
      <w:r>
        <w:rPr>
          <w:rStyle w:val="Suchmarke"/>
        </w:rPr>
        <w:t>#356#</w:t>
      </w:r>
      <w:bookmarkEnd w:id="518"/>
    </w:p>
    <w:p>
      <w:r>
        <w:t>(1) Ergeht ein Verwaltungsakt schriftlich oder elektronisch, so beginnt die Frist für die Einlegung des Einspruchs nur, wenn der Beteiligte über den Einspruch und die Finanzbehörde, bei der er einzulegen ist, deren Sitz und die einzuhaltende Frist in der für den Verwaltungsakt verwendeten Form belehrt worden ist.</w:t>
      </w:r>
    </w:p>
    <w:p>
      <w:r>
        <w:t xml:space="preserve">(2) </w:t>
      </w:r>
      <w:r>
        <w:rPr>
          <w:rStyle w:val="Satznummer"/>
        </w:rPr>
        <w:t>1</w:t>
      </w:r>
      <w:r>
        <w:t xml:space="preserve">Ist die Belehrung unterblieben oder unrichtig erteilt, so ist die Einlegung des Einspruchs nur binnen eines Jahres seit Bekanntgabe des Verwaltungsakts zulässig, es sei denn, dass die Einlegung vor Ablauf der Jahresfrist infolge höherer Gewalt unmöglich war oder schriftlich oder elektronisch darüber belehrt wurde, dass ein Einspruch nicht gegeben sei. </w:t>
      </w:r>
      <w:r>
        <w:rPr>
          <w:rStyle w:val="Satznummer"/>
        </w:rPr>
        <w:t>2</w:t>
      </w:r>
      <w:hyperlink w:anchor="b174" w:history="1">
        <w:r>
          <w:rPr>
            <w:color w:val="0A3A8C"/>
            <w:u w:val="single"/>
          </w:rPr>
          <w:t xml:space="preserve">§ 110</w:t>
        </w:r>
      </w:hyperlink>
      <w:r>
        <w:t xml:space="preserve"> Absatz 2 gilt für den Fall höherer Gewalt sinngemäß.</w:t>
      </w:r>
    </w:p>
    <w:p>
      <w:pPr>
        <w:pStyle w:val="Heading3"/>
      </w:pPr>
      <w:bookmarkStart w:id="519" w:name="b516"/>
      <w:r>
        <w:t>§ 357 Einlegung des Einspruchs</w:t>
      </w:r>
      <w:r>
        <w:t xml:space="preserve"> </w:t>
      </w:r>
      <w:r>
        <w:rPr>
          <w:rStyle w:val="Suchmarke"/>
        </w:rPr>
        <w:t>#357#</w:t>
      </w:r>
      <w:bookmarkEnd w:id="519"/>
    </w:p>
    <w:p>
      <w:r>
        <w:t xml:space="preserve">(1) </w:t>
      </w:r>
      <w:r>
        <w:rPr>
          <w:rStyle w:val="Satznummer"/>
        </w:rPr>
        <w:t>1</w:t>
      </w:r>
      <w:r>
        <w:t xml:space="preserve">Der Einspruch ist schriftlich oder elektronisch einzureichen oder zur Niederschrift zu erklären. </w:t>
      </w:r>
      <w:r>
        <w:rPr>
          <w:rStyle w:val="Satznummer"/>
        </w:rPr>
        <w:t>2</w:t>
      </w:r>
      <w:r>
        <w:t xml:space="preserve">Es genügt, wenn aus dem Einspruch hervorgeht, wer ihn eingelegt hat. </w:t>
      </w:r>
      <w:r>
        <w:rPr>
          <w:rStyle w:val="Satznummer"/>
        </w:rPr>
        <w:t>3</w:t>
      </w:r>
      <w:r>
        <w:t>Unrichtige Bezeichnung des Einspruchs schadet nicht.</w:t>
      </w:r>
    </w:p>
    <w:p>
      <w:r>
        <w:t xml:space="preserve">(2) </w:t>
      </w:r>
      <w:r>
        <w:rPr>
          <w:rStyle w:val="Satznummer"/>
        </w:rPr>
        <w:t>1</w:t>
      </w:r>
      <w:r>
        <w:t xml:space="preserve">Der Einspruch ist bei der Behörde anzubringen, deren Verwaltungsakt angefochten wird oder bei der ein Antrag auf Erlass eines Verwaltungsakts gestellt worden ist. </w:t>
      </w:r>
      <w:r>
        <w:rPr>
          <w:rStyle w:val="Satznummer"/>
        </w:rPr>
        <w:t>2</w:t>
      </w:r>
      <w:r>
        <w:t xml:space="preserve">Ein Einspruch, der sich gegen die Feststellung von Besteuerungsgrundlagen oder gegen die Festsetzung eines Steuermessbetrags richtet, kann auch bei der zur Erteilung des Steuerbescheids zuständigen Behörde angebracht werden. </w:t>
      </w:r>
      <w:r>
        <w:rPr>
          <w:rStyle w:val="Satznummer"/>
        </w:rPr>
        <w:t>3</w:t>
      </w:r>
      <w:r>
        <w:t xml:space="preserve">Ein Einspruch, der sich gegen einen Verwaltungsakt richtet, den eine Behörde auf Grund gesetzlicher Vorschrift für die zuständige Finanzbehörde erlassen hat, kann auch bei der zuständigen Finanzbehörde angebracht werden. </w:t>
      </w:r>
      <w:r>
        <w:rPr>
          <w:rStyle w:val="Satznummer"/>
        </w:rPr>
        <w:t>4</w:t>
      </w:r>
      <w:r>
        <w:t>Die schriftliche oder elektronische Anbringung bei einer anderen Behörde ist unschädlich, wenn der Einspruch vor Ablauf der Einspruchsfrist einer der Behörden übermittelt wird, bei der er nach den Sätzen 1 bis 3 angebracht werden kann.</w:t>
      </w:r>
    </w:p>
    <w:p>
      <w:r>
        <w:t xml:space="preserve">(3) </w:t>
      </w:r>
      <w:r>
        <w:rPr>
          <w:rStyle w:val="Satznummer"/>
        </w:rPr>
        <w:t>1</w:t>
      </w:r>
      <w:r>
        <w:t xml:space="preserve">Bei der Einlegung soll der Verwaltungsakt bezeichnet werden, gegen den der Einspruch gerichtet ist. </w:t>
      </w:r>
      <w:r>
        <w:rPr>
          <w:rStyle w:val="Satznummer"/>
        </w:rPr>
        <w:t>2</w:t>
      </w:r>
      <w:r>
        <w:t xml:space="preserve">Es soll angegeben werden, inwieweit der Verwaltungsakt angefochten und seine Aufhebung beantragt wird. </w:t>
      </w:r>
      <w:r>
        <w:rPr>
          <w:rStyle w:val="Satznummer"/>
        </w:rPr>
        <w:t>3</w:t>
      </w:r>
      <w:r>
        <w:t>Ferner sollen die Tatsachen, die zur Begründung dienen, und die Beweismittel angeführt werden.</w:t>
      </w:r>
    </w:p>
    <w:p>
      <w:pPr>
        <w:pStyle w:val="Heading3"/>
      </w:pPr>
      <w:bookmarkStart w:id="520" w:name="b517"/>
      <w:r>
        <w:t>§ 358 Prüfung der Zulässigkeitsvoraussetzungen</w:t>
      </w:r>
      <w:r>
        <w:t xml:space="preserve"> </w:t>
      </w:r>
      <w:r>
        <w:rPr>
          <w:rStyle w:val="Suchmarke"/>
        </w:rPr>
        <w:t>#358#</w:t>
      </w:r>
      <w:bookmarkEnd w:id="520"/>
    </w:p>
    <w:p>
      <w:r>
        <w:rPr>
          <w:rStyle w:val="Satznummer"/>
        </w:rPr>
        <w:t>1</w:t>
      </w:r>
      <w:r>
        <w:t xml:space="preserve">Die zur Entscheidung über den Einspruch berufene Finanzbehörde hat zu prüfen, ob der Einspruch zulässig, insbesondere in der vorgeschriebenen Form und Frist eingelegt ist. </w:t>
      </w:r>
      <w:r>
        <w:rPr>
          <w:rStyle w:val="Satznummer"/>
        </w:rPr>
        <w:t>2</w:t>
      </w:r>
      <w:r>
        <w:t>Mangelt es an einem dieser Erfordernisse, so ist der Einspruch als unzulässig zu verwerfen.</w:t>
      </w:r>
    </w:p>
    <w:p>
      <w:pPr>
        <w:pStyle w:val="Heading3"/>
      </w:pPr>
      <w:bookmarkStart w:id="521" w:name="b518"/>
      <w:r>
        <w:t>§ 359 Beteiligte</w:t>
      </w:r>
      <w:r>
        <w:t xml:space="preserve"> </w:t>
      </w:r>
      <w:r>
        <w:rPr>
          <w:rStyle w:val="Suchmarke"/>
        </w:rPr>
        <w:t>#359#</w:t>
      </w:r>
      <w:bookmarkEnd w:id="521"/>
    </w:p>
    <w:p>
      <w:r>
        <w:t>Beteiligte am Verfahren sind:</w:t>
      </w:r>
    </w:p>
    <w:p>
      <w:pPr>
        <w:tabs>
          <w:tab w:pos="567" w:val="left"/>
        </w:tabs>
        <w:ind w:left="567" w:hanging="567"/>
      </w:pPr>
      <w:r>
        <w:t>1.</w:t>
      </w:r>
      <w:r>
        <w:tab/>
      </w:r>
      <w:r>
        <w:t>wer den Einspruch eingelegt hat (Einspruchsführer),</w:t>
      </w:r>
    </w:p>
    <w:p>
      <w:pPr>
        <w:tabs>
          <w:tab w:pos="567" w:val="left"/>
        </w:tabs>
        <w:ind w:left="567" w:hanging="567"/>
      </w:pPr>
      <w:r>
        <w:t>2.</w:t>
      </w:r>
      <w:r>
        <w:tab/>
      </w:r>
      <w:r>
        <w:t>wer zum Verfahren hinzugezogen worden ist.</w:t>
      </w:r>
    </w:p>
    <w:p>
      <w:pPr>
        <w:pStyle w:val="Heading3"/>
      </w:pPr>
      <w:bookmarkStart w:id="522" w:name="b519"/>
      <w:r>
        <w:t>§ 360 Hinzuziehung zum Verfahren</w:t>
      </w:r>
      <w:r>
        <w:t xml:space="preserve"> </w:t>
      </w:r>
      <w:r>
        <w:rPr>
          <w:rStyle w:val="Suchmarke"/>
        </w:rPr>
        <w:t>#360#</w:t>
      </w:r>
      <w:bookmarkEnd w:id="522"/>
    </w:p>
    <w:p>
      <w:r>
        <w:t xml:space="preserve">(1) </w:t>
      </w:r>
      <w:r>
        <w:rPr>
          <w:rStyle w:val="Satznummer"/>
        </w:rPr>
        <w:t>1</w:t>
      </w:r>
      <w:r>
        <w:t xml:space="preserve">Die zur Entscheidung über den Einspruch berufene Finanzbehörde kann von Amts wegen oder auf Antrag andere hinzuziehen, deren rechtliche Interessen nach den Steuergesetzen durch die Entscheidung berührt werden, insbesondere solche, die nach den Steuergesetzen neben dem Steuerpflichtigen haften. </w:t>
      </w:r>
      <w:r>
        <w:rPr>
          <w:rStyle w:val="Satznummer"/>
        </w:rPr>
        <w:t>2</w:t>
      </w:r>
      <w:r>
        <w:t>Vor der Hinzuziehung ist derjenige zu hören, der den Einspruch eingelegt hat.</w:t>
      </w:r>
    </w:p>
    <w:p>
      <w:r>
        <w:t>(2) Wird eine Abgabe für einen anderen Abgabenberechtigten verwaltet, so kann dieser nicht deshalb hinzugezogen werden, weil seine Interessen als Abgabenberechtigter durch die Entscheidung berührt werden.</w:t>
      </w:r>
    </w:p>
    <w:p>
      <w:r>
        <w:t xml:space="preserve">(3) </w:t>
      </w:r>
      <w:r>
        <w:rPr>
          <w:rStyle w:val="Satznummer"/>
        </w:rPr>
        <w:t>1</w:t>
      </w:r>
      <w:r>
        <w:t xml:space="preserve">Sind an dem streitigen Rechtsverhältnis Dritte derart beteiligt, dass die Entscheidung auch ihnen gegenüber nur einheitlich ergehen kann, so sind sie hinzuzuziehen. </w:t>
      </w:r>
      <w:r>
        <w:rPr>
          <w:rStyle w:val="Satznummer"/>
        </w:rPr>
        <w:t>2</w:t>
      </w:r>
      <w:r>
        <w:t xml:space="preserve">Dies gilt nicht für Mitberechtigte, die nach </w:t>
      </w:r>
      <w:hyperlink w:anchor="b510" w:history="1">
        <w:r>
          <w:rPr>
            <w:color w:val="0A3A8C"/>
            <w:u w:val="single"/>
          </w:rPr>
          <w:t xml:space="preserve">§ 352</w:t>
        </w:r>
      </w:hyperlink>
      <w:r>
        <w:t xml:space="preserve"> nicht befugt sind, Einspruch einzulegen.</w:t>
      </w:r>
    </w:p>
    <w:p>
      <w:r>
        <w:t>(4) Wer zum Verfahren hinzugezogen worden ist, kann dieselben Rechte geltend machen, wie derjenige, der den Einspruch eingelegt hat.</w:t>
      </w:r>
    </w:p>
    <w:p>
      <w:r>
        <w:t xml:space="preserve">(5) </w:t>
      </w:r>
      <w:r>
        <w:rPr>
          <w:rStyle w:val="Satznummer"/>
        </w:rPr>
        <w:t>1</w:t>
      </w:r>
      <w:r>
        <w:t xml:space="preserve">Kommt nach Absatz 3 die Hinzuziehung von mehr als 50 Personen in Betracht, kann die Finanzbehörde anordnen, dass nur solche Personen hinzugezogen werden, die dies innerhalb einer bestimmten Frist beantragen. </w:t>
      </w:r>
      <w:r>
        <w:rPr>
          <w:rStyle w:val="Satznummer"/>
        </w:rPr>
        <w:t>2</w:t>
      </w:r>
      <w:r>
        <w:t xml:space="preserve">Von einer Einzelbekanntgabe der Anordnung kann abgesehen werden, wenn die Anordnung im Bundesanzeiger bekannt gemacht und außerdem in Tageszeitungen veröffentlicht wird, die in dem Bereich verbreitet sind, in dem sich die Entscheidung voraussichtlich auswirken wird. </w:t>
      </w:r>
      <w:r>
        <w:rPr>
          <w:rStyle w:val="Satznummer"/>
        </w:rPr>
        <w:t>3</w:t>
      </w:r>
      <w:r>
        <w:t xml:space="preserve">Die Frist muss mindestens drei Monate seit Veröffentlichung im Bundesanzeiger betragen. </w:t>
      </w:r>
      <w:r>
        <w:rPr>
          <w:rStyle w:val="Satznummer"/>
        </w:rPr>
        <w:t>4</w:t>
      </w:r>
      <w:r>
        <w:t xml:space="preserve">In der Veröffentlichung in Tageszeitungen ist mitzuteilen, an welchem Tage die Frist abläuft. </w:t>
      </w:r>
      <w:r>
        <w:rPr>
          <w:rStyle w:val="Satznummer"/>
        </w:rPr>
        <w:t>5</w:t>
      </w:r>
      <w:r>
        <w:t xml:space="preserve">Für die Wiedereinsetzung in den vorigen Stand wegen Versäumung der Frist gilt </w:t>
      </w:r>
      <w:hyperlink w:anchor="b174" w:history="1">
        <w:r>
          <w:rPr>
            <w:color w:val="0A3A8C"/>
            <w:u w:val="single"/>
          </w:rPr>
          <w:t xml:space="preserve">§ 110</w:t>
        </w:r>
      </w:hyperlink>
      <w:r>
        <w:t xml:space="preserve"> entsprechend. </w:t>
      </w:r>
      <w:r>
        <w:rPr>
          <w:rStyle w:val="Satznummer"/>
        </w:rPr>
        <w:t>6</w:t>
      </w:r>
      <w:r>
        <w:t>Die Finanzbehörde soll Personen, die von der Entscheidung erkennbar in besonderem Maße betroffen werden, auch ohne Antrag hinzuziehen.</w:t>
      </w:r>
    </w:p>
    <w:p>
      <w:pPr>
        <w:pStyle w:val="Heading3"/>
      </w:pPr>
      <w:bookmarkStart w:id="523" w:name="b520"/>
      <w:r>
        <w:t>§ 361 Aussetzung der Vollziehung</w:t>
      </w:r>
      <w:r>
        <w:t xml:space="preserve"> </w:t>
      </w:r>
      <w:r>
        <w:rPr>
          <w:rStyle w:val="Suchmarke"/>
        </w:rPr>
        <w:t>#361#</w:t>
      </w:r>
      <w:bookmarkEnd w:id="523"/>
    </w:p>
    <w:p>
      <w:r>
        <w:t xml:space="preserve">(1) </w:t>
      </w:r>
      <w:r>
        <w:rPr>
          <w:rStyle w:val="Satznummer"/>
        </w:rPr>
        <w:t>1</w:t>
      </w:r>
      <w:r>
        <w:t xml:space="preserve">Durch Einlegung des Einspruchs wird die Vollziehung des angefochtenen Verwaltungsakts vorbehaltlich des Absatzes 4 nicht gehemmt, insbesondere die Erhebung einer Abgabe nicht aufgehalten. </w:t>
      </w:r>
      <w:r>
        <w:rPr>
          <w:rStyle w:val="Satznummer"/>
        </w:rPr>
        <w:t>2</w:t>
      </w:r>
      <w:r>
        <w:t>Entsprechendes gilt bei Anfechtung von Grundlagenbescheiden für die darauf beruhenden Folgebescheide.</w:t>
      </w:r>
    </w:p>
    <w:p>
      <w:r>
        <w:t xml:space="preserve">(2) </w:t>
      </w:r>
      <w:r>
        <w:rPr>
          <w:rStyle w:val="Satznummer"/>
        </w:rPr>
        <w:t>1</w:t>
      </w:r>
      <w:r>
        <w:t xml:space="preserve">Die Finanzbehörde, die den angefochtenen Verwaltungsakt erlassen hat, kann die Vollziehung ganz oder teilweise aussetzen; </w:t>
      </w:r>
      <w:hyperlink w:anchor="b528" w:history="1">
        <w:r>
          <w:rPr>
            <w:color w:val="0A3A8C"/>
            <w:u w:val="single"/>
          </w:rPr>
          <w:t xml:space="preserve">§ 367</w:t>
        </w:r>
      </w:hyperlink>
      <w:r>
        <w:t xml:space="preserve"> Absatz 1 Satz 2 gilt sinngemäß. </w:t>
      </w:r>
      <w:r>
        <w:rPr>
          <w:rStyle w:val="Satznummer"/>
        </w:rPr>
        <w:t>2</w:t>
      </w:r>
      <w:r>
        <w:t xml:space="preserve">Auf Antrag soll die Aussetzung erfolgen, wenn ernstliche Zweifel an der Rechtmäßigkeit des angefochtenen Verwaltungsakts bestehen oder wenn die Vollziehung für die betroffene Person eine unbillige, nicht durch überwiegende öffentliche Interessen gebotene Härte zur Folge hätte. </w:t>
      </w:r>
      <w:r>
        <w:rPr>
          <w:rStyle w:val="Satznummer"/>
        </w:rPr>
        <w:t>3</w:t>
      </w:r>
      <w:r>
        <w:t xml:space="preserve">Ist der Verwaltungsakt schon vollzogen, tritt an die Stelle der Aussetzung der Vollziehung die Aufhebung der Vollziehung. </w:t>
      </w:r>
      <w:r>
        <w:rPr>
          <w:rStyle w:val="Satznummer"/>
        </w:rPr>
        <w:t>4</w:t>
      </w:r>
      <w:r>
        <w:t xml:space="preserve">Bei Steuerbescheiden sind die Aussetzung und die Aufhebung der Vollziehung auf die festgesetzte Steuer, vermindert um die anzurechnenden Steuerabzugsbeträge, um die anzurechnende Körperschaftsteuer und um die festgesetzten Vorauszahlungen, beschränkt; dies gilt nicht, wenn die Aussetzung oder Aufhebung der Vollziehung zur Abwendung wesentlicher Nachteile nötig erscheint. </w:t>
      </w:r>
      <w:r>
        <w:rPr>
          <w:rStyle w:val="Satznummer"/>
        </w:rPr>
        <w:t>5</w:t>
      </w:r>
      <w:r>
        <w:t>Die Aussetzung kann von einer Sicherheitsleistung abhängig gemacht werden.</w:t>
      </w:r>
    </w:p>
    <w:p>
      <w:r>
        <w:t xml:space="preserve">(3) </w:t>
      </w:r>
      <w:r>
        <w:rPr>
          <w:rStyle w:val="Satznummer"/>
        </w:rPr>
        <w:t>1</w:t>
      </w:r>
      <w:r>
        <w:t xml:space="preserve">Soweit die Vollziehung eines Grundlagenbescheids ausgesetzt wird, ist auch die Vollziehung eines Folgebescheids auszusetzen. </w:t>
      </w:r>
      <w:r>
        <w:rPr>
          <w:rStyle w:val="Satznummer"/>
        </w:rPr>
        <w:t>2</w:t>
      </w:r>
      <w:r>
        <w:t xml:space="preserve">Der Erlass eines Folgebescheids bleibt zulässig. </w:t>
      </w:r>
      <w:r>
        <w:rPr>
          <w:rStyle w:val="Satznummer"/>
        </w:rPr>
        <w:t>3</w:t>
      </w:r>
      <w:r>
        <w:t>Über eine Sicherheitsleistung ist bei der Aussetzung eines Folgebescheids zu entscheiden, es sei denn, dass bei der Aussetzung der Vollziehung des Grundlagenbescheids die Sicherheitsleistung ausdrücklich ausgeschlossen worden ist.</w:t>
      </w:r>
    </w:p>
    <w:p>
      <w:r>
        <w:t xml:space="preserve">(4) </w:t>
      </w:r>
      <w:r>
        <w:rPr>
          <w:rStyle w:val="Satznummer"/>
        </w:rPr>
        <w:t>1</w:t>
      </w:r>
      <w:r>
        <w:t xml:space="preserve">Durch Einlegung eines Einspruchs gegen die Untersagung des Gewerbebetriebs oder der Berufsausübung wird die Vollziehung des angefochtenen Verwaltungsakts gehemmt. </w:t>
      </w:r>
      <w:r>
        <w:rPr>
          <w:rStyle w:val="Satznummer"/>
        </w:rPr>
        <w:t>2</w:t>
      </w:r>
      <w:r>
        <w:t xml:space="preserve">Die Finanzbehörde, die den Verwaltungsakt erlassen hat, kann die hemmende Wirkung durch besondere Anordnung ganz oder zum Teil beseitigen, wenn sie es im öffentlichen Interesse für geboten hält; sie hat das öffentliche Interesse schriftlich zu begründen. </w:t>
      </w:r>
      <w:r>
        <w:rPr>
          <w:rStyle w:val="Satznummer"/>
        </w:rPr>
        <w:t>3</w:t>
      </w:r>
      <w:hyperlink w:anchor="b528" w:history="1">
        <w:r>
          <w:rPr>
            <w:color w:val="0A3A8C"/>
            <w:u w:val="single"/>
          </w:rPr>
          <w:t xml:space="preserve">§ 367</w:t>
        </w:r>
      </w:hyperlink>
      <w:r>
        <w:t xml:space="preserve"> Absatz 1 Satz 2 gilt sinngemäß.</w:t>
      </w:r>
    </w:p>
    <w:p>
      <w:r>
        <w:t>(5) Gegen die Ablehnung der Aussetzung der Vollziehung kann das Gericht nur nach § 69 Absatz 3 und 5 Satz 3 der Finanzgerichtsordnung angerufen werden.</w:t>
      </w:r>
    </w:p>
    <w:p>
      <w:pPr>
        <w:pStyle w:val="Heading3"/>
      </w:pPr>
      <w:bookmarkStart w:id="524" w:name="b521"/>
      <w:r>
        <w:t>§ 362 Rücknahme des Einspruchs</w:t>
      </w:r>
      <w:r>
        <w:t xml:space="preserve"> </w:t>
      </w:r>
      <w:r>
        <w:rPr>
          <w:rStyle w:val="Suchmarke"/>
        </w:rPr>
        <w:t>#362#</w:t>
      </w:r>
      <w:bookmarkEnd w:id="524"/>
    </w:p>
    <w:p>
      <w:r>
        <w:t xml:space="preserve">(1) </w:t>
      </w:r>
      <w:r>
        <w:rPr>
          <w:rStyle w:val="Satznummer"/>
        </w:rPr>
        <w:t>1</w:t>
      </w:r>
      <w:r>
        <w:t xml:space="preserve">Der Einspruch kann bis zur Bekanntgabe der Entscheidung über den Einspruch zurückgenommen werden. </w:t>
      </w:r>
      <w:r>
        <w:rPr>
          <w:rStyle w:val="Satznummer"/>
        </w:rPr>
        <w:t>2</w:t>
      </w:r>
      <w:hyperlink w:anchor="b516" w:history="1">
        <w:r>
          <w:rPr>
            <w:color w:val="0A3A8C"/>
            <w:u w:val="single"/>
          </w:rPr>
          <w:t xml:space="preserve">§ 357</w:t>
        </w:r>
      </w:hyperlink>
      <w:r>
        <w:t xml:space="preserve"> Absatz 1 und 2 gilt sinngemäß.</w:t>
      </w:r>
    </w:p>
    <w:p>
      <w:r>
        <w:t xml:space="preserve">(1a) </w:t>
      </w:r>
      <w:r>
        <w:rPr>
          <w:rStyle w:val="Satznummer"/>
        </w:rPr>
        <w:t>1</w:t>
      </w:r>
      <w:r>
        <w:t xml:space="preserve">Soweit Besteuerungsgrundlagen für ein Verständigungs- oder ein Schiedsverfahren nach einem Vertrag im Sinne des § 2 von Bedeutung sein können, kann der Einspruch hierauf begrenzt zurückgenommen werden. </w:t>
      </w:r>
      <w:r>
        <w:rPr>
          <w:rStyle w:val="Satznummer"/>
        </w:rPr>
        <w:t>2</w:t>
      </w:r>
      <w:hyperlink w:anchor="b512" w:history="1">
        <w:r>
          <w:rPr>
            <w:color w:val="0A3A8C"/>
            <w:u w:val="single"/>
          </w:rPr>
          <w:t xml:space="preserve">§ 354</w:t>
        </w:r>
      </w:hyperlink>
      <w:r>
        <w:t xml:space="preserve"> Absatz 1a Satz 2 gilt entsprechend.</w:t>
      </w:r>
    </w:p>
    <w:p>
      <w:r>
        <w:t xml:space="preserve">(2) </w:t>
      </w:r>
      <w:r>
        <w:rPr>
          <w:rStyle w:val="Satznummer"/>
        </w:rPr>
        <w:t>1</w:t>
      </w:r>
      <w:r>
        <w:t xml:space="preserve">Die Rücknahme hat den Verlust des eingelegten Einspruchs zur Folge. </w:t>
      </w:r>
      <w:r>
        <w:rPr>
          <w:rStyle w:val="Satznummer"/>
        </w:rPr>
        <w:t>2</w:t>
      </w:r>
      <w:r>
        <w:t xml:space="preserve">Wird nachträglich die Unwirksamkeit der Rücknahme geltend gemacht, so gilt </w:t>
      </w:r>
      <w:hyperlink w:anchor="b174" w:history="1">
        <w:r>
          <w:rPr>
            <w:color w:val="0A3A8C"/>
            <w:u w:val="single"/>
          </w:rPr>
          <w:t xml:space="preserve">§ 110</w:t>
        </w:r>
      </w:hyperlink>
      <w:r>
        <w:t xml:space="preserve"> Absatz 3 sinngemäß.</w:t>
      </w:r>
    </w:p>
    <w:p>
      <w:pPr>
        <w:pStyle w:val="Heading3"/>
      </w:pPr>
      <w:bookmarkStart w:id="525" w:name="b522"/>
      <w:r>
        <w:t>§ 363 Aussetzung und Ruhen des Verfahrens</w:t>
      </w:r>
      <w:r>
        <w:t xml:space="preserve"> </w:t>
      </w:r>
      <w:r>
        <w:rPr>
          <w:rStyle w:val="Suchmarke"/>
        </w:rPr>
        <w:t>#363#</w:t>
      </w:r>
      <w:bookmarkEnd w:id="525"/>
    </w:p>
    <w:p>
      <w:r>
        <w:t>(1) Hängt die Entscheidung ganz oder zum Teil von dem Bestehen oder Nichtbestehen eines Rechtsverhältnisses ab, das den Gegenstand eines anhängigen Rechtsstreits bildet oder von einem Gericht oder einer Verwaltungsbehörde festzustellen ist, kann die Finanzbehörde die Entscheidung bis zur Erledigung des anderen Rechtsstreits oder bis zur Entscheidung des Gerichts oder der Verwaltungsbehörde aussetzen.</w:t>
      </w:r>
    </w:p>
    <w:p>
      <w:r>
        <w:t xml:space="preserve">(2) </w:t>
      </w:r>
      <w:r>
        <w:rPr>
          <w:rStyle w:val="Satznummer"/>
        </w:rPr>
        <w:t>1</w:t>
      </w:r>
      <w:r>
        <w:t xml:space="preserve">Die Finanzbehörde kann das Verfahren mit Zustimmung des Einspruchsführers ruhen lassen, wenn das aus wichtigen Gründen zweckmäßig erscheint. </w:t>
      </w:r>
      <w:r>
        <w:rPr>
          <w:rStyle w:val="Satznummer"/>
        </w:rPr>
        <w:t>2</w:t>
      </w:r>
      <w:r>
        <w:t xml:space="preserve">Ist wegen der Verfassungsmäßigkeit einer Rechtsnorm oder wegen einer Rechtsfrage ein Verfahren bei dem Gerichtshof der Europäischen Union, dem Bundesverfassungsgericht oder einem obersten Bundesgericht anhängig und wird der Einspruch hierauf gestützt, ruht das Einspruchsverfahren insoweit; dies gilt nicht, soweit nach </w:t>
      </w:r>
      <w:hyperlink w:anchor="b274" w:history="1">
        <w:r>
          <w:rPr>
            <w:color w:val="0A3A8C"/>
            <w:u w:val="single"/>
          </w:rPr>
          <w:t xml:space="preserve">§ 165</w:t>
        </w:r>
      </w:hyperlink>
      <w:r>
        <w:t xml:space="preserve"> Absatz 1 Satz 2 Nummer 3 oder Nummer 4 die Steuer vorläufig festgesetzt wurde. </w:t>
      </w:r>
      <w:r>
        <w:rPr>
          <w:rStyle w:val="Satznummer"/>
        </w:rPr>
        <w:t>3</w:t>
      </w:r>
      <w:r>
        <w:t xml:space="preserve">Mit Zustimmung der obersten Finanzbehörde kann durch öffentlich bekannt zu gebende Allgemeinverfügung für bestimmte Gruppen gleichgelagerter Fälle angeordnet werden, dass Einspruchsverfahren insoweit auch in anderen als den in den Sätzen 1 und 2 genannten Fällen ruhen. </w:t>
      </w:r>
      <w:r>
        <w:rPr>
          <w:rStyle w:val="Satznummer"/>
        </w:rPr>
        <w:t>4</w:t>
      </w:r>
      <w:r>
        <w:t>Das Einspruchsverfahren ist fortzusetzen, wenn der Einspruchsführer dies beantragt oder die Finanzbehörde dies dem Einspruchsführer mitteilt.</w:t>
      </w:r>
    </w:p>
    <w:p>
      <w:r>
        <w:t>(3) Wird ein Antrag auf Aussetzung oder Ruhen des Verfahrens abgelehnt oder die Aussetzung oder das Ruhen des Verfahrens widerrufen, kann die Rechtswidrigkeit der Ablehnung oder des Widerrufs nur durch Klage gegen die Einspruchsentscheidung geltend gemacht werden.</w:t>
      </w:r>
    </w:p>
    <w:p>
      <w:pPr>
        <w:pStyle w:val="Heading3"/>
      </w:pPr>
      <w:bookmarkStart w:id="526" w:name="b523"/>
      <w:r>
        <w:t>§ 364 Offenlegung der Besteuerungsunterlagen</w:t>
      </w:r>
      <w:r>
        <w:t xml:space="preserve"> </w:t>
      </w:r>
      <w:r>
        <w:rPr>
          <w:rStyle w:val="Suchmarke"/>
        </w:rPr>
        <w:t>#364#</w:t>
      </w:r>
      <w:bookmarkEnd w:id="526"/>
    </w:p>
    <w:p>
      <w:r>
        <w:t>Den Beteiligten sind, soweit es noch nicht geschehen ist, die Unterlagen der Besteuerung auf Antrag oder, wenn die Begründung des Einspruchs dazu Anlass gibt, von Amts wegen offenzulegen.</w:t>
      </w:r>
    </w:p>
    <w:p>
      <w:pPr>
        <w:pStyle w:val="Heading3"/>
      </w:pPr>
      <w:bookmarkStart w:id="527" w:name="b524"/>
      <w:r>
        <w:t>§ 364a Erörterung des Sach- und Rechtsstands</w:t>
      </w:r>
      <w:r>
        <w:t xml:space="preserve"> </w:t>
      </w:r>
      <w:r>
        <w:rPr>
          <w:rStyle w:val="Suchmarke"/>
        </w:rPr>
        <w:t>#364a#</w:t>
      </w:r>
      <w:bookmarkEnd w:id="527"/>
    </w:p>
    <w:p>
      <w:r>
        <w:t xml:space="preserve">(1) </w:t>
      </w:r>
      <w:r>
        <w:rPr>
          <w:rStyle w:val="Satznummer"/>
        </w:rPr>
        <w:t>1</w:t>
      </w:r>
      <w:r>
        <w:t xml:space="preserve">Auf Antrag eines Einspruchsführers soll die Finanzbehörde vor Erlass einer Einspruchsentscheidung den Sach- und Rechtsstand erörtern. </w:t>
      </w:r>
      <w:r>
        <w:rPr>
          <w:rStyle w:val="Satznummer"/>
        </w:rPr>
        <w:t>2</w:t>
      </w:r>
      <w:r>
        <w:t xml:space="preserve">Weitere Beteiligte können hierzu geladen werden, wenn die Finanzbehörde dies für sachdienlich hält. </w:t>
      </w:r>
      <w:r>
        <w:rPr>
          <w:rStyle w:val="Satznummer"/>
        </w:rPr>
        <w:t>3</w:t>
      </w:r>
      <w:r>
        <w:t>Die Finanzbehörde kann auch ohne Antrag eines Einspruchsführers diesen und weitere Beteiligte zu einer Erörterung laden.</w:t>
      </w:r>
    </w:p>
    <w:p>
      <w:r>
        <w:t xml:space="preserve">(2) </w:t>
      </w:r>
      <w:r>
        <w:rPr>
          <w:rStyle w:val="Satznummer"/>
        </w:rPr>
        <w:t>1</w:t>
      </w:r>
      <w:r>
        <w:t xml:space="preserve">Von einer Erörterung mit mehr als zehn Beteiligten kann die Finanzbehörde absehen. </w:t>
      </w:r>
      <w:r>
        <w:rPr>
          <w:rStyle w:val="Satznummer"/>
        </w:rPr>
        <w:t>2</w:t>
      </w:r>
      <w:r>
        <w:t>Bestellen die Beteiligten innerhalb einer von der Finanzbehörde bestimmten angemessenen Frist einen gemeinsamen Vertreter, soll der Sach- und Rechtsstand mit diesem erörtert werden.</w:t>
      </w:r>
    </w:p>
    <w:p>
      <w:r>
        <w:t xml:space="preserve">(3) </w:t>
      </w:r>
      <w:r>
        <w:rPr>
          <w:rStyle w:val="Satznummer"/>
        </w:rPr>
        <w:t>1</w:t>
      </w:r>
      <w:r>
        <w:t xml:space="preserve">Die Beteiligten können sich durch einen Bevollmächtigten vertreten lassen. </w:t>
      </w:r>
      <w:r>
        <w:rPr>
          <w:rStyle w:val="Satznummer"/>
        </w:rPr>
        <w:t>2</w:t>
      </w:r>
      <w:r>
        <w:t>Sie können auch persönlich zur Erörterung geladen werden, wenn die Finanzbehörde dies für sachdienlich hält.</w:t>
      </w:r>
    </w:p>
    <w:p>
      <w:r>
        <w:t xml:space="preserve">(4) Das Erscheinen kann nicht nach </w:t>
      </w:r>
      <w:hyperlink w:anchor="b482" w:history="1">
        <w:r>
          <w:rPr>
            <w:color w:val="0A3A8C"/>
            <w:u w:val="single"/>
          </w:rPr>
          <w:t xml:space="preserve">§ 328</w:t>
        </w:r>
      </w:hyperlink>
      <w:r>
        <w:t xml:space="preserve"> erzwungen werden.</w:t>
      </w:r>
    </w:p>
    <w:p>
      <w:pPr>
        <w:pStyle w:val="Heading3"/>
      </w:pPr>
      <w:bookmarkStart w:id="528" w:name="b525"/>
      <w:r>
        <w:t>§ 364b Fristsetzung</w:t>
      </w:r>
      <w:r>
        <w:t xml:space="preserve"> </w:t>
      </w:r>
      <w:r>
        <w:rPr>
          <w:rStyle w:val="Suchmarke"/>
        </w:rPr>
        <w:t>#364b#</w:t>
      </w:r>
      <w:bookmarkEnd w:id="528"/>
    </w:p>
    <w:p>
      <w:r>
        <w:t>(1) Die Finanzbehörde kann dem Einspruchsführer eine Frist setzen</w:t>
      </w:r>
    </w:p>
    <w:p>
      <w:pPr>
        <w:tabs>
          <w:tab w:pos="567" w:val="left"/>
        </w:tabs>
        <w:ind w:left="567" w:hanging="567"/>
      </w:pPr>
      <w:r>
        <w:t>1.</w:t>
      </w:r>
      <w:r>
        <w:tab/>
      </w:r>
      <w:r>
        <w:t>zur Angabe der Tatsachen, durch deren Berücksichtigung oder Nichtberücksichtigung er sich beschwert fühlt,</w:t>
      </w:r>
    </w:p>
    <w:p>
      <w:pPr>
        <w:tabs>
          <w:tab w:pos="567" w:val="left"/>
        </w:tabs>
        <w:ind w:left="567" w:hanging="567"/>
      </w:pPr>
      <w:r>
        <w:t>2.</w:t>
      </w:r>
      <w:r>
        <w:tab/>
      </w:r>
      <w:r>
        <w:t>zur Erklärung über bestimmte klärungsbedürftige Punkte,</w:t>
      </w:r>
    </w:p>
    <w:p>
      <w:pPr>
        <w:tabs>
          <w:tab w:pos="567" w:val="left"/>
        </w:tabs>
        <w:ind w:left="567" w:hanging="567"/>
      </w:pPr>
      <w:r>
        <w:t>3.</w:t>
      </w:r>
      <w:r>
        <w:tab/>
      </w:r>
      <w:r>
        <w:t>zur Bezeichnung von Beweismitteln oder zur Vorlage von Urkunden, soweit er dazu verpflichtet ist.</w:t>
      </w:r>
    </w:p>
    <w:p>
      <w:r>
        <w:t xml:space="preserve">(2) </w:t>
      </w:r>
      <w:r>
        <w:rPr>
          <w:rStyle w:val="Satznummer"/>
        </w:rPr>
        <w:t>1</w:t>
      </w:r>
      <w:r>
        <w:t xml:space="preserve">Erklärungen und Beweismittel, die erst nach Ablauf der nach Absatz 1 gesetzten Frist vorgebracht werden, sind nicht zu berücksichtigen. </w:t>
      </w:r>
      <w:r>
        <w:rPr>
          <w:rStyle w:val="Satznummer"/>
        </w:rPr>
        <w:t>2</w:t>
      </w:r>
      <w:hyperlink w:anchor="b528" w:history="1">
        <w:r>
          <w:rPr>
            <w:color w:val="0A3A8C"/>
            <w:u w:val="single"/>
          </w:rPr>
          <w:t xml:space="preserve">§ 367</w:t>
        </w:r>
      </w:hyperlink>
      <w:r>
        <w:t xml:space="preserve"> Absatz 2 Satz 2 bleibt unberührt. </w:t>
      </w:r>
      <w:r>
        <w:rPr>
          <w:rStyle w:val="Satznummer"/>
        </w:rPr>
        <w:t>3</w:t>
      </w:r>
      <w:r>
        <w:t xml:space="preserve">Bei Überschreitung der Frist gilt </w:t>
      </w:r>
      <w:hyperlink w:anchor="b174" w:history="1">
        <w:r>
          <w:rPr>
            <w:color w:val="0A3A8C"/>
            <w:u w:val="single"/>
          </w:rPr>
          <w:t xml:space="preserve">§ 110</w:t>
        </w:r>
      </w:hyperlink>
      <w:r>
        <w:t xml:space="preserve"> entsprechend.</w:t>
      </w:r>
    </w:p>
    <w:p>
      <w:r>
        <w:t>(3) Der Einspruchsführer ist mit der Fristsetzung über die Rechtsfolgen nach Absatz 2 zu belehren.</w:t>
      </w:r>
    </w:p>
    <w:p>
      <w:pPr>
        <w:pStyle w:val="Heading3"/>
      </w:pPr>
      <w:bookmarkStart w:id="529" w:name="b526"/>
      <w:r>
        <w:t>§ 365 Anwendung von Verfahrensvorschriften</w:t>
      </w:r>
      <w:r>
        <w:t xml:space="preserve"> </w:t>
      </w:r>
      <w:r>
        <w:rPr>
          <w:rStyle w:val="Suchmarke"/>
        </w:rPr>
        <w:t>#365#</w:t>
      </w:r>
      <w:bookmarkEnd w:id="529"/>
    </w:p>
    <w:p>
      <w:r>
        <w:t>(1) Für das Verfahren über den Einspruch gelten im Übrigen die Vorschriften sinngemäß, die für den Erlass des angefochtenen oder des begehrten Verwaltungsakts gelten.</w:t>
      </w:r>
    </w:p>
    <w:p>
      <w:r>
        <w:t xml:space="preserve">(2) In den Fällen des </w:t>
      </w:r>
      <w:hyperlink w:anchor="b149" w:history="1">
        <w:r>
          <w:rPr>
            <w:color w:val="0A3A8C"/>
            <w:u w:val="single"/>
          </w:rPr>
          <w:t xml:space="preserve">§ 93</w:t>
        </w:r>
      </w:hyperlink>
      <w:r>
        <w:t xml:space="preserve"> Absatz 5, des </w:t>
      </w:r>
      <w:hyperlink w:anchor="b156" w:history="1">
        <w:r>
          <w:rPr>
            <w:color w:val="0A3A8C"/>
            <w:u w:val="single"/>
          </w:rPr>
          <w:t xml:space="preserve">§ 96</w:t>
        </w:r>
      </w:hyperlink>
      <w:r>
        <w:t xml:space="preserve"> Absatz 7 Satz 2 und der </w:t>
      </w:r>
      <w:hyperlink w:anchor="b159" w:history="1">
        <w:r>
          <w:rPr>
            <w:color w:val="0A3A8C"/>
            <w:u w:val="single"/>
          </w:rPr>
          <w:t xml:space="preserve">§§ 98</w:t>
        </w:r>
      </w:hyperlink>
      <w:r>
        <w:t xml:space="preserve"> bis </w:t>
      </w:r>
      <w:hyperlink w:anchor="b161" w:history="1">
        <w:r>
          <w:rPr>
            <w:color w:val="0A3A8C"/>
            <w:u w:val="single"/>
          </w:rPr>
          <w:t xml:space="preserve">100</w:t>
        </w:r>
      </w:hyperlink>
      <w:r>
        <w:t xml:space="preserve"> ist den Beteiligten und ihren Bevollmächtigten und Beiständen (</w:t>
      </w:r>
      <w:hyperlink w:anchor="b121" w:history="1">
        <w:r>
          <w:rPr>
            <w:color w:val="0A3A8C"/>
            <w:u w:val="single"/>
          </w:rPr>
          <w:t xml:space="preserve">§ 80</w:t>
        </w:r>
      </w:hyperlink>
      <w:r>
        <w:t>) Gelegenheit zu geben, an der Beweisaufnahme teilzunehmen.</w:t>
      </w:r>
    </w:p>
    <w:p>
      <w:r>
        <w:t xml:space="preserve">(3) </w:t>
      </w:r>
      <w:r>
        <w:rPr>
          <w:rStyle w:val="Satznummer"/>
        </w:rPr>
        <w:t>1</w:t>
      </w:r>
      <w:r>
        <w:t xml:space="preserve">Wird der angefochtene Verwaltungsakt geändert oder ersetzt, so wird der neue Verwaltungsakt Gegenstand des Einspruchsverfahrens. </w:t>
      </w:r>
      <w:r>
        <w:rPr>
          <w:rStyle w:val="Satznummer"/>
        </w:rPr>
        <w:t>2</w:t>
      </w:r>
      <w:r>
        <w:t>Satz 1 gilt entsprechend, wenn</w:t>
      </w:r>
    </w:p>
    <w:p>
      <w:pPr>
        <w:tabs>
          <w:tab w:pos="567" w:val="left"/>
        </w:tabs>
        <w:ind w:left="567" w:hanging="567"/>
      </w:pPr>
      <w:r>
        <w:t>1.</w:t>
      </w:r>
      <w:r>
        <w:tab/>
      </w:r>
      <w:r>
        <w:t xml:space="preserve">ein Verwaltungsakt nach </w:t>
      </w:r>
      <w:hyperlink w:anchor="b208" w:history="1">
        <w:r>
          <w:rPr>
            <w:color w:val="0A3A8C"/>
            <w:u w:val="single"/>
          </w:rPr>
          <w:t xml:space="preserve">§ 129</w:t>
        </w:r>
      </w:hyperlink>
      <w:r>
        <w:t xml:space="preserve"> berichtigt wird oder</w:t>
      </w:r>
    </w:p>
    <w:p>
      <w:pPr>
        <w:tabs>
          <w:tab w:pos="567" w:val="left"/>
        </w:tabs>
        <w:ind w:left="567" w:hanging="567"/>
      </w:pPr>
      <w:r>
        <w:t>2.</w:t>
      </w:r>
      <w:r>
        <w:tab/>
      </w:r>
      <w:r>
        <w:t>ein Verwaltungsakt an die Stelle eines angefochtenen unwirksamen Verwaltungsakts tritt.</w:t>
      </w:r>
    </w:p>
    <w:p>
      <w:pPr>
        <w:pStyle w:val="Heading3"/>
      </w:pPr>
      <w:bookmarkStart w:id="530" w:name="b527"/>
      <w:r>
        <w:t>§ 366 Form, Inhalt und Erteilung der Einspruchsentscheidung</w:t>
      </w:r>
      <w:r>
        <w:t xml:space="preserve"> </w:t>
      </w:r>
      <w:r>
        <w:rPr>
          <w:rStyle w:val="Suchmarke"/>
        </w:rPr>
        <w:t>#366#</w:t>
      </w:r>
      <w:bookmarkEnd w:id="530"/>
    </w:p>
    <w:p>
      <w:r>
        <w:rPr>
          <w:rStyle w:val="Satznummer"/>
        </w:rPr>
        <w:t>1</w:t>
      </w:r>
      <w:r>
        <w:t xml:space="preserve">Die Einspruchsentscheidung ist zu begründen, mit einer Rechtsbehelfsbelehrung zu versehen und den Beteiligten schriftlich oder elektronisch zu erteilen. </w:t>
      </w:r>
      <w:r>
        <w:rPr>
          <w:rStyle w:val="Satznummer"/>
        </w:rPr>
        <w:t>2</w:t>
      </w:r>
      <w:r>
        <w:t xml:space="preserve">Betrifft die Einspruchsentscheidung eine gesonderte und einheitliche Feststellung im Sinne des § 180 Absatz 1 Satz 1 Nummer 2 Buchstabe a und sind mehr als 50 Personen gemäß </w:t>
      </w:r>
      <w:hyperlink w:anchor="b518" w:history="1">
        <w:r>
          <w:rPr>
            <w:color w:val="0A3A8C"/>
            <w:u w:val="single"/>
          </w:rPr>
          <w:t xml:space="preserve">§ 359</w:t>
        </w:r>
      </w:hyperlink>
      <w:r>
        <w:t xml:space="preserve"> am Verfahren beteiligt, so kann auf die Nennung sämtlicher Einspruchsführer und Hinzugezogenen im Rubrum der Einspruchsentscheidung verzichtet werden, wenn dort die Person, der diese Einspruchsentscheidung jeweils bekannt gegeben wird, und die Anzahl der übrigen nicht namentlich bezeichneten Beteiligten angegeben wird.</w:t>
      </w:r>
    </w:p>
    <w:p>
      <w:pPr>
        <w:pStyle w:val="Heading3"/>
      </w:pPr>
      <w:bookmarkStart w:id="531" w:name="b528"/>
      <w:r>
        <w:t>§ 367 Entscheidung über den Einspruch</w:t>
      </w:r>
      <w:r>
        <w:t xml:space="preserve"> </w:t>
      </w:r>
      <w:r>
        <w:rPr>
          <w:rStyle w:val="Suchmarke"/>
        </w:rPr>
        <w:t>#367#</w:t>
      </w:r>
      <w:bookmarkEnd w:id="531"/>
    </w:p>
    <w:p>
      <w:r>
        <w:t xml:space="preserve">(1) </w:t>
      </w:r>
      <w:r>
        <w:rPr>
          <w:rStyle w:val="Satznummer"/>
        </w:rPr>
        <w:t>1</w:t>
      </w:r>
      <w:r>
        <w:t xml:space="preserve">Über den Einspruch entscheidet die Finanzbehörde, die den Verwaltungsakt erlassen hat, durch Einspruchsentscheidung. </w:t>
      </w:r>
      <w:r>
        <w:rPr>
          <w:rStyle w:val="Satznummer"/>
        </w:rPr>
        <w:t>2</w:t>
      </w:r>
      <w:r>
        <w:t xml:space="preserve">Ist für den Steuerfall nachträglich eine andere Finanzbehörde zuständig geworden, so entscheidet diese Finanzbehörde; </w:t>
      </w:r>
      <w:hyperlink w:anchor="b34" w:history="1">
        <w:r>
          <w:rPr>
            <w:color w:val="0A3A8C"/>
            <w:u w:val="single"/>
          </w:rPr>
          <w:t xml:space="preserve">§ 26</w:t>
        </w:r>
      </w:hyperlink>
      <w:r>
        <w:t xml:space="preserve"> Satz 2 bleibt unberührt.</w:t>
      </w:r>
    </w:p>
    <w:p>
      <w:r>
        <w:t xml:space="preserve">(2) </w:t>
      </w:r>
      <w:r>
        <w:rPr>
          <w:rStyle w:val="Satznummer"/>
        </w:rPr>
        <w:t>1</w:t>
      </w:r>
      <w:r>
        <w:t xml:space="preserve">Die Finanzbehörde, die über den Einspruch entscheidet, hat die Sache in vollem Umfang erneut zu prüfen. </w:t>
      </w:r>
      <w:r>
        <w:rPr>
          <w:rStyle w:val="Satznummer"/>
        </w:rPr>
        <w:t>2</w:t>
      </w:r>
      <w:r>
        <w:t xml:space="preserve">Der Verwaltungsakt kann auch zum Nachteil des Einspruchsführers geändert werden, wenn dieser auf die Möglichkeit einer verbösernden Entscheidung unter Angabe von Gründen hingewiesen und ihm Gelegenheit gegeben worden ist, sich hierzu zu äußern. </w:t>
      </w:r>
      <w:r>
        <w:rPr>
          <w:rStyle w:val="Satznummer"/>
        </w:rPr>
        <w:t>3</w:t>
      </w:r>
      <w:r>
        <w:t>Einer Einspruchsentscheidung bedarf es nur insoweit, als die Finanzbehörde dem Einspruch nicht abhilft.</w:t>
      </w:r>
    </w:p>
    <w:p>
      <w:r>
        <w:t xml:space="preserve">(2a) </w:t>
      </w:r>
      <w:r>
        <w:rPr>
          <w:rStyle w:val="Satznummer"/>
        </w:rPr>
        <w:t>1</w:t>
      </w:r>
      <w:r>
        <w:t xml:space="preserve">Die Finanzbehörde kann vorab über Teile des Einspruchs entscheiden, wenn dies sachdienlich ist. </w:t>
      </w:r>
      <w:r>
        <w:rPr>
          <w:rStyle w:val="Satznummer"/>
        </w:rPr>
        <w:t>2</w:t>
      </w:r>
      <w:r>
        <w:t>Sie hat in dieser Entscheidung zu bestimmen, hinsichtlich welcher Teile Bestandskraft nicht eintreten soll.</w:t>
      </w:r>
    </w:p>
    <w:p>
      <w:r>
        <w:t xml:space="preserve">(2b) </w:t>
      </w:r>
      <w:r>
        <w:rPr>
          <w:rStyle w:val="Satznummer"/>
        </w:rPr>
        <w:t>1</w:t>
      </w:r>
      <w:r>
        <w:t xml:space="preserve">Anhängige Einsprüche, die eine vom Gerichtshof der Europäischen Union, vom Bundesverfassungsgericht oder vom Bundesfinanzhof entschiedene Rechtsfrage betreffen und denen nach dem Ausgang des Verfahrens vor diesen Gerichten nicht abgeholfen werden kann, können durch Allgemeinverfügung insoweit zurückgewiesen werden. </w:t>
      </w:r>
      <w:r>
        <w:rPr>
          <w:rStyle w:val="Satznummer"/>
        </w:rPr>
        <w:t>2</w:t>
      </w:r>
      <w:r>
        <w:t xml:space="preserve">Sachlich zuständig für den Erlass der Allgemeinverfügung ist die oberste Finanzbehörde. </w:t>
      </w:r>
      <w:r>
        <w:rPr>
          <w:rStyle w:val="Satznummer"/>
        </w:rPr>
        <w:t>3</w:t>
      </w:r>
      <w:r>
        <w:t xml:space="preserve">Die Allgemeinverfügung ist im Bundessteuerblatt und auf den Internetseiten des Bundesministeriums der Finanzen zu veröffentlichen. </w:t>
      </w:r>
      <w:r>
        <w:rPr>
          <w:rStyle w:val="Satznummer"/>
        </w:rPr>
        <w:t>4</w:t>
      </w:r>
      <w:r>
        <w:t xml:space="preserve">Sie gilt am Tag nach der Herausgabe des Bundessteuerblattes, in dem sie veröffentlicht wird, als bekannt gegeben. </w:t>
      </w:r>
      <w:r>
        <w:rPr>
          <w:rStyle w:val="Satznummer"/>
        </w:rPr>
        <w:t>5</w:t>
      </w:r>
      <w:r>
        <w:t xml:space="preserve">Abweichend von § 47 Absatz 1 der Finanzgerichtsordnung endet die Klagefrist mit Ablauf eines Jahres nach dem Tag der Bekanntgabe. </w:t>
      </w:r>
      <w:r>
        <w:rPr>
          <w:rStyle w:val="Satznummer"/>
        </w:rPr>
        <w:t>6</w:t>
      </w:r>
      <w:r>
        <w:t>§ 63 Absatz 1 Nummer 1 der Finanzgerichtsordnung gilt auch, soweit ein Einspruch durch eine Allgemeinverfügung nach Satz 1 zurückgewiesen wurde.</w:t>
      </w:r>
    </w:p>
    <w:p>
      <w:r>
        <w:t xml:space="preserve">(3) </w:t>
      </w:r>
      <w:r>
        <w:rPr>
          <w:rStyle w:val="Satznummer"/>
        </w:rPr>
        <w:t>1</w:t>
      </w:r>
      <w:r>
        <w:t xml:space="preserve">Richtet sich der Einspruch gegen einen Verwaltungsakt, den eine Behörde auf Grund gesetzlicher Vorschrift für die zuständige Finanzbehörde erlassen hat, so entscheidet die zuständige Finanzbehörde über den Einspruch. </w:t>
      </w:r>
      <w:r>
        <w:rPr>
          <w:rStyle w:val="Satznummer"/>
        </w:rPr>
        <w:t>2</w:t>
      </w:r>
      <w:r>
        <w:t>Auch die für die zuständige Finanzbehörde handelnde Behörde ist berechtigt, dem Einspruch abzuhelfen.</w:t>
      </w:r>
    </w:p>
    <w:p>
      <w:pPr>
        <w:pStyle w:val="Heading3"/>
      </w:pPr>
      <w:bookmarkStart w:id="532" w:name="b529"/>
      <w:r>
        <w:t>§ 368 (weggefallen)</w:t>
      </w:r>
      <w:r>
        <w:t xml:space="preserve"> </w:t>
      </w:r>
      <w:r>
        <w:rPr>
          <w:rStyle w:val="Suchmarke"/>
        </w:rPr>
        <w:t>#368#</w:t>
      </w:r>
      <w:bookmarkEnd w:id="532"/>
    </w:p>
    <w:p>
      <w:pPr>
        <w:pStyle w:val="Heading1"/>
      </w:pPr>
      <w:bookmarkStart w:id="533" w:name="b530"/>
      <w:r>
        <w:t>Achter Teil Straf- und Bußgeldvorschriften, Straf- und Bußgeldverfahren</w:t>
      </w:r>
      <w:bookmarkEnd w:id="533"/>
    </w:p>
    <w:p>
      <w:pPr>
        <w:pStyle w:val="Heading2"/>
      </w:pPr>
      <w:bookmarkStart w:id="534" w:name="b531"/>
      <w:r>
        <w:t>Erster Abschnitt Strafvorschriften</w:t>
      </w:r>
      <w:bookmarkEnd w:id="534"/>
    </w:p>
    <w:p>
      <w:pPr>
        <w:pStyle w:val="Heading3"/>
      </w:pPr>
      <w:bookmarkStart w:id="535" w:name="b532"/>
      <w:r>
        <w:t>§ 369 Steuerstraftaten</w:t>
      </w:r>
      <w:r>
        <w:t xml:space="preserve"> </w:t>
      </w:r>
      <w:r>
        <w:rPr>
          <w:rStyle w:val="Suchmarke"/>
        </w:rPr>
        <w:t>#369#</w:t>
      </w:r>
      <w:bookmarkEnd w:id="535"/>
    </w:p>
    <w:p>
      <w:r>
        <w:t>(1) Steuerstraftaten (Zollstraftaten) sind:</w:t>
      </w:r>
    </w:p>
    <w:p>
      <w:pPr>
        <w:tabs>
          <w:tab w:pos="567" w:val="left"/>
        </w:tabs>
        <w:ind w:left="567" w:hanging="567"/>
      </w:pPr>
      <w:r>
        <w:t>1.</w:t>
      </w:r>
      <w:r>
        <w:tab/>
      </w:r>
      <w:r>
        <w:t>Taten, die nach den Steuergesetzen strafbar sind,</w:t>
      </w:r>
    </w:p>
    <w:p>
      <w:pPr>
        <w:tabs>
          <w:tab w:pos="567" w:val="left"/>
        </w:tabs>
        <w:ind w:left="567" w:hanging="567"/>
      </w:pPr>
      <w:r>
        <w:t>2.</w:t>
      </w:r>
      <w:r>
        <w:tab/>
      </w:r>
      <w:r>
        <w:t>der Bannbruch,</w:t>
      </w:r>
    </w:p>
    <w:p>
      <w:pPr>
        <w:tabs>
          <w:tab w:pos="567" w:val="left"/>
        </w:tabs>
        <w:ind w:left="567" w:hanging="567"/>
      </w:pPr>
      <w:r>
        <w:t>3.</w:t>
      </w:r>
      <w:r>
        <w:tab/>
      </w:r>
      <w:r>
        <w:t>die Wertzeichenfälschung und deren Vorbereitung, soweit die Tat Steuerzeichen betrifft,</w:t>
      </w:r>
    </w:p>
    <w:p>
      <w:pPr>
        <w:tabs>
          <w:tab w:pos="567" w:val="left"/>
        </w:tabs>
        <w:ind w:left="567" w:hanging="567"/>
      </w:pPr>
      <w:r>
        <w:t>4.</w:t>
      </w:r>
      <w:r>
        <w:tab/>
      </w:r>
      <w:r>
        <w:t>die Begünstigung einer Person, die eine Tat nach den Nummern 1 bis 3 begangen hat.</w:t>
      </w:r>
    </w:p>
    <w:p>
      <w:r>
        <w:t>(2) Für Steuerstraftaten gelten die allgemeinen Gesetze über das Strafrecht, soweit die Strafvorschriften der Steuergesetze nichts anderes bestimmen.</w:t>
      </w:r>
    </w:p>
    <w:p>
      <w:pPr>
        <w:pStyle w:val="Heading3"/>
      </w:pPr>
      <w:bookmarkStart w:id="536" w:name="b533"/>
      <w:r>
        <w:t>§ 370 Steuerhinterziehung</w:t>
      </w:r>
      <w:r>
        <w:t xml:space="preserve"> </w:t>
      </w:r>
      <w:r>
        <w:rPr>
          <w:rStyle w:val="Suchmarke"/>
        </w:rPr>
        <w:t>#370#</w:t>
      </w:r>
      <w:bookmarkEnd w:id="536"/>
    </w:p>
    <w:p>
      <w:r>
        <w:t>(1) Mit Freiheitsstrafe bis zu fünf Jahren oder mit Geldstrafe wird bestraft, wer</w:t>
      </w:r>
    </w:p>
    <w:p>
      <w:pPr>
        <w:tabs>
          <w:tab w:pos="567" w:val="left"/>
        </w:tabs>
        <w:ind w:left="567" w:hanging="567"/>
      </w:pPr>
      <w:r>
        <w:t>1.</w:t>
      </w:r>
      <w:r>
        <w:tab/>
      </w:r>
      <w:r>
        <w:t>den Finanzbehörden oder anderen Behörden über steuerlich erhebliche Tatsachen unrichtige oder unvollständige Angaben macht,</w:t>
      </w:r>
    </w:p>
    <w:p>
      <w:pPr>
        <w:tabs>
          <w:tab w:pos="567" w:val="left"/>
        </w:tabs>
        <w:ind w:left="567" w:hanging="567"/>
      </w:pPr>
      <w:r>
        <w:t>2.</w:t>
      </w:r>
      <w:r>
        <w:tab/>
      </w:r>
      <w:r>
        <w:t>die Finanzbehörden pflichtwidrig über steuerlich erhebliche Tatsachen in Unkenntnis lässt oder</w:t>
      </w:r>
    </w:p>
    <w:p>
      <w:pPr>
        <w:tabs>
          <w:tab w:pos="567" w:val="left"/>
        </w:tabs>
        <w:ind w:left="567" w:hanging="567"/>
      </w:pPr>
      <w:r>
        <w:t>3.</w:t>
      </w:r>
      <w:r>
        <w:tab/>
      </w:r>
      <w:r>
        <w:t>pflichtwidrig die Verwendung von Steuerzeichen oder Steuerstemplern unterlässt</w:t>
      </w:r>
    </w:p>
    <w:p>
      <w:r>
        <w:t>und dadurch Steuern verkürzt oder für sich oder einen anderen nicht gerechtfertigte Steuervorteile erlangt.</w:t>
      </w:r>
    </w:p>
    <w:p>
      <w:r>
        <w:t>(2) Der Versuch ist strafbar.</w:t>
      </w:r>
    </w:p>
    <w:p>
      <w:r>
        <w:t xml:space="preserve">(3) </w:t>
      </w:r>
      <w:r>
        <w:rPr>
          <w:rStyle w:val="Satznummer"/>
        </w:rPr>
        <w:t>1</w:t>
      </w:r>
      <w:r>
        <w:t xml:space="preserve">In besonders schweren Fällen ist die Strafe Freiheitsstrafe von sechs Monaten bis zu zehn Jahren. </w:t>
      </w:r>
      <w:r>
        <w:rPr>
          <w:rStyle w:val="Satznummer"/>
        </w:rPr>
        <w:t>2</w:t>
      </w:r>
      <w:r>
        <w:t>Ein besonders schwerer Fall liegt in der Regel vor, wenn der Täter</w:t>
      </w:r>
    </w:p>
    <w:p>
      <w:pPr>
        <w:tabs>
          <w:tab w:pos="567" w:val="left"/>
        </w:tabs>
        <w:ind w:left="567" w:hanging="567"/>
      </w:pPr>
      <w:r>
        <w:t>1.</w:t>
      </w:r>
      <w:r>
        <w:tab/>
      </w:r>
      <w:r>
        <w:t>in großem Ausmaß Steuern verkürzt oder nicht gerechtfertigte Steuervorteile erlangt,</w:t>
      </w:r>
    </w:p>
    <w:p>
      <w:pPr>
        <w:tabs>
          <w:tab w:pos="567" w:val="left"/>
        </w:tabs>
        <w:ind w:left="567" w:hanging="567"/>
      </w:pPr>
      <w:r>
        <w:t>2.</w:t>
      </w:r>
      <w:r>
        <w:tab/>
      </w:r>
      <w:r>
        <w:t>seine Befugnisse oder seine Stellung als Amtsträger oder Europäischer Amtsträger (§ 11 Absatz 1 Nummer 2a des Strafgesetzbuchs) missbraucht,</w:t>
      </w:r>
    </w:p>
    <w:p>
      <w:pPr>
        <w:tabs>
          <w:tab w:pos="567" w:val="left"/>
        </w:tabs>
        <w:ind w:left="567" w:hanging="567"/>
      </w:pPr>
      <w:r>
        <w:t>3.</w:t>
      </w:r>
      <w:r>
        <w:tab/>
      </w:r>
      <w:r>
        <w:t>die Mithilfe eines Amtsträgers oder Europäischen Amtsträgers (§ 11 Absatz 1 Nummer 2a des Strafgesetzbuchs) ausnutzt, der seine Befugnisse oder seine Stellung missbraucht,</w:t>
      </w:r>
    </w:p>
    <w:p>
      <w:pPr>
        <w:tabs>
          <w:tab w:pos="567" w:val="left"/>
        </w:tabs>
        <w:ind w:left="567" w:hanging="567"/>
      </w:pPr>
      <w:r>
        <w:t>4.</w:t>
      </w:r>
      <w:r>
        <w:tab/>
      </w:r>
      <w:r>
        <w:t>unter Verwendung nachgemachter oder verfälschter Belege fortgesetzt Steuern verkürzt oder nicht gerechtfertigte Steuervorteile erlangt,</w:t>
      </w:r>
    </w:p>
    <w:p>
      <w:pPr>
        <w:tabs>
          <w:tab w:pos="567" w:val="left"/>
        </w:tabs>
        <w:ind w:left="567" w:hanging="567"/>
      </w:pPr>
      <w:r>
        <w:t>5.</w:t>
      </w:r>
      <w:r>
        <w:tab/>
      </w:r>
      <w:r>
        <w:t>als Mitglied einer Bande, die sich zur fortgesetzten Begehung von Taten nach Absatz 1 verbunden hat, Umsatz- oder Verbrauchssteuern verkürzt oder nicht gerechtfertigte Umsatz- oder Verbrauchssteuervorteile erlangt oder</w:t>
      </w:r>
    </w:p>
    <w:p>
      <w:pPr>
        <w:tabs>
          <w:tab w:pos="567" w:val="left"/>
        </w:tabs>
        <w:ind w:left="567" w:hanging="567"/>
      </w:pPr>
      <w:r>
        <w:t>6.</w:t>
      </w:r>
      <w:r>
        <w:tab/>
      </w:r>
      <w:r>
        <w:t xml:space="preserve">eine Drittstaat-Gesellschaft im Sinne des </w:t>
      </w:r>
      <w:hyperlink w:anchor="b219" w:history="1">
        <w:r>
          <w:rPr>
            <w:color w:val="0A3A8C"/>
            <w:u w:val="single"/>
          </w:rPr>
          <w:t xml:space="preserve">§ 138</w:t>
        </w:r>
      </w:hyperlink>
      <w:r>
        <w:t xml:space="preserve"> Absatz 3, auf die er alleine oder zusammen mit nahestehenden Personen im Sinne des § 1 Absatz 2 des Außensteuergesetzes unmittelbar oder mittelbar einen beherrschenden oder bestimmenden Einfluss ausüben kann, zur Verschleierung steuerlich erheblicher Tatsachen nutzt und auf diese Weise fortgesetzt Steuern verkürzt oder nicht gerechtfertigte Steuervorteile erlangt.</w:t>
      </w:r>
    </w:p>
    <w:p>
      <w:r>
        <w:t xml:space="preserve">(4) </w:t>
      </w:r>
      <w:r>
        <w:rPr>
          <w:rStyle w:val="Satznummer"/>
        </w:rPr>
        <w:t>1</w:t>
      </w:r>
      <w:r>
        <w:t xml:space="preserve">Steuern sind namentlich dann verkürzt, wenn sie nicht, nicht in voller Höhe oder nicht rechtzeitig festgesetzt werden; dies gilt auch dann, wenn die Steuer vorläufig oder unter Vorbehalt der Nachprüfung festgesetzt wird oder eine Steueranmeldung einer Steuerfestsetzung unter Vorbehalt der Nachprüfung gleichsteht. </w:t>
      </w:r>
      <w:r>
        <w:rPr>
          <w:rStyle w:val="Satznummer"/>
        </w:rPr>
        <w:t>2</w:t>
      </w:r>
      <w:r>
        <w:t xml:space="preserve">Steuervorteile sind auch Steuervergütungen; nicht gerechtfertigte Steuervorteile sind erlangt, soweit sie zu Unrecht gewährt oder belassen werden. </w:t>
      </w:r>
      <w:r>
        <w:rPr>
          <w:rStyle w:val="Satznummer"/>
        </w:rPr>
        <w:t>3</w:t>
      </w:r>
      <w:r>
        <w:t>Die Voraussetzungen der Sätze 1 und 2 sind auch dann erfüllt, wenn die Steuer, auf die sich die Tat bezieht, aus anderen Gründen hätte ermäßigt oder der Steuervorteil aus anderen Gründen hätte beansprucht werden können.</w:t>
      </w:r>
    </w:p>
    <w:p>
      <w:r>
        <w:t>(5) Die Tat kann auch hinsichtlich solcher Waren begangen werden, deren Einfuhr, Ausfuhr oder Durchfuhr verboten ist.</w:t>
      </w:r>
    </w:p>
    <w:p>
      <w:r>
        <w:t xml:space="preserve">(6) </w:t>
      </w:r>
      <w:r>
        <w:rPr>
          <w:rStyle w:val="Satznummer"/>
        </w:rPr>
        <w:t>1</w:t>
      </w:r>
      <w:r>
        <w:t xml:space="preserve">Die Absätze 1 bis 5 gelten auch dann, wenn sich die Tat auf Einfuhr- oder Ausfuhrabgaben bezieht, die von einem anderen Mitgliedstaat der Europäischen Union verwaltet werden oder die einem Mitgliedstaat der Europäischen Freihandelsassoziation oder einem mit dieser assoziierten Staat zustehen. </w:t>
      </w:r>
      <w:r>
        <w:rPr>
          <w:rStyle w:val="Satznummer"/>
        </w:rPr>
        <w:t>2</w:t>
      </w:r>
      <w:r>
        <w:t>Das Gleiche gilt, wenn sich die Tat auf Umsatzsteuern oder auf die in Artikel 1 Absatz 1 der Richtlinie 2008/118/EG des Rates vom 16. Dezember 2008 über das allgemeine Verbrauchsteuersystem und zur Aufhebung der Richtlinie 92/12/EWG (ABl. L 9 vom 14.1.2009, S. 12) genannten harmonisierten Verbrauchsteuern bezieht, die von einem anderen Mitgliedstaat der Europäischen Union verwaltet werden.</w:t>
      </w:r>
    </w:p>
    <w:p>
      <w:r>
        <w:t>(7) Die Absätze 1 bis 6 gelten unabhängig von dem Recht des Tatortes auch für Taten, die außerhalb des Geltungsbereiches dieses Gesetzes begangen werden.</w:t>
      </w:r>
    </w:p>
    <w:p>
      <w:pPr>
        <w:pStyle w:val="Heading3"/>
      </w:pPr>
      <w:bookmarkStart w:id="537" w:name="b534"/>
      <w:r>
        <w:t>§ 371 Selbstanzeige bei Steuerhinterziehung</w:t>
      </w:r>
      <w:r>
        <w:t xml:space="preserve"> </w:t>
      </w:r>
      <w:r>
        <w:rPr>
          <w:rStyle w:val="Suchmarke"/>
        </w:rPr>
        <w:t>#371#</w:t>
      </w:r>
      <w:bookmarkEnd w:id="537"/>
    </w:p>
    <w:p>
      <w:r>
        <w:t xml:space="preserve">(1) </w:t>
      </w:r>
      <w:r>
        <w:rPr>
          <w:rStyle w:val="Satznummer"/>
        </w:rPr>
        <w:t>1</w:t>
      </w:r>
      <w:r>
        <w:t xml:space="preserve">Wer gegenüber der Finanzbehörde zu allen Steuerstraftaten einer Steuerart in vollem Umfang die unrichtigen Angaben berichtigt, die unvollständigen Angaben ergänzt oder die unterlassenen Angaben nachholt, wird wegen dieser Steuerstraftaten nicht nach </w:t>
      </w:r>
      <w:hyperlink w:anchor="b533" w:history="1">
        <w:r>
          <w:rPr>
            <w:color w:val="0A3A8C"/>
            <w:u w:val="single"/>
          </w:rPr>
          <w:t xml:space="preserve">§ 370</w:t>
        </w:r>
      </w:hyperlink>
      <w:r>
        <w:t xml:space="preserve"> bestraft. </w:t>
      </w:r>
      <w:r>
        <w:rPr>
          <w:rStyle w:val="Satznummer"/>
        </w:rPr>
        <w:t>2</w:t>
      </w:r>
      <w:r>
        <w:t>Die Angaben müssen zu allen unverjährten Steuerstraftaten einer Steuerart, mindestens aber zu allen Steuerstraftaten einer Steuerart innerhalb der letzten zehn Kalenderjahre erfolgen.</w:t>
      </w:r>
    </w:p>
    <w:p>
      <w:r>
        <w:t xml:space="preserve">(2) </w:t>
      </w:r>
      <w:r>
        <w:rPr>
          <w:rStyle w:val="Satznummer"/>
        </w:rPr>
        <w:t>1</w:t>
      </w:r>
      <w:r>
        <w:t>Straffreiheit tritt nicht ein, wenn</w:t>
      </w:r>
    </w:p>
    <w:p>
      <w:pPr>
        <w:tabs>
          <w:tab w:pos="567" w:val="left"/>
        </w:tabs>
        <w:ind w:left="567" w:hanging="567"/>
      </w:pPr>
      <w:r>
        <w:t>1.</w:t>
      </w:r>
      <w:r>
        <w:tab/>
      </w:r>
      <w:r>
        <w:t>bei einer der zur Selbstanzeige gebrachten unverjährten Steuerstraftaten vor der Berichtigung, Ergänzung oder Nachholung</w:t>
      </w:r>
    </w:p>
    <w:p>
      <w:pPr>
        <w:tabs>
          <w:tab w:pos="1134" w:val="left"/>
        </w:tabs>
        <w:ind w:left="1134" w:hanging="567"/>
      </w:pPr>
      <w:r>
        <w:t>a)</w:t>
      </w:r>
      <w:r>
        <w:tab/>
      </w:r>
      <w:r>
        <w:t xml:space="preserve">dem an der Tat Beteiligten, seinem Vertreter, dem Begünstigten im Sinne des </w:t>
      </w:r>
      <w:hyperlink w:anchor="b533" w:history="1">
        <w:r>
          <w:rPr>
            <w:color w:val="0A3A8C"/>
            <w:u w:val="single"/>
          </w:rPr>
          <w:t xml:space="preserve">§ 370</w:t>
        </w:r>
      </w:hyperlink>
      <w:r>
        <w:t xml:space="preserve"> Absatz 1 oder dessen Vertreter eine Prüfungsanordnung nach </w:t>
      </w:r>
      <w:hyperlink w:anchor="b319" w:history="1">
        <w:r>
          <w:rPr>
            <w:color w:val="0A3A8C"/>
            <w:u w:val="single"/>
          </w:rPr>
          <w:t xml:space="preserve">§ 196</w:t>
        </w:r>
      </w:hyperlink>
      <w:r>
        <w:t xml:space="preserve"> bekannt gegeben worden ist, beschränkt auf den sachlichen und zeitlichen Umfang der angekündigten Außenprüfung, oder</w:t>
      </w:r>
    </w:p>
    <w:p>
      <w:pPr>
        <w:tabs>
          <w:tab w:pos="1134" w:val="left"/>
        </w:tabs>
        <w:ind w:left="1134" w:hanging="567"/>
      </w:pPr>
      <w:r>
        <w:t>b)</w:t>
      </w:r>
      <w:r>
        <w:tab/>
      </w:r>
      <w:r>
        <w:t>dem an der Tat Beteiligten oder seinem Vertreter die Einleitung des Straf- oder Bußgeldverfahrens bekannt gegeben worden ist oder</w:t>
      </w:r>
    </w:p>
    <w:p>
      <w:pPr>
        <w:tabs>
          <w:tab w:pos="1134" w:val="left"/>
        </w:tabs>
        <w:ind w:left="1134" w:hanging="567"/>
      </w:pPr>
      <w:r>
        <w:t>c)</w:t>
      </w:r>
      <w:r>
        <w:tab/>
      </w:r>
      <w:r>
        <w:t>ein Amtsträger der Finanzbehörde zur steuerlichen Prüfung erschienen ist, beschränkt auf den sachlichen und zeitlichen Umfang der Außenprüfung, oder</w:t>
      </w:r>
    </w:p>
    <w:p>
      <w:pPr>
        <w:tabs>
          <w:tab w:pos="1134" w:val="left"/>
        </w:tabs>
        <w:ind w:left="1134" w:hanging="567"/>
      </w:pPr>
      <w:r>
        <w:t>d)</w:t>
      </w:r>
      <w:r>
        <w:tab/>
      </w:r>
      <w:r>
        <w:t>ein Amtsträger zur Ermittlung einer Steuerstraftat oder einer Steuerordnungswidrigkeit erschienen ist oder</w:t>
      </w:r>
    </w:p>
    <w:p>
      <w:pPr>
        <w:tabs>
          <w:tab w:pos="1134" w:val="left"/>
        </w:tabs>
        <w:ind w:left="1134" w:hanging="567"/>
      </w:pPr>
      <w:r>
        <w:t>e)</w:t>
      </w:r>
      <w:r>
        <w:tab/>
      </w:r>
      <w:r>
        <w:t>ein Amtsträger der Finanzbehörde zu einer Umsatzsteuer-Nachschau nach § 27b des Umsatzsteuergesetzes, einer Lohnsteuer-Nachschau nach § 42g des Einkommensteuergesetzes oder einer Nachschau nach anderen steuerrechtlichen Vorschriften erschienen ist und sich ausgewiesen hat oder</w:t>
      </w:r>
    </w:p>
    <w:p>
      <w:pPr>
        <w:tabs>
          <w:tab w:pos="567" w:val="left"/>
        </w:tabs>
        <w:ind w:left="567" w:hanging="567"/>
      </w:pPr>
      <w:r>
        <w:t>2.</w:t>
      </w:r>
      <w:r>
        <w:tab/>
      </w:r>
      <w:r>
        <w:t>eine der Steuerstraftaten im Zeitpunkt der Berichtigung, Ergänzung oder Nachholung ganz oder zum Teil bereits entdeckt war und der Täter dies wusste oder bei verständiger Würdigung der Sachlage damit rechnen musste,</w:t>
      </w:r>
    </w:p>
    <w:p>
      <w:pPr>
        <w:tabs>
          <w:tab w:pos="567" w:val="left"/>
        </w:tabs>
        <w:ind w:left="567" w:hanging="567"/>
      </w:pPr>
      <w:r>
        <w:t>3.</w:t>
      </w:r>
      <w:r>
        <w:tab/>
      </w:r>
      <w:r>
        <w:t xml:space="preserve">die nach </w:t>
      </w:r>
      <w:hyperlink w:anchor="b533" w:history="1">
        <w:r>
          <w:rPr>
            <w:color w:val="0A3A8C"/>
            <w:u w:val="single"/>
          </w:rPr>
          <w:t xml:space="preserve">§ 370</w:t>
        </w:r>
      </w:hyperlink>
      <w:r>
        <w:t xml:space="preserve"> Absatz 1 verkürzte Steuer oder der für sich oder einen anderen erlangte nicht gerechtfertigte Steuervorteil einen Betrag von 25 000 Euro je Tat übersteigt, oder</w:t>
      </w:r>
    </w:p>
    <w:p>
      <w:pPr>
        <w:tabs>
          <w:tab w:pos="567" w:val="left"/>
        </w:tabs>
        <w:ind w:left="567" w:hanging="567"/>
      </w:pPr>
      <w:r>
        <w:t>4.</w:t>
      </w:r>
      <w:r>
        <w:tab/>
      </w:r>
      <w:r>
        <w:t xml:space="preserve">ein in </w:t>
      </w:r>
      <w:hyperlink w:anchor="b533" w:history="1">
        <w:r>
          <w:rPr>
            <w:color w:val="0A3A8C"/>
            <w:u w:val="single"/>
          </w:rPr>
          <w:t xml:space="preserve">§ 370</w:t>
        </w:r>
      </w:hyperlink>
      <w:r>
        <w:t xml:space="preserve"> Absatz 3 Satz 2 Nummer 2 bis 6 genannter besonders schwerer Fall vorliegt.</w:t>
      </w:r>
    </w:p>
    <w:p>
      <w:r>
        <w:rPr>
          <w:rStyle w:val="Satznummer"/>
        </w:rPr>
        <w:t>2</w:t>
      </w:r>
      <w:r>
        <w:t>Der Ausschluss der Straffreiheit nach Satz 1 Nummer 1 Buchstabe a und c hindert nicht die Abgabe einer Berichtigung nach Absatz 1 für die nicht unter Satz 1 Nummer 1 Buchstabe a und c fallenden Steuerstraftaten einer Steuerart.</w:t>
      </w:r>
    </w:p>
    <w:p>
      <w:r>
        <w:t xml:space="preserve">(2a) </w:t>
      </w:r>
      <w:r>
        <w:rPr>
          <w:rStyle w:val="Satznummer"/>
        </w:rPr>
        <w:t>1</w:t>
      </w:r>
      <w:r>
        <w:t xml:space="preserve">Soweit die Steuerhinterziehung durch Verletzung der Pflicht zur rechtzeitigen Abgabe einer vollständigen und richtigen Umsatzsteuervoranmeldung oder Lohnsteueranmeldung begangen worden ist, tritt Straffreiheit abweichend von den Absätzen 1 und 2 Satz 1 Nummer 3 bei Selbstanzeigen in dem Umfang ein, in dem der Täter gegenüber der zuständigen Finanzbehörde die unrichtigen Angaben berichtigt, die unvollständigen Angaben ergänzt oder die unterlassenen Angaben nachholt. </w:t>
      </w:r>
      <w:r>
        <w:rPr>
          <w:rStyle w:val="Satznummer"/>
        </w:rPr>
        <w:t>2</w:t>
      </w:r>
      <w:r>
        <w:t xml:space="preserve">Absatz 2 Satz 1 Nummer 2 gilt nicht, wenn die Entdeckung der Tat darauf beruht, dass eine Umsatzsteuervoranmeldung oder Lohnsteueranmeldung nachgeholt oder berichtigt wurde. </w:t>
      </w:r>
      <w:r>
        <w:rPr>
          <w:rStyle w:val="Satznummer"/>
        </w:rPr>
        <w:t>3</w:t>
      </w:r>
      <w:r>
        <w:t xml:space="preserve">Die Sätze 1 und 2 gelten nicht für Steueranmeldungen, die sich auf das Kalenderjahr beziehen. </w:t>
      </w:r>
      <w:r>
        <w:rPr>
          <w:rStyle w:val="Satznummer"/>
        </w:rPr>
        <w:t>4</w:t>
      </w:r>
      <w:r>
        <w:t>Für die Vollständigkeit der Selbstanzeige hinsichtlich einer auf das Kalenderjahr bezogenen Steueranmeldung ist die Berichtigung, Ergänzung oder Nachholung der Voranmeldungen, die dem Kalenderjahr nachfolgende Zeiträume betreffen, nicht erforderlich.</w:t>
      </w:r>
    </w:p>
    <w:p>
      <w:r>
        <w:t xml:space="preserve">(3) </w:t>
      </w:r>
      <w:r>
        <w:rPr>
          <w:rStyle w:val="Satznummer"/>
        </w:rPr>
        <w:t>1</w:t>
      </w:r>
      <w:r>
        <w:t xml:space="preserve">Sind Steuerverkürzungen bereits eingetreten oder Steuervorteile erlangt, so tritt für den an der Tat Beteiligten Straffreiheit nur ein, wenn er die aus der Tat zu seinen Gunsten hinterzogenen Steuern, die Hinterziehungszinsen nach </w:t>
      </w:r>
      <w:hyperlink w:anchor="b373" w:history="1">
        <w:r>
          <w:rPr>
            <w:color w:val="0A3A8C"/>
            <w:u w:val="single"/>
          </w:rPr>
          <w:t xml:space="preserve">§ 235</w:t>
        </w:r>
      </w:hyperlink>
      <w:r>
        <w:t xml:space="preserve"> und die Zinsen nach </w:t>
      </w:r>
      <w:hyperlink w:anchor="b371" w:history="1">
        <w:r>
          <w:rPr>
            <w:color w:val="0A3A8C"/>
            <w:u w:val="single"/>
          </w:rPr>
          <w:t xml:space="preserve">§ 233a</w:t>
        </w:r>
      </w:hyperlink>
      <w:r>
        <w:t xml:space="preserve">, soweit sie auf die Hinterziehungszinsen nach </w:t>
      </w:r>
      <w:hyperlink w:anchor="b373" w:history="1">
        <w:r>
          <w:rPr>
            <w:color w:val="0A3A8C"/>
            <w:u w:val="single"/>
          </w:rPr>
          <w:t xml:space="preserve">§ 235</w:t>
        </w:r>
      </w:hyperlink>
      <w:r>
        <w:t xml:space="preserve"> Absatz 4 angerechnet werden, sowie die Verzugszinsen nach Artikel 114 des Zollkodex der Union innerhalb der ihm bestimmten angemessenen Frist entrichtet. </w:t>
      </w:r>
      <w:r>
        <w:rPr>
          <w:rStyle w:val="Satznummer"/>
        </w:rPr>
        <w:t>2</w:t>
      </w:r>
      <w:r>
        <w:t xml:space="preserve">In den Fällen des Absatzes 2a Satz 1 gilt Satz 1 mit der Maßgabe, dass die fristgerechte Entrichtung von Zinsen nach </w:t>
      </w:r>
      <w:hyperlink w:anchor="b371" w:history="1">
        <w:r>
          <w:rPr>
            <w:color w:val="0A3A8C"/>
            <w:u w:val="single"/>
          </w:rPr>
          <w:t xml:space="preserve">§ 233a</w:t>
        </w:r>
      </w:hyperlink>
      <w:r>
        <w:t xml:space="preserve"> oder </w:t>
      </w:r>
      <w:hyperlink w:anchor="b373" w:history="1">
        <w:r>
          <w:rPr>
            <w:color w:val="0A3A8C"/>
            <w:u w:val="single"/>
          </w:rPr>
          <w:t xml:space="preserve">§ 235</w:t>
        </w:r>
      </w:hyperlink>
      <w:r>
        <w:t xml:space="preserve"> unerheblich ist.</w:t>
      </w:r>
    </w:p>
    <w:p>
      <w:r>
        <w:t xml:space="preserve">(4) </w:t>
      </w:r>
      <w:r>
        <w:rPr>
          <w:rStyle w:val="Satznummer"/>
        </w:rPr>
        <w:t>1</w:t>
      </w:r>
      <w:r>
        <w:t xml:space="preserve">Wird die in </w:t>
      </w:r>
      <w:hyperlink w:anchor="b258" w:history="1">
        <w:r>
          <w:rPr>
            <w:color w:val="0A3A8C"/>
            <w:u w:val="single"/>
          </w:rPr>
          <w:t xml:space="preserve">§ 153</w:t>
        </w:r>
      </w:hyperlink>
      <w:r>
        <w:t xml:space="preserve"> vorgesehene Anzeige rechtzeitig und ordnungsmäßig erstattet, so wird ein Dritter, der die in </w:t>
      </w:r>
      <w:hyperlink w:anchor="b258" w:history="1">
        <w:r>
          <w:rPr>
            <w:color w:val="0A3A8C"/>
            <w:u w:val="single"/>
          </w:rPr>
          <w:t xml:space="preserve">§ 153</w:t>
        </w:r>
      </w:hyperlink>
      <w:r>
        <w:t xml:space="preserve"> bezeichneten Erklärungen abzugeben unterlassen oder unrichtig oder unvollständig abgegeben hat, strafrechtlich nicht verfolgt, es sei denn, dass ihm oder seinem Vertreter vorher die Einleitung eines Straf- oder Bußgeldverfahrens wegen der Tat bekannt gegeben worden ist. </w:t>
      </w:r>
      <w:r>
        <w:rPr>
          <w:rStyle w:val="Satznummer"/>
        </w:rPr>
        <w:t>2</w:t>
      </w:r>
      <w:r>
        <w:t>Hat der Dritte zum eigenen Vorteil gehandelt, so gilt Absatz 3 entsprechend.</w:t>
      </w:r>
    </w:p>
    <w:p>
      <w:pPr>
        <w:pStyle w:val="Heading3"/>
      </w:pPr>
      <w:bookmarkStart w:id="538" w:name="b535"/>
      <w:r>
        <w:t>§ 372 Bannbruch</w:t>
      </w:r>
      <w:r>
        <w:t xml:space="preserve"> </w:t>
      </w:r>
      <w:r>
        <w:rPr>
          <w:rStyle w:val="Suchmarke"/>
        </w:rPr>
        <w:t>#372#</w:t>
      </w:r>
      <w:bookmarkEnd w:id="538"/>
    </w:p>
    <w:p>
      <w:r>
        <w:t>(1) Bannbruch begeht, wer Gegenstände entgegen einem Verbot einführt, ausführt oder durchführt.</w:t>
      </w:r>
    </w:p>
    <w:p>
      <w:r>
        <w:t xml:space="preserve">(2) Der Täter wird nach </w:t>
      </w:r>
      <w:hyperlink w:anchor="b533" w:history="1">
        <w:r>
          <w:rPr>
            <w:color w:val="0A3A8C"/>
            <w:u w:val="single"/>
          </w:rPr>
          <w:t xml:space="preserve">§ 370</w:t>
        </w:r>
      </w:hyperlink>
      <w:r>
        <w:t xml:space="preserve"> Absatz 1, 2 bestraft, wenn die Tat nicht in anderen Vorschriften als Zuwiderhandlung gegen ein Einfuhr-, Ausfuhr- oder Durchfuhrverbot mit Strafe oder mit Geldbuße bedroht ist.</w:t>
      </w:r>
    </w:p>
    <w:p>
      <w:pPr>
        <w:pStyle w:val="Heading3"/>
      </w:pPr>
      <w:bookmarkStart w:id="539" w:name="b536"/>
      <w:r>
        <w:t>§ 373 Gewerbsmäßiger, gewaltsamer und bandenmäßiger Schmuggel</w:t>
      </w:r>
      <w:r>
        <w:t xml:space="preserve"> </w:t>
      </w:r>
      <w:r>
        <w:rPr>
          <w:rStyle w:val="Suchmarke"/>
        </w:rPr>
        <w:t>#373#</w:t>
      </w:r>
      <w:bookmarkEnd w:id="539"/>
    </w:p>
    <w:p>
      <w:r>
        <w:t xml:space="preserve">(1) </w:t>
      </w:r>
      <w:r>
        <w:rPr>
          <w:rStyle w:val="Satznummer"/>
        </w:rPr>
        <w:t>1</w:t>
      </w:r>
      <w:r>
        <w:t xml:space="preserve">Wer gewerbsmäßig Einfuhr- oder Ausfuhrabgaben hinterzieht, wird mit Freiheitsstrafe von sechs Monaten bis zu zehn Jahren bestraft. </w:t>
      </w:r>
      <w:r>
        <w:rPr>
          <w:rStyle w:val="Satznummer"/>
        </w:rPr>
        <w:t>2</w:t>
      </w:r>
      <w:r>
        <w:t>In minder schweren Fällen ist die Strafe Freiheitsstrafe bis zu fünf Jahren oder Geldstrafe.</w:t>
      </w:r>
    </w:p>
    <w:p>
      <w:r>
        <w:t>(2) Ebenso wird bestraft, wer</w:t>
      </w:r>
    </w:p>
    <w:p>
      <w:pPr>
        <w:tabs>
          <w:tab w:pos="567" w:val="left"/>
        </w:tabs>
        <w:ind w:left="567" w:hanging="567"/>
      </w:pPr>
      <w:r>
        <w:t>1.</w:t>
      </w:r>
      <w:r>
        <w:tab/>
      </w:r>
      <w:r>
        <w:t>eine Hinterziehung von Einfuhr- oder Ausfuhrabgaben oder einen Bannbruch begeht, bei denen er oder ein anderer Beteiligter eine Schusswaffe bei sich führt,</w:t>
      </w:r>
    </w:p>
    <w:p>
      <w:pPr>
        <w:tabs>
          <w:tab w:pos="567" w:val="left"/>
        </w:tabs>
        <w:ind w:left="567" w:hanging="567"/>
      </w:pPr>
      <w:r>
        <w:t>2.</w:t>
      </w:r>
      <w:r>
        <w:tab/>
      </w:r>
      <w:r>
        <w:t>eine Hinterziehung von Einfuhr- oder Ausfuhrabgaben oder einen Bannbruch begeht, bei denen er oder ein anderer Beteiligter eine Waffe oder sonst ein Werkzeug oder Mittel bei sich führt, um den Widerstand eines anderen durch Gewalt oder Drohung mit Gewalt zu verhindern oder zu überwinden, oder</w:t>
      </w:r>
    </w:p>
    <w:p>
      <w:pPr>
        <w:tabs>
          <w:tab w:pos="567" w:val="left"/>
        </w:tabs>
        <w:ind w:left="567" w:hanging="567"/>
      </w:pPr>
      <w:r>
        <w:t>3.</w:t>
      </w:r>
      <w:r>
        <w:tab/>
      </w:r>
      <w:r>
        <w:t>als Mitglied einer Bande, die sich zur fortgesetzten Begehung der Hinterziehung von Einfuhr- oder Ausfuhrabgaben oder des Bannbruchs verbunden hat, eine solche Tat begeht.</w:t>
      </w:r>
    </w:p>
    <w:p>
      <w:r>
        <w:t>(3) Der Versuch ist strafbar.</w:t>
      </w:r>
    </w:p>
    <w:p>
      <w:r>
        <w:t xml:space="preserve">(4) </w:t>
      </w:r>
      <w:hyperlink w:anchor="b533" w:history="1">
        <w:r>
          <w:rPr>
            <w:color w:val="0A3A8C"/>
            <w:u w:val="single"/>
          </w:rPr>
          <w:t xml:space="preserve">§ 370</w:t>
        </w:r>
      </w:hyperlink>
      <w:r>
        <w:t xml:space="preserve"> Absatz 6 Satz 1 und Absatz 7 gilt entsprechend.</w:t>
      </w:r>
    </w:p>
    <w:p>
      <w:pPr>
        <w:pStyle w:val="Heading3"/>
      </w:pPr>
      <w:bookmarkStart w:id="540" w:name="b537"/>
      <w:r>
        <w:t>§ 374 Steuerhehlerei</w:t>
      </w:r>
      <w:r>
        <w:t xml:space="preserve"> </w:t>
      </w:r>
      <w:r>
        <w:rPr>
          <w:rStyle w:val="Suchmarke"/>
        </w:rPr>
        <w:t>#374#</w:t>
      </w:r>
      <w:bookmarkEnd w:id="540"/>
    </w:p>
    <w:p>
      <w:r>
        <w:t xml:space="preserve">(1) Wer Erzeugnisse oder Waren, hinsichtlich deren Verbrauchsteuern oder Einfuhr- und Ausfuhrabgaben nach Artikel 5 Nummer 20 und 21 des Zollkodex der Union hinterzogen oder Bannbruch nach </w:t>
      </w:r>
      <w:hyperlink w:anchor="b535" w:history="1">
        <w:r>
          <w:rPr>
            <w:color w:val="0A3A8C"/>
            <w:u w:val="single"/>
          </w:rPr>
          <w:t xml:space="preserve">§ 372</w:t>
        </w:r>
      </w:hyperlink>
      <w:r>
        <w:t xml:space="preserve"> Absatz 2, </w:t>
      </w:r>
      <w:hyperlink w:anchor="b536" w:history="1">
        <w:r>
          <w:rPr>
            <w:color w:val="0A3A8C"/>
            <w:u w:val="single"/>
          </w:rPr>
          <w:t xml:space="preserve">§ 373</w:t>
        </w:r>
      </w:hyperlink>
      <w:r>
        <w:t xml:space="preserve"> begangen worden ist, ankauft oder sonst sich oder einem Dritten verschafft, sie absetzt oder abzusetzen hilft, um sich oder einen Dritten zu bereichern, wird mit Freiheitsstrafe bis zu fünf Jahren oder mit Geldstrafe bestraft.</w:t>
      </w:r>
    </w:p>
    <w:p>
      <w:r>
        <w:t xml:space="preserve">(2) </w:t>
      </w:r>
      <w:r>
        <w:rPr>
          <w:rStyle w:val="Satznummer"/>
        </w:rPr>
        <w:t>1</w:t>
      </w:r>
      <w:r>
        <w:t xml:space="preserve">Handelt der Täter gewerbsmäßig oder als Mitglied einer Bande, die sich zur fortgesetzten Begehung von Straftaten nach Absatz 1 verbunden hat, so ist die Strafe Freiheitsstrafe von sechs Monaten bis zu zehn Jahren. </w:t>
      </w:r>
      <w:r>
        <w:rPr>
          <w:rStyle w:val="Satznummer"/>
        </w:rPr>
        <w:t>2</w:t>
      </w:r>
      <w:r>
        <w:t>In minder schweren Fällen ist die Strafe Freiheitsstrafe bis zu fünf Jahren oder Geldstrafe.</w:t>
      </w:r>
    </w:p>
    <w:p>
      <w:r>
        <w:t>(3) Der Versuch ist strafbar.</w:t>
      </w:r>
    </w:p>
    <w:p>
      <w:r>
        <w:t xml:space="preserve">(4) </w:t>
      </w:r>
      <w:hyperlink w:anchor="b533" w:history="1">
        <w:r>
          <w:rPr>
            <w:color w:val="0A3A8C"/>
            <w:u w:val="single"/>
          </w:rPr>
          <w:t xml:space="preserve">§ 370</w:t>
        </w:r>
      </w:hyperlink>
      <w:r>
        <w:t xml:space="preserve"> Absatz 6 und 7 gilt entsprechend.</w:t>
      </w:r>
    </w:p>
    <w:p>
      <w:pPr>
        <w:pStyle w:val="Heading3"/>
      </w:pPr>
      <w:bookmarkStart w:id="541" w:name="b538"/>
      <w:r>
        <w:t>§ 375 Nebenfolgen</w:t>
      </w:r>
      <w:r>
        <w:t xml:space="preserve"> </w:t>
      </w:r>
      <w:r>
        <w:rPr>
          <w:rStyle w:val="Suchmarke"/>
        </w:rPr>
        <w:t>#375#</w:t>
      </w:r>
      <w:bookmarkEnd w:id="541"/>
    </w:p>
    <w:p>
      <w:r>
        <w:t>(1) Neben einer Freiheitsstrafe von mindestens einem Jahr wegen</w:t>
      </w:r>
    </w:p>
    <w:p>
      <w:pPr>
        <w:tabs>
          <w:tab w:pos="567" w:val="left"/>
        </w:tabs>
        <w:ind w:left="567" w:hanging="567"/>
      </w:pPr>
      <w:r>
        <w:t>1.</w:t>
      </w:r>
      <w:r>
        <w:tab/>
      </w:r>
      <w:r>
        <w:t>Steuerhinterziehung,</w:t>
      </w:r>
    </w:p>
    <w:p>
      <w:pPr>
        <w:tabs>
          <w:tab w:pos="567" w:val="left"/>
        </w:tabs>
        <w:ind w:left="567" w:hanging="567"/>
      </w:pPr>
      <w:r>
        <w:t>2.</w:t>
      </w:r>
      <w:r>
        <w:tab/>
      </w:r>
      <w:r>
        <w:t xml:space="preserve">Bannbruchs nach </w:t>
      </w:r>
      <w:hyperlink w:anchor="b535" w:history="1">
        <w:r>
          <w:rPr>
            <w:color w:val="0A3A8C"/>
            <w:u w:val="single"/>
          </w:rPr>
          <w:t xml:space="preserve">§ 372</w:t>
        </w:r>
      </w:hyperlink>
      <w:r>
        <w:t xml:space="preserve"> Absatz 2, </w:t>
      </w:r>
      <w:hyperlink w:anchor="b536" w:history="1">
        <w:r>
          <w:rPr>
            <w:color w:val="0A3A8C"/>
            <w:u w:val="single"/>
          </w:rPr>
          <w:t xml:space="preserve">§ 373</w:t>
        </w:r>
      </w:hyperlink>
      <w:r>
        <w:t>,</w:t>
      </w:r>
    </w:p>
    <w:p>
      <w:pPr>
        <w:tabs>
          <w:tab w:pos="567" w:val="left"/>
        </w:tabs>
        <w:ind w:left="567" w:hanging="567"/>
      </w:pPr>
      <w:r>
        <w:t>3.</w:t>
      </w:r>
      <w:r>
        <w:tab/>
      </w:r>
      <w:r>
        <w:t>Steuerhehlerei oder</w:t>
      </w:r>
    </w:p>
    <w:p>
      <w:pPr>
        <w:tabs>
          <w:tab w:pos="567" w:val="left"/>
        </w:tabs>
        <w:ind w:left="567" w:hanging="567"/>
      </w:pPr>
      <w:r>
        <w:t>4.</w:t>
      </w:r>
      <w:r>
        <w:tab/>
      </w:r>
      <w:r>
        <w:t>Begünstigung einer Person, die eine Tat nach den Nummern 1 bis 3 begangen hat,</w:t>
      </w:r>
    </w:p>
    <w:p>
      <w:r>
        <w:t>kann das Gericht die Fähigkeit, öffentliche Ämter zu bekleiden, und die Fähigkeit, Rechte aus öffentlichen Wahlen zu erlangen, aberkennen (§ 45 Absatz 2 des Strafgesetzbuchs).</w:t>
      </w:r>
    </w:p>
    <w:p>
      <w:r>
        <w:t xml:space="preserve">(2) </w:t>
      </w:r>
      <w:r>
        <w:rPr>
          <w:rStyle w:val="Satznummer"/>
        </w:rPr>
        <w:t>1</w:t>
      </w:r>
      <w:r>
        <w:t xml:space="preserve">Ist eine Steuerhinterziehung, ein Bannbruch nach </w:t>
      </w:r>
      <w:hyperlink w:anchor="b535" w:history="1">
        <w:r>
          <w:rPr>
            <w:color w:val="0A3A8C"/>
            <w:u w:val="single"/>
          </w:rPr>
          <w:t xml:space="preserve">§ 372</w:t>
        </w:r>
      </w:hyperlink>
      <w:r>
        <w:t xml:space="preserve"> Absatz 2, </w:t>
      </w:r>
      <w:hyperlink w:anchor="b536" w:history="1">
        <w:r>
          <w:rPr>
            <w:color w:val="0A3A8C"/>
            <w:u w:val="single"/>
          </w:rPr>
          <w:t xml:space="preserve">§ 373</w:t>
        </w:r>
      </w:hyperlink>
      <w:r>
        <w:t xml:space="preserve"> oder eine Steuerhehlerei begangen worden, so können</w:t>
      </w:r>
    </w:p>
    <w:p>
      <w:pPr>
        <w:tabs>
          <w:tab w:pos="567" w:val="left"/>
        </w:tabs>
        <w:ind w:left="567" w:hanging="567"/>
      </w:pPr>
      <w:r>
        <w:t>1.</w:t>
      </w:r>
      <w:r>
        <w:tab/>
      </w:r>
      <w:r>
        <w:t>die Erzeugnisse, Waren und andere Sachen, auf die sich die Hinterziehung von Verbrauchsteuer oder Einfuhr- und Ausfuhrabgaben nach Artikel 5 Nummer 20 und 21 des Zollkodex der Union, der Bannbruch oder die Steuerhehlerei bezieht, und</w:t>
      </w:r>
    </w:p>
    <w:p>
      <w:pPr>
        <w:tabs>
          <w:tab w:pos="567" w:val="left"/>
        </w:tabs>
        <w:ind w:left="567" w:hanging="567"/>
      </w:pPr>
      <w:r>
        <w:t>2.</w:t>
      </w:r>
      <w:r>
        <w:tab/>
      </w:r>
      <w:r>
        <w:t>die Beförderungsmittel, die zur Tat benutzt worden sind,</w:t>
      </w:r>
    </w:p>
    <w:p>
      <w:r>
        <w:t xml:space="preserve">eingezogen werden. </w:t>
      </w:r>
      <w:r>
        <w:rPr>
          <w:rStyle w:val="Satznummer"/>
        </w:rPr>
        <w:t>2</w:t>
      </w:r>
      <w:r>
        <w:t>§ 74a des Strafgesetzbuchs ist anzuwenden.</w:t>
      </w:r>
    </w:p>
    <w:p>
      <w:pPr>
        <w:pStyle w:val="Heading3"/>
      </w:pPr>
      <w:bookmarkStart w:id="542" w:name="b539"/>
      <w:r>
        <w:t>§ 376 Verfolgungsverjährung</w:t>
      </w:r>
      <w:r>
        <w:t xml:space="preserve"> </w:t>
      </w:r>
      <w:r>
        <w:rPr>
          <w:rStyle w:val="Suchmarke"/>
        </w:rPr>
        <w:t>#376#</w:t>
      </w:r>
      <w:bookmarkEnd w:id="542"/>
    </w:p>
    <w:p>
      <w:r>
        <w:t xml:space="preserve">(1) In den in </w:t>
      </w:r>
      <w:hyperlink w:anchor="b533" w:history="1">
        <w:r>
          <w:rPr>
            <w:color w:val="0A3A8C"/>
            <w:u w:val="single"/>
          </w:rPr>
          <w:t xml:space="preserve">§ 370</w:t>
        </w:r>
      </w:hyperlink>
      <w:r>
        <w:t xml:space="preserve"> Absatz 3 Satz 2 Nummer 1 bis 6 genannten Fällen besonders schwerer Steuerhinterziehung beträgt die Verjährungsfrist 15 Jahre; § 78b Absatz 4 des Strafgesetzbuches gilt entsprechend.</w:t>
      </w:r>
    </w:p>
    <w:p>
      <w:r>
        <w:t>(2) Die Verjährung der Verfolgung einer Steuerstraftat wird auch dadurch unterbrochen, dass dem Beschuldigten die Einleitung des Bußgeldverfahrens bekannt gegeben oder diese Bekanntgabe angeordnet wird.</w:t>
      </w:r>
    </w:p>
    <w:p>
      <w:r>
        <w:t xml:space="preserve">(3) Abweichend von § 78c Absatz 3 Satz 2 des Strafgesetzbuches verjährt in den in </w:t>
      </w:r>
      <w:hyperlink w:anchor="b533" w:history="1">
        <w:r>
          <w:rPr>
            <w:color w:val="0A3A8C"/>
            <w:u w:val="single"/>
          </w:rPr>
          <w:t xml:space="preserve">§ 370</w:t>
        </w:r>
      </w:hyperlink>
      <w:r>
        <w:t xml:space="preserve"> Absatz 3 Satz 2 Nummer 1 bis 6 genannten Fällen besonders schwerer Steuerhinterziehung die Verfolgung spätestens, wenn seit dem in § 78a des Strafgesetzbuches bezeichneten Zeitpunkt das Zweieinhalbfache der gesetzlichen Verjährungsfrist verstrichen ist.</w:t>
      </w:r>
    </w:p>
    <w:p>
      <w:pPr>
        <w:pStyle w:val="Heading2"/>
      </w:pPr>
      <w:bookmarkStart w:id="543" w:name="b540"/>
      <w:r>
        <w:t>Zweiter Abschnitt Bußgeldvorschriften</w:t>
      </w:r>
      <w:bookmarkEnd w:id="543"/>
    </w:p>
    <w:p>
      <w:pPr>
        <w:pStyle w:val="Heading3"/>
      </w:pPr>
      <w:bookmarkStart w:id="544" w:name="b541"/>
      <w:r>
        <w:t>§ 377 Steuerordnungswidrigkeiten</w:t>
      </w:r>
      <w:r>
        <w:t xml:space="preserve"> </w:t>
      </w:r>
      <w:r>
        <w:rPr>
          <w:rStyle w:val="Suchmarke"/>
        </w:rPr>
        <w:t>#377#</w:t>
      </w:r>
      <w:bookmarkEnd w:id="544"/>
    </w:p>
    <w:p>
      <w:r>
        <w:t>(1) Steuerordnungswidrigkeiten (Zollordnungswidrigkeiten) sind Zuwiderhandlungen, die nach diesem Gesetz oder den Steuergesetzen mit Geldbuße geahndet werden können.</w:t>
      </w:r>
    </w:p>
    <w:p>
      <w:r>
        <w:t>(2) Für Steuerordnungswidrigkeiten gelten die Vorschriften des Ersten Teils des Gesetzes über Ordnungswidrigkeiten, soweit die Bußgeldvorschriften dieses Gesetzes oder der Steuergesetze nichts anderes bestimmen.</w:t>
      </w:r>
    </w:p>
    <w:p>
      <w:pPr>
        <w:pStyle w:val="Heading3"/>
      </w:pPr>
      <w:bookmarkStart w:id="545" w:name="b542"/>
      <w:r>
        <w:t>§ 378 Leichtfertige Steuerverkürzung</w:t>
      </w:r>
      <w:r>
        <w:t xml:space="preserve"> </w:t>
      </w:r>
      <w:r>
        <w:rPr>
          <w:rStyle w:val="Suchmarke"/>
        </w:rPr>
        <w:t>#378#</w:t>
      </w:r>
      <w:bookmarkEnd w:id="545"/>
    </w:p>
    <w:p>
      <w:r>
        <w:t xml:space="preserve">(1) </w:t>
      </w:r>
      <w:r>
        <w:rPr>
          <w:rStyle w:val="Satznummer"/>
        </w:rPr>
        <w:t>1</w:t>
      </w:r>
      <w:r>
        <w:t xml:space="preserve">Ordnungswidrig handelt, wer als Steuerpflichtiger oder bei Wahrnehmung der Angelegenheiten eines Steuerpflichtigen eine der in </w:t>
      </w:r>
      <w:hyperlink w:anchor="b533" w:history="1">
        <w:r>
          <w:rPr>
            <w:color w:val="0A3A8C"/>
            <w:u w:val="single"/>
          </w:rPr>
          <w:t xml:space="preserve">§ 370</w:t>
        </w:r>
      </w:hyperlink>
      <w:r>
        <w:t xml:space="preserve"> Absatz 1 bezeichneten Taten leichtfertig begeht. </w:t>
      </w:r>
      <w:r>
        <w:rPr>
          <w:rStyle w:val="Satznummer"/>
        </w:rPr>
        <w:t>2</w:t>
      </w:r>
      <w:hyperlink w:anchor="b533" w:history="1">
        <w:r>
          <w:rPr>
            <w:color w:val="0A3A8C"/>
            <w:u w:val="single"/>
          </w:rPr>
          <w:t xml:space="preserve">§ 370</w:t>
        </w:r>
      </w:hyperlink>
      <w:r>
        <w:t xml:space="preserve"> Absatz 4 bis 7 gilt entsprechend.</w:t>
      </w:r>
    </w:p>
    <w:p>
      <w:r>
        <w:t>(2) Die Ordnungswidrigkeit kann mit einer Geldbuße bis zu fünfzigtausend Euro geahndet werden.</w:t>
      </w:r>
    </w:p>
    <w:p>
      <w:r>
        <w:t xml:space="preserve">(3) </w:t>
      </w:r>
      <w:r>
        <w:rPr>
          <w:rStyle w:val="Satznummer"/>
        </w:rPr>
        <w:t>1</w:t>
      </w:r>
      <w:r>
        <w:t xml:space="preserve">Eine Geldbuße wird nicht festgesetzt, soweit der Täter gegenüber der Finanzbehörde die unrichtigen Angaben berichtigt, die unvollständigen Angaben ergänzt oder die unterlassenen Angaben nachholt, bevor ihm oder seinem Vertreter die Einleitung eines Straf- oder Bußgeldverfahrens wegen der Tat bekannt gegeben worden ist. </w:t>
      </w:r>
      <w:r>
        <w:rPr>
          <w:rStyle w:val="Satznummer"/>
        </w:rPr>
        <w:t>2</w:t>
      </w:r>
      <w:r>
        <w:t xml:space="preserve">Sind Steuerverkürzungen bereits eingetreten oder Steuervorteile erlangt, so wird eine Geldbuße nicht festgesetzt, wenn der Täter die aus der Tat zu seinen Gunsten verkürzten Steuern innerhalb der ihm bestimmten angemessenen Frist entrichtet. </w:t>
      </w:r>
      <w:r>
        <w:rPr>
          <w:rStyle w:val="Satznummer"/>
        </w:rPr>
        <w:t>3</w:t>
      </w:r>
      <w:hyperlink w:anchor="b534" w:history="1">
        <w:r>
          <w:rPr>
            <w:color w:val="0A3A8C"/>
            <w:u w:val="single"/>
          </w:rPr>
          <w:t xml:space="preserve">§ 371</w:t>
        </w:r>
      </w:hyperlink>
      <w:r>
        <w:t xml:space="preserve"> Absatz 4 gilt entsprechend.</w:t>
      </w:r>
    </w:p>
    <w:p>
      <w:pPr>
        <w:pStyle w:val="Heading3"/>
      </w:pPr>
      <w:bookmarkStart w:id="546" w:name="b543"/>
      <w:r>
        <w:t>§ 379 Steuergefährdung</w:t>
      </w:r>
      <w:r>
        <w:t xml:space="preserve"> </w:t>
      </w:r>
      <w:r>
        <w:rPr>
          <w:rStyle w:val="Suchmarke"/>
        </w:rPr>
        <w:t>#379#</w:t>
      </w:r>
      <w:bookmarkEnd w:id="546"/>
    </w:p>
    <w:p>
      <w:r>
        <w:t xml:space="preserve">(1) </w:t>
      </w:r>
      <w:r>
        <w:rPr>
          <w:rStyle w:val="Satznummer"/>
        </w:rPr>
        <w:t>1</w:t>
      </w:r>
      <w:r>
        <w:t>Ordnungswidrig handelt, wer vorsätzlich oder leichtfertig</w:t>
      </w:r>
    </w:p>
    <w:p>
      <w:pPr>
        <w:tabs>
          <w:tab w:pos="567" w:val="left"/>
        </w:tabs>
        <w:ind w:left="567" w:hanging="567"/>
      </w:pPr>
      <w:r>
        <w:t>1.</w:t>
      </w:r>
      <w:r>
        <w:tab/>
      </w:r>
      <w:r>
        <w:t>Belege ausstellt, die in tatsächlicher Hinsicht unrichtig sind,</w:t>
      </w:r>
    </w:p>
    <w:p>
      <w:pPr>
        <w:tabs>
          <w:tab w:pos="567" w:val="left"/>
        </w:tabs>
        <w:ind w:left="567" w:hanging="567"/>
      </w:pPr>
      <w:r>
        <w:t>2.</w:t>
      </w:r>
      <w:r>
        <w:tab/>
      </w:r>
      <w:r>
        <w:t>Belege gegen Entgelt in den Verkehr bringt,</w:t>
      </w:r>
    </w:p>
    <w:p>
      <w:pPr>
        <w:tabs>
          <w:tab w:pos="567" w:val="left"/>
        </w:tabs>
        <w:ind w:left="567" w:hanging="567"/>
      </w:pPr>
      <w:r>
        <w:t>3.</w:t>
      </w:r>
      <w:r>
        <w:tab/>
      </w:r>
      <w:r>
        <w:t>nach Gesetz buchungs- oder aufzeichnungspflichtige Geschäftsvorfälle oder Betriebsvorgänge nicht oder in tatsächlicher Hinsicht unrichtig aufzeichnet oder aufzeichnen lässt, verbucht oder verbuchen lässt,</w:t>
      </w:r>
    </w:p>
    <w:p>
      <w:pPr>
        <w:tabs>
          <w:tab w:pos="567" w:val="left"/>
        </w:tabs>
        <w:ind w:left="567" w:hanging="567"/>
      </w:pPr>
      <w:r>
        <w:t>4.</w:t>
      </w:r>
      <w:r>
        <w:tab/>
      </w:r>
      <w:r>
        <w:t xml:space="preserve">entgegen </w:t>
      </w:r>
      <w:hyperlink w:anchor="b247" w:history="1">
        <w:r>
          <w:rPr>
            <w:color w:val="0A3A8C"/>
            <w:u w:val="single"/>
          </w:rPr>
          <w:t xml:space="preserve">§ 146a</w:t>
        </w:r>
      </w:hyperlink>
      <w:r>
        <w:t xml:space="preserve"> Absatz 1 Satz 1 ein dort genanntes System nicht oder nicht richtig verwendet,</w:t>
      </w:r>
    </w:p>
    <w:p>
      <w:pPr>
        <w:tabs>
          <w:tab w:pos="567" w:val="left"/>
        </w:tabs>
        <w:ind w:left="567" w:hanging="567"/>
      </w:pPr>
      <w:r>
        <w:t>5.</w:t>
      </w:r>
      <w:r>
        <w:tab/>
      </w:r>
      <w:r>
        <w:t xml:space="preserve">entgegen </w:t>
      </w:r>
      <w:hyperlink w:anchor="b247" w:history="1">
        <w:r>
          <w:rPr>
            <w:color w:val="0A3A8C"/>
            <w:u w:val="single"/>
          </w:rPr>
          <w:t xml:space="preserve">§ 146a</w:t>
        </w:r>
      </w:hyperlink>
      <w:r>
        <w:t xml:space="preserve"> Absatz 1 Satz 2 ein dort genanntes System nicht oder nicht richtig schützt,</w:t>
      </w:r>
    </w:p>
    <w:p>
      <w:pPr>
        <w:tabs>
          <w:tab w:pos="567" w:val="left"/>
        </w:tabs>
        <w:ind w:left="567" w:hanging="567"/>
      </w:pPr>
      <w:r>
        <w:t>6.</w:t>
      </w:r>
      <w:r>
        <w:tab/>
      </w:r>
      <w:r>
        <w:t xml:space="preserve">entgegen </w:t>
      </w:r>
      <w:hyperlink w:anchor="b247" w:history="1">
        <w:r>
          <w:rPr>
            <w:color w:val="0A3A8C"/>
            <w:u w:val="single"/>
          </w:rPr>
          <w:t xml:space="preserve">§ 146a</w:t>
        </w:r>
      </w:hyperlink>
      <w:r>
        <w:t xml:space="preserve"> Absatz 1 Satz 5 gewerbsmäßig ein dort genanntes System oder eine dort genannte Software bewirbt oder in den Verkehr bringt,</w:t>
      </w:r>
    </w:p>
    <w:p>
      <w:pPr>
        <w:tabs>
          <w:tab w:pos="567" w:val="left"/>
        </w:tabs>
        <w:ind w:left="567" w:hanging="567"/>
      </w:pPr>
      <w:r>
        <w:t>7.</w:t>
      </w:r>
      <w:r>
        <w:tab/>
      </w:r>
      <w:r>
        <w:t xml:space="preserve">entgegen </w:t>
      </w:r>
      <w:hyperlink w:anchor="b249" w:history="1">
        <w:r>
          <w:rPr>
            <w:color w:val="0A3A8C"/>
            <w:u w:val="single"/>
          </w:rPr>
          <w:t xml:space="preserve">§ 147</w:t>
        </w:r>
      </w:hyperlink>
      <w:r>
        <w:t xml:space="preserve"> Absatz 1 Nummer 1 bis 3 oder 4 eine Unterlage nicht oder nicht für die vorgeschriebene Dauer aufbewahrt oder</w:t>
      </w:r>
    </w:p>
    <w:p>
      <w:pPr>
        <w:tabs>
          <w:tab w:pos="567" w:val="left"/>
        </w:tabs>
        <w:ind w:left="567" w:hanging="567"/>
      </w:pPr>
      <w:r>
        <w:t>8.</w:t>
      </w:r>
      <w:r>
        <w:tab/>
      </w:r>
      <w:r>
        <w:t xml:space="preserve">entgegen </w:t>
      </w:r>
      <w:hyperlink w:anchor="b250" w:history="1">
        <w:r>
          <w:rPr>
            <w:color w:val="0A3A8C"/>
            <w:u w:val="single"/>
          </w:rPr>
          <w:t xml:space="preserve">§ 147a</w:t>
        </w:r>
      </w:hyperlink>
      <w:r>
        <w:t xml:space="preserve"> Absatz 1 Satz 1 oder Absatz 2 Satz 1 eine Aufzeichnung oder eine Unterlage nicht oder nicht mindestens sechs Jahre aufbewahrt</w:t>
      </w:r>
    </w:p>
    <w:p>
      <w:r>
        <w:t xml:space="preserve">und dadurch ermöglicht, Steuern zu verkürzen oder nicht gerechtfertigte Steuervorteile zu erlangen. </w:t>
      </w:r>
      <w:r>
        <w:rPr>
          <w:rStyle w:val="Satznummer"/>
        </w:rPr>
        <w:t>2</w:t>
      </w:r>
      <w:r>
        <w:t xml:space="preserve">Satz 1 Nummer 1 gilt auch dann, wenn Einfuhr- und Ausfuhrabgaben verkürzt werden können, die von einem anderen Mitgliedstaat der Europäischen Union verwaltet werden oder die einem Staat zustehen, der für Waren aus der Europäischen Union auf Grund eines Assoziations- oder Präferenzabkommens eine Vorzugsbehandlung gewährt; </w:t>
      </w:r>
      <w:hyperlink w:anchor="b533" w:history="1">
        <w:r>
          <w:rPr>
            <w:color w:val="0A3A8C"/>
            <w:u w:val="single"/>
          </w:rPr>
          <w:t xml:space="preserve">§ 370</w:t>
        </w:r>
      </w:hyperlink>
      <w:r>
        <w:t xml:space="preserve"> Absatz 7 gilt entsprechend. </w:t>
      </w:r>
      <w:r>
        <w:rPr>
          <w:rStyle w:val="Satznummer"/>
        </w:rPr>
        <w:t>3</w:t>
      </w:r>
      <w:r>
        <w:t>Das Gleiche gilt, wenn sich die Tat auf Umsatzsteuern bezieht, die von einem anderen Mitgliedstaat der Europäischen Union verwaltet werden.</w:t>
      </w:r>
    </w:p>
    <w:p>
      <w:r>
        <w:t>(2) Ordnungswidrig handelt, wer vorsätzlich oder leichtfertig</w:t>
      </w:r>
    </w:p>
    <w:p>
      <w:pPr>
        <w:tabs>
          <w:tab w:pos="567" w:val="left"/>
        </w:tabs>
        <w:ind w:left="567" w:hanging="567"/>
      </w:pPr>
      <w:r>
        <w:t>1.</w:t>
      </w:r>
      <w:r>
        <w:tab/>
      </w:r>
      <w:r>
        <w:t xml:space="preserve">der Mitteilungspflicht nach </w:t>
      </w:r>
      <w:hyperlink w:anchor="b219" w:history="1">
        <w:r>
          <w:rPr>
            <w:color w:val="0A3A8C"/>
            <w:u w:val="single"/>
          </w:rPr>
          <w:t xml:space="preserve">§ 138</w:t>
        </w:r>
      </w:hyperlink>
      <w:r>
        <w:t xml:space="preserve"> Absatz 2 Satz 1 nicht, nicht vollständig oder nicht rechtzeitig nachkommt,</w:t>
      </w:r>
    </w:p>
    <w:p>
      <w:pPr>
        <w:tabs>
          <w:tab w:pos="567" w:val="left"/>
        </w:tabs>
        <w:ind w:left="567" w:hanging="567"/>
      </w:pPr>
      <w:r>
        <w:t>1a.</w:t>
      </w:r>
      <w:r>
        <w:tab/>
      </w:r>
      <w:r>
        <w:t xml:space="preserve">entgegen </w:t>
      </w:r>
      <w:hyperlink w:anchor="b244" w:history="1">
        <w:r>
          <w:rPr>
            <w:color w:val="0A3A8C"/>
            <w:u w:val="single"/>
          </w:rPr>
          <w:t xml:space="preserve">§ 144</w:t>
        </w:r>
      </w:hyperlink>
      <w:r>
        <w:t xml:space="preserve"> Absatz 1 oder Absatz 2 Satz 1, jeweils auch in Verbindung mit Absatz 5, eine Aufzeichnung nicht, nicht richtig oder nicht vollständig erstellt,</w:t>
      </w:r>
    </w:p>
    <w:p>
      <w:pPr>
        <w:tabs>
          <w:tab w:pos="567" w:val="left"/>
        </w:tabs>
        <w:ind w:left="567" w:hanging="567"/>
      </w:pPr>
      <w:r>
        <w:t>1b.</w:t>
      </w:r>
      <w:r>
        <w:tab/>
      </w:r>
      <w:r>
        <w:t>(weggefallen)</w:t>
      </w:r>
    </w:p>
    <w:p>
      <w:pPr>
        <w:tabs>
          <w:tab w:pos="567" w:val="left"/>
        </w:tabs>
        <w:ind w:left="567" w:hanging="567"/>
      </w:pPr>
      <w:r>
        <w:t>1c.</w:t>
      </w:r>
      <w:r>
        <w:tab/>
      </w:r>
      <w:r>
        <w:t xml:space="preserve">entgegen </w:t>
      </w:r>
      <w:hyperlink w:anchor="b220" w:history="1">
        <w:r>
          <w:rPr>
            <w:color w:val="0A3A8C"/>
            <w:u w:val="single"/>
          </w:rPr>
          <w:t xml:space="preserve">§ 138a</w:t>
        </w:r>
      </w:hyperlink>
      <w:r>
        <w:t xml:space="preserve"> Absatz 1, 3 oder 4 eine Übermittlung des länderbezogenen Berichts oder entgegen </w:t>
      </w:r>
      <w:hyperlink w:anchor="b220" w:history="1">
        <w:r>
          <w:rPr>
            <w:color w:val="0A3A8C"/>
            <w:u w:val="single"/>
          </w:rPr>
          <w:t xml:space="preserve">§ 138a</w:t>
        </w:r>
      </w:hyperlink>
      <w:r>
        <w:t xml:space="preserve"> Absatz 4 Satz 3 eine Mitteilung nicht, nicht vollständig oder nicht rechtzeitig (</w:t>
      </w:r>
      <w:hyperlink w:anchor="b220" w:history="1">
        <w:r>
          <w:rPr>
            <w:color w:val="0A3A8C"/>
            <w:u w:val="single"/>
          </w:rPr>
          <w:t xml:space="preserve">§ 138a</w:t>
        </w:r>
      </w:hyperlink>
      <w:r>
        <w:t xml:space="preserve"> Absatz 6) macht,</w:t>
      </w:r>
    </w:p>
    <w:p>
      <w:pPr>
        <w:tabs>
          <w:tab w:pos="567" w:val="left"/>
        </w:tabs>
        <w:ind w:left="567" w:hanging="567"/>
      </w:pPr>
      <w:r>
        <w:t>1d.</w:t>
      </w:r>
      <w:r>
        <w:tab/>
      </w:r>
      <w:r>
        <w:t xml:space="preserve">der Mitteilungspflicht nach </w:t>
      </w:r>
      <w:hyperlink w:anchor="b221" w:history="1">
        <w:r>
          <w:rPr>
            <w:color w:val="0A3A8C"/>
            <w:u w:val="single"/>
          </w:rPr>
          <w:t xml:space="preserve">§ 138b</w:t>
        </w:r>
      </w:hyperlink>
      <w:r>
        <w:t xml:space="preserve"> Absatz 1 bis 3 nicht, nicht vollständig oder nicht rechtzeitig nachkommt,</w:t>
      </w:r>
    </w:p>
    <w:p>
      <w:pPr>
        <w:tabs>
          <w:tab w:pos="567" w:val="left"/>
        </w:tabs>
        <w:ind w:left="567" w:hanging="567"/>
      </w:pPr>
      <w:r>
        <w:t>1e.</w:t>
      </w:r>
      <w:r>
        <w:tab/>
      </w:r>
      <w:r>
        <w:t xml:space="preserve">entgegen </w:t>
      </w:r>
      <w:hyperlink w:anchor="b223" w:history="1">
        <w:r>
          <w:rPr>
            <w:color w:val="0A3A8C"/>
            <w:u w:val="single"/>
          </w:rPr>
          <w:t xml:space="preserve">§ 138d</w:t>
        </w:r>
      </w:hyperlink>
      <w:r>
        <w:t xml:space="preserve"> Absatz 1 in Verbindung mit </w:t>
      </w:r>
      <w:hyperlink w:anchor="b225" w:history="1">
        <w:r>
          <w:rPr>
            <w:color w:val="0A3A8C"/>
            <w:u w:val="single"/>
          </w:rPr>
          <w:t xml:space="preserve">§ 138f</w:t>
        </w:r>
      </w:hyperlink>
      <w:r>
        <w:t xml:space="preserve"> Absatz 1, 2, 3 Satz 1 Nummer 1 bis 7 sowie 9 und 10 oder </w:t>
      </w:r>
      <w:hyperlink w:anchor="b227" w:history="1">
        <w:r>
          <w:rPr>
            <w:color w:val="0A3A8C"/>
            <w:u w:val="single"/>
          </w:rPr>
          <w:t xml:space="preserve">§ 138h</w:t>
        </w:r>
      </w:hyperlink>
      <w:r>
        <w:t xml:space="preserve"> Absatz 2, jeweils auch in Verbindung mit </w:t>
      </w:r>
      <w:hyperlink w:anchor="b225" w:history="1">
        <w:r>
          <w:rPr>
            <w:color w:val="0A3A8C"/>
            <w:u w:val="single"/>
          </w:rPr>
          <w:t xml:space="preserve">§ 138f</w:t>
        </w:r>
      </w:hyperlink>
      <w:r>
        <w:t xml:space="preserve"> Absatz 6 Satz 1 und 2 oder </w:t>
      </w:r>
      <w:hyperlink w:anchor="b226" w:history="1">
        <w:r>
          <w:rPr>
            <w:color w:val="0A3A8C"/>
            <w:u w:val="single"/>
          </w:rPr>
          <w:t xml:space="preserve">§ 138g</w:t>
        </w:r>
      </w:hyperlink>
      <w:r>
        <w:t xml:space="preserve"> Absatz 1 Satz 1, eine Mitteilung über eine grenzüberschreitende Steuergestaltung nicht, nicht richtig oder nicht rechtzeitig macht oder zur Verfügung stehende Angaben nicht vollständig mitteilt,</w:t>
      </w:r>
    </w:p>
    <w:p>
      <w:pPr>
        <w:tabs>
          <w:tab w:pos="567" w:val="left"/>
        </w:tabs>
        <w:ind w:left="567" w:hanging="567"/>
      </w:pPr>
      <w:r>
        <w:t>1f.</w:t>
      </w:r>
      <w:r>
        <w:tab/>
      </w:r>
      <w:r>
        <w:t>(weggefallen)</w:t>
      </w:r>
    </w:p>
    <w:p>
      <w:pPr>
        <w:tabs>
          <w:tab w:pos="567" w:val="left"/>
        </w:tabs>
        <w:ind w:left="567" w:hanging="567"/>
      </w:pPr>
      <w:r>
        <w:t>1g.</w:t>
      </w:r>
      <w:r>
        <w:tab/>
      </w:r>
      <w:r>
        <w:t>entgegen § 138k Satz 1 in der Steuererklärung die Angabe der von ihm verwirklichten grenzüberschreitenden Steuergestaltung nicht, nicht richtig, nicht vollständig oder nicht rechtzeitig macht,</w:t>
      </w:r>
    </w:p>
    <w:p>
      <w:pPr>
        <w:tabs>
          <w:tab w:pos="567" w:val="left"/>
        </w:tabs>
        <w:ind w:left="567" w:hanging="567"/>
      </w:pPr>
      <w:r>
        <w:t>1h.</w:t>
      </w:r>
      <w:r>
        <w:tab/>
      </w:r>
      <w:r>
        <w:t xml:space="preserve">einer vollziehbaren Anordnung nach </w:t>
      </w:r>
      <w:hyperlink w:anchor="b249" w:history="1">
        <w:r>
          <w:rPr>
            <w:color w:val="0A3A8C"/>
            <w:u w:val="single"/>
          </w:rPr>
          <w:t xml:space="preserve">§ 147</w:t>
        </w:r>
      </w:hyperlink>
      <w:r>
        <w:t xml:space="preserve"> Absatz 6 Satz 1 zuwiderhandelt,</w:t>
      </w:r>
    </w:p>
    <w:p>
      <w:pPr>
        <w:tabs>
          <w:tab w:pos="567" w:val="left"/>
        </w:tabs>
        <w:ind w:left="567" w:hanging="567"/>
      </w:pPr>
      <w:r>
        <w:t>1i.</w:t>
      </w:r>
      <w:r>
        <w:tab/>
      </w:r>
      <w:r>
        <w:t>entgegen § 147 Absatz 6 Satz 2 Nummer 1 Einsicht nicht, nicht richtig oder nicht vollständig gewährt oder</w:t>
      </w:r>
    </w:p>
    <w:p>
      <w:pPr>
        <w:tabs>
          <w:tab w:pos="567" w:val="left"/>
        </w:tabs>
        <w:ind w:left="567" w:hanging="567"/>
      </w:pPr>
      <w:r>
        <w:t>2.</w:t>
      </w:r>
      <w:r>
        <w:tab/>
      </w:r>
      <w:r>
        <w:t xml:space="preserve">die Pflichten nach </w:t>
      </w:r>
      <w:hyperlink w:anchor="b260" w:history="1">
        <w:r>
          <w:rPr>
            <w:color w:val="0A3A8C"/>
            <w:u w:val="single"/>
          </w:rPr>
          <w:t xml:space="preserve">§ 154</w:t>
        </w:r>
      </w:hyperlink>
      <w:r>
        <w:t xml:space="preserve"> Absatz 1 bis 2c verletzt.</w:t>
      </w:r>
    </w:p>
    <w:p>
      <w:r>
        <w:t xml:space="preserve">(3) Ordnungswidrig handelt, wer vorsätzlich oder fahrlässig einer Auflage nach </w:t>
      </w:r>
      <w:hyperlink w:anchor="b198" w:history="1">
        <w:r>
          <w:rPr>
            <w:color w:val="0A3A8C"/>
            <w:u w:val="single"/>
          </w:rPr>
          <w:t xml:space="preserve">§ 120</w:t>
        </w:r>
      </w:hyperlink>
      <w:r>
        <w:t xml:space="preserve"> Absatz 2 Nummer 4 zuwiderhandelt, die einem Verwaltungsakt für Zwecke der besonderen Steueraufsicht (</w:t>
      </w:r>
      <w:hyperlink w:anchor="b338" w:history="1">
        <w:r>
          <w:rPr>
            <w:color w:val="0A3A8C"/>
            <w:u w:val="single"/>
          </w:rPr>
          <w:t xml:space="preserve">§§ 209</w:t>
        </w:r>
      </w:hyperlink>
      <w:r>
        <w:t xml:space="preserve"> bis </w:t>
      </w:r>
      <w:hyperlink w:anchor="b346" w:history="1">
        <w:r>
          <w:rPr>
            <w:color w:val="0A3A8C"/>
            <w:u w:val="single"/>
          </w:rPr>
          <w:t xml:space="preserve">217</w:t>
        </w:r>
      </w:hyperlink>
      <w:r>
        <w:t>) beigefügt worden ist.</w:t>
      </w:r>
    </w:p>
    <w:p>
      <w:r>
        <w:t xml:space="preserve">(4) Die Ordnungswidrigkeit nach Absatz 1 Satz 1 Nummer 1, 2 und 8, Absatz 2 Nummer 1a und 2 sowie Absatz 3 kann mit einer Geldbuße bis zu 5 000 Euro geahndet werden, wenn die Handlung nicht nach </w:t>
      </w:r>
      <w:hyperlink w:anchor="b542" w:history="1">
        <w:r>
          <w:rPr>
            <w:color w:val="0A3A8C"/>
            <w:u w:val="single"/>
          </w:rPr>
          <w:t xml:space="preserve">§ 378</w:t>
        </w:r>
      </w:hyperlink>
      <w:r>
        <w:t xml:space="preserve"> geahndet werden kann.</w:t>
      </w:r>
    </w:p>
    <w:p>
      <w:r>
        <w:t xml:space="preserve">(5) Die Ordnungswidrigkeit nach Absatz 2 Nummer 1c kann mit einer Geldbuße bis zu 10 000 Euro geahndet werden, wenn die Handlung nicht nach </w:t>
      </w:r>
      <w:hyperlink w:anchor="b542" w:history="1">
        <w:r>
          <w:rPr>
            <w:color w:val="0A3A8C"/>
            <w:u w:val="single"/>
          </w:rPr>
          <w:t xml:space="preserve">§ 378</w:t>
        </w:r>
      </w:hyperlink>
      <w:r>
        <w:t xml:space="preserve"> geahndet werden kann.</w:t>
      </w:r>
    </w:p>
    <w:p>
      <w:r>
        <w:t xml:space="preserve">(6) Die Ordnungswidrigkeit nach Absatz 1 Satz 1 Nummer 3 bis 7 und Absatz 2 Nummer 1h und 1i kann mit einer Geldbuße bis zu 25 000 Euro geahndet werden, wenn die Handlung nicht nach </w:t>
      </w:r>
      <w:hyperlink w:anchor="b542" w:history="1">
        <w:r>
          <w:rPr>
            <w:color w:val="0A3A8C"/>
            <w:u w:val="single"/>
          </w:rPr>
          <w:t xml:space="preserve">§ 378</w:t>
        </w:r>
      </w:hyperlink>
      <w:r>
        <w:t xml:space="preserve"> geahndet werden kann.</w:t>
      </w:r>
    </w:p>
    <w:p>
      <w:r>
        <w:t xml:space="preserve">(7) Die Ordnungswidrigkeit nach Absatz 2 Nummer 1, 1d, 1e und 1g kann mit einer Geldbuße bis zu 25 000 Euro geahndet werden, wenn die Handlung nicht nach </w:t>
      </w:r>
      <w:hyperlink w:anchor="b542" w:history="1">
        <w:r>
          <w:rPr>
            <w:color w:val="0A3A8C"/>
            <w:u w:val="single"/>
          </w:rPr>
          <w:t xml:space="preserve">§ 378</w:t>
        </w:r>
      </w:hyperlink>
      <w:r>
        <w:t xml:space="preserve"> geahndet werden kann.</w:t>
      </w:r>
    </w:p>
    <w:p>
      <w:r>
        <w:t>(8) (weggefallen)</w:t>
      </w:r>
    </w:p>
    <w:p>
      <w:pPr>
        <w:pStyle w:val="Heading3"/>
      </w:pPr>
      <w:bookmarkStart w:id="547" w:name="b544"/>
      <w:r>
        <w:t>§ 380 Gefährdung der Abzugsteuern</w:t>
      </w:r>
      <w:r>
        <w:t xml:space="preserve"> </w:t>
      </w:r>
      <w:r>
        <w:rPr>
          <w:rStyle w:val="Suchmarke"/>
        </w:rPr>
        <w:t>#380#</w:t>
      </w:r>
      <w:bookmarkEnd w:id="547"/>
    </w:p>
    <w:p>
      <w:r>
        <w:t>(1) Ordnungswidrig handelt, wer vorsätzlich oder leichtfertig seiner Verpflichtung, Steuerabzugsbeträge einzubehalten und abzuführen, nicht, nicht vollständig oder nicht rechtzeitig nachkommt.</w:t>
      </w:r>
    </w:p>
    <w:p>
      <w:r>
        <w:t xml:space="preserve">(2) Die Ordnungswidrigkeit kann mit einer Geldbuße bis zu fünfundzwanzigtausend Euro geahndet werden, wenn die Handlung nicht nach </w:t>
      </w:r>
      <w:hyperlink w:anchor="b542" w:history="1">
        <w:r>
          <w:rPr>
            <w:color w:val="0A3A8C"/>
            <w:u w:val="single"/>
          </w:rPr>
          <w:t xml:space="preserve">§ 378</w:t>
        </w:r>
      </w:hyperlink>
      <w:r>
        <w:t xml:space="preserve"> geahndet werden kann.</w:t>
      </w:r>
    </w:p>
    <w:p>
      <w:pPr>
        <w:pStyle w:val="Heading3"/>
      </w:pPr>
      <w:bookmarkStart w:id="548" w:name="b545"/>
      <w:r>
        <w:t>§ 381 Verbrauchsteuergefährdung</w:t>
      </w:r>
      <w:r>
        <w:t xml:space="preserve"> </w:t>
      </w:r>
      <w:r>
        <w:rPr>
          <w:rStyle w:val="Suchmarke"/>
        </w:rPr>
        <w:t>#381#</w:t>
      </w:r>
      <w:bookmarkEnd w:id="548"/>
    </w:p>
    <w:p>
      <w:r>
        <w:t>(1) Ordnungswidrig handelt, wer vorsätzlich oder leichtfertig Vorschriften der Verbrauchsteuergesetze oder der dazu erlassenen Rechtsverordnungen</w:t>
      </w:r>
    </w:p>
    <w:p>
      <w:pPr>
        <w:tabs>
          <w:tab w:pos="567" w:val="left"/>
        </w:tabs>
        <w:ind w:left="567" w:hanging="567"/>
      </w:pPr>
      <w:r>
        <w:t>1.</w:t>
      </w:r>
      <w:r>
        <w:tab/>
      </w:r>
      <w:r>
        <w:t>über die zur Vorbereitung, Sicherung oder Nachprüfung der Besteuerung auferlegten Pflichten,</w:t>
      </w:r>
    </w:p>
    <w:p>
      <w:pPr>
        <w:tabs>
          <w:tab w:pos="567" w:val="left"/>
        </w:tabs>
        <w:ind w:left="567" w:hanging="567"/>
      </w:pPr>
      <w:r>
        <w:t>2.</w:t>
      </w:r>
      <w:r>
        <w:tab/>
      </w:r>
      <w:r>
        <w:t>über Verpackung und Kennzeichnung verbrauchsteuerpflichtiger Erzeugnisse oder Waren, die solche Erzeugnisse enthalten, oder über Verkehrs- oder Verwendungsbeschränkungen für solche Erzeugnisse oder Waren oder</w:t>
      </w:r>
    </w:p>
    <w:p>
      <w:pPr>
        <w:tabs>
          <w:tab w:pos="567" w:val="left"/>
        </w:tabs>
        <w:ind w:left="567" w:hanging="567"/>
      </w:pPr>
      <w:r>
        <w:t>3.</w:t>
      </w:r>
      <w:r>
        <w:tab/>
      </w:r>
      <w:r>
        <w:t>über den Verbrauch unversteuerter Waren in den Freihäfen</w:t>
      </w:r>
    </w:p>
    <w:p>
      <w:r>
        <w:t>zuwiderhandelt, soweit die Verbrauchsteuergesetze oder die dazu erlassenen Rechtsverordnungen für einen bestimmten Tatbestand auf diese Bußgeldvorschrift verweisen.</w:t>
      </w:r>
    </w:p>
    <w:p>
      <w:r>
        <w:t xml:space="preserve">(2) Die Ordnungswidrigkeit kann mit einer Geldbuße bis zu fünftausend Euro geahndet werden, wenn die Handlung nicht nach </w:t>
      </w:r>
      <w:hyperlink w:anchor="b542" w:history="1">
        <w:r>
          <w:rPr>
            <w:color w:val="0A3A8C"/>
            <w:u w:val="single"/>
          </w:rPr>
          <w:t xml:space="preserve">§ 378</w:t>
        </w:r>
      </w:hyperlink>
      <w:r>
        <w:t xml:space="preserve"> geahndet werden kann.</w:t>
      </w:r>
    </w:p>
    <w:p>
      <w:pPr>
        <w:pStyle w:val="Heading3"/>
      </w:pPr>
      <w:bookmarkStart w:id="549" w:name="b546"/>
      <w:r>
        <w:t>§ 382 Gefährdung der Einfuhr- und Ausfuhrabgaben</w:t>
      </w:r>
      <w:r>
        <w:t xml:space="preserve"> </w:t>
      </w:r>
      <w:r>
        <w:rPr>
          <w:rStyle w:val="Suchmarke"/>
        </w:rPr>
        <w:t>#382#</w:t>
      </w:r>
      <w:bookmarkEnd w:id="549"/>
    </w:p>
    <w:p>
      <w:r>
        <w:t>(1) Ordnungswidrig handelt, wer als Pflichtiger oder bei der Wahrnehmung der Angelegenheiten eines Pflichtigen vorsätzlich oder fahrlässig Zollvorschriften, den dazu erlassenen Rechtsverordnungen oder den Verordnungen des Rates der Europäischen Union oder der Europäischen Kommission zuwiderhandelt, die</w:t>
      </w:r>
    </w:p>
    <w:p>
      <w:pPr>
        <w:tabs>
          <w:tab w:pos="567" w:val="left"/>
        </w:tabs>
        <w:ind w:left="567" w:hanging="567"/>
      </w:pPr>
      <w:r>
        <w:t>1.</w:t>
      </w:r>
      <w:r>
        <w:tab/>
      </w:r>
      <w:r>
        <w:t>für die zollamtliche Erfassung des Warenverkehrs über die Grenze des Zollgebiets der Europäischen Union sowie über die Freizonengrenzen,</w:t>
      </w:r>
    </w:p>
    <w:p>
      <w:pPr>
        <w:tabs>
          <w:tab w:pos="567" w:val="left"/>
        </w:tabs>
        <w:ind w:left="567" w:hanging="567"/>
      </w:pPr>
      <w:r>
        <w:t>2.</w:t>
      </w:r>
      <w:r>
        <w:tab/>
      </w:r>
      <w:r>
        <w:t>für die Überführung von Waren in ein Zollverfahren und dessen Durchführung oder für die Erlangung einer sonstigen zollrechtlichen Bestimmung von Waren,</w:t>
      </w:r>
    </w:p>
    <w:p>
      <w:pPr>
        <w:tabs>
          <w:tab w:pos="567" w:val="left"/>
        </w:tabs>
        <w:ind w:left="567" w:hanging="567"/>
      </w:pPr>
      <w:r>
        <w:t>3.</w:t>
      </w:r>
      <w:r>
        <w:tab/>
      </w:r>
      <w:r>
        <w:t>für die Freizonen, den grenznahen Raum sowie die darüber hinaus der Grenzaufsicht unterworfenen Gebiete</w:t>
      </w:r>
    </w:p>
    <w:p>
      <w:r>
        <w:t>gelten, soweit die Zollvorschriften, die dazu oder die auf Grund von Absatz 4 erlassenen Rechtsverordnungen für einen bestimmten Tatbestand auf diese Bußgeldvorschrift verweisen.</w:t>
      </w:r>
    </w:p>
    <w:p>
      <w:r>
        <w:t>(2) Absatz 1 ist auch anzuwenden, soweit die Zollvorschriften und die dazu erlassenen Rechtsverordnungen für Verbrauchsteuern sinngemäß gelten.</w:t>
      </w:r>
    </w:p>
    <w:p>
      <w:r>
        <w:t xml:space="preserve">(3) Die Ordnungswidrigkeit kann mit einer Geldbuße bis zu fünftausend Euro geahndet werden, wenn die Handlung nicht nach </w:t>
      </w:r>
      <w:hyperlink w:anchor="b542" w:history="1">
        <w:r>
          <w:rPr>
            <w:color w:val="0A3A8C"/>
            <w:u w:val="single"/>
          </w:rPr>
          <w:t xml:space="preserve">§ 378</w:t>
        </w:r>
      </w:hyperlink>
      <w:r>
        <w:t xml:space="preserve"> geahndet werden kann.</w:t>
      </w:r>
    </w:p>
    <w:p>
      <w:r>
        <w:t>(4) Das Bundesministerium der Finanzen kann durch Rechtsverordnungen die Tatbestände der Verordnungen des Rates der Europäischen Union oder der Europäischen Kommission, die nach den Absätzen 1 bis 3 als Ordnungswidrigkeiten mit Geldbuße geahndet werden können, bezeichnen, soweit dies zur Durchführung dieser Rechtsvorschriften erforderlich ist und die Tatbestände Pflichten zur Gestellung, Vorführung, Lagerung oder Behandlung von Waren, zur Abgabe von Erklärungen oder Anzeigen, zur Aufnahme von Niederschriften sowie zur Ausfüllung oder Vorlage von Zolldokumenten oder zur Aufnahme von Vermerken in solchen Dokumenten betreffen.</w:t>
      </w:r>
    </w:p>
    <w:p>
      <w:pPr>
        <w:pStyle w:val="Heading3"/>
      </w:pPr>
      <w:bookmarkStart w:id="550" w:name="b547"/>
      <w:r>
        <w:t>§ 383 Unzulässiger Erwerb von Steuererstattungs- und Vergütungsansprüchen</w:t>
      </w:r>
      <w:r>
        <w:t xml:space="preserve"> </w:t>
      </w:r>
      <w:r>
        <w:rPr>
          <w:rStyle w:val="Suchmarke"/>
        </w:rPr>
        <w:t>#383#</w:t>
      </w:r>
      <w:bookmarkEnd w:id="550"/>
    </w:p>
    <w:p>
      <w:r>
        <w:t>(1) Ordnungswidrig handelt, wer entgegen § 46 Absatz 4 Satz 1 Erstattungs- oder Vergütungsansprüche erwirbt.</w:t>
      </w:r>
    </w:p>
    <w:p>
      <w:r>
        <w:t>(2) Die Ordnungswidrigkeit kann mit einer Geldbuße bis zu fünfzigtausend Euro geahndet werden.</w:t>
      </w:r>
    </w:p>
    <w:p>
      <w:pPr>
        <w:pStyle w:val="Heading3"/>
      </w:pPr>
      <w:bookmarkStart w:id="551" w:name="b548"/>
      <w:r>
        <w:t>§ 383a Verstöße gegen innerstaatlich anwendbare völkerrechtliche Vereinbarungen zur Förderung der Steuerehrlichkeit</w:t>
      </w:r>
      <w:r>
        <w:t xml:space="preserve"> </w:t>
      </w:r>
      <w:r>
        <w:rPr>
          <w:rStyle w:val="Suchmarke"/>
        </w:rPr>
        <w:t>#383a#</w:t>
      </w:r>
      <w:bookmarkEnd w:id="551"/>
    </w:p>
    <w:p>
      <w:r>
        <w:t xml:space="preserve">(1) Ordnungswidrig handelt, wer vorsätzlich oder leichtfertig einer Rechtsverordnung nach </w:t>
      </w:r>
      <w:hyperlink w:anchor="b183" w:history="1">
        <w:r>
          <w:rPr>
            <w:color w:val="0A3A8C"/>
            <w:u w:val="single"/>
          </w:rPr>
          <w:t xml:space="preserve">§ 117a</w:t>
        </w:r>
      </w:hyperlink>
      <w:r>
        <w:t xml:space="preserve"> Absatz 1 Satz 1 Nummer 1 oder 2 oder einer vollziehbaren Anordnung auf Grund einer solchen Rechtsverordnung zuwiderhandelt, soweit die Rechtsverordnung für einen bestimmten Tatbestand auf diese Bußgeldvorschrift verweist.</w:t>
      </w:r>
    </w:p>
    <w:p>
      <w:r>
        <w:t>(2) Die Ordnungswidrigkeit kann mit einer Geldbuße bis zu fünfzigtausend Euro geahndet werden.</w:t>
      </w:r>
    </w:p>
    <w:p>
      <w:pPr>
        <w:pStyle w:val="Heading3"/>
      </w:pPr>
      <w:bookmarkStart w:id="552" w:name="b549"/>
      <w:r>
        <w:t>§ 383b Pflichtverletzung bei Übermittlung von Vollmachtsdaten</w:t>
      </w:r>
      <w:r>
        <w:t xml:space="preserve"> </w:t>
      </w:r>
      <w:r>
        <w:rPr>
          <w:rStyle w:val="Suchmarke"/>
        </w:rPr>
        <w:t>#383b#</w:t>
      </w:r>
      <w:bookmarkEnd w:id="552"/>
    </w:p>
    <w:p>
      <w:r>
        <w:t>(1) Ordnungswidrig handelt, wer den Finanzbehörden vorsätzlich oder leichtfertig</w:t>
      </w:r>
    </w:p>
    <w:p>
      <w:pPr>
        <w:tabs>
          <w:tab w:pos="567" w:val="left"/>
        </w:tabs>
        <w:ind w:left="567" w:hanging="567"/>
      </w:pPr>
      <w:r>
        <w:t>1.</w:t>
      </w:r>
      <w:r>
        <w:tab/>
      </w:r>
      <w:r>
        <w:t xml:space="preserve">entgegen </w:t>
      </w:r>
      <w:hyperlink w:anchor="b122" w:history="1">
        <w:r>
          <w:rPr>
            <w:color w:val="0A3A8C"/>
            <w:u w:val="single"/>
          </w:rPr>
          <w:t xml:space="preserve">§ 80a</w:t>
        </w:r>
      </w:hyperlink>
      <w:r>
        <w:t xml:space="preserve"> Absatz 1 Satz 3 unzutreffende Vollmachtsdaten übermittelt oder</w:t>
      </w:r>
    </w:p>
    <w:p>
      <w:pPr>
        <w:tabs>
          <w:tab w:pos="567" w:val="left"/>
        </w:tabs>
        <w:ind w:left="567" w:hanging="567"/>
      </w:pPr>
      <w:r>
        <w:t>2.</w:t>
      </w:r>
      <w:r>
        <w:tab/>
      </w:r>
      <w:r>
        <w:t xml:space="preserve">entgegen § 80a Absatz 1 Satz 4 den Widerruf oder die Veränderung einer nach </w:t>
      </w:r>
      <w:hyperlink w:anchor="b122" w:history="1">
        <w:r>
          <w:rPr>
            <w:color w:val="0A3A8C"/>
            <w:u w:val="single"/>
          </w:rPr>
          <w:t xml:space="preserve">§ 80a</w:t>
        </w:r>
      </w:hyperlink>
      <w:r>
        <w:t xml:space="preserve"> Absatz 1 übermittelten Vollmacht durch den Vollmachtgeber nicht unverzüglich mitteilt.</w:t>
      </w:r>
    </w:p>
    <w:p>
      <w:r>
        <w:t>(2) Die Ordnungswidrigkeit kann mit einer Geldbuße bis zu zehntausend Euro geahndet werden.</w:t>
      </w:r>
    </w:p>
    <w:p>
      <w:pPr>
        <w:pStyle w:val="Heading3"/>
      </w:pPr>
      <w:bookmarkStart w:id="553" w:name="b550"/>
      <w:r>
        <w:t>§ 384 Verfolgungsverjährung</w:t>
      </w:r>
      <w:r>
        <w:t xml:space="preserve"> </w:t>
      </w:r>
      <w:r>
        <w:rPr>
          <w:rStyle w:val="Suchmarke"/>
        </w:rPr>
        <w:t>#384#</w:t>
      </w:r>
      <w:bookmarkEnd w:id="553"/>
    </w:p>
    <w:p>
      <w:r>
        <w:t xml:space="preserve">Die Verfolgung von Steuerordnungswidrigkeiten nach den </w:t>
      </w:r>
      <w:hyperlink w:anchor="b542" w:history="1">
        <w:r>
          <w:rPr>
            <w:color w:val="0A3A8C"/>
            <w:u w:val="single"/>
          </w:rPr>
          <w:t xml:space="preserve">§§ 378</w:t>
        </w:r>
      </w:hyperlink>
      <w:r>
        <w:t xml:space="preserve"> bis </w:t>
      </w:r>
      <w:hyperlink w:anchor="b544" w:history="1">
        <w:r>
          <w:rPr>
            <w:color w:val="0A3A8C"/>
            <w:u w:val="single"/>
          </w:rPr>
          <w:t xml:space="preserve">380</w:t>
        </w:r>
      </w:hyperlink>
      <w:r>
        <w:t xml:space="preserve"> und </w:t>
      </w:r>
      <w:hyperlink w:anchor="b548" w:history="1">
        <w:r>
          <w:rPr>
            <w:color w:val="0A3A8C"/>
            <w:u w:val="single"/>
          </w:rPr>
          <w:t xml:space="preserve">§ 383a</w:t>
        </w:r>
      </w:hyperlink>
      <w:r>
        <w:t xml:space="preserve"> verjährt in fünf Jahren.</w:t>
      </w:r>
    </w:p>
    <w:p>
      <w:pPr>
        <w:pStyle w:val="Heading3"/>
      </w:pPr>
      <w:bookmarkStart w:id="554" w:name="b551"/>
      <w:r>
        <w:t>§ 384a Verstöße nach Artikel 83 Absatz 4 bis 6 der Verordnung (EU) 2016/679</w:t>
      </w:r>
      <w:r>
        <w:t xml:space="preserve"> </w:t>
      </w:r>
      <w:r>
        <w:rPr>
          <w:rStyle w:val="Suchmarke"/>
        </w:rPr>
        <w:t>#384a#</w:t>
      </w:r>
      <w:bookmarkEnd w:id="554"/>
    </w:p>
    <w:p>
      <w:r>
        <w:t xml:space="preserve">(1) Vorschriften dieses Gesetzes und der Steuergesetze über Steuerordnungswidrigkeiten finden keine Anwendung, soweit für eine Zuwiderhandlung zugleich Artikel 83 der Verordnung (EU) 2016/679 unmittelbar oder nach </w:t>
      </w:r>
      <w:hyperlink w:anchor="b4" w:history="1">
        <w:r>
          <w:rPr>
            <w:color w:val="0A3A8C"/>
            <w:u w:val="single"/>
          </w:rPr>
          <w:t xml:space="preserve">§ 2a</w:t>
        </w:r>
      </w:hyperlink>
      <w:r>
        <w:t xml:space="preserve"> Absatz 5 entsprechend gilt.</w:t>
      </w:r>
    </w:p>
    <w:p>
      <w:r>
        <w:t>(2) Für Verstöße nach Artikel 83 Absatz 4 bis 6 der Verordnung (EU) 2016/679 im Anwendungsbereich dieses Gesetzes gilt § 41 des Bundesdatenschutzgesetzes entsprechend.</w:t>
      </w:r>
    </w:p>
    <w:p>
      <w:r>
        <w:t>(3) Eine Meldung nach Artikel 33 der Verordnung (EU) 2016/679 und eine Benachrichtigung nach Artikel 34 Absatz 1 der Verordnung (EU) 2016/679 dürfen in einem Straf- oder Bußgeldverfahren gegen die meldepflichtige Person oder einen ihrer in § 52 Absatz 1 der Strafprozessordnung bezeichneten Angehörigen nur mit Zustimmung der meldepflichtigen Person verwertet werden.</w:t>
      </w:r>
    </w:p>
    <w:p>
      <w:r>
        <w:t>(4) Gegen Finanzbehörden und andere öffentliche Stellen werden im Anwendungsbereich dieses Gesetzes keine Geldbußen nach Artikel 83 Absatz 4 bis 6 der Verordnung (EU) 2016/679 verhängt.</w:t>
      </w:r>
    </w:p>
    <w:p>
      <w:pPr>
        <w:pStyle w:val="Heading2"/>
      </w:pPr>
      <w:bookmarkStart w:id="555" w:name="b552"/>
      <w:r>
        <w:t>Dritter Abschnitt Strafverfahren</w:t>
      </w:r>
      <w:bookmarkEnd w:id="555"/>
    </w:p>
    <w:p>
      <w:pPr>
        <w:pStyle w:val="Heading3"/>
      </w:pPr>
      <w:bookmarkStart w:id="556" w:name="b553"/>
      <w:r>
        <w:t>1. Unterabschnitt Allgemeine Vorschriften</w:t>
      </w:r>
      <w:bookmarkEnd w:id="556"/>
    </w:p>
    <w:p>
      <w:pPr>
        <w:pStyle w:val="Heading4"/>
      </w:pPr>
      <w:bookmarkStart w:id="557" w:name="b554"/>
      <w:r>
        <w:t>§ 385 Geltung von Verfahrensvorschriften</w:t>
      </w:r>
      <w:r>
        <w:t xml:space="preserve"> </w:t>
      </w:r>
      <w:r>
        <w:rPr>
          <w:rStyle w:val="Suchmarke"/>
        </w:rPr>
        <w:t>#385#</w:t>
      </w:r>
      <w:bookmarkEnd w:id="557"/>
    </w:p>
    <w:p>
      <w:r>
        <w:t>(1) Für das Strafverfahren wegen Steuerstraftaten gelten, soweit die folgenden Vorschriften nichts anderes bestimmen, die allgemeinen Gesetze über das Strafverfahren, namentlich die Strafprozessordnung, das Gerichtsverfassungsgesetz und das Jugendgerichtsgesetz.</w:t>
      </w:r>
    </w:p>
    <w:p>
      <w:r>
        <w:t xml:space="preserve">(2) Die für Steuerstraftaten geltenden Vorschriften dieses Abschnitts, mit Ausnahme des </w:t>
      </w:r>
      <w:hyperlink w:anchor="b555" w:history="1">
        <w:r>
          <w:rPr>
            <w:color w:val="0A3A8C"/>
            <w:u w:val="single"/>
          </w:rPr>
          <w:t xml:space="preserve">§ 386</w:t>
        </w:r>
      </w:hyperlink>
      <w:r>
        <w:t xml:space="preserve"> Absatz 2 sowie der </w:t>
      </w:r>
      <w:hyperlink w:anchor="b572" w:history="1">
        <w:r>
          <w:rPr>
            <w:color w:val="0A3A8C"/>
            <w:u w:val="single"/>
          </w:rPr>
          <w:t xml:space="preserve">§§ 399</w:t>
        </w:r>
      </w:hyperlink>
      <w:r>
        <w:t xml:space="preserve"> bis </w:t>
      </w:r>
      <w:hyperlink w:anchor="b574" w:history="1">
        <w:r>
          <w:rPr>
            <w:color w:val="0A3A8C"/>
            <w:u w:val="single"/>
          </w:rPr>
          <w:t xml:space="preserve">401</w:t>
        </w:r>
      </w:hyperlink>
      <w:r>
        <w:t>, sind bei dem Verdacht einer Straftat, die unter Vorspiegelung eines steuerlich erheblichen Sachverhalts gegenüber der Finanzbehörde oder einer anderen Behörde auf die Erlangung von Vermögensvorteilen gerichtet ist und kein Steuerstrafgesetz verletzt, entsprechend anzuwenden.</w:t>
      </w:r>
    </w:p>
    <w:p>
      <w:pPr>
        <w:pStyle w:val="Heading4"/>
      </w:pPr>
      <w:bookmarkStart w:id="558" w:name="b555"/>
      <w:r>
        <w:t>§ 386 Zuständigkeit der Finanzbehörde bei Steuerstraftaten</w:t>
      </w:r>
      <w:r>
        <w:t xml:space="preserve"> </w:t>
      </w:r>
      <w:r>
        <w:rPr>
          <w:rStyle w:val="Suchmarke"/>
        </w:rPr>
        <w:t>#386#</w:t>
      </w:r>
      <w:bookmarkEnd w:id="558"/>
    </w:p>
    <w:p>
      <w:r>
        <w:t xml:space="preserve">(1) </w:t>
      </w:r>
      <w:r>
        <w:rPr>
          <w:rStyle w:val="Satznummer"/>
        </w:rPr>
        <w:t>1</w:t>
      </w:r>
      <w:r>
        <w:t xml:space="preserve">Bei dem Verdacht einer Steuerstraftat ermittelt die Finanzbehörde den Sachverhalt. </w:t>
      </w:r>
      <w:r>
        <w:rPr>
          <w:rStyle w:val="Satznummer"/>
        </w:rPr>
        <w:t>2</w:t>
      </w:r>
      <w:r>
        <w:t>Finanzbehörde im Sinne dieses Abschnitts sind das Hauptzollamt, das Finanzamt, das Bundeszentralamt für Steuern und die Familienkasse.</w:t>
      </w:r>
    </w:p>
    <w:p>
      <w:r>
        <w:t xml:space="preserve">(2) Die Finanzbehörde führt das Ermittlungsverfahren in den Grenzen des </w:t>
      </w:r>
      <w:hyperlink w:anchor="b572" w:history="1">
        <w:r>
          <w:rPr>
            <w:color w:val="0A3A8C"/>
            <w:u w:val="single"/>
          </w:rPr>
          <w:t xml:space="preserve">§ 399</w:t>
        </w:r>
      </w:hyperlink>
      <w:r>
        <w:t xml:space="preserve"> Absatz 1 und der </w:t>
      </w:r>
      <w:hyperlink w:anchor="b573" w:history="1">
        <w:r>
          <w:rPr>
            <w:color w:val="0A3A8C"/>
            <w:u w:val="single"/>
          </w:rPr>
          <w:t xml:space="preserve">§§ 400</w:t>
        </w:r>
      </w:hyperlink>
      <w:r>
        <w:t xml:space="preserve">, </w:t>
      </w:r>
      <w:hyperlink w:anchor="b574" w:history="1">
        <w:r>
          <w:rPr>
            <w:color w:val="0A3A8C"/>
            <w:u w:val="single"/>
          </w:rPr>
          <w:t xml:space="preserve">401</w:t>
        </w:r>
      </w:hyperlink>
      <w:r>
        <w:t xml:space="preserve"> selbständig durch, wenn die Tat</w:t>
      </w:r>
    </w:p>
    <w:p>
      <w:pPr>
        <w:tabs>
          <w:tab w:pos="567" w:val="left"/>
        </w:tabs>
        <w:ind w:left="567" w:hanging="567"/>
      </w:pPr>
      <w:r>
        <w:t>1.</w:t>
      </w:r>
      <w:r>
        <w:tab/>
      </w:r>
      <w:r>
        <w:t>ausschließlich eine Steuerstraftat darstellt oder</w:t>
      </w:r>
    </w:p>
    <w:p>
      <w:pPr>
        <w:tabs>
          <w:tab w:pos="567" w:val="left"/>
        </w:tabs>
        <w:ind w:left="567" w:hanging="567"/>
      </w:pPr>
      <w:r>
        <w:t>2.</w:t>
      </w:r>
      <w:r>
        <w:tab/>
      </w:r>
      <w:r>
        <w:t>zugleich andere Strafgesetze verletzt und deren Verletzung Kirchensteuern oder andere öffentlich-rechtliche Abgaben betrifft, die an Besteuerungsgrundlagen, Steuermessbeträge oder Steuerbeträge anknüpfen.</w:t>
      </w:r>
    </w:p>
    <w:p>
      <w:r>
        <w:t>(3) Absatz 2 gilt nicht, sobald gegen einen Beschuldigten wegen der Tat ein Haftbefehl oder ein Unterbringungsbefehl erlassen ist.</w:t>
      </w:r>
    </w:p>
    <w:p>
      <w:r>
        <w:t xml:space="preserve">(4) </w:t>
      </w:r>
      <w:r>
        <w:rPr>
          <w:rStyle w:val="Satznummer"/>
        </w:rPr>
        <w:t>1</w:t>
      </w:r>
      <w:r>
        <w:t xml:space="preserve">Die Finanzbehörde kann die Strafsache jederzeit an die Staatsanwaltschaft abgeben. </w:t>
      </w:r>
      <w:r>
        <w:rPr>
          <w:rStyle w:val="Satznummer"/>
        </w:rPr>
        <w:t>2</w:t>
      </w:r>
      <w:r>
        <w:t xml:space="preserve">Die Staatsanwaltschaft kann die Strafsache jederzeit an sich ziehen. </w:t>
      </w:r>
      <w:r>
        <w:rPr>
          <w:rStyle w:val="Satznummer"/>
        </w:rPr>
        <w:t>3</w:t>
      </w:r>
      <w:r>
        <w:t>In beiden Fällen kann die Staatsanwaltschaft im Einvernehmen mit der Finanzbehörde die Strafsache wieder an die Finanzbehörde abgeben.</w:t>
      </w:r>
    </w:p>
    <w:p>
      <w:pPr>
        <w:pStyle w:val="Heading4"/>
      </w:pPr>
      <w:bookmarkStart w:id="559" w:name="b556"/>
      <w:r>
        <w:t>§ 387 Sachlich zuständige Finanzbehörde</w:t>
      </w:r>
      <w:r>
        <w:t xml:space="preserve"> </w:t>
      </w:r>
      <w:r>
        <w:rPr>
          <w:rStyle w:val="Suchmarke"/>
        </w:rPr>
        <w:t>#387#</w:t>
      </w:r>
      <w:bookmarkEnd w:id="559"/>
    </w:p>
    <w:p>
      <w:r>
        <w:t>(1) Sachlich zuständig ist die Finanzbehörde, welche die betroffene Steuer verwaltet.</w:t>
      </w:r>
    </w:p>
    <w:p>
      <w:r>
        <w:t xml:space="preserve">(2) </w:t>
      </w:r>
      <w:r>
        <w:rPr>
          <w:rStyle w:val="Satznummer"/>
        </w:rPr>
        <w:t>1</w:t>
      </w:r>
      <w:r>
        <w:t xml:space="preserve">Die Zuständigkeit nach Absatz 1 kann durch Rechtsverordnung einer Finanzbehörde für den Bereich mehrerer Finanzbehörden übertragen werden, soweit dies mit Rücksicht auf die Wirtschafts- oder Verkehrsverhältnisse, den Aufbau der Verwaltungsbehörden oder andere örtliche Bedürfnisse zweckmäßig erscheint. </w:t>
      </w:r>
      <w:r>
        <w:rPr>
          <w:rStyle w:val="Satznummer"/>
        </w:rPr>
        <w:t>2</w:t>
      </w:r>
      <w:r>
        <w:t xml:space="preserve">Die Rechtsverordnung erlässt, soweit die Finanzbehörde eine Landesbehörde ist, die Landesregierung, im Übrigen das Bundesministerium der Finanzen. </w:t>
      </w:r>
      <w:r>
        <w:rPr>
          <w:rStyle w:val="Satznummer"/>
        </w:rPr>
        <w:t>3</w:t>
      </w:r>
      <w:r>
        <w:t xml:space="preserve">Die Rechtsverordnung des Bundesministeriums der Finanzen bedarf nicht der Zustimmung des Bundesrates. </w:t>
      </w:r>
      <w:r>
        <w:rPr>
          <w:rStyle w:val="Satznummer"/>
        </w:rPr>
        <w:t>4</w:t>
      </w:r>
      <w:r>
        <w:t xml:space="preserve">Das Bundesministerium der Finanzen kann die Ermächtigung nach Satz 1 durch Rechtsverordnung, die nicht der Zustimmung des Bundesrates bedarf, auf eine Bundesoberbehörde übertragen. </w:t>
      </w:r>
      <w:r>
        <w:rPr>
          <w:rStyle w:val="Satznummer"/>
        </w:rPr>
        <w:t>5</w:t>
      </w:r>
      <w:r>
        <w:t>Die Landesregierung kann die Ermächtigung auf die für die Finanzverwaltung zuständige oberste Landesbehörde übertragen.</w:t>
      </w:r>
    </w:p>
    <w:p>
      <w:pPr>
        <w:pStyle w:val="Heading4"/>
      </w:pPr>
      <w:bookmarkStart w:id="560" w:name="b557"/>
      <w:r>
        <w:t>§ 388 Örtlich zuständige Finanzbehörde</w:t>
      </w:r>
      <w:r>
        <w:t xml:space="preserve"> </w:t>
      </w:r>
      <w:r>
        <w:rPr>
          <w:rStyle w:val="Suchmarke"/>
        </w:rPr>
        <w:t>#388#</w:t>
      </w:r>
      <w:bookmarkEnd w:id="560"/>
    </w:p>
    <w:p>
      <w:r>
        <w:t>(1) Örtlich zuständig ist die Finanzbehörde,</w:t>
      </w:r>
    </w:p>
    <w:p>
      <w:pPr>
        <w:tabs>
          <w:tab w:pos="567" w:val="left"/>
        </w:tabs>
        <w:ind w:left="567" w:hanging="567"/>
      </w:pPr>
      <w:r>
        <w:t>1.</w:t>
      </w:r>
      <w:r>
        <w:tab/>
      </w:r>
      <w:r>
        <w:t>in deren Bezirk die Steuerstraftat begangen oder entdeckt worden ist,</w:t>
      </w:r>
    </w:p>
    <w:p>
      <w:pPr>
        <w:tabs>
          <w:tab w:pos="567" w:val="left"/>
        </w:tabs>
        <w:ind w:left="567" w:hanging="567"/>
      </w:pPr>
      <w:r>
        <w:t>2.</w:t>
      </w:r>
      <w:r>
        <w:tab/>
      </w:r>
      <w:r>
        <w:t>die zur Zeit der Einleitung des Strafverfahrens für die Abgabenangelegenheiten zuständig ist oder</w:t>
      </w:r>
    </w:p>
    <w:p>
      <w:pPr>
        <w:tabs>
          <w:tab w:pos="567" w:val="left"/>
        </w:tabs>
        <w:ind w:left="567" w:hanging="567"/>
      </w:pPr>
      <w:r>
        <w:t>3.</w:t>
      </w:r>
      <w:r>
        <w:tab/>
      </w:r>
      <w:r>
        <w:t>in deren Bezirk der Beschuldigte zur Zeit der Einleitung des Strafverfahrens seinen Wohnsitz hat.</w:t>
      </w:r>
    </w:p>
    <w:p>
      <w:r>
        <w:t xml:space="preserve">(2) </w:t>
      </w:r>
      <w:r>
        <w:rPr>
          <w:rStyle w:val="Satznummer"/>
        </w:rPr>
        <w:t>1</w:t>
      </w:r>
      <w:r>
        <w:t xml:space="preserve">Ändert sich der Wohnsitz des Beschuldigten nach Einleitung des Strafverfahrens, so ist auch die Finanzbehörde örtlich zuständig, in deren Bezirk der neue Wohnsitz liegt. </w:t>
      </w:r>
      <w:r>
        <w:rPr>
          <w:rStyle w:val="Satznummer"/>
        </w:rPr>
        <w:t>2</w:t>
      </w:r>
      <w:r>
        <w:t>Entsprechendes gilt, wenn sich die Zuständigkeit der Finanzbehörde für die Abgabenangelegenheit ändert.</w:t>
      </w:r>
    </w:p>
    <w:p>
      <w:r>
        <w:t>(3) Hat der Beschuldigte im räumlichen Geltungsbereich dieses Gesetzes keinen Wohnsitz, so wird die Zuständigkeit auch durch den gewöhnlichen Aufenthaltsort bestimmt.</w:t>
      </w:r>
    </w:p>
    <w:p>
      <w:pPr>
        <w:pStyle w:val="Heading4"/>
      </w:pPr>
      <w:bookmarkStart w:id="561" w:name="b558"/>
      <w:r>
        <w:t>§ 389 Zusammenhängende Strafsachen</w:t>
      </w:r>
      <w:r>
        <w:t xml:space="preserve"> </w:t>
      </w:r>
      <w:r>
        <w:rPr>
          <w:rStyle w:val="Suchmarke"/>
        </w:rPr>
        <w:t>#389#</w:t>
      </w:r>
      <w:bookmarkEnd w:id="561"/>
    </w:p>
    <w:p>
      <w:r>
        <w:rPr>
          <w:rStyle w:val="Satznummer"/>
        </w:rPr>
        <w:t>1</w:t>
      </w:r>
      <w:r>
        <w:t xml:space="preserve">Für zusammenhängende Strafsachen, die einzeln nach § 388 zur Zuständigkeit verschiedener Finanzbehörden gehören würden, ist jede dieser Finanzbehörden zuständig. </w:t>
      </w:r>
      <w:r>
        <w:rPr>
          <w:rStyle w:val="Satznummer"/>
        </w:rPr>
        <w:t>2</w:t>
      </w:r>
      <w:r>
        <w:t>§ 3 der Strafprozessordnung gilt entsprechend.</w:t>
      </w:r>
    </w:p>
    <w:p>
      <w:pPr>
        <w:pStyle w:val="Heading4"/>
      </w:pPr>
      <w:bookmarkStart w:id="562" w:name="b559"/>
      <w:r>
        <w:t>§ 390 Mehrfache Zuständigkeit</w:t>
      </w:r>
      <w:r>
        <w:t xml:space="preserve"> </w:t>
      </w:r>
      <w:r>
        <w:rPr>
          <w:rStyle w:val="Suchmarke"/>
        </w:rPr>
        <w:t>#390#</w:t>
      </w:r>
      <w:bookmarkEnd w:id="562"/>
    </w:p>
    <w:p>
      <w:r>
        <w:t xml:space="preserve">(1) Sind nach den </w:t>
      </w:r>
      <w:hyperlink w:anchor="b556" w:history="1">
        <w:r>
          <w:rPr>
            <w:color w:val="0A3A8C"/>
            <w:u w:val="single"/>
          </w:rPr>
          <w:t xml:space="preserve">§§ 387</w:t>
        </w:r>
      </w:hyperlink>
      <w:r>
        <w:t xml:space="preserve"> bis </w:t>
      </w:r>
      <w:hyperlink w:anchor="b558" w:history="1">
        <w:r>
          <w:rPr>
            <w:color w:val="0A3A8C"/>
            <w:u w:val="single"/>
          </w:rPr>
          <w:t xml:space="preserve">389</w:t>
        </w:r>
      </w:hyperlink>
      <w:r>
        <w:t xml:space="preserve"> mehrere Finanzbehörden zuständig, so gebührt der Vorzug der Finanzbehörde, die wegen der Tat zuerst ein Strafverfahren eingeleitet hat.</w:t>
      </w:r>
    </w:p>
    <w:p>
      <w:r>
        <w:t xml:space="preserve">(2) </w:t>
      </w:r>
      <w:r>
        <w:rPr>
          <w:rStyle w:val="Satznummer"/>
        </w:rPr>
        <w:t>1</w:t>
      </w:r>
      <w:r>
        <w:t xml:space="preserve">Auf Ersuchen dieser Finanzbehörde hat eine andere zuständige Finanzbehörde die Strafsache zu übernehmen, wenn dies für die Ermittlungen sachdienlich erscheint. </w:t>
      </w:r>
      <w:r>
        <w:rPr>
          <w:rStyle w:val="Satznummer"/>
        </w:rPr>
        <w:t>2</w:t>
      </w:r>
      <w:r>
        <w:t>In Zweifelsfällen entscheidet die Behörde, der die ersuchte Finanzbehörde untersteht.</w:t>
      </w:r>
    </w:p>
    <w:p>
      <w:pPr>
        <w:pStyle w:val="Heading4"/>
      </w:pPr>
      <w:bookmarkStart w:id="563" w:name="b560"/>
      <w:r>
        <w:t>§ 391 Zuständiges Gericht</w:t>
      </w:r>
      <w:r>
        <w:t xml:space="preserve"> </w:t>
      </w:r>
      <w:r>
        <w:rPr>
          <w:rStyle w:val="Suchmarke"/>
        </w:rPr>
        <w:t>#391#</w:t>
      </w:r>
      <w:bookmarkEnd w:id="563"/>
    </w:p>
    <w:p>
      <w:r>
        <w:t xml:space="preserve">(1) </w:t>
      </w:r>
      <w:r>
        <w:rPr>
          <w:rStyle w:val="Satznummer"/>
        </w:rPr>
        <w:t>1</w:t>
      </w:r>
      <w:r>
        <w:t xml:space="preserve">Ist das Amtsgericht sachlich zuständig, so ist örtlich zuständig das Amtsgericht, in dessen Bezirk das Landgericht seinen Sitz hat. </w:t>
      </w:r>
      <w:r>
        <w:rPr>
          <w:rStyle w:val="Satznummer"/>
        </w:rPr>
        <w:t>2</w:t>
      </w:r>
      <w:r>
        <w:t>Im vorbereitenden Verfahren gilt dies, unbeschadet einer weitergehenden Regelung nach § 58 Absatz 1 des Gerichtsverfassungsgesetzes, nur für die Zustimmung des Gerichts nach § 153 Absatz 1 und § 153a Absatz 1 der Strafprozessordnung.</w:t>
      </w:r>
    </w:p>
    <w:p>
      <w:r>
        <w:t xml:space="preserve">(2) </w:t>
      </w:r>
      <w:r>
        <w:rPr>
          <w:rStyle w:val="Satznummer"/>
        </w:rPr>
        <w:t>1</w:t>
      </w:r>
      <w:r>
        <w:t xml:space="preserve">Die Landesregierung kann durch Rechtsverordnung die Zuständigkeit abweichend von Absatz 1 Satz 1 regeln, soweit dies mit Rücksicht auf die Wirtschafts- oder Verkehrsverhältnisse, den Aufbau der Verwaltungsbehörden oder andere örtliche Bedürfnisse zweckmäßig erscheint. </w:t>
      </w:r>
      <w:r>
        <w:rPr>
          <w:rStyle w:val="Satznummer"/>
        </w:rPr>
        <w:t>2</w:t>
      </w:r>
      <w:r>
        <w:t>Die Landesregierung kann diese Ermächtigung auf die Landesjustizverwaltung übertragen.</w:t>
      </w:r>
    </w:p>
    <w:p>
      <w:r>
        <w:t>(3) Strafsachen wegen Steuerstraftaten sollen beim Amtsgericht einer bestimmten Abteilung zugewiesen werden.</w:t>
      </w:r>
    </w:p>
    <w:p>
      <w:r>
        <w:t>(4) Die Absätze 1 bis 3 gelten auch, wenn das Verfahren nicht nur Steuerstraftaten zum Gegenstand hat; sie gelten jedoch nicht, wenn dieselbe Handlung eine Straftat nach dem Betäubungsmittelgesetz darstellt, und nicht für Steuerstraftaten, welche die Kraftfahrzeugsteuer betreffen.</w:t>
      </w:r>
    </w:p>
    <w:p>
      <w:pPr>
        <w:pStyle w:val="Heading4"/>
      </w:pPr>
      <w:bookmarkStart w:id="564" w:name="b561"/>
      <w:r>
        <w:t>§ 392 Verteidigung</w:t>
      </w:r>
      <w:r>
        <w:t xml:space="preserve"> </w:t>
      </w:r>
      <w:r>
        <w:rPr>
          <w:rStyle w:val="Suchmarke"/>
        </w:rPr>
        <w:t>#392#</w:t>
      </w:r>
      <w:bookmarkEnd w:id="564"/>
    </w:p>
    <w:p>
      <w:r>
        <w:t>(1) Abweichend von § 138 Absatz 1 der Strafprozessordnung können auch Steuerberater, Steuerbevollmächtigte, Wirtschaftsprüfer und vereidigte Buchprüfer zu Verteidigern gewählt werden, soweit die Finanzbehörde das Strafverfahren selbständig durchführt; im Übrigen können sie die Verteidigung nur in Gemeinschaft mit einem Rechtsanwalt oder einem Rechtslehrer an einer deutschen Hochschule im Sinne des Hochschulrahmengesetzes mit Befähigung zum Richteramt führen.</w:t>
      </w:r>
    </w:p>
    <w:p>
      <w:r>
        <w:t>(2) § 138 Absatz 2 der Strafprozessordnung bleibt unberührt.</w:t>
      </w:r>
    </w:p>
    <w:p>
      <w:pPr>
        <w:pStyle w:val="Heading4"/>
      </w:pPr>
      <w:bookmarkStart w:id="565" w:name="b562"/>
      <w:r>
        <w:t>§ 393 Verhältnis des Strafverfahrens zum Besteuerungsverfahren</w:t>
      </w:r>
      <w:r>
        <w:t xml:space="preserve"> </w:t>
      </w:r>
      <w:r>
        <w:rPr>
          <w:rStyle w:val="Suchmarke"/>
        </w:rPr>
        <w:t>#393#</w:t>
      </w:r>
      <w:bookmarkEnd w:id="565"/>
    </w:p>
    <w:p>
      <w:r>
        <w:t xml:space="preserve">(1) </w:t>
      </w:r>
      <w:r>
        <w:rPr>
          <w:rStyle w:val="Satznummer"/>
        </w:rPr>
        <w:t>1</w:t>
      </w:r>
      <w:r>
        <w:t xml:space="preserve">Die Rechte und Pflichten der Steuerpflichtigen und der Finanzbehörde im Besteuerungsverfahren und im Strafverfahren richten sich nach den für das jeweilige Verfahren geltenden Vorschriften. </w:t>
      </w:r>
      <w:r>
        <w:rPr>
          <w:rStyle w:val="Satznummer"/>
        </w:rPr>
        <w:t>2</w:t>
      </w:r>
      <w:r>
        <w:t>Im Besteuerungsverfahren sind jedoch Zwangsmittel (</w:t>
      </w:r>
      <w:hyperlink w:anchor="b482" w:history="1">
        <w:r>
          <w:rPr>
            <w:color w:val="0A3A8C"/>
            <w:u w:val="single"/>
          </w:rPr>
          <w:t xml:space="preserve">§ 328</w:t>
        </w:r>
      </w:hyperlink>
      <w:r>
        <w:t xml:space="preserve">) gegen den Steuerpflichtigen unzulässig, wenn er dadurch gezwungen würde, sich selbst wegen einer von ihm begangenen Steuerstraftat oder Steuerordnungswidrigkeit zu belasten. </w:t>
      </w:r>
      <w:r>
        <w:rPr>
          <w:rStyle w:val="Satznummer"/>
        </w:rPr>
        <w:t>3</w:t>
      </w:r>
      <w:r>
        <w:t xml:space="preserve">Dies gilt stets, soweit gegen ihn wegen einer solchen Tat das Strafverfahren eingeleitet worden ist. </w:t>
      </w:r>
      <w:r>
        <w:rPr>
          <w:rStyle w:val="Satznummer"/>
        </w:rPr>
        <w:t>4</w:t>
      </w:r>
      <w:r>
        <w:t>Der Steuerpflichtige ist hierüber zu belehren, soweit dazu Anlass besteht.</w:t>
      </w:r>
    </w:p>
    <w:p>
      <w:r>
        <w:t xml:space="preserve">(2) </w:t>
      </w:r>
      <w:r>
        <w:rPr>
          <w:rStyle w:val="Satznummer"/>
        </w:rPr>
        <w:t>1</w:t>
      </w:r>
      <w:r>
        <w:t xml:space="preserve">Soweit der Staatsanwaltschaft oder dem Gericht in einem Strafverfahren aus den Steuerakten Tatsachen oder Beweismittel bekannt werden, die der Steuerpflichtige der Finanzbehörde vor Einleitung des Strafverfahrens oder in Unkenntnis der Einleitung des Strafverfahrens in Erfüllung steuerrechtlicher Pflichten offenbart hat, dürfen diese Kenntnisse gegen ihn nicht für die Verfolgung einer Tat verwendet werden, die keine Steuerstraftat ist. </w:t>
      </w:r>
      <w:r>
        <w:rPr>
          <w:rStyle w:val="Satznummer"/>
        </w:rPr>
        <w:t>2</w:t>
      </w:r>
      <w:r>
        <w:t>Dies gilt nicht für Straftaten, an deren Verfolgung ein zwingendes öffentliches Interesse (</w:t>
      </w:r>
      <w:hyperlink w:anchor="b42" w:history="1">
        <w:r>
          <w:rPr>
            <w:color w:val="0A3A8C"/>
            <w:u w:val="single"/>
          </w:rPr>
          <w:t xml:space="preserve">§ 30</w:t>
        </w:r>
      </w:hyperlink>
      <w:r>
        <w:t xml:space="preserve"> Absatz 4 Nummer 5) besteht.</w:t>
      </w:r>
    </w:p>
    <w:p>
      <w:r>
        <w:t xml:space="preserve">(3) </w:t>
      </w:r>
      <w:r>
        <w:rPr>
          <w:rStyle w:val="Satznummer"/>
        </w:rPr>
        <w:t>1</w:t>
      </w:r>
      <w:r>
        <w:t xml:space="preserve">Erkenntnisse, die die Finanzbehörde oder die Staatsanwaltschaft rechtmäßig im Rahmen strafrechtlicher Ermittlungen gewonnen hat, dürfen im Besteuerungsverfahren verwendet werden. </w:t>
      </w:r>
      <w:r>
        <w:rPr>
          <w:rStyle w:val="Satznummer"/>
        </w:rPr>
        <w:t>2</w:t>
      </w:r>
      <w:r>
        <w:t>Dies gilt auch für Erkenntnisse, die dem Brief-, Post- und Fernmeldegeheimnis unterliegen, soweit die Finanzbehörde diese rechtmäßig im Rahmen eigener strafrechtlicher Ermittlungen gewonnen hat oder soweit nach den Vorschriften der Strafprozessordnung Auskunft an die Finanzbehörden erteilt werden darf.</w:t>
      </w:r>
    </w:p>
    <w:p>
      <w:pPr>
        <w:pStyle w:val="Heading4"/>
      </w:pPr>
      <w:bookmarkStart w:id="566" w:name="b563"/>
      <w:r>
        <w:t>§ 394 Übergang des Eigentums</w:t>
      </w:r>
      <w:r>
        <w:t xml:space="preserve"> </w:t>
      </w:r>
      <w:r>
        <w:rPr>
          <w:rStyle w:val="Suchmarke"/>
        </w:rPr>
        <w:t>#394#</w:t>
      </w:r>
      <w:bookmarkEnd w:id="566"/>
    </w:p>
    <w:p>
      <w:r>
        <w:rPr>
          <w:rStyle w:val="Satznummer"/>
        </w:rPr>
        <w:t>1</w:t>
      </w:r>
      <w:r>
        <w:t xml:space="preserve">Hat ein Unbekannter, der bei einer Steuerstraftat auf frischer Tat betroffen wurde, aber entkommen ist, Sachen zurückgelassen und sind diese Sachen beschlagnahmt oder sonst sichergestellt worden, weil sie eingezogen werden können, so gehen sie nach Ablauf eines Jahres in das Eigentum des Staates über, wenn der Eigentümer der Sachen unbekannt ist und die Finanzbehörde durch eine öffentliche Bekanntmachung auf den drohenden Verlust des Eigentums hingewiesen hat. </w:t>
      </w:r>
      <w:r>
        <w:rPr>
          <w:rStyle w:val="Satznummer"/>
        </w:rPr>
        <w:t>2</w:t>
      </w:r>
      <w:r>
        <w:t xml:space="preserve">§ 10 Absatz 2 Satz 1 des Verwaltungszustellungsgesetzes ist mit der Maßgabe anzuwenden, dass anstelle einer Benachrichtigung der Hinweis nach Satz 1 bekannt gemacht oder veröffentlicht wird. </w:t>
      </w:r>
      <w:r>
        <w:rPr>
          <w:rStyle w:val="Satznummer"/>
        </w:rPr>
        <w:t>3</w:t>
      </w:r>
      <w:r>
        <w:t>Die Frist beginnt mit dem Aushang der Bekanntmachung.</w:t>
      </w:r>
    </w:p>
    <w:p>
      <w:pPr>
        <w:pStyle w:val="Heading4"/>
      </w:pPr>
      <w:bookmarkStart w:id="567" w:name="b564"/>
      <w:r>
        <w:t>§ 395 Akteneinsicht der Finanzbehörde</w:t>
      </w:r>
      <w:r>
        <w:t xml:space="preserve"> </w:t>
      </w:r>
      <w:r>
        <w:rPr>
          <w:rStyle w:val="Suchmarke"/>
        </w:rPr>
        <w:t>#395#</w:t>
      </w:r>
      <w:bookmarkEnd w:id="567"/>
    </w:p>
    <w:p>
      <w:r>
        <w:rPr>
          <w:rStyle w:val="Satznummer"/>
        </w:rPr>
        <w:t>1</w:t>
      </w:r>
      <w:r>
        <w:t xml:space="preserve">Die Finanzbehörde ist befugt, die Akten, die dem Gericht vorliegen oder im Fall der Erhebung der Anklage vorzulegen wären, einzusehen sowie beschlagnahmte oder sonst sichergestellte Gegenstände zu besichtigen. </w:t>
      </w:r>
      <w:r>
        <w:rPr>
          <w:rStyle w:val="Satznummer"/>
        </w:rPr>
        <w:t>2</w:t>
      </w:r>
      <w:r>
        <w:t>Die Akten werden der Finanzbehörde auf Antrag zur Einsichtnahme übersandt.</w:t>
      </w:r>
    </w:p>
    <w:p>
      <w:pPr>
        <w:pStyle w:val="Heading4"/>
      </w:pPr>
      <w:bookmarkStart w:id="568" w:name="b565"/>
      <w:r>
        <w:t>§ 396 Aussetzung des Verfahrens</w:t>
      </w:r>
      <w:r>
        <w:t xml:space="preserve"> </w:t>
      </w:r>
      <w:r>
        <w:rPr>
          <w:rStyle w:val="Suchmarke"/>
        </w:rPr>
        <w:t>#396#</w:t>
      </w:r>
      <w:bookmarkEnd w:id="568"/>
    </w:p>
    <w:p>
      <w:r>
        <w:t>(1) Hängt die Beurteilung der Tat als Steuerhinterziehung davon ab, ob ein Steueranspruch besteht, ob Steuern verkürzt oder ob nicht gerechtfertigte Steuervorteile erlangt sind, so kann das Strafverfahren ausgesetzt werden, bis das Besteuerungsverfahren rechtskräftig abgeschlossen ist.</w:t>
      </w:r>
    </w:p>
    <w:p>
      <w:r>
        <w:t>(2) Über die Aussetzung entscheidet im Ermittlungsverfahren die Staatsanwaltschaft, im Verfahren nach Erhebung der öffentlichen Klage das Gericht, das mit der Sache befasst ist.</w:t>
      </w:r>
    </w:p>
    <w:p>
      <w:r>
        <w:t>(3) Während der Aussetzung des Verfahrens ruht die Verjährung.</w:t>
      </w:r>
    </w:p>
    <w:p>
      <w:pPr>
        <w:pStyle w:val="Heading3"/>
      </w:pPr>
      <w:bookmarkStart w:id="569" w:name="b566"/>
      <w:r>
        <w:t>2. Unterabschnitt Ermittlungsverfahren</w:t>
      </w:r>
      <w:bookmarkEnd w:id="569"/>
    </w:p>
    <w:p>
      <w:pPr>
        <w:pStyle w:val="Heading4"/>
      </w:pPr>
      <w:bookmarkStart w:id="570" w:name="b567"/>
      <w:r>
        <w:t>I. Allgemeines</w:t>
      </w:r>
      <w:bookmarkEnd w:id="570"/>
    </w:p>
    <w:p>
      <w:pPr>
        <w:pStyle w:val="Heading5"/>
      </w:pPr>
      <w:bookmarkStart w:id="571" w:name="b568"/>
      <w:r>
        <w:t>§ 397 Einleitung des Strafverfahrens</w:t>
      </w:r>
      <w:r>
        <w:t xml:space="preserve"> </w:t>
      </w:r>
      <w:r>
        <w:rPr>
          <w:rStyle w:val="Suchmarke"/>
        </w:rPr>
        <w:t>#397#</w:t>
      </w:r>
      <w:bookmarkEnd w:id="571"/>
    </w:p>
    <w:p>
      <w:r>
        <w:t>(1) Das Strafverfahren ist eingeleitet, sobald die Finanzbehörde, die Polizei, die Staatsanwaltschaft, eine ihrer Ermittlungspersonen oder der Strafrichter eine Maßnahme trifft, die erkennbar darauf abzielt, gegen jemanden wegen einer Steuerstraftat strafrechtlich vorzugehen.</w:t>
      </w:r>
    </w:p>
    <w:p>
      <w:r>
        <w:t>(2) Die Maßnahme ist unter Angabe des Zeitpunkts unverzüglich in den Akten zu vermerken.</w:t>
      </w:r>
    </w:p>
    <w:p>
      <w:r>
        <w:t>(3) Die Einleitung des Strafverfahrens ist dem Beschuldigten spätestens mitzuteilen, wenn er dazu aufgefordert wird, Tatsachen darzulegen oder Unterlagen vorzulegen, die im Zusammenhang mit der Straftat stehen, derer er verdächtig ist.</w:t>
      </w:r>
    </w:p>
    <w:p>
      <w:pPr>
        <w:pStyle w:val="Heading5"/>
      </w:pPr>
      <w:bookmarkStart w:id="572" w:name="b569"/>
      <w:r>
        <w:t>§ 398 Einstellung wegen Geringfügigkeit</w:t>
      </w:r>
      <w:r>
        <w:t xml:space="preserve"> </w:t>
      </w:r>
      <w:r>
        <w:rPr>
          <w:rStyle w:val="Suchmarke"/>
        </w:rPr>
        <w:t>#398#</w:t>
      </w:r>
      <w:bookmarkEnd w:id="572"/>
    </w:p>
    <w:p>
      <w:r>
        <w:rPr>
          <w:rStyle w:val="Satznummer"/>
        </w:rPr>
        <w:t>1</w:t>
      </w:r>
      <w:r>
        <w:t xml:space="preserve">Die Staatsanwaltschaft kann von der Verfolgung einer Steuerhinterziehung, bei der nur eine geringwertige Steuerverkürzung eingetreten ist oder nur geringwertige Steuervorteile erlangt sind, auch ohne Zustimmung des für die Eröffnung des Hauptverfahrens zuständigen Gerichts absehen, wenn die Schuld des Täters als gering anzusehen wäre und kein öffentliches Interesse an der Verfolgung besteht. </w:t>
      </w:r>
      <w:r>
        <w:rPr>
          <w:rStyle w:val="Satznummer"/>
        </w:rPr>
        <w:t>2</w:t>
      </w:r>
      <w:r>
        <w:t xml:space="preserve">Dies gilt für das Verfahren wegen einer Steuerhehlerei nach </w:t>
      </w:r>
      <w:hyperlink w:anchor="b537" w:history="1">
        <w:r>
          <w:rPr>
            <w:color w:val="0A3A8C"/>
            <w:u w:val="single"/>
          </w:rPr>
          <w:t xml:space="preserve">§ 374</w:t>
        </w:r>
      </w:hyperlink>
      <w:r>
        <w:t xml:space="preserve"> und einer Begünstigung einer Person, die eine der in </w:t>
      </w:r>
      <w:hyperlink w:anchor="b538" w:history="1">
        <w:r>
          <w:rPr>
            <w:color w:val="0A3A8C"/>
            <w:u w:val="single"/>
          </w:rPr>
          <w:t xml:space="preserve">§ 375</w:t>
        </w:r>
      </w:hyperlink>
      <w:r>
        <w:t xml:space="preserve"> Absatz 1 Nummer 1 bis 3 genannten Taten begangen hat, entsprechend.</w:t>
      </w:r>
    </w:p>
    <w:p>
      <w:pPr>
        <w:pStyle w:val="Heading5"/>
      </w:pPr>
      <w:bookmarkStart w:id="573" w:name="b570"/>
      <w:r>
        <w:t>§ 398a Absehen von Verfolgung in besonderen Fällen</w:t>
      </w:r>
      <w:r>
        <w:t xml:space="preserve"> </w:t>
      </w:r>
      <w:r>
        <w:rPr>
          <w:rStyle w:val="Suchmarke"/>
        </w:rPr>
        <w:t>#398a#</w:t>
      </w:r>
      <w:bookmarkEnd w:id="573"/>
    </w:p>
    <w:p>
      <w:r>
        <w:t xml:space="preserve">(1) In Fällen, in denen Straffreiheit nur wegen </w:t>
      </w:r>
      <w:hyperlink w:anchor="b534" w:history="1">
        <w:r>
          <w:rPr>
            <w:color w:val="0A3A8C"/>
            <w:u w:val="single"/>
          </w:rPr>
          <w:t xml:space="preserve">§ 371</w:t>
        </w:r>
      </w:hyperlink>
      <w:r>
        <w:t xml:space="preserve"> Absatz 2 Satz 1 Nummer 3 oder 4 nicht eintritt, wird von der Verfolgung einer Steuerstraftat abgesehen, wenn der an der Tat Beteiligte innerhalb einer ihm bestimmten angemessenen Frist</w:t>
      </w:r>
    </w:p>
    <w:p>
      <w:pPr>
        <w:tabs>
          <w:tab w:pos="567" w:val="left"/>
        </w:tabs>
        <w:ind w:left="567" w:hanging="567"/>
      </w:pPr>
      <w:r>
        <w:t>1.</w:t>
      </w:r>
      <w:r>
        <w:tab/>
      </w:r>
      <w:r>
        <w:t xml:space="preserve">die aus der Tat zu seinen Gunsten hinterzogenen Steuern, die Hinterziehungszinsen nach </w:t>
      </w:r>
      <w:hyperlink w:anchor="b373" w:history="1">
        <w:r>
          <w:rPr>
            <w:color w:val="0A3A8C"/>
            <w:u w:val="single"/>
          </w:rPr>
          <w:t xml:space="preserve">§ 235</w:t>
        </w:r>
      </w:hyperlink>
      <w:r>
        <w:t xml:space="preserve"> und die Zinsen nach </w:t>
      </w:r>
      <w:hyperlink w:anchor="b371" w:history="1">
        <w:r>
          <w:rPr>
            <w:color w:val="0A3A8C"/>
            <w:u w:val="single"/>
          </w:rPr>
          <w:t xml:space="preserve">§ 233a</w:t>
        </w:r>
      </w:hyperlink>
      <w:r>
        <w:t xml:space="preserve">, soweit sie auf die Hinterziehungszinsen nach </w:t>
      </w:r>
      <w:hyperlink w:anchor="b373" w:history="1">
        <w:r>
          <w:rPr>
            <w:color w:val="0A3A8C"/>
            <w:u w:val="single"/>
          </w:rPr>
          <w:t xml:space="preserve">§ 235</w:t>
        </w:r>
      </w:hyperlink>
      <w:r>
        <w:t xml:space="preserve"> Absatz 4 angerechnet werden, sowie die Verzugszinsen nach Artikel 114 des Zollkodex der Union entrichtet und</w:t>
      </w:r>
    </w:p>
    <w:p>
      <w:pPr>
        <w:tabs>
          <w:tab w:pos="567" w:val="left"/>
        </w:tabs>
        <w:ind w:left="567" w:hanging="567"/>
      </w:pPr>
      <w:r>
        <w:t>2.</w:t>
      </w:r>
      <w:r>
        <w:tab/>
      </w:r>
      <w:r>
        <w:t>einen Geldbetrag in folgender Höhe zugunsten der Staatskasse zahlt:</w:t>
      </w:r>
    </w:p>
    <w:p>
      <w:pPr>
        <w:tabs>
          <w:tab w:pos="1134" w:val="left"/>
        </w:tabs>
        <w:ind w:left="1134" w:hanging="567"/>
      </w:pPr>
      <w:r>
        <w:t>a)</w:t>
      </w:r>
      <w:r>
        <w:tab/>
      </w:r>
      <w:r>
        <w:t>10 Prozent der hinterzogenen Steuer, wenn der Hinterziehungsbetrag 100 000 Euro nicht übersteigt,</w:t>
      </w:r>
    </w:p>
    <w:p>
      <w:pPr>
        <w:tabs>
          <w:tab w:pos="1134" w:val="left"/>
        </w:tabs>
        <w:ind w:left="1134" w:hanging="567"/>
      </w:pPr>
      <w:r>
        <w:t>b)</w:t>
      </w:r>
      <w:r>
        <w:tab/>
      </w:r>
      <w:r>
        <w:t>15 Prozent der hinterzogenen Steuer, wenn der Hinterziehungsbetrag 100 000 Euro übersteigt und 1 000 000 Euro nicht übersteigt,</w:t>
      </w:r>
    </w:p>
    <w:p>
      <w:pPr>
        <w:tabs>
          <w:tab w:pos="1134" w:val="left"/>
        </w:tabs>
        <w:ind w:left="1134" w:hanging="567"/>
      </w:pPr>
      <w:r>
        <w:t>c)</w:t>
      </w:r>
      <w:r>
        <w:tab/>
      </w:r>
      <w:r>
        <w:t>20 Prozent der hinterzogenen Steuer, wenn der Hinterziehungsbetrag 1 000 000 Euro übersteigt.</w:t>
      </w:r>
    </w:p>
    <w:p>
      <w:r>
        <w:t xml:space="preserve">(2) Die Bemessung des Hinterziehungsbetrags richtet sich nach den Grundsätzen in </w:t>
      </w:r>
      <w:hyperlink w:anchor="b533" w:history="1">
        <w:r>
          <w:rPr>
            <w:color w:val="0A3A8C"/>
            <w:u w:val="single"/>
          </w:rPr>
          <w:t xml:space="preserve">§ 370</w:t>
        </w:r>
      </w:hyperlink>
      <w:r>
        <w:t xml:space="preserve"> Absatz 4.</w:t>
      </w:r>
    </w:p>
    <w:p>
      <w:r>
        <w:t>(3) Die Wiederaufnahme eines nach Absatz 1 abgeschlossenen Verfahrens ist zulässig, wenn die Finanzbehörde erkennt, dass die Angaben im Rahmen einer Selbstanzeige unvollständig oder unrichtig waren.</w:t>
      </w:r>
    </w:p>
    <w:p>
      <w:r>
        <w:t xml:space="preserve">(4) </w:t>
      </w:r>
      <w:r>
        <w:rPr>
          <w:rStyle w:val="Satznummer"/>
        </w:rPr>
        <w:t>1</w:t>
      </w:r>
      <w:r>
        <w:t xml:space="preserve">Der nach Absatz 1 Nummer 2 gezahlte Geldbetrag wird nicht erstattet, wenn die Rechtsfolge des Absatzes 1 nicht eintritt. </w:t>
      </w:r>
      <w:r>
        <w:rPr>
          <w:rStyle w:val="Satznummer"/>
        </w:rPr>
        <w:t>2</w:t>
      </w:r>
      <w:r>
        <w:t>Das Gericht kann diesen Betrag jedoch auf eine wegen Steuerhinterziehung verhängte Geldstrafe anrechnen.</w:t>
      </w:r>
    </w:p>
    <w:p>
      <w:pPr>
        <w:pStyle w:val="Heading4"/>
      </w:pPr>
      <w:bookmarkStart w:id="574" w:name="b571"/>
      <w:r>
        <w:t>II. Verfahren der Finanzbehörde bei Steuerstraftaten</w:t>
      </w:r>
      <w:bookmarkEnd w:id="574"/>
    </w:p>
    <w:p>
      <w:pPr>
        <w:pStyle w:val="Heading5"/>
      </w:pPr>
      <w:bookmarkStart w:id="575" w:name="b572"/>
      <w:r>
        <w:t>§ 399 Rechte und Pflichten der Finanzbehörde</w:t>
      </w:r>
      <w:r>
        <w:t xml:space="preserve"> </w:t>
      </w:r>
      <w:r>
        <w:rPr>
          <w:rStyle w:val="Suchmarke"/>
        </w:rPr>
        <w:t>#399#</w:t>
      </w:r>
      <w:bookmarkEnd w:id="575"/>
    </w:p>
    <w:p>
      <w:r>
        <w:t xml:space="preserve">(1) Führt die Finanzbehörde das Ermittlungsverfahren auf Grund des </w:t>
      </w:r>
      <w:hyperlink w:anchor="b555" w:history="1">
        <w:r>
          <w:rPr>
            <w:color w:val="0A3A8C"/>
            <w:u w:val="single"/>
          </w:rPr>
          <w:t xml:space="preserve">§ 386</w:t>
        </w:r>
      </w:hyperlink>
      <w:r>
        <w:t xml:space="preserve"> Absatz 2 selbständig durch, so nimmt sie die Rechte und Pflichten wahr, die der Staatsanwaltschaft im Ermittlungsverfahren zustehen.</w:t>
      </w:r>
    </w:p>
    <w:p>
      <w:r>
        <w:t xml:space="preserve">(2) </w:t>
      </w:r>
      <w:r>
        <w:rPr>
          <w:rStyle w:val="Satznummer"/>
        </w:rPr>
        <w:t>1</w:t>
      </w:r>
      <w:r>
        <w:t xml:space="preserve">Ist einer Finanzbehörde nach </w:t>
      </w:r>
      <w:hyperlink w:anchor="b556" w:history="1">
        <w:r>
          <w:rPr>
            <w:color w:val="0A3A8C"/>
            <w:u w:val="single"/>
          </w:rPr>
          <w:t xml:space="preserve">§ 387</w:t>
        </w:r>
      </w:hyperlink>
      <w:r>
        <w:t xml:space="preserve"> Absatz 2 die Zuständigkeit für den Bereich mehrerer Finanzbehörden übertragen, so bleiben das Recht und die Pflicht dieser Finanzbehörden unberührt, bei dem Verdacht einer Steuerstraftat den Sachverhalt zu erforschen und alle unaufschiebbaren Anordnungen zu treffen, um die Verdunkelung der Sache zu verhüten. </w:t>
      </w:r>
      <w:r>
        <w:rPr>
          <w:rStyle w:val="Satznummer"/>
        </w:rPr>
        <w:t>2</w:t>
      </w:r>
      <w:r>
        <w:t>Sie können Beschlagnahmen, Notveräußerungen, Durchsuchungen, Untersuchungen und sonstige Maßnahmen nach den für Ermittlungspersonen der Staatsanwaltschaft geltenden Vorschriften der Strafprozessordnung anordnen.</w:t>
      </w:r>
    </w:p>
    <w:p>
      <w:pPr>
        <w:pStyle w:val="Heading5"/>
      </w:pPr>
      <w:bookmarkStart w:id="576" w:name="b573"/>
      <w:r>
        <w:t>§ 400 Antrag auf Erlass eines Strafbefehls</w:t>
      </w:r>
      <w:r>
        <w:t xml:space="preserve"> </w:t>
      </w:r>
      <w:r>
        <w:rPr>
          <w:rStyle w:val="Suchmarke"/>
        </w:rPr>
        <w:t>#400#</w:t>
      </w:r>
      <w:bookmarkEnd w:id="576"/>
    </w:p>
    <w:p>
      <w:r>
        <w:t>Bieten die Ermittlungen genügenden Anlass zur Erhebung der öffentlichen Klage, so beantragt die Finanzbehörde beim Richter den Erlass eines Strafbefehls, wenn die Strafsache zur Behandlung im Strafbefehlsverfahren geeignet erscheint; ist dies nicht der Fall, so legt die Finanzbehörde die Akten der Staatsanwaltschaft vor.</w:t>
      </w:r>
    </w:p>
    <w:p>
      <w:pPr>
        <w:pStyle w:val="Heading5"/>
      </w:pPr>
      <w:bookmarkStart w:id="577" w:name="b574"/>
      <w:r>
        <w:t>§ 401 Antrag auf Anordnung von Nebenfolgen im selbständigen Verfahren</w:t>
      </w:r>
      <w:r>
        <w:t xml:space="preserve"> </w:t>
      </w:r>
      <w:r>
        <w:rPr>
          <w:rStyle w:val="Suchmarke"/>
        </w:rPr>
        <w:t>#401#</w:t>
      </w:r>
      <w:bookmarkEnd w:id="577"/>
    </w:p>
    <w:p>
      <w:r>
        <w:t>Die Finanzbehörde kann den Antrag stellen, die Einziehung selbständig anzuordnen oder eine Geldbuße gegen eine juristische Person oder eine Personenvereinigung selbständig festzusetzen (§§ 435, 444 Absatz 3 der Strafprozessordnung).</w:t>
      </w:r>
    </w:p>
    <w:p>
      <w:pPr>
        <w:pStyle w:val="Heading4"/>
      </w:pPr>
      <w:bookmarkStart w:id="578" w:name="b575"/>
      <w:r>
        <w:t>III. Stellung der Finanzbehörde im Verfahren der Staatsanwaltschaft</w:t>
      </w:r>
      <w:bookmarkEnd w:id="578"/>
    </w:p>
    <w:p>
      <w:pPr>
        <w:pStyle w:val="Heading5"/>
      </w:pPr>
      <w:bookmarkStart w:id="579" w:name="b576"/>
      <w:r>
        <w:t>§ 402 Allgemeine Rechte und Pflichten der Finanzbehörde</w:t>
      </w:r>
      <w:r>
        <w:t xml:space="preserve"> </w:t>
      </w:r>
      <w:r>
        <w:rPr>
          <w:rStyle w:val="Suchmarke"/>
        </w:rPr>
        <w:t>#402#</w:t>
      </w:r>
      <w:bookmarkEnd w:id="579"/>
    </w:p>
    <w:p>
      <w:r>
        <w:t xml:space="preserve">(1) Führt die Staatsanwaltschaft das Ermittlungsverfahren durch, so hat die sonst zuständige Finanzbehörde dieselben Rechte und Pflichten wie die Behörden des Polizeidienstes nach der Strafprozessordnung sowie die Befugnisse nach </w:t>
      </w:r>
      <w:hyperlink w:anchor="b572" w:history="1">
        <w:r>
          <w:rPr>
            <w:color w:val="0A3A8C"/>
            <w:u w:val="single"/>
          </w:rPr>
          <w:t xml:space="preserve">§ 399</w:t>
        </w:r>
      </w:hyperlink>
      <w:r>
        <w:t xml:space="preserve"> Absatz 2 Satz 2.</w:t>
      </w:r>
    </w:p>
    <w:p>
      <w:r>
        <w:t xml:space="preserve">(2) Ist einer Finanzbehörde nach </w:t>
      </w:r>
      <w:hyperlink w:anchor="b556" w:history="1">
        <w:r>
          <w:rPr>
            <w:color w:val="0A3A8C"/>
            <w:u w:val="single"/>
          </w:rPr>
          <w:t xml:space="preserve">§ 387</w:t>
        </w:r>
      </w:hyperlink>
      <w:r>
        <w:t xml:space="preserve"> Absatz 2 die Zuständigkeit für den Bereich mehrerer Finanzbehörden übertragen, so gilt Absatz 1 für jede dieser Finanzbehörden.</w:t>
      </w:r>
    </w:p>
    <w:p>
      <w:pPr>
        <w:pStyle w:val="Heading5"/>
      </w:pPr>
      <w:bookmarkStart w:id="580" w:name="b577"/>
      <w:r>
        <w:t>§ 403 Beteiligung der Finanzbehörde</w:t>
      </w:r>
      <w:r>
        <w:t xml:space="preserve"> </w:t>
      </w:r>
      <w:r>
        <w:rPr>
          <w:rStyle w:val="Suchmarke"/>
        </w:rPr>
        <w:t>#403#</w:t>
      </w:r>
      <w:bookmarkEnd w:id="580"/>
    </w:p>
    <w:p>
      <w:r>
        <w:t xml:space="preserve">(1) </w:t>
      </w:r>
      <w:r>
        <w:rPr>
          <w:rStyle w:val="Satznummer"/>
        </w:rPr>
        <w:t>1</w:t>
      </w:r>
      <w:r>
        <w:t xml:space="preserve">Führt die Staatsanwaltschaft oder die Polizei Ermittlungen durch, die Steuerstraftaten betreffen, so ist die sonst zuständige Finanzbehörde befugt, daran teilzunehmen. </w:t>
      </w:r>
      <w:r>
        <w:rPr>
          <w:rStyle w:val="Satznummer"/>
        </w:rPr>
        <w:t>2</w:t>
      </w:r>
      <w:r>
        <w:t xml:space="preserve">Ort und Zeit der Ermittlungshandlungen sollen ihr rechtzeitig mitgeteilt werden. </w:t>
      </w:r>
      <w:r>
        <w:rPr>
          <w:rStyle w:val="Satznummer"/>
        </w:rPr>
        <w:t>3</w:t>
      </w:r>
      <w:r>
        <w:t>Dem Vertreter der Finanzbehörde ist zu gestatten, Fragen an Beschuldigte, Zeugen und Sachverständige zu stellen.</w:t>
      </w:r>
    </w:p>
    <w:p>
      <w:r>
        <w:t>(2) Absatz 1 gilt sinngemäß für solche richterlichen Verhandlungen, bei denen auch der Staatsanwaltschaft die Anwesenheit gestattet ist.</w:t>
      </w:r>
    </w:p>
    <w:p>
      <w:r>
        <w:t>(3) Der sonst zuständigen Finanzbehörde sind die Anklageschrift und der Antrag auf Erlass eines Strafbefehls mitzuteilen.</w:t>
      </w:r>
    </w:p>
    <w:p>
      <w:r>
        <w:t>(4) Erwägt die Staatsanwaltschaft, das Verfahren einzustellen, so hat sie die sonst zuständige Finanzbehörde zu hören.</w:t>
      </w:r>
    </w:p>
    <w:p>
      <w:pPr>
        <w:pStyle w:val="Heading4"/>
      </w:pPr>
      <w:bookmarkStart w:id="581" w:name="b578"/>
      <w:r>
        <w:t>IV. Steuer- und Zollfahndung</w:t>
      </w:r>
      <w:bookmarkEnd w:id="581"/>
    </w:p>
    <w:p>
      <w:pPr>
        <w:pStyle w:val="Heading5"/>
      </w:pPr>
      <w:bookmarkStart w:id="582" w:name="b579"/>
      <w:r>
        <w:t>§ 404 Steuer- und Zollfahndung</w:t>
      </w:r>
      <w:r>
        <w:t xml:space="preserve"> </w:t>
      </w:r>
      <w:r>
        <w:rPr>
          <w:rStyle w:val="Suchmarke"/>
        </w:rPr>
        <w:t>#404#</w:t>
      </w:r>
      <w:bookmarkEnd w:id="582"/>
    </w:p>
    <w:p>
      <w:r>
        <w:t xml:space="preserve">(1) </w:t>
      </w:r>
      <w:r>
        <w:rPr>
          <w:rStyle w:val="Satznummer"/>
        </w:rPr>
        <w:t>1</w:t>
      </w:r>
      <w:r>
        <w:t xml:space="preserve">Die Behörden des Zollfahndungsdienstes und die mit der Steuerfahndung betrauten Dienststellen der Landesfinanzbehörden sowie ihre Beamten haben im Strafverfahren wegen Steuerstraftaten dieselben Rechte und Pflichten wie die Behörden und Beamten des Polizeidienstes nach den Vorschriften der Strafprozessordnung. </w:t>
      </w:r>
      <w:r>
        <w:rPr>
          <w:rStyle w:val="Satznummer"/>
        </w:rPr>
        <w:t>2</w:t>
      </w:r>
      <w:r>
        <w:t>Ihre Beamten sind Ermittlungspersonen der Staatsanwaltschaft.</w:t>
      </w:r>
    </w:p>
    <w:p>
      <w:r>
        <w:t xml:space="preserve">(2) </w:t>
      </w:r>
      <w:r>
        <w:rPr>
          <w:rStyle w:val="Satznummer"/>
        </w:rPr>
        <w:t>1</w:t>
      </w:r>
      <w:r>
        <w:t xml:space="preserve">Die in Absatz 1 Satz 1 bezeichneten Stellen haben die Befugnisse nach </w:t>
      </w:r>
      <w:hyperlink w:anchor="b572" w:history="1">
        <w:r>
          <w:rPr>
            <w:color w:val="0A3A8C"/>
            <w:u w:val="single"/>
          </w:rPr>
          <w:t xml:space="preserve">§ 399</w:t>
        </w:r>
      </w:hyperlink>
      <w:r>
        <w:t xml:space="preserve"> Absatz 2 Satz 2 sowie die Befugnis zur Durchsicht der Papiere und elektronischen Speichermedien des von der Durchsuchung Betroffenen. </w:t>
      </w:r>
      <w:r>
        <w:rPr>
          <w:rStyle w:val="Satznummer"/>
        </w:rPr>
        <w:t>2</w:t>
      </w:r>
      <w:r>
        <w:t>§ 110 Absatz 3 Satz 2 und 3 und Absatz 4 der Strafprozessordnung gilt entsprechend.</w:t>
      </w:r>
    </w:p>
    <w:p>
      <w:pPr>
        <w:pStyle w:val="Heading4"/>
      </w:pPr>
      <w:bookmarkStart w:id="583" w:name="b580"/>
      <w:r>
        <w:t>V. Entschädigung der Zeugen und der Sachverständigen</w:t>
      </w:r>
      <w:bookmarkEnd w:id="583"/>
    </w:p>
    <w:p>
      <w:pPr>
        <w:pStyle w:val="Heading5"/>
      </w:pPr>
      <w:bookmarkStart w:id="584" w:name="b581"/>
      <w:r>
        <w:t>§ 405 Entschädigung der Zeugen und der Sachverständigen</w:t>
      </w:r>
      <w:r>
        <w:t xml:space="preserve"> </w:t>
      </w:r>
      <w:r>
        <w:rPr>
          <w:rStyle w:val="Suchmarke"/>
        </w:rPr>
        <w:t>#405#</w:t>
      </w:r>
      <w:bookmarkEnd w:id="584"/>
    </w:p>
    <w:p>
      <w:r>
        <w:rPr>
          <w:rStyle w:val="Satznummer"/>
        </w:rPr>
        <w:t>1</w:t>
      </w:r>
      <w:r>
        <w:t xml:space="preserve">Werden Zeugen und Sachverständige von der Finanzbehörde zu Beweiszwecken herangezogen, so erhalten sie eine Entschädigung oder Vergütung nach dem Justizvergütungs- und -entschädigungsgesetz. </w:t>
      </w:r>
      <w:r>
        <w:rPr>
          <w:rStyle w:val="Satznummer"/>
        </w:rPr>
        <w:t>2</w:t>
      </w:r>
      <w:r>
        <w:t xml:space="preserve">Dies gilt auch in den Fällen des </w:t>
      </w:r>
      <w:hyperlink w:anchor="b579" w:history="1">
        <w:r>
          <w:rPr>
            <w:color w:val="0A3A8C"/>
            <w:u w:val="single"/>
          </w:rPr>
          <w:t xml:space="preserve">§ 404</w:t>
        </w:r>
      </w:hyperlink>
      <w:r>
        <w:t>.</w:t>
      </w:r>
    </w:p>
    <w:p>
      <w:pPr>
        <w:pStyle w:val="Heading3"/>
      </w:pPr>
      <w:bookmarkStart w:id="585" w:name="b582"/>
      <w:r>
        <w:t>3. Unterabschnitt Gerichtliches Verfahren</w:t>
      </w:r>
      <w:bookmarkEnd w:id="585"/>
    </w:p>
    <w:p>
      <w:pPr>
        <w:pStyle w:val="Heading4"/>
      </w:pPr>
      <w:bookmarkStart w:id="586" w:name="b583"/>
      <w:r>
        <w:t>§ 406 Mitwirkung der Finanzbehörde im Strafbefehlsverfahren und im selbständigen Verfahren</w:t>
      </w:r>
      <w:r>
        <w:t xml:space="preserve"> </w:t>
      </w:r>
      <w:r>
        <w:rPr>
          <w:rStyle w:val="Suchmarke"/>
        </w:rPr>
        <w:t>#406#</w:t>
      </w:r>
      <w:bookmarkEnd w:id="586"/>
    </w:p>
    <w:p>
      <w:r>
        <w:t>(1) Hat die Finanzbehörde den Erlass eines Strafbefehls beantragt, so nimmt sie die Rechte und Pflichten der Staatsanwaltschaft wahr, solange nicht nach § 408 Absatz 3 Satz 2 der Strafprozessordnung Hauptverhandlung anberaumt oder Einspruch gegen den Strafbefehl erhoben wird.</w:t>
      </w:r>
    </w:p>
    <w:p>
      <w:r>
        <w:t>(2) Hat die Finanzbehörde den Antrag gestellt, die Einziehung selbständig anzuordnen oder eine Geldbuße gegen eine juristische Person oder eine Personenvereinigung selbständig festzusetzen (</w:t>
      </w:r>
      <w:hyperlink w:anchor="b574" w:history="1">
        <w:r>
          <w:rPr>
            <w:color w:val="0A3A8C"/>
            <w:u w:val="single"/>
          </w:rPr>
          <w:t xml:space="preserve">§ 401</w:t>
        </w:r>
      </w:hyperlink>
      <w:r>
        <w:t>), so nimmt sie die Rechte und Pflichten der Staatsanwaltschaft wahr, solange nicht mündliche Verhandlung beantragt oder vom Gericht angeordnet wird.</w:t>
      </w:r>
    </w:p>
    <w:p>
      <w:pPr>
        <w:pStyle w:val="Heading4"/>
      </w:pPr>
      <w:bookmarkStart w:id="587" w:name="b584"/>
      <w:r>
        <w:t>§ 407 Beteiligung der Finanzbehörde in sonstigen Fällen</w:t>
      </w:r>
      <w:r>
        <w:t xml:space="preserve"> </w:t>
      </w:r>
      <w:r>
        <w:rPr>
          <w:rStyle w:val="Suchmarke"/>
        </w:rPr>
        <w:t>#407#</w:t>
      </w:r>
      <w:bookmarkEnd w:id="587"/>
    </w:p>
    <w:p>
      <w:r>
        <w:t xml:space="preserve">(1) </w:t>
      </w:r>
      <w:r>
        <w:rPr>
          <w:rStyle w:val="Satznummer"/>
        </w:rPr>
        <w:t>1</w:t>
      </w:r>
      <w:r>
        <w:t xml:space="preserve">Das Gericht gibt der Finanzbehörde Gelegenheit, die Gesichtspunkte vorzubringen, die von ihrem Standpunkt für die Entscheidung von Bedeutung sind. </w:t>
      </w:r>
      <w:r>
        <w:rPr>
          <w:rStyle w:val="Satznummer"/>
        </w:rPr>
        <w:t>2</w:t>
      </w:r>
      <w:r>
        <w:t xml:space="preserve">Dies gilt auch, wenn das Gericht erwägt, das Verfahren einzustellen. </w:t>
      </w:r>
      <w:r>
        <w:rPr>
          <w:rStyle w:val="Satznummer"/>
        </w:rPr>
        <w:t>3</w:t>
      </w:r>
      <w:r>
        <w:t xml:space="preserve">Der Termin zur Hauptverhandlung und der Termin zur Vernehmung durch einen beauftragten oder ersuchten Richter (§§ 223, 233 der Strafprozessordnung) werden der Finanzbehörde mitgeteilt. </w:t>
      </w:r>
      <w:r>
        <w:rPr>
          <w:rStyle w:val="Satznummer"/>
        </w:rPr>
        <w:t>4</w:t>
      </w:r>
      <w:r>
        <w:t xml:space="preserve">Ihr Vertreter erhält in der Hauptverhandlung auf Verlangen das Wort. </w:t>
      </w:r>
      <w:r>
        <w:rPr>
          <w:rStyle w:val="Satznummer"/>
        </w:rPr>
        <w:t>5</w:t>
      </w:r>
      <w:r>
        <w:t>Ihm ist zu gestatten, Fragen an Angeklagte, Zeugen und Sachverständige zu richten.</w:t>
      </w:r>
    </w:p>
    <w:p>
      <w:r>
        <w:t>(2) Das Urteil und andere das Verfahren abschließende Entscheidungen sind der Finanzbehörde mitzuteilen.</w:t>
      </w:r>
    </w:p>
    <w:p>
      <w:pPr>
        <w:pStyle w:val="Heading3"/>
      </w:pPr>
      <w:bookmarkStart w:id="588" w:name="b585"/>
      <w:r>
        <w:t>4. Unterabschnitt Kosten des Verfahrens</w:t>
      </w:r>
      <w:bookmarkEnd w:id="588"/>
    </w:p>
    <w:p>
      <w:pPr>
        <w:pStyle w:val="Heading4"/>
      </w:pPr>
      <w:bookmarkStart w:id="589" w:name="b586"/>
      <w:r>
        <w:t>§ 408 Kosten des Verfahrens</w:t>
      </w:r>
      <w:r>
        <w:t xml:space="preserve"> </w:t>
      </w:r>
      <w:r>
        <w:rPr>
          <w:rStyle w:val="Suchmarke"/>
        </w:rPr>
        <w:t>#408#</w:t>
      </w:r>
      <w:bookmarkEnd w:id="589"/>
    </w:p>
    <w:p>
      <w:r>
        <w:rPr>
          <w:rStyle w:val="Satznummer"/>
        </w:rPr>
        <w:t>1</w:t>
      </w:r>
      <w:r>
        <w:t xml:space="preserve">Notwendige Auslagen eines Beteiligten im Sinne des § 464a Absatz 2 Nummer 2 der Strafprozessordnung sind im Strafverfahren wegen einer Steuerstraftat auch die gesetzlichen Gebühren und Auslagen eines Steuerberaters, Steuerbevollmächtigten, Wirtschaftsprüfers oder vereidigten Buchprüfers. </w:t>
      </w:r>
      <w:r>
        <w:rPr>
          <w:rStyle w:val="Satznummer"/>
        </w:rPr>
        <w:t>2</w:t>
      </w:r>
      <w:r>
        <w:t>Sind Gebühren und Auslagen gesetzlich nicht geregelt, so können sie bis zur Höhe der gesetzlichen Gebühren und Auslagen eines Rechtsanwalts erstattet werden.</w:t>
      </w:r>
    </w:p>
    <w:p>
      <w:pPr>
        <w:pStyle w:val="Heading2"/>
      </w:pPr>
      <w:bookmarkStart w:id="590" w:name="b587"/>
      <w:r>
        <w:t>Vierter Abschnitt Bußgeldverfahren</w:t>
      </w:r>
      <w:bookmarkEnd w:id="590"/>
    </w:p>
    <w:p>
      <w:pPr>
        <w:pStyle w:val="Heading3"/>
      </w:pPr>
      <w:bookmarkStart w:id="591" w:name="b588"/>
      <w:r>
        <w:t>§ 409 Zuständige Verwaltungsbehörde</w:t>
      </w:r>
      <w:r>
        <w:t xml:space="preserve"> </w:t>
      </w:r>
      <w:r>
        <w:rPr>
          <w:rStyle w:val="Suchmarke"/>
        </w:rPr>
        <w:t>#409#</w:t>
      </w:r>
      <w:bookmarkEnd w:id="591"/>
    </w:p>
    <w:p>
      <w:r>
        <w:rPr>
          <w:rStyle w:val="Satznummer"/>
        </w:rPr>
        <w:t>1</w:t>
      </w:r>
      <w:r>
        <w:t xml:space="preserve">Bei Steuerordnungswidrigkeiten ist zuständige Verwaltungsbehörde im Sinne des § 36 Absatz 1 Nummer 1 des Gesetzes über Ordnungswidrigkeiten die nach </w:t>
      </w:r>
      <w:hyperlink w:anchor="b556" w:history="1">
        <w:r>
          <w:rPr>
            <w:color w:val="0A3A8C"/>
            <w:u w:val="single"/>
          </w:rPr>
          <w:t xml:space="preserve">§ 387</w:t>
        </w:r>
      </w:hyperlink>
      <w:r>
        <w:t xml:space="preserve"> Absatz 1 sachlich zuständige Finanzbehörde. </w:t>
      </w:r>
      <w:r>
        <w:rPr>
          <w:rStyle w:val="Satznummer"/>
        </w:rPr>
        <w:t>2</w:t>
      </w:r>
      <w:hyperlink w:anchor="b556" w:history="1">
        <w:r>
          <w:rPr>
            <w:color w:val="0A3A8C"/>
            <w:u w:val="single"/>
          </w:rPr>
          <w:t xml:space="preserve">§ 387</w:t>
        </w:r>
      </w:hyperlink>
      <w:r>
        <w:t xml:space="preserve"> Absatz 2 gilt entsprechend.</w:t>
      </w:r>
    </w:p>
    <w:p>
      <w:pPr>
        <w:pStyle w:val="Heading3"/>
      </w:pPr>
      <w:bookmarkStart w:id="592" w:name="b589"/>
      <w:r>
        <w:t>§ 410 Ergänzende Vorschriften für das Bußgeldverfahren</w:t>
      </w:r>
      <w:r>
        <w:t xml:space="preserve"> </w:t>
      </w:r>
      <w:r>
        <w:rPr>
          <w:rStyle w:val="Suchmarke"/>
        </w:rPr>
        <w:t>#410#</w:t>
      </w:r>
      <w:bookmarkEnd w:id="592"/>
    </w:p>
    <w:p>
      <w:r>
        <w:t>(1) Für das Bußgeldverfahren gelten außer den verfahrensrechtlichen Vorschriften des Gesetzes über Ordnungswidrigkeiten entsprechend:</w:t>
      </w:r>
    </w:p>
    <w:p>
      <w:pPr>
        <w:tabs>
          <w:tab w:pos="567" w:val="left"/>
        </w:tabs>
        <w:ind w:left="567" w:hanging="567"/>
      </w:pPr>
      <w:r>
        <w:t>1.</w:t>
      </w:r>
      <w:r>
        <w:tab/>
      </w:r>
      <w:r>
        <w:t xml:space="preserve">die </w:t>
      </w:r>
      <w:hyperlink w:anchor="b557" w:history="1">
        <w:r>
          <w:rPr>
            <w:color w:val="0A3A8C"/>
            <w:u w:val="single"/>
          </w:rPr>
          <w:t xml:space="preserve">§§ 388</w:t>
        </w:r>
      </w:hyperlink>
      <w:r>
        <w:t xml:space="preserve"> bis </w:t>
      </w:r>
      <w:hyperlink w:anchor="b559" w:history="1">
        <w:r>
          <w:rPr>
            <w:color w:val="0A3A8C"/>
            <w:u w:val="single"/>
          </w:rPr>
          <w:t xml:space="preserve">390</w:t>
        </w:r>
      </w:hyperlink>
      <w:r>
        <w:t xml:space="preserve"> über die Zuständigkeit der Finanzbehörde,</w:t>
      </w:r>
    </w:p>
    <w:p>
      <w:pPr>
        <w:tabs>
          <w:tab w:pos="567" w:val="left"/>
        </w:tabs>
        <w:ind w:left="567" w:hanging="567"/>
      </w:pPr>
      <w:r>
        <w:t>2.</w:t>
      </w:r>
      <w:r>
        <w:tab/>
      </w:r>
      <w:hyperlink w:anchor="b560" w:history="1">
        <w:r>
          <w:rPr>
            <w:color w:val="0A3A8C"/>
            <w:u w:val="single"/>
          </w:rPr>
          <w:t xml:space="preserve">§ 391</w:t>
        </w:r>
      </w:hyperlink>
      <w:r>
        <w:t xml:space="preserve"> über die Zuständigkeit des Gerichts,</w:t>
      </w:r>
    </w:p>
    <w:p>
      <w:pPr>
        <w:tabs>
          <w:tab w:pos="567" w:val="left"/>
        </w:tabs>
        <w:ind w:left="567" w:hanging="567"/>
      </w:pPr>
      <w:r>
        <w:t>3.</w:t>
      </w:r>
      <w:r>
        <w:tab/>
      </w:r>
      <w:hyperlink w:anchor="b561" w:history="1">
        <w:r>
          <w:rPr>
            <w:color w:val="0A3A8C"/>
            <w:u w:val="single"/>
          </w:rPr>
          <w:t xml:space="preserve">§ 392</w:t>
        </w:r>
      </w:hyperlink>
      <w:r>
        <w:t xml:space="preserve"> über die Verteidigung,</w:t>
      </w:r>
    </w:p>
    <w:p>
      <w:pPr>
        <w:tabs>
          <w:tab w:pos="567" w:val="left"/>
        </w:tabs>
        <w:ind w:left="567" w:hanging="567"/>
      </w:pPr>
      <w:r>
        <w:t>4.</w:t>
      </w:r>
      <w:r>
        <w:tab/>
      </w:r>
      <w:hyperlink w:anchor="b562" w:history="1">
        <w:r>
          <w:rPr>
            <w:color w:val="0A3A8C"/>
            <w:u w:val="single"/>
          </w:rPr>
          <w:t xml:space="preserve">§ 393</w:t>
        </w:r>
      </w:hyperlink>
      <w:r>
        <w:t xml:space="preserve"> über das Verhältnis des Strafverfahrens zum Besteuerungsverfahren,</w:t>
      </w:r>
    </w:p>
    <w:p>
      <w:pPr>
        <w:tabs>
          <w:tab w:pos="567" w:val="left"/>
        </w:tabs>
        <w:ind w:left="567" w:hanging="567"/>
      </w:pPr>
      <w:r>
        <w:t>5.</w:t>
      </w:r>
      <w:r>
        <w:tab/>
      </w:r>
      <w:hyperlink w:anchor="b565" w:history="1">
        <w:r>
          <w:rPr>
            <w:color w:val="0A3A8C"/>
            <w:u w:val="single"/>
          </w:rPr>
          <w:t xml:space="preserve">§ 396</w:t>
        </w:r>
      </w:hyperlink>
      <w:r>
        <w:t xml:space="preserve"> über die Aussetzung des Verfahrens,</w:t>
      </w:r>
    </w:p>
    <w:p>
      <w:pPr>
        <w:tabs>
          <w:tab w:pos="567" w:val="left"/>
        </w:tabs>
        <w:ind w:left="567" w:hanging="567"/>
      </w:pPr>
      <w:r>
        <w:t>6.</w:t>
      </w:r>
      <w:r>
        <w:tab/>
      </w:r>
      <w:hyperlink w:anchor="b568" w:history="1">
        <w:r>
          <w:rPr>
            <w:color w:val="0A3A8C"/>
            <w:u w:val="single"/>
          </w:rPr>
          <w:t xml:space="preserve">§ 397</w:t>
        </w:r>
      </w:hyperlink>
      <w:r>
        <w:t xml:space="preserve"> über die Einleitung des Strafverfahrens,</w:t>
      </w:r>
    </w:p>
    <w:p>
      <w:pPr>
        <w:tabs>
          <w:tab w:pos="567" w:val="left"/>
        </w:tabs>
        <w:ind w:left="567" w:hanging="567"/>
      </w:pPr>
      <w:r>
        <w:t>7.</w:t>
      </w:r>
      <w:r>
        <w:tab/>
      </w:r>
      <w:hyperlink w:anchor="b572" w:history="1">
        <w:r>
          <w:rPr>
            <w:color w:val="0A3A8C"/>
            <w:u w:val="single"/>
          </w:rPr>
          <w:t xml:space="preserve">§ 399</w:t>
        </w:r>
      </w:hyperlink>
      <w:r>
        <w:t xml:space="preserve"> Absatz 2 über die Rechte und Pflichten der Finanzbehörde,</w:t>
      </w:r>
    </w:p>
    <w:p>
      <w:pPr>
        <w:tabs>
          <w:tab w:pos="567" w:val="left"/>
        </w:tabs>
        <w:ind w:left="567" w:hanging="567"/>
      </w:pPr>
      <w:r>
        <w:t>8.</w:t>
      </w:r>
      <w:r>
        <w:tab/>
      </w:r>
      <w:r>
        <w:t xml:space="preserve">die </w:t>
      </w:r>
      <w:hyperlink w:anchor="b576" w:history="1">
        <w:r>
          <w:rPr>
            <w:color w:val="0A3A8C"/>
            <w:u w:val="single"/>
          </w:rPr>
          <w:t xml:space="preserve">§§ 402</w:t>
        </w:r>
      </w:hyperlink>
      <w:r>
        <w:t xml:space="preserve">, </w:t>
      </w:r>
      <w:hyperlink w:anchor="b577" w:history="1">
        <w:r>
          <w:rPr>
            <w:color w:val="0A3A8C"/>
            <w:u w:val="single"/>
          </w:rPr>
          <w:t xml:space="preserve">403</w:t>
        </w:r>
      </w:hyperlink>
      <w:r>
        <w:t xml:space="preserve"> Absatz 1, 3 und 4 über die Stellung der Finanzbehörde im Verfahren der Staatsanwaltschaft,</w:t>
      </w:r>
    </w:p>
    <w:p>
      <w:pPr>
        <w:tabs>
          <w:tab w:pos="567" w:val="left"/>
        </w:tabs>
        <w:ind w:left="567" w:hanging="567"/>
      </w:pPr>
      <w:r>
        <w:t>9.</w:t>
      </w:r>
      <w:r>
        <w:tab/>
      </w:r>
      <w:hyperlink w:anchor="b579" w:history="1">
        <w:r>
          <w:rPr>
            <w:color w:val="0A3A8C"/>
            <w:u w:val="single"/>
          </w:rPr>
          <w:t xml:space="preserve">§ 404</w:t>
        </w:r>
      </w:hyperlink>
      <w:r>
        <w:t xml:space="preserve"> Absatz 1 Satz 1 und Absatz 2 über die Steuer- und Zollfahndung,</w:t>
      </w:r>
    </w:p>
    <w:p>
      <w:pPr>
        <w:tabs>
          <w:tab w:pos="567" w:val="left"/>
        </w:tabs>
        <w:ind w:left="567" w:hanging="567"/>
      </w:pPr>
      <w:r>
        <w:t>10.</w:t>
      </w:r>
      <w:r>
        <w:tab/>
      </w:r>
      <w:hyperlink w:anchor="b581" w:history="1">
        <w:r>
          <w:rPr>
            <w:color w:val="0A3A8C"/>
            <w:u w:val="single"/>
          </w:rPr>
          <w:t xml:space="preserve">§ 405</w:t>
        </w:r>
      </w:hyperlink>
      <w:r>
        <w:t xml:space="preserve"> über die Entschädigung der Zeugen und der Sachverständigen,</w:t>
      </w:r>
    </w:p>
    <w:p>
      <w:pPr>
        <w:tabs>
          <w:tab w:pos="567" w:val="left"/>
        </w:tabs>
        <w:ind w:left="567" w:hanging="567"/>
      </w:pPr>
      <w:r>
        <w:t>11.</w:t>
      </w:r>
      <w:r>
        <w:tab/>
      </w:r>
      <w:hyperlink w:anchor="b584" w:history="1">
        <w:r>
          <w:rPr>
            <w:color w:val="0A3A8C"/>
            <w:u w:val="single"/>
          </w:rPr>
          <w:t xml:space="preserve">§ 407</w:t>
        </w:r>
      </w:hyperlink>
      <w:r>
        <w:t xml:space="preserve"> über die Beteiligung der Finanzbehörde und</w:t>
      </w:r>
    </w:p>
    <w:p>
      <w:pPr>
        <w:tabs>
          <w:tab w:pos="567" w:val="left"/>
        </w:tabs>
        <w:ind w:left="567" w:hanging="567"/>
      </w:pPr>
      <w:r>
        <w:t>12.</w:t>
      </w:r>
      <w:r>
        <w:tab/>
      </w:r>
      <w:hyperlink w:anchor="b586" w:history="1">
        <w:r>
          <w:rPr>
            <w:color w:val="0A3A8C"/>
            <w:u w:val="single"/>
          </w:rPr>
          <w:t xml:space="preserve">§ 408</w:t>
        </w:r>
      </w:hyperlink>
      <w:r>
        <w:t xml:space="preserve"> über die Kosten des Verfahrens.</w:t>
      </w:r>
    </w:p>
    <w:p>
      <w:r>
        <w:t xml:space="preserve">(2) Verfolgt die Finanzbehörde eine Steuerstraftat, die mit einer Steuerordnungswidrigkeit zusammenhängt (§ 42 Absatz 1 Satz 2 des Gesetzes über Ordnungswidrigkeiten), so kann sie in den Fällen des </w:t>
      </w:r>
      <w:hyperlink w:anchor="b573" w:history="1">
        <w:r>
          <w:rPr>
            <w:color w:val="0A3A8C"/>
            <w:u w:val="single"/>
          </w:rPr>
          <w:t xml:space="preserve">§ 400</w:t>
        </w:r>
      </w:hyperlink>
      <w:r>
        <w:t xml:space="preserve"> beantragen, den Strafbefehl auf die Steuerordnungswidrigkeit zu erstrecken.</w:t>
      </w:r>
    </w:p>
    <w:p>
      <w:pPr>
        <w:pStyle w:val="Heading3"/>
      </w:pPr>
      <w:bookmarkStart w:id="593" w:name="b590"/>
      <w:r>
        <w:t>§ 411 Bußgeldverfahren gegen Rechtsanwälte, Steuerberater, Steuerbevollmächtigte, Wirtschaftsprüfer oder vereidigte Buchprüfer</w:t>
      </w:r>
      <w:r>
        <w:t xml:space="preserve"> </w:t>
      </w:r>
      <w:r>
        <w:rPr>
          <w:rStyle w:val="Suchmarke"/>
        </w:rPr>
        <w:t>#411#</w:t>
      </w:r>
      <w:bookmarkEnd w:id="593"/>
    </w:p>
    <w:p>
      <w:r>
        <w:t>Bevor gegen einen Rechtsanwalt, Steuerberater, Steuerbevollmächtigten, Wirtschaftsprüfer oder vereidigten Buchprüfer wegen einer Steuerordnungswidrigkeit, die er in Ausübung seines Berufs bei der Beratung in Steuersachen begangen hat, ein Bußgeldbescheid erlassen wird, gibt die Finanzbehörde der zuständigen Berufskammer Gelegenheit, die Gesichtspunkte vorzubringen, die von ihrem Standpunkt für die Entscheidung von Bedeutung sind.</w:t>
      </w:r>
    </w:p>
    <w:p>
      <w:pPr>
        <w:pStyle w:val="Heading3"/>
      </w:pPr>
      <w:bookmarkStart w:id="594" w:name="b591"/>
      <w:r>
        <w:t>§ 412 Zustellung, Vollstreckung, Kosten</w:t>
      </w:r>
      <w:r>
        <w:t xml:space="preserve"> </w:t>
      </w:r>
      <w:r>
        <w:rPr>
          <w:rStyle w:val="Suchmarke"/>
        </w:rPr>
        <w:t>#412#</w:t>
      </w:r>
      <w:bookmarkEnd w:id="594"/>
    </w:p>
    <w:p>
      <w:r>
        <w:t xml:space="preserve">(1) </w:t>
      </w:r>
      <w:r>
        <w:rPr>
          <w:rStyle w:val="Satznummer"/>
        </w:rPr>
        <w:t>1</w:t>
      </w:r>
      <w:r>
        <w:t xml:space="preserve">Für das Zustellungsverfahren gelten abweichend von § 51 Absatz 1 Satz 1 des Gesetzes über Ordnungswidrigkeiten die Vorschriften des Verwaltungszustellungsgesetzes auch dann, wenn eine Landesfinanzbehörde den Bescheid erlassen hat. </w:t>
      </w:r>
      <w:r>
        <w:rPr>
          <w:rStyle w:val="Satznummer"/>
        </w:rPr>
        <w:t>2</w:t>
      </w:r>
      <w:r>
        <w:t>§ 51 Absatz 1 Satz 2 und Absatz 2 bis 5 des Gesetzes über Ordnungswidrigkeiten bleibt unberührt.</w:t>
      </w:r>
    </w:p>
    <w:p>
      <w:r>
        <w:t xml:space="preserve">(2) </w:t>
      </w:r>
      <w:r>
        <w:rPr>
          <w:rStyle w:val="Satznummer"/>
        </w:rPr>
        <w:t>1</w:t>
      </w:r>
      <w:r>
        <w:t xml:space="preserve">Für die Vollstreckung von Bescheiden der Finanzbehörden in Bußgeldverfahren gelten abweichend von § 90 Absatz 1 und 4, § 108 Absatz 2 des Gesetzes über Ordnungswidrigkeiten die Vorschriften des Sechsten Teils dieses Gesetzes. </w:t>
      </w:r>
      <w:r>
        <w:rPr>
          <w:rStyle w:val="Satznummer"/>
        </w:rPr>
        <w:t>2</w:t>
      </w:r>
      <w:r>
        <w:t>Die übrigen Vorschriften des Neunten Abschnitts des Zweiten Teils des Gesetzes über Ordnungswidrigkeiten bleiben unberührt.</w:t>
      </w:r>
    </w:p>
    <w:p>
      <w:r>
        <w:t xml:space="preserve">(3) Für die Kosten des Bußgeldverfahrens gilt § 107 Absatz 4 des Gesetzes über Ordnungswidrigkeiten auch dann, wenn eine Landesfinanzbehörde den Bußgeldbescheid erlassen hat; an Stelle des § 19 des Verwaltungskostengesetzes in der bis zum 14. August 2013 geltenden Fassung gelten </w:t>
      </w:r>
      <w:hyperlink w:anchor="b361" w:history="1">
        <w:r>
          <w:rPr>
            <w:color w:val="0A3A8C"/>
            <w:u w:val="single"/>
          </w:rPr>
          <w:t xml:space="preserve">§ 227</w:t>
        </w:r>
      </w:hyperlink>
      <w:r>
        <w:t xml:space="preserve"> und </w:t>
      </w:r>
      <w:hyperlink w:anchor="b405" w:history="1">
        <w:r>
          <w:rPr>
            <w:color w:val="0A3A8C"/>
            <w:u w:val="single"/>
          </w:rPr>
          <w:t xml:space="preserve">§ 261</w:t>
        </w:r>
      </w:hyperlink>
      <w:r>
        <w:t xml:space="preserve"> dieses Gesetzes.</w:t>
      </w:r>
    </w:p>
    <w:p>
      <w:pPr>
        <w:pStyle w:val="Heading1"/>
      </w:pPr>
      <w:bookmarkStart w:id="595" w:name="b592"/>
      <w:r>
        <w:t>Neunter Teil Schlussvorschriften</w:t>
      </w:r>
      <w:bookmarkEnd w:id="595"/>
    </w:p>
    <w:p>
      <w:pPr>
        <w:pStyle w:val="Heading2"/>
      </w:pPr>
      <w:bookmarkStart w:id="596" w:name="b593"/>
      <w:r>
        <w:t>§ 413 Einschränkung von Grundrechten</w:t>
      </w:r>
      <w:r>
        <w:t xml:space="preserve"> </w:t>
      </w:r>
      <w:r>
        <w:rPr>
          <w:rStyle w:val="Suchmarke"/>
        </w:rPr>
        <w:t>#413#</w:t>
      </w:r>
      <w:bookmarkEnd w:id="596"/>
    </w:p>
    <w:p>
      <w:r>
        <w:t>Die Grundrechte auf körperliche Unversehrtheit und Freiheit der Person (Artikel 2 Absatz 2 des Grundgesetzes), des Briefgeheimnisses sowie des Post- und Fernmeldegeheimnisses (Artikel 10 des Grundgesetzes) und der Unverletzlichkeit der Wohnung (Artikel 13 des Grundgesetzes) werden nach Maßgabe dieses Gesetzes eingeschränkt.</w:t>
      </w:r>
    </w:p>
    <w:p>
      <w:pPr>
        <w:pStyle w:val="Heading2"/>
      </w:pPr>
      <w:bookmarkStart w:id="597" w:name="b594"/>
      <w:r>
        <w:t>§ 414</w:t>
      </w:r>
      <w:r>
        <w:t xml:space="preserve"> </w:t>
      </w:r>
      <w:r>
        <w:rPr>
          <w:rStyle w:val="Suchmarke"/>
        </w:rPr>
        <w:t>#414#</w:t>
      </w:r>
      <w:bookmarkEnd w:id="597"/>
    </w:p>
    <w:p>
      <w:r>
        <w:t>(gegenstandslos)</w:t>
      </w:r>
    </w:p>
    <w:p>
      <w:pPr>
        <w:pStyle w:val="Heading2"/>
      </w:pPr>
      <w:bookmarkStart w:id="598" w:name="b595"/>
      <w:r>
        <w:t>§ 415</w:t>
      </w:r>
      <w:r>
        <w:t xml:space="preserve"> </w:t>
      </w:r>
      <w:r>
        <w:rPr>
          <w:rStyle w:val="Suchmarke"/>
        </w:rPr>
        <w:t>#415#</w:t>
      </w:r>
      <w:bookmarkEnd w:id="598"/>
    </w:p>
    <w:p>
      <w:r>
        <w:t>(Inkrafttreten)</w:t>
      </w:r>
    </w:p>
    <w:p>
      <w:pPr>
        <w:pStyle w:val="Heading2"/>
      </w:pPr>
      <w:bookmarkStart w:id="599" w:name="b596"/>
      <w:r>
        <w:t>Anlage 1 (zu § 60)Mustersatzung für Vereine, Stiftungen, Betriebe gewerblicher Art von juristischen Personen des öffentlichen Rechts, geistliche Genossenschaften und Kapitalgesellschaften(nur aus steuerlichen Gründen notwendige Bestimmungen)</w:t>
      </w:r>
      <w:bookmarkEnd w:id="599"/>
    </w:p>
    <w:p>
      <w:pPr>
        <w:pStyle w:val="Zwischentitel"/>
      </w:pPr>
      <w:r>
        <w:rPr>
          <w:b/>
        </w:rPr>
        <w:t>§ 1</w:t>
      </w:r>
    </w:p>
    <w:p>
      <w:r>
        <w:t>Der – Die – … (Körperschaft) mit Sitz in … verfolgt ausschließlich und unmittelbar – gemeinnützige – mildtätige – kirchliche – Zwecke (nicht verfolgte Zwecke streichen) im Sinne des Abschnitts „Steuerbegünstigte Zwecke“ der Abgabenordnung.</w:t>
      </w:r>
    </w:p>
    <w:p>
      <w:r>
        <w:t>Zweck der Körperschaft ist … (z. B. die Förderung von Wissenschaft und Forschung, Jugend- und Altenhilfe, Erziehung, Volks- und Berufsbildung, Kunst und Kultur, Landschaftspflege, Umweltschutz, des öffentlichen Gesundheitswesens, des Sports, Unterstützung hilfsbedürftiger Personen).</w:t>
      </w:r>
    </w:p>
    <w:p>
      <w:r>
        <w:t>Der Satzungszweck wird verwirklicht insbesondere durch … (z. B. Durchführung wissenschaftlicher Veranstaltungen und Forschungsvorhaben, Vergabe von Forschungsaufträgen, Unterhaltung einer Schule, einer Erziehungsberatungsstelle, Pflege von Kunstsammlungen, Pflege des Liedgutes und des Chorgesanges, Errichtung von Naturschutzgebieten, Unterhaltung eines Kindergartens, Kinder-, Jugendheimes, Unterhaltung eines Altenheimes, eines Erholungsheimes, Bekämpfung des Drogenmissbrauchs, des Lärms, Förderung sportlicher Übungen und Leistungen).</w:t>
      </w:r>
    </w:p>
    <w:p>
      <w:pPr>
        <w:pStyle w:val="Zwischentitel"/>
      </w:pPr>
      <w:r>
        <w:rPr>
          <w:b/>
        </w:rPr>
        <w:t>§ 2</w:t>
      </w:r>
    </w:p>
    <w:p>
      <w:r>
        <w:t>Die Körperschaft ist selbstlos tätig; sie verfolgt nicht in erster Linie eigenwirtschaftliche Zwecke.</w:t>
      </w:r>
    </w:p>
    <w:p>
      <w:pPr>
        <w:pStyle w:val="Zwischentitel"/>
      </w:pPr>
      <w:r>
        <w:rPr>
          <w:b/>
        </w:rPr>
        <w:t>§ 3</w:t>
      </w:r>
    </w:p>
    <w:p>
      <w:r>
        <w:rPr>
          <w:rStyle w:val="Satznummer"/>
        </w:rPr>
        <w:t>1</w:t>
      </w:r>
      <w:r>
        <w:t xml:space="preserve">Mittel der Körperschaft dürfen nur für die satzungsmäßigen Zwecke verwendet werden. </w:t>
      </w:r>
      <w:r>
        <w:rPr>
          <w:rStyle w:val="Satznummer"/>
        </w:rPr>
        <w:t>2</w:t>
      </w:r>
      <w:r>
        <w:t>Die Mitglieder erhalten keine Zuwendungen aus Mitteln der Körperschaft.</w:t>
      </w:r>
    </w:p>
    <w:p>
      <w:pPr>
        <w:pStyle w:val="Zwischentitel"/>
      </w:pPr>
      <w:r>
        <w:rPr>
          <w:b/>
        </w:rPr>
        <w:t>§ 4</w:t>
      </w:r>
    </w:p>
    <w:p>
      <w:r>
        <w:t>Es darf keine Person durch Ausgaben, die dem Zweck der Körperschaft fremd sind, oder durch unverhältnismäßig hohe Vergütungen begünstigt werden.</w:t>
      </w:r>
    </w:p>
    <w:p>
      <w:pPr>
        <w:pStyle w:val="Zwischentitel"/>
      </w:pPr>
      <w:r>
        <w:rPr>
          <w:b/>
        </w:rPr>
        <w:t>§ 5</w:t>
      </w:r>
    </w:p>
    <w:p>
      <w:r>
        <w:t>Bei Auflösung oder Aufhebung der Körperschaft oder bei Wegfall steuerbegünstigter Zwecke fällt das Vermögen der Körperschaft</w:t>
      </w:r>
    </w:p>
    <w:p>
      <w:pPr>
        <w:tabs>
          <w:tab w:pos="567" w:val="left"/>
        </w:tabs>
        <w:ind w:left="567" w:hanging="567"/>
      </w:pPr>
      <w:r>
        <w:t>1.</w:t>
      </w:r>
      <w:r>
        <w:tab/>
      </w:r>
      <w:r>
        <w:t>an – den – die – das – … (Bezeichnung einer juristischen Person des öffentlichen Rechts oder einer anderen steuerbegünstigten Körperschaft), – der – die – das – es unmittelbar und ausschließlich für gemeinnützige, mildtätige oder kirchliche Zwecke zu verwenden hat.</w:t>
      </w:r>
    </w:p>
    <w:p>
      <w:pPr>
        <w:ind w:left="567"/>
      </w:pPr>
      <w:r>
        <w:t>oder</w:t>
      </w:r>
    </w:p>
    <w:p>
      <w:pPr>
        <w:tabs>
          <w:tab w:pos="567" w:val="left"/>
        </w:tabs>
        <w:ind w:left="567" w:hanging="567"/>
      </w:pPr>
      <w:r>
        <w:t>2.</w:t>
      </w:r>
      <w:r>
        <w:tab/>
      </w:r>
      <w:r>
        <w:t>an eine juristische Person des öffentlichen Rechts oder eine andere steuerbegünstigte Körperschaft zwecks Verwendung für … (Angabe eines bestimmten gemeinnützigen, mildtätigen oder kirchlichen Zwecks, z. B. Förderung von Wissenschaft und Forschung, Erziehung, Volks- und Berufsbildung, der Unterstützung von Personen, die im Sinne von § 53 der Abgabenordnung wegen … bedürftig sind, Unterhaltung des Gotteshauses in …).</w:t>
      </w:r>
    </w:p>
    <w:p>
      <w:r>
        <w:rPr>
          <w:b/>
        </w:rPr>
        <w:t>Weitere Hinweise</w:t>
      </w:r>
    </w:p>
    <w:p>
      <w:r>
        <w:t xml:space="preserve">Bei </w:t>
      </w:r>
      <w:r>
        <w:rPr>
          <w:b/>
        </w:rPr>
        <w:t>Betrieben gewerblicher Art von juristischen Personen des öffentlichen Rechts, bei den von einer juristischen Person des öffentlichen Rechts verwalteten unselbständigen Stiftungen und bei geistlichen Genossenschaften</w:t>
      </w:r>
      <w:r>
        <w:t xml:space="preserve"> (Orden, Kongregationen) ist folgende Bestimmung aufzunehmen:</w:t>
      </w:r>
    </w:p>
    <w:p>
      <w:r>
        <w:t>§ 3 Absatz 2:</w:t>
      </w:r>
    </w:p>
    <w:p>
      <w:r>
        <w:t>„Der – die – das … erhält bei Auflösung oder Aufhebung der Körperschaft oder bei Wegfall steuerbegünstigter Zwecke nicht mehr als – seine – ihre – eingezahlten Kapitalanteile und den gemeinen Wert seiner – ihrer – geleisteten Sacheinlagen zurück.“</w:t>
      </w:r>
    </w:p>
    <w:p>
      <w:r>
        <w:rPr>
          <w:rStyle w:val="Satznummer"/>
        </w:rPr>
        <w:t>1</w:t>
      </w:r>
      <w:r>
        <w:t xml:space="preserve">Bei </w:t>
      </w:r>
      <w:r>
        <w:rPr>
          <w:b/>
        </w:rPr>
        <w:t>Stiftungen</w:t>
      </w:r>
      <w:r>
        <w:t xml:space="preserve"> ist diese Bestimmung nur erforderlich, wenn die Satzung dem Stifter einen Anspruch auf Rückgewähr von Vermögen einräumt. </w:t>
      </w:r>
      <w:r>
        <w:rPr>
          <w:rStyle w:val="Satznummer"/>
        </w:rPr>
        <w:t>2</w:t>
      </w:r>
      <w:r>
        <w:t>Fehlt die Regelung, wird das eingebrachte Vermögen wie das übrige Vermögen behandelt.</w:t>
      </w:r>
    </w:p>
    <w:p>
      <w:r>
        <w:rPr>
          <w:rStyle w:val="Satznummer"/>
        </w:rPr>
        <w:t>1</w:t>
      </w:r>
      <w:r>
        <w:t xml:space="preserve">Bei </w:t>
      </w:r>
      <w:r>
        <w:rPr>
          <w:b/>
        </w:rPr>
        <w:t>Kapitalgesellschaften</w:t>
      </w:r>
      <w:r>
        <w:t xml:space="preserve"> sind folgende ergänzende Bestimmungen in die Satzung aufzunehmen:</w:t>
      </w:r>
    </w:p>
    <w:p>
      <w:pPr>
        <w:tabs>
          <w:tab w:pos="567" w:val="left"/>
        </w:tabs>
        <w:ind w:left="567" w:hanging="567"/>
      </w:pPr>
      <w:r>
        <w:t>1.</w:t>
      </w:r>
      <w:r>
        <w:tab/>
      </w:r>
      <w:r>
        <w:t>§ 3 Absatz 1 Satz 2:</w:t>
      </w:r>
    </w:p>
    <w:p>
      <w:pPr>
        <w:ind w:left="567"/>
      </w:pPr>
      <w:r>
        <w:t>„Die Gesellschafter dürfen keine Gewinnanteile und auch keine sonstigen Zuwendungen aus Mitteln der Körperschaft erhalten.”</w:t>
      </w:r>
    </w:p>
    <w:p>
      <w:pPr>
        <w:tabs>
          <w:tab w:pos="567" w:val="left"/>
        </w:tabs>
        <w:ind w:left="567" w:hanging="567"/>
      </w:pPr>
      <w:r>
        <w:t>2.</w:t>
      </w:r>
      <w:r>
        <w:tab/>
      </w:r>
      <w:r>
        <w:t>§ 3 Absatz 2:</w:t>
      </w:r>
    </w:p>
    <w:p>
      <w:pPr>
        <w:ind w:left="567"/>
      </w:pPr>
      <w:r>
        <w:t>„Sie erhalten bei ihrem Ausscheiden oder bei Auflösung der Körperschaft oder bei Wegfall steuerbegünstigter Zwecke nicht mehr als ihre eingezahlten Kapitalanteile und den gemeinen Wert ihrer geleisteten Sacheinlagen zurück.”</w:t>
      </w:r>
    </w:p>
    <w:p>
      <w:pPr>
        <w:tabs>
          <w:tab w:pos="567" w:val="left"/>
        </w:tabs>
        <w:ind w:left="567" w:hanging="567"/>
      </w:pPr>
      <w:r>
        <w:t>3.</w:t>
      </w:r>
      <w:r>
        <w:tab/>
      </w:r>
      <w:r>
        <w:t>§ 5:</w:t>
      </w:r>
    </w:p>
    <w:p>
      <w:pPr>
        <w:ind w:left="567"/>
      </w:pPr>
      <w:r>
        <w:t>„Bei Auflösung der Körperschaft oder bei Wegfall steuerbegünstigter Zwecke fällt das Vermögen der Körperschaft, soweit es die eingezahlten Kapitalanteile der Gesellschafter und den gemeinen Wert der von den Gesellschaftern geleisteten Sacheinlagen übersteigt, ...”.</w:t>
      </w:r>
    </w:p>
    <w:p>
      <w:r>
        <w:rPr>
          <w:rStyle w:val="Satznummer"/>
        </w:rPr>
        <w:t>2</w:t>
      </w:r>
      <w:r>
        <w:t>§ 3 Absatz 2 und der Satzteil „soweit es die eingezahlten Kapitalanteile der Gesellschafter und den gemeinen Wert der von den Gesellschaftern geleisteten Sacheinlagen übersteigt,“ in § 5 sind nur erforderlich, wenn die Satzung einen Anspruch auf Rückgewähr von Vermögen einräumt.</w:t>
      </w:r>
    </w:p>
    <w:p>
      <w:pPr>
        <w:spacing w:before="480"/>
      </w:pPr>
      <w:r>
        <w:t xml:space="preserve">Ende des Gesetzes: Abgabenordnung (AO)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ao_1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Abgabenordnung (AO)</dc:title>
  <dc:subject>Nicht amtliche Fassung</dc:subject>
  <dc:creator>Barrierefreie Gesetze</dc:creator>
  <cp:keywords/>
  <dc:description/>
  <cp:lastModifiedBy>Barrierefreie Gesetze</cp:lastModifiedBy>
  <cp:revision>1</cp:revision>
  <dcterms:created xsi:type="dcterms:W3CDTF">2026-10-19T11:41:03Z</dcterms:created>
  <dcterms:modified xsi:type="dcterms:W3CDTF">2026-10-19T11:41:03Z</dcterms:modified>
  <cp:category/>
  <dc:language>de-DE</dc:language>
</cp:coreProperties>
</file>